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5E" w:rsidRDefault="0011445E">
      <w:pPr>
        <w:spacing w:line="600" w:lineRule="exact"/>
        <w:jc w:val="left"/>
        <w:rPr>
          <w:rFonts w:ascii="方正小标宋简体" w:eastAsia="方正小标宋简体" w:hAnsi="宋体"/>
          <w:szCs w:val="21"/>
        </w:rPr>
      </w:pPr>
      <w:bookmarkStart w:id="0" w:name="_GoBack"/>
      <w:bookmarkStart w:id="1" w:name="_Toc15306267"/>
      <w:bookmarkEnd w:id="0"/>
    </w:p>
    <w:p w:rsidR="0011445E" w:rsidRDefault="0011445E">
      <w:pPr>
        <w:pStyle w:val="a3"/>
        <w:spacing w:before="93"/>
      </w:pPr>
    </w:p>
    <w:p w:rsidR="0011445E" w:rsidRDefault="0011445E">
      <w:pPr>
        <w:spacing w:line="600" w:lineRule="exact"/>
        <w:jc w:val="center"/>
        <w:rPr>
          <w:rFonts w:ascii="方正小标宋简体" w:eastAsia="方正小标宋简体" w:hAnsi="宋体"/>
          <w:sz w:val="72"/>
          <w:szCs w:val="72"/>
        </w:rPr>
      </w:pPr>
    </w:p>
    <w:p w:rsidR="0011445E" w:rsidRDefault="0011445E">
      <w:pPr>
        <w:spacing w:line="600" w:lineRule="exact"/>
        <w:jc w:val="center"/>
        <w:rPr>
          <w:rFonts w:ascii="方正小标宋简体" w:eastAsia="方正小标宋简体" w:hAnsi="宋体"/>
          <w:sz w:val="72"/>
          <w:szCs w:val="72"/>
        </w:rPr>
      </w:pPr>
    </w:p>
    <w:p w:rsidR="0011445E" w:rsidRDefault="00C50C39" w:rsidP="00FA6452">
      <w:pPr>
        <w:adjustRightInd w:val="0"/>
        <w:snapToGrid w:val="0"/>
        <w:spacing w:line="360" w:lineRule="auto"/>
        <w:jc w:val="center"/>
        <w:rPr>
          <w:rFonts w:ascii="方正小标宋简体" w:eastAsia="方正小标宋简体" w:hAnsi="方正小标宋简体" w:cs="方正小标宋简体"/>
          <w:sz w:val="72"/>
          <w:szCs w:val="72"/>
        </w:rPr>
      </w:pPr>
      <w:bookmarkStart w:id="2" w:name="_Toc180595918"/>
      <w:bookmarkStart w:id="3" w:name="_Toc15377425"/>
      <w:bookmarkStart w:id="4" w:name="_Toc15396475"/>
      <w:bookmarkStart w:id="5" w:name="_Toc15378441"/>
      <w:bookmarkStart w:id="6" w:name="_Toc15377193"/>
      <w:bookmarkStart w:id="7" w:name="_Toc15396597"/>
      <w:r>
        <w:rPr>
          <w:rFonts w:ascii="方正小标宋简体" w:eastAsia="方正小标宋简体" w:hAnsi="方正小标宋简体" w:cs="方正小标宋简体" w:hint="eastAsia"/>
          <w:sz w:val="72"/>
          <w:szCs w:val="72"/>
        </w:rPr>
        <w:t>2023年度</w:t>
      </w:r>
      <w:bookmarkStart w:id="8" w:name="_Toc15396476"/>
      <w:bookmarkStart w:id="9" w:name="_Toc15377426"/>
      <w:bookmarkStart w:id="10" w:name="_Toc15396598"/>
      <w:bookmarkStart w:id="11" w:name="_Toc15378442"/>
      <w:bookmarkStart w:id="12" w:name="_Toc15377194"/>
      <w:bookmarkStart w:id="13" w:name="_Toc15306268"/>
      <w:bookmarkEnd w:id="1"/>
      <w:bookmarkEnd w:id="2"/>
      <w:bookmarkEnd w:id="3"/>
      <w:bookmarkEnd w:id="4"/>
      <w:bookmarkEnd w:id="5"/>
      <w:bookmarkEnd w:id="6"/>
      <w:bookmarkEnd w:id="7"/>
    </w:p>
    <w:p w:rsidR="0011445E" w:rsidRDefault="00C50C39" w:rsidP="00FA6452">
      <w:pPr>
        <w:adjustRightInd w:val="0"/>
        <w:snapToGrid w:val="0"/>
        <w:spacing w:line="360" w:lineRule="auto"/>
        <w:jc w:val="center"/>
        <w:rPr>
          <w:rFonts w:ascii="方正小标宋简体" w:eastAsia="方正小标宋简体" w:hAnsi="方正小标宋简体" w:cs="方正小标宋简体"/>
          <w:sz w:val="72"/>
          <w:szCs w:val="72"/>
        </w:rPr>
        <w:sectPr w:rsidR="0011445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bookmarkStart w:id="14" w:name="_Toc180595919"/>
      <w:r>
        <w:rPr>
          <w:rFonts w:ascii="方正小标宋简体" w:eastAsia="方正小标宋简体" w:hAnsi="方正小标宋简体" w:cs="方正小标宋简体" w:hint="eastAsia"/>
          <w:sz w:val="72"/>
          <w:szCs w:val="72"/>
        </w:rPr>
        <w:t>大竹县社会保险事业管理局单位决算</w:t>
      </w:r>
      <w:bookmarkEnd w:id="8"/>
      <w:bookmarkEnd w:id="9"/>
      <w:bookmarkEnd w:id="10"/>
      <w:bookmarkEnd w:id="11"/>
      <w:bookmarkEnd w:id="12"/>
      <w:bookmarkEnd w:id="13"/>
      <w:bookmarkEnd w:id="14"/>
    </w:p>
    <w:p w:rsidR="0011445E" w:rsidRDefault="00C50C39">
      <w:pPr>
        <w:widowControl/>
        <w:jc w:val="center"/>
        <w:rPr>
          <w:rFonts w:ascii="黑体" w:eastAsia="黑体" w:hAnsi="黑体"/>
          <w:sz w:val="48"/>
          <w:szCs w:val="48"/>
        </w:rPr>
      </w:pPr>
      <w:r>
        <w:rPr>
          <w:rFonts w:ascii="黑体" w:eastAsia="黑体" w:hAnsi="黑体" w:hint="eastAsia"/>
          <w:sz w:val="48"/>
          <w:szCs w:val="48"/>
        </w:rPr>
        <w:lastRenderedPageBreak/>
        <w:t>目录</w:t>
      </w:r>
    </w:p>
    <w:p w:rsidR="0011445E" w:rsidRDefault="0011445E">
      <w:pPr>
        <w:widowControl/>
        <w:jc w:val="center"/>
        <w:rPr>
          <w:rFonts w:ascii="黑体" w:eastAsia="黑体" w:hAnsi="黑体" w:cstheme="minorBidi"/>
          <w:sz w:val="28"/>
          <w:szCs w:val="28"/>
        </w:rPr>
      </w:pPr>
    </w:p>
    <w:p w:rsidR="0011445E" w:rsidRDefault="00C50C39" w:rsidP="00361F1E">
      <w:pPr>
        <w:pStyle w:val="10"/>
      </w:pPr>
      <w:r>
        <w:rPr>
          <w:rFonts w:hint="eastAsia"/>
        </w:rPr>
        <w:t>公开时间：2024年10月18日</w:t>
      </w:r>
    </w:p>
    <w:bookmarkStart w:id="15" w:name="_Toc15377196" w:displacedByCustomXml="next"/>
    <w:bookmarkStart w:id="16" w:name="_Toc15396599" w:displacedByCustomXml="next"/>
    <w:sdt>
      <w:sdtPr>
        <w:rPr>
          <w:rFonts w:ascii="宋体" w:eastAsia="黑体" w:hAnsi="宋体"/>
          <w:b/>
          <w:sz w:val="24"/>
          <w:szCs w:val="28"/>
        </w:rPr>
        <w:id w:val="147479053"/>
        <w:docPartObj>
          <w:docPartGallery w:val="Table of Contents"/>
          <w:docPartUnique/>
        </w:docPartObj>
      </w:sdtPr>
      <w:sdtEndPr>
        <w:rPr>
          <w:rFonts w:ascii="Arial" w:hAnsi="Arial"/>
        </w:rPr>
      </w:sdtEndPr>
      <w:sdtContent>
        <w:p w:rsidR="0011445E" w:rsidRDefault="0011445E">
          <w:pPr>
            <w:jc w:val="center"/>
          </w:pPr>
        </w:p>
        <w:p w:rsidR="006C3999" w:rsidRDefault="00740148">
          <w:pPr>
            <w:pStyle w:val="10"/>
            <w:rPr>
              <w:rFonts w:asciiTheme="minorHAnsi" w:eastAsiaTheme="minorEastAsia" w:hAnsiTheme="minorHAnsi" w:cstheme="minorBidi" w:hint="eastAsia"/>
              <w:noProof/>
              <w:sz w:val="21"/>
              <w:szCs w:val="22"/>
            </w:rPr>
          </w:pPr>
          <w:r w:rsidRPr="00740148">
            <w:rPr>
              <w:rFonts w:asciiTheme="minorHAnsi" w:eastAsiaTheme="minorEastAsia" w:hAnsiTheme="minorHAnsi" w:cstheme="minorBidi"/>
              <w:kern w:val="0"/>
              <w:sz w:val="20"/>
              <w:szCs w:val="20"/>
            </w:rPr>
            <w:fldChar w:fldCharType="begin"/>
          </w:r>
          <w:r w:rsidR="00C50C39">
            <w:instrText xml:space="preserve">TOC \o "1-2" \h \u </w:instrText>
          </w:r>
          <w:r w:rsidRPr="00740148">
            <w:rPr>
              <w:rFonts w:asciiTheme="minorHAnsi" w:eastAsiaTheme="minorEastAsia" w:hAnsiTheme="minorHAnsi" w:cstheme="minorBidi"/>
              <w:kern w:val="0"/>
              <w:sz w:val="20"/>
              <w:szCs w:val="20"/>
            </w:rPr>
            <w:fldChar w:fldCharType="separate"/>
          </w:r>
          <w:hyperlink w:anchor="_Toc180654197" w:history="1">
            <w:r w:rsidR="006C3999" w:rsidRPr="003B7D52">
              <w:rPr>
                <w:rStyle w:val="a9"/>
                <w:rFonts w:ascii="黑体" w:eastAsia="黑体" w:hAnsi="黑体" w:hint="eastAsia"/>
                <w:noProof/>
              </w:rPr>
              <w:t>第一部分 单位概况</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_Toc180654197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1</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198" w:history="1">
            <w:r w:rsidR="006C3999" w:rsidRPr="003B7D52">
              <w:rPr>
                <w:rStyle w:val="a9"/>
                <w:rFonts w:ascii="黑体" w:eastAsia="黑体" w:hAnsi="黑体" w:hint="eastAsia"/>
                <w:noProof/>
              </w:rPr>
              <w:t>一、主要职责</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_Toc180654198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1</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199" w:history="1">
            <w:r w:rsidR="006C3999" w:rsidRPr="003B7D52">
              <w:rPr>
                <w:rStyle w:val="a9"/>
                <w:rFonts w:ascii="黑体" w:eastAsia="黑体" w:hAnsi="黑体" w:hint="eastAsia"/>
                <w:noProof/>
              </w:rPr>
              <w:t>二、机构设置</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_Toc180654199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1</w:t>
            </w:r>
            <w:r>
              <w:rPr>
                <w:rFonts w:hint="eastAsia"/>
                <w:noProof/>
              </w:rPr>
              <w:fldChar w:fldCharType="end"/>
            </w:r>
          </w:hyperlink>
        </w:p>
        <w:p w:rsidR="006C3999" w:rsidRDefault="00740148">
          <w:pPr>
            <w:pStyle w:val="10"/>
            <w:rPr>
              <w:rFonts w:asciiTheme="minorHAnsi" w:eastAsiaTheme="minorEastAsia" w:hAnsiTheme="minorHAnsi" w:cstheme="minorBidi" w:hint="eastAsia"/>
              <w:noProof/>
              <w:sz w:val="21"/>
              <w:szCs w:val="22"/>
            </w:rPr>
          </w:pPr>
          <w:hyperlink w:anchor="_Toc180654200" w:history="1">
            <w:r w:rsidR="006C3999" w:rsidRPr="003B7D52">
              <w:rPr>
                <w:rStyle w:val="a9"/>
                <w:rFonts w:ascii="黑体" w:eastAsia="黑体" w:hAnsi="黑体" w:hint="eastAsia"/>
                <w:noProof/>
              </w:rPr>
              <w:t>第二部分 2023年度单位决算情况说明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_Toc180654200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1" w:history="1">
            <w:r w:rsidR="006C3999" w:rsidRPr="003B7D52">
              <w:rPr>
                <w:rStyle w:val="a9"/>
                <w:rFonts w:ascii="黑体" w:eastAsia="黑体" w:hAnsi="黑体" w:hint="eastAsia"/>
                <w:noProof/>
              </w:rPr>
              <w:t>一、收入支出决算总体情况说明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_Toc180654201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2" w:history="1">
            <w:r w:rsidR="006C3999" w:rsidRPr="003B7D52">
              <w:rPr>
                <w:rStyle w:val="a9"/>
                <w:rFonts w:ascii="黑体" w:eastAsia="黑体" w:hAnsi="黑体" w:hint="eastAsia"/>
                <w:noProof/>
              </w:rPr>
              <w:t>二、收入决算情况说明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_Toc180654202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3" w:history="1">
            <w:r w:rsidR="006C3999" w:rsidRPr="003B7D52">
              <w:rPr>
                <w:rStyle w:val="a9"/>
                <w:rFonts w:ascii="黑体" w:eastAsia="黑体" w:hAnsi="黑体" w:hint="eastAsia"/>
                <w:noProof/>
              </w:rPr>
              <w:t>三、支出决算情况说明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_Toc180654203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3</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4" w:history="1">
            <w:r w:rsidR="006C3999" w:rsidRPr="003B7D52">
              <w:rPr>
                <w:rStyle w:val="a9"/>
                <w:rFonts w:ascii="黑体" w:eastAsia="黑体" w:hAnsi="黑体" w:hint="eastAsia"/>
                <w:noProof/>
              </w:rPr>
              <w:t>四、财</w:t>
            </w:r>
            <w:r w:rsidR="006C3999" w:rsidRPr="003B7D52">
              <w:rPr>
                <w:rStyle w:val="a9"/>
                <w:rFonts w:ascii="黑体" w:eastAsia="黑体" w:hAnsi="黑体" w:cstheme="majorBidi" w:hint="eastAsia"/>
                <w:bCs/>
                <w:noProof/>
              </w:rPr>
              <w:t>政拨款收入支出决算总体情况说明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_Toc180654204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3</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5" w:history="1">
            <w:r w:rsidR="006C3999" w:rsidRPr="003B7D52">
              <w:rPr>
                <w:rStyle w:val="a9"/>
                <w:rFonts w:ascii="黑体" w:eastAsia="黑体" w:hAnsi="黑体" w:hint="eastAsia"/>
                <w:noProof/>
              </w:rPr>
              <w:t>五、</w:t>
            </w:r>
            <w:r w:rsidR="006C3999" w:rsidRPr="003B7D52">
              <w:rPr>
                <w:rStyle w:val="a9"/>
                <w:rFonts w:ascii="黑体" w:eastAsia="黑体" w:hAnsi="黑体" w:hint="eastAsia"/>
                <w:b/>
                <w:noProof/>
              </w:rPr>
              <w:t>一</w:t>
            </w:r>
            <w:r w:rsidR="006C3999" w:rsidRPr="003B7D52">
              <w:rPr>
                <w:rStyle w:val="a9"/>
                <w:rFonts w:ascii="黑体" w:eastAsia="黑体" w:hAnsi="黑体" w:cstheme="majorBidi" w:hint="eastAsia"/>
                <w:bCs/>
                <w:noProof/>
              </w:rPr>
              <w:t>般公共预算财政拨款支出决算情况说明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_Toc180654205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6" w:history="1">
            <w:r w:rsidR="006C3999" w:rsidRPr="003B7D52">
              <w:rPr>
                <w:rStyle w:val="a9"/>
                <w:rFonts w:ascii="黑体" w:eastAsia="黑体" w:hint="eastAsia"/>
                <w:noProof/>
              </w:rPr>
              <w:t>六</w:t>
            </w:r>
            <w:r w:rsidR="006C3999" w:rsidRPr="003B7D52">
              <w:rPr>
                <w:rStyle w:val="a9"/>
                <w:rFonts w:ascii="黑体" w:eastAsia="黑体" w:hint="eastAsia"/>
                <w:b/>
                <w:noProof/>
              </w:rPr>
              <w:t>、</w:t>
            </w:r>
            <w:r w:rsidR="006C3999" w:rsidRPr="003B7D52">
              <w:rPr>
                <w:rStyle w:val="a9"/>
                <w:rFonts w:ascii="黑体" w:eastAsia="黑体" w:hAnsi="黑体" w:hint="eastAsia"/>
                <w:b/>
                <w:noProof/>
              </w:rPr>
              <w:t>一</w:t>
            </w:r>
            <w:r w:rsidR="006C3999" w:rsidRPr="003B7D52">
              <w:rPr>
                <w:rStyle w:val="a9"/>
                <w:rFonts w:ascii="黑体" w:eastAsia="黑体" w:hAnsi="黑体" w:cstheme="majorBidi" w:hint="eastAsia"/>
                <w:bCs/>
                <w:noProof/>
              </w:rPr>
              <w:t>般公共预算财政拨款基本支出决算情况说明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_Toc180654206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6</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7" w:history="1">
            <w:r w:rsidR="006C3999" w:rsidRPr="003B7D52">
              <w:rPr>
                <w:rStyle w:val="a9"/>
                <w:rFonts w:ascii="黑体" w:eastAsia="黑体" w:hint="eastAsia"/>
                <w:noProof/>
              </w:rPr>
              <w:t>七、</w:t>
            </w:r>
            <w:r w:rsidR="006C3999" w:rsidRPr="003B7D52">
              <w:rPr>
                <w:rStyle w:val="a9"/>
                <w:rFonts w:ascii="黑体" w:eastAsia="黑体" w:hAnsi="黑体" w:cstheme="majorBidi" w:hint="eastAsia"/>
                <w:bCs/>
                <w:noProof/>
              </w:rPr>
              <w:t>财政拨款</w:t>
            </w:r>
            <w:r w:rsidR="006C3999" w:rsidRPr="003B7D52">
              <w:rPr>
                <w:rStyle w:val="a9"/>
                <w:rFonts w:ascii="黑体" w:eastAsia="黑体" w:hAnsi="黑体" w:cstheme="majorBidi" w:hint="eastAsia"/>
                <w:b/>
                <w:bCs/>
                <w:noProof/>
              </w:rPr>
              <w:t>“</w:t>
            </w:r>
            <w:r w:rsidR="006C3999" w:rsidRPr="003B7D52">
              <w:rPr>
                <w:rStyle w:val="a9"/>
                <w:rFonts w:ascii="黑体" w:eastAsia="黑体" w:hAnsi="黑体" w:cstheme="majorBidi" w:hint="eastAsia"/>
                <w:bCs/>
                <w:noProof/>
              </w:rPr>
              <w:t>三公”经费支出决算情况说明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_Toc180654207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7</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8" w:history="1">
            <w:r w:rsidR="006C3999" w:rsidRPr="003B7D52">
              <w:rPr>
                <w:rStyle w:val="a9"/>
                <w:rFonts w:ascii="黑体" w:eastAsia="黑体" w:hint="eastAsia"/>
                <w:noProof/>
              </w:rPr>
              <w:t>八、</w:t>
            </w:r>
            <w:r w:rsidR="006C3999" w:rsidRPr="003B7D52">
              <w:rPr>
                <w:rStyle w:val="a9"/>
                <w:rFonts w:ascii="黑体" w:eastAsia="黑体" w:hAnsi="黑体" w:cstheme="majorBidi" w:hint="eastAsia"/>
                <w:bCs/>
                <w:noProof/>
              </w:rPr>
              <w:t>政府性基金预算支出决算情况说明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_Toc180654208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8</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09" w:history="1">
            <w:r w:rsidR="006C3999" w:rsidRPr="003B7D52">
              <w:rPr>
                <w:rStyle w:val="a9"/>
                <w:rFonts w:ascii="黑体" w:eastAsia="黑体" w:hAnsi="黑体" w:cstheme="majorBidi" w:hint="eastAsia"/>
                <w:bCs/>
                <w:noProof/>
              </w:rPr>
              <w:t>九、国有资本经营预算支出决算情况说明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_Toc180654209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8</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10" w:history="1">
            <w:r w:rsidR="006C3999" w:rsidRPr="003B7D52">
              <w:rPr>
                <w:rStyle w:val="a9"/>
                <w:rFonts w:ascii="黑体" w:eastAsia="黑体" w:hAnsi="黑体" w:cstheme="majorBidi" w:hint="eastAsia"/>
                <w:bCs/>
                <w:noProof/>
              </w:rPr>
              <w:t>十、其他重要事项的情况说明</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_Toc180654210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8</w:t>
            </w:r>
            <w:r>
              <w:rPr>
                <w:rFonts w:hint="eastAsia"/>
                <w:noProof/>
              </w:rPr>
              <w:fldChar w:fldCharType="end"/>
            </w:r>
          </w:hyperlink>
        </w:p>
        <w:p w:rsidR="006C3999" w:rsidRDefault="00740148">
          <w:pPr>
            <w:pStyle w:val="10"/>
            <w:rPr>
              <w:rFonts w:asciiTheme="minorHAnsi" w:eastAsiaTheme="minorEastAsia" w:hAnsiTheme="minorHAnsi" w:cstheme="minorBidi" w:hint="eastAsia"/>
              <w:noProof/>
              <w:sz w:val="21"/>
              <w:szCs w:val="22"/>
            </w:rPr>
          </w:pPr>
          <w:hyperlink w:anchor="_Toc180654211" w:history="1">
            <w:r w:rsidR="006C3999" w:rsidRPr="003B7D52">
              <w:rPr>
                <w:rStyle w:val="a9"/>
                <w:rFonts w:ascii="黑体" w:eastAsia="黑体" w:hAnsi="黑体" w:cs="黑体" w:hint="eastAsia"/>
                <w:bCs/>
                <w:noProof/>
                <w:kern w:val="44"/>
              </w:rPr>
              <w:t>第三部分</w:t>
            </w:r>
            <w:r w:rsidR="006C3999" w:rsidRPr="003B7D52">
              <w:rPr>
                <w:rStyle w:val="a9"/>
                <w:rFonts w:ascii="黑体" w:eastAsia="黑体" w:hAnsi="黑体" w:hint="eastAsia"/>
                <w:noProof/>
              </w:rPr>
              <w:t xml:space="preserve"> 名</w:t>
            </w:r>
            <w:r w:rsidR="006C3999" w:rsidRPr="003B7D52">
              <w:rPr>
                <w:rStyle w:val="a9"/>
                <w:rFonts w:ascii="黑体" w:eastAsia="黑体" w:hAnsi="黑体" w:hint="eastAsia"/>
                <w:bCs/>
                <w:noProof/>
                <w:kern w:val="44"/>
              </w:rPr>
              <w:t>词解释</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_Toc180654211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10</w:t>
            </w:r>
            <w:r>
              <w:rPr>
                <w:rFonts w:hint="eastAsia"/>
                <w:noProof/>
              </w:rPr>
              <w:fldChar w:fldCharType="end"/>
            </w:r>
          </w:hyperlink>
        </w:p>
        <w:p w:rsidR="006C3999" w:rsidRDefault="00740148">
          <w:pPr>
            <w:pStyle w:val="10"/>
            <w:rPr>
              <w:rFonts w:asciiTheme="minorHAnsi" w:eastAsiaTheme="minorEastAsia" w:hAnsiTheme="minorHAnsi" w:cstheme="minorBidi" w:hint="eastAsia"/>
              <w:noProof/>
              <w:sz w:val="21"/>
              <w:szCs w:val="22"/>
            </w:rPr>
          </w:pPr>
          <w:hyperlink w:anchor="_Toc180654212" w:history="1">
            <w:r w:rsidR="006C3999" w:rsidRPr="003B7D52">
              <w:rPr>
                <w:rStyle w:val="a9"/>
                <w:rFonts w:ascii="黑体" w:eastAsia="黑体" w:hAnsi="黑体" w:hint="eastAsia"/>
                <w:noProof/>
              </w:rPr>
              <w:t>第</w:t>
            </w:r>
            <w:r w:rsidR="006C3999" w:rsidRPr="003B7D52">
              <w:rPr>
                <w:rStyle w:val="a9"/>
                <w:rFonts w:ascii="黑体" w:eastAsia="黑体" w:hAnsi="黑体" w:hint="eastAsia"/>
                <w:bCs/>
                <w:noProof/>
                <w:kern w:val="44"/>
              </w:rPr>
              <w:t>四部分 附件</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_Toc180654212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13</w:t>
            </w:r>
            <w:r>
              <w:rPr>
                <w:rFonts w:hint="eastAsia"/>
                <w:noProof/>
              </w:rPr>
              <w:fldChar w:fldCharType="end"/>
            </w:r>
          </w:hyperlink>
        </w:p>
        <w:p w:rsidR="006C3999" w:rsidRDefault="00740148">
          <w:pPr>
            <w:pStyle w:val="10"/>
            <w:rPr>
              <w:rFonts w:asciiTheme="minorHAnsi" w:eastAsiaTheme="minorEastAsia" w:hAnsiTheme="minorHAnsi" w:cstheme="minorBidi" w:hint="eastAsia"/>
              <w:noProof/>
              <w:sz w:val="21"/>
              <w:szCs w:val="22"/>
            </w:rPr>
          </w:pPr>
          <w:hyperlink w:anchor="_Toc180654213" w:history="1">
            <w:r w:rsidR="006C3999" w:rsidRPr="003B7D52">
              <w:rPr>
                <w:rStyle w:val="a9"/>
                <w:rFonts w:ascii="黑体" w:eastAsia="黑体" w:hAnsi="黑体" w:hint="eastAsia"/>
                <w:noProof/>
              </w:rPr>
              <w:t>第</w:t>
            </w:r>
            <w:r w:rsidR="006C3999" w:rsidRPr="003B7D52">
              <w:rPr>
                <w:rStyle w:val="a9"/>
                <w:rFonts w:ascii="黑体" w:eastAsia="黑体" w:hAnsi="黑体" w:hint="eastAsia"/>
                <w:bCs/>
                <w:noProof/>
                <w:kern w:val="44"/>
              </w:rPr>
              <w:t>五部分 附表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_Toc180654213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14" w:history="1">
            <w:r w:rsidR="006C3999" w:rsidRPr="003B7D52">
              <w:rPr>
                <w:rStyle w:val="a9"/>
                <w:rFonts w:ascii="仿宋" w:eastAsia="仿宋" w:hAnsi="仿宋" w:hint="eastAsia"/>
                <w:noProof/>
              </w:rPr>
              <w:t>一、收入支出决算总表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_Toc180654214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15" w:history="1">
            <w:r w:rsidR="006C3999" w:rsidRPr="003B7D52">
              <w:rPr>
                <w:rStyle w:val="a9"/>
                <w:rFonts w:ascii="仿宋" w:eastAsia="仿宋" w:hAnsi="仿宋" w:hint="eastAsia"/>
                <w:noProof/>
              </w:rPr>
              <w:t>二、收入决算表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_Toc180654215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16" w:history="1">
            <w:r w:rsidR="006C3999" w:rsidRPr="003B7D52">
              <w:rPr>
                <w:rStyle w:val="a9"/>
                <w:rFonts w:ascii="仿宋" w:eastAsia="仿宋" w:hAnsi="仿宋" w:hint="eastAsia"/>
                <w:noProof/>
              </w:rPr>
              <w:t>三、支出决算表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_Toc180654216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17" w:history="1">
            <w:r w:rsidR="006C3999" w:rsidRPr="003B7D52">
              <w:rPr>
                <w:rStyle w:val="a9"/>
                <w:rFonts w:ascii="仿宋" w:eastAsia="仿宋" w:hAnsi="仿宋" w:hint="eastAsia"/>
                <w:noProof/>
              </w:rPr>
              <w:t>四、财政拨款收入支出决算总表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_Toc180654217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18" w:history="1">
            <w:r w:rsidR="006C3999" w:rsidRPr="003B7D52">
              <w:rPr>
                <w:rStyle w:val="a9"/>
                <w:rFonts w:ascii="仿宋" w:eastAsia="仿宋" w:hAnsi="仿宋" w:hint="eastAsia"/>
                <w:noProof/>
              </w:rPr>
              <w:t>五、财政拨款支出决算明细表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_Toc180654218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19" w:history="1">
            <w:r w:rsidR="006C3999" w:rsidRPr="003B7D52">
              <w:rPr>
                <w:rStyle w:val="a9"/>
                <w:rFonts w:ascii="仿宋" w:eastAsia="仿宋" w:hAnsi="仿宋" w:hint="eastAsia"/>
                <w:noProof/>
              </w:rPr>
              <w:t>六、一般公共预算财政拨款支出决算表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_Toc180654219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20" w:history="1">
            <w:r w:rsidR="006C3999" w:rsidRPr="003B7D52">
              <w:rPr>
                <w:rStyle w:val="a9"/>
                <w:rFonts w:ascii="仿宋" w:eastAsia="仿宋" w:hAnsi="仿宋" w:hint="eastAsia"/>
                <w:noProof/>
              </w:rPr>
              <w:t>七、一般公共预算财政拨款支出决算明细表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_Toc180654220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21" w:history="1">
            <w:r w:rsidR="006C3999" w:rsidRPr="003B7D52">
              <w:rPr>
                <w:rStyle w:val="a9"/>
                <w:rFonts w:ascii="仿宋" w:eastAsia="仿宋" w:hAnsi="仿宋" w:hint="eastAsia"/>
                <w:noProof/>
              </w:rPr>
              <w:t>八、一般公共预算财政拨款基本支出决算表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_Toc180654221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22" w:history="1">
            <w:r w:rsidR="006C3999" w:rsidRPr="003B7D52">
              <w:rPr>
                <w:rStyle w:val="a9"/>
                <w:rFonts w:ascii="仿宋" w:eastAsia="仿宋" w:hAnsi="仿宋" w:hint="eastAsia"/>
                <w:noProof/>
              </w:rPr>
              <w:t>九、一般公共预算财政拨款项目支出决算表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_Toc180654222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23" w:history="1">
            <w:r w:rsidR="006C3999" w:rsidRPr="003B7D52">
              <w:rPr>
                <w:rStyle w:val="a9"/>
                <w:rFonts w:ascii="仿宋" w:eastAsia="仿宋" w:hAnsi="仿宋" w:hint="eastAsia"/>
                <w:noProof/>
              </w:rPr>
              <w:t>十、政府性基金预算财政拨款收入支出决算表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_Toc180654223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24" w:history="1">
            <w:r w:rsidR="006C3999" w:rsidRPr="003B7D52">
              <w:rPr>
                <w:rStyle w:val="a9"/>
                <w:rFonts w:ascii="仿宋" w:eastAsia="仿宋" w:hAnsi="仿宋" w:hint="eastAsia"/>
                <w:noProof/>
              </w:rPr>
              <w:t>十一、国有资本经营预算财政拨款收入支出决算表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_Toc180654224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25" w:history="1">
            <w:r w:rsidR="006C3999" w:rsidRPr="003B7D52">
              <w:rPr>
                <w:rStyle w:val="a9"/>
                <w:rFonts w:ascii="仿宋" w:eastAsia="仿宋" w:hAnsi="仿宋" w:hint="eastAsia"/>
                <w:noProof/>
              </w:rPr>
              <w:t>十二、国有资本经营预算财政拨款支出决算表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_Toc180654225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6C3999" w:rsidRDefault="00740148">
          <w:pPr>
            <w:pStyle w:val="20"/>
            <w:rPr>
              <w:rFonts w:asciiTheme="minorHAnsi" w:eastAsiaTheme="minorEastAsia" w:hAnsiTheme="minorHAnsi" w:cstheme="minorBidi" w:hint="eastAsia"/>
              <w:noProof/>
              <w:szCs w:val="22"/>
            </w:rPr>
          </w:pPr>
          <w:hyperlink w:anchor="_Toc180654226" w:history="1">
            <w:r w:rsidR="006C3999" w:rsidRPr="003B7D52">
              <w:rPr>
                <w:rStyle w:val="a9"/>
                <w:rFonts w:ascii="仿宋" w:eastAsia="仿宋" w:hAnsi="仿宋" w:hint="eastAsia"/>
                <w:noProof/>
              </w:rPr>
              <w:t>十三、财政拨款“三公”经费支出决算表</w:t>
            </w:r>
            <w:r w:rsidR="006C3999">
              <w:rPr>
                <w:rFonts w:hint="eastAsia"/>
                <w:noProof/>
              </w:rPr>
              <w:tab/>
            </w:r>
            <w:r>
              <w:rPr>
                <w:rFonts w:hint="eastAsia"/>
                <w:noProof/>
              </w:rPr>
              <w:fldChar w:fldCharType="begin"/>
            </w:r>
            <w:r w:rsidR="006C3999">
              <w:rPr>
                <w:rFonts w:hint="eastAsia"/>
                <w:noProof/>
              </w:rPr>
              <w:instrText xml:space="preserve"> </w:instrText>
            </w:r>
            <w:r w:rsidR="006C3999">
              <w:rPr>
                <w:noProof/>
              </w:rPr>
              <w:instrText>PAGEREF _Toc180654226 \h</w:instrText>
            </w:r>
            <w:r w:rsidR="006C3999">
              <w:rPr>
                <w:rFonts w:hint="eastAsia"/>
                <w:noProof/>
              </w:rPr>
              <w:instrText xml:space="preserve"> </w:instrText>
            </w:r>
            <w:r>
              <w:rPr>
                <w:rFonts w:hint="eastAsia"/>
                <w:noProof/>
              </w:rPr>
            </w:r>
            <w:r>
              <w:rPr>
                <w:rFonts w:hint="eastAsia"/>
                <w:noProof/>
              </w:rPr>
              <w:fldChar w:fldCharType="separate"/>
            </w:r>
            <w:r w:rsidR="006C3999">
              <w:rPr>
                <w:noProof/>
              </w:rPr>
              <w:t>24</w:t>
            </w:r>
            <w:r>
              <w:rPr>
                <w:rFonts w:hint="eastAsia"/>
                <w:noProof/>
              </w:rPr>
              <w:fldChar w:fldCharType="end"/>
            </w:r>
          </w:hyperlink>
        </w:p>
        <w:p w:rsidR="0011445E" w:rsidRDefault="00740148">
          <w:pPr>
            <w:pStyle w:val="5"/>
          </w:pPr>
          <w:r>
            <w:fldChar w:fldCharType="end"/>
          </w:r>
        </w:p>
      </w:sdtContent>
    </w:sdt>
    <w:p w:rsidR="0011445E" w:rsidRDefault="0011445E"/>
    <w:p w:rsidR="0011445E" w:rsidRDefault="0011445E">
      <w:pPr>
        <w:pStyle w:val="5"/>
        <w:sectPr w:rsidR="0011445E">
          <w:footerReference w:type="default" r:id="rId15"/>
          <w:footerReference w:type="first" r:id="rId16"/>
          <w:pgSz w:w="11906" w:h="16838"/>
          <w:pgMar w:top="1440" w:right="1800" w:bottom="1440" w:left="1800" w:header="851" w:footer="992" w:gutter="0"/>
          <w:pgNumType w:start="1"/>
          <w:cols w:space="425"/>
          <w:titlePg/>
          <w:docGrid w:type="lines" w:linePitch="312"/>
        </w:sectPr>
      </w:pPr>
    </w:p>
    <w:p w:rsidR="0011445E" w:rsidRDefault="00C50C39">
      <w:pPr>
        <w:pStyle w:val="1"/>
        <w:jc w:val="center"/>
        <w:rPr>
          <w:rStyle w:val="1Char"/>
          <w:rFonts w:ascii="黑体" w:eastAsia="黑体" w:hAnsi="黑体"/>
          <w:b/>
        </w:rPr>
      </w:pPr>
      <w:bookmarkStart w:id="17" w:name="_Toc180654197"/>
      <w:r>
        <w:rPr>
          <w:rFonts w:ascii="黑体" w:eastAsia="黑体" w:hAnsi="黑体" w:hint="eastAsia"/>
          <w:b w:val="0"/>
        </w:rPr>
        <w:lastRenderedPageBreak/>
        <w:t>第一部分 单位</w:t>
      </w:r>
      <w:r>
        <w:rPr>
          <w:rStyle w:val="1Char"/>
          <w:rFonts w:ascii="黑体" w:eastAsia="黑体" w:hAnsi="黑体" w:hint="eastAsia"/>
        </w:rPr>
        <w:t>概况</w:t>
      </w:r>
      <w:bookmarkEnd w:id="16"/>
      <w:bookmarkEnd w:id="15"/>
      <w:bookmarkEnd w:id="17"/>
    </w:p>
    <w:p w:rsidR="0011445E" w:rsidRDefault="0011445E">
      <w:pPr>
        <w:widowControl/>
        <w:jc w:val="left"/>
        <w:rPr>
          <w:rFonts w:ascii="黑体" w:eastAsia="黑体"/>
          <w:sz w:val="32"/>
          <w:szCs w:val="32"/>
        </w:rPr>
      </w:pPr>
    </w:p>
    <w:p w:rsidR="0011445E" w:rsidRPr="000C7BED" w:rsidRDefault="000C7BED" w:rsidP="000C7BED">
      <w:pPr>
        <w:pStyle w:val="2"/>
        <w:spacing w:before="0" w:after="0" w:line="600" w:lineRule="exact"/>
        <w:rPr>
          <w:rFonts w:ascii="黑体" w:eastAsia="黑体" w:hAnsi="黑体"/>
          <w:b w:val="0"/>
        </w:rPr>
      </w:pPr>
      <w:bookmarkStart w:id="18" w:name="_Toc180654198"/>
      <w:bookmarkStart w:id="19" w:name="_Toc15396600"/>
      <w:bookmarkStart w:id="20" w:name="_Toc15377197"/>
      <w:r w:rsidRPr="000C7BED">
        <w:rPr>
          <w:rFonts w:ascii="黑体" w:eastAsia="黑体" w:hAnsi="黑体" w:hint="eastAsia"/>
          <w:b w:val="0"/>
        </w:rPr>
        <w:t>一、</w:t>
      </w:r>
      <w:r w:rsidR="00C50C39" w:rsidRPr="000C7BED">
        <w:rPr>
          <w:rFonts w:ascii="黑体" w:eastAsia="黑体" w:hAnsi="黑体" w:hint="eastAsia"/>
          <w:b w:val="0"/>
        </w:rPr>
        <w:t>主要职责</w:t>
      </w:r>
      <w:bookmarkEnd w:id="18"/>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我局主要负责宣传、贯彻、执行党和国家有关社会保险事业的方针、政策，经办全县企业职工养老保险、工伤保险和机关事业单位职工养老保险、工伤保险、职业年金业务工作，负责各项社会保险基金收支管理、社会保险待遇支付发放以及企业退休人员社会化管理工作。</w:t>
      </w:r>
    </w:p>
    <w:p w:rsidR="0011445E" w:rsidRDefault="00C50C39">
      <w:pPr>
        <w:pStyle w:val="2"/>
        <w:spacing w:before="0" w:after="0" w:line="600" w:lineRule="exact"/>
        <w:rPr>
          <w:rFonts w:ascii="黑体" w:eastAsia="黑体" w:hAnsi="黑体"/>
          <w:b w:val="0"/>
        </w:rPr>
      </w:pPr>
      <w:bookmarkStart w:id="21" w:name="_Toc180654199"/>
      <w:r>
        <w:rPr>
          <w:rFonts w:ascii="黑体" w:eastAsia="黑体" w:hAnsi="黑体" w:hint="eastAsia"/>
          <w:b w:val="0"/>
        </w:rPr>
        <w:t>二、机构设置</w:t>
      </w:r>
      <w:bookmarkEnd w:id="21"/>
    </w:p>
    <w:p w:rsidR="0011445E" w:rsidRDefault="00C50C39">
      <w:pPr>
        <w:spacing w:line="570" w:lineRule="exact"/>
        <w:ind w:firstLineChars="200" w:firstLine="640"/>
        <w:rPr>
          <w:rFonts w:ascii="仿宋" w:eastAsia="仿宋" w:hAnsi="仿宋"/>
          <w:kern w:val="0"/>
          <w:sz w:val="32"/>
          <w:szCs w:val="32"/>
        </w:rPr>
      </w:pPr>
      <w:r>
        <w:rPr>
          <w:rFonts w:ascii="仿宋" w:eastAsia="仿宋" w:hAnsi="仿宋" w:hint="eastAsia"/>
          <w:sz w:val="32"/>
          <w:szCs w:val="32"/>
        </w:rPr>
        <w:t>我局为一级预算单位，下属二级预算单位0个，其中行政单位0个，参照公务员法管理的事业单位0个，其他事业单位0个。</w:t>
      </w:r>
      <w:bookmarkEnd w:id="19"/>
      <w:bookmarkEnd w:id="20"/>
      <w:r>
        <w:rPr>
          <w:rFonts w:ascii="仿宋" w:eastAsia="仿宋" w:hAnsi="仿宋"/>
          <w:sz w:val="32"/>
          <w:szCs w:val="32"/>
        </w:rPr>
        <w:br w:type="page"/>
      </w:r>
    </w:p>
    <w:p w:rsidR="0011445E" w:rsidRDefault="00C50C39">
      <w:pPr>
        <w:pStyle w:val="1"/>
        <w:ind w:right="440"/>
        <w:jc w:val="center"/>
        <w:rPr>
          <w:rStyle w:val="1Char"/>
          <w:rFonts w:ascii="黑体" w:eastAsia="黑体" w:hAnsi="黑体"/>
          <w:bCs/>
        </w:rPr>
      </w:pPr>
      <w:bookmarkStart w:id="22" w:name="_Toc15377204"/>
      <w:bookmarkStart w:id="23" w:name="_Toc15396602"/>
      <w:bookmarkStart w:id="24" w:name="_Toc180654200"/>
      <w:r>
        <w:rPr>
          <w:rFonts w:ascii="黑体" w:eastAsia="黑体" w:hAnsi="黑体" w:hint="eastAsia"/>
          <w:b w:val="0"/>
        </w:rPr>
        <w:lastRenderedPageBreak/>
        <w:t>第二部分 2023年度</w:t>
      </w:r>
      <w:r>
        <w:rPr>
          <w:rStyle w:val="1Char"/>
          <w:rFonts w:ascii="黑体" w:eastAsia="黑体" w:hAnsi="黑体" w:hint="eastAsia"/>
          <w:bCs/>
        </w:rPr>
        <w:t>单位决算情况说明</w:t>
      </w:r>
      <w:bookmarkEnd w:id="22"/>
      <w:bookmarkEnd w:id="23"/>
      <w:bookmarkEnd w:id="24"/>
    </w:p>
    <w:p w:rsidR="0011445E" w:rsidRDefault="0011445E"/>
    <w:p w:rsidR="0011445E" w:rsidRPr="0051151A" w:rsidRDefault="0051151A" w:rsidP="0051151A">
      <w:pPr>
        <w:spacing w:line="600" w:lineRule="exact"/>
        <w:ind w:firstLineChars="200" w:firstLine="640"/>
        <w:outlineLvl w:val="1"/>
        <w:rPr>
          <w:rFonts w:ascii="黑体" w:eastAsia="黑体" w:hAnsi="黑体"/>
          <w:sz w:val="32"/>
          <w:szCs w:val="32"/>
        </w:rPr>
      </w:pPr>
      <w:bookmarkStart w:id="25" w:name="_Toc15396603"/>
      <w:bookmarkStart w:id="26" w:name="_Toc15377205"/>
      <w:bookmarkStart w:id="27" w:name="_Toc180654201"/>
      <w:r>
        <w:rPr>
          <w:rFonts w:ascii="黑体" w:eastAsia="黑体" w:hAnsi="黑体" w:hint="eastAsia"/>
          <w:sz w:val="32"/>
          <w:szCs w:val="32"/>
        </w:rPr>
        <w:t>一、</w:t>
      </w:r>
      <w:r w:rsidR="00C50C39">
        <w:rPr>
          <w:rFonts w:ascii="黑体" w:eastAsia="黑体" w:hAnsi="黑体" w:hint="eastAsia"/>
          <w:sz w:val="32"/>
          <w:szCs w:val="32"/>
        </w:rPr>
        <w:t>收</w:t>
      </w:r>
      <w:r w:rsidR="00C50C39" w:rsidRPr="0051151A">
        <w:rPr>
          <w:rFonts w:ascii="黑体" w:eastAsia="黑体" w:hAnsi="黑体" w:hint="eastAsia"/>
          <w:sz w:val="32"/>
          <w:szCs w:val="32"/>
        </w:rPr>
        <w:t>入支出决算总体情况说明</w:t>
      </w:r>
      <w:bookmarkEnd w:id="25"/>
      <w:bookmarkEnd w:id="26"/>
      <w:bookmarkEnd w:id="27"/>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2023年度收、支总计均为674.37万元。与2022年度相比，收、支总计各减少11277.06万元，下降94.36</w:t>
      </w:r>
      <w:r>
        <w:rPr>
          <w:rFonts w:ascii="仿宋" w:eastAsia="仿宋" w:hAnsi="仿宋"/>
          <w:sz w:val="32"/>
          <w:szCs w:val="32"/>
        </w:rPr>
        <w:t>%</w:t>
      </w:r>
      <w:r>
        <w:rPr>
          <w:rFonts w:ascii="仿宋" w:eastAsia="仿宋" w:hAnsi="仿宋" w:hint="eastAsia"/>
          <w:sz w:val="32"/>
          <w:szCs w:val="32"/>
        </w:rPr>
        <w:t>。主要变动原因是2023年减少项目支出11300万元。</w:t>
      </w:r>
    </w:p>
    <w:p w:rsidR="0011445E" w:rsidRDefault="00C50C39">
      <w:pPr>
        <w:ind w:firstLine="480"/>
      </w:pPr>
      <w:r>
        <w:rPr>
          <w:noProof/>
        </w:rPr>
        <w:drawing>
          <wp:inline distT="0" distB="0" distL="0" distR="0">
            <wp:extent cx="4572000" cy="27432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445E" w:rsidRDefault="00C50C39">
      <w:pPr>
        <w:spacing w:line="600" w:lineRule="exact"/>
        <w:ind w:firstLineChars="200" w:firstLine="640"/>
        <w:jc w:val="center"/>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11445E" w:rsidRPr="0051151A" w:rsidRDefault="0051151A" w:rsidP="0051151A">
      <w:pPr>
        <w:spacing w:line="600" w:lineRule="exact"/>
        <w:ind w:firstLineChars="200" w:firstLine="640"/>
        <w:outlineLvl w:val="1"/>
        <w:rPr>
          <w:rFonts w:ascii="黑体" w:eastAsia="黑体" w:hAnsi="黑体"/>
          <w:sz w:val="32"/>
          <w:szCs w:val="32"/>
        </w:rPr>
      </w:pPr>
      <w:bookmarkStart w:id="28" w:name="_Toc15377206"/>
      <w:bookmarkStart w:id="29" w:name="_Toc15396604"/>
      <w:bookmarkStart w:id="30" w:name="_Toc180654202"/>
      <w:r>
        <w:rPr>
          <w:rFonts w:ascii="黑体" w:eastAsia="黑体" w:hAnsi="黑体" w:hint="eastAsia"/>
          <w:sz w:val="32"/>
          <w:szCs w:val="32"/>
        </w:rPr>
        <w:t>二、</w:t>
      </w:r>
      <w:r w:rsidR="00C50C39">
        <w:rPr>
          <w:rFonts w:ascii="黑体" w:eastAsia="黑体" w:hAnsi="黑体" w:hint="eastAsia"/>
          <w:sz w:val="32"/>
          <w:szCs w:val="32"/>
        </w:rPr>
        <w:t>收</w:t>
      </w:r>
      <w:r w:rsidR="00C50C39" w:rsidRPr="0051151A">
        <w:rPr>
          <w:rFonts w:ascii="黑体" w:eastAsia="黑体" w:hAnsi="黑体" w:hint="eastAsia"/>
          <w:sz w:val="32"/>
          <w:szCs w:val="32"/>
        </w:rPr>
        <w:t>入决算情况说明</w:t>
      </w:r>
      <w:bookmarkEnd w:id="28"/>
      <w:bookmarkEnd w:id="29"/>
      <w:bookmarkEnd w:id="30"/>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2023年度本年收入合计</w:t>
      </w:r>
      <w:r>
        <w:rPr>
          <w:rFonts w:ascii="仿宋" w:eastAsia="仿宋" w:hAnsi="仿宋"/>
          <w:sz w:val="32"/>
          <w:szCs w:val="32"/>
        </w:rPr>
        <w:t>648.54</w:t>
      </w:r>
      <w:r>
        <w:rPr>
          <w:rFonts w:ascii="仿宋" w:eastAsia="仿宋" w:hAnsi="仿宋" w:hint="eastAsia"/>
          <w:sz w:val="32"/>
          <w:szCs w:val="32"/>
        </w:rPr>
        <w:t>万元，其中：一般公共预算财政拨款收入</w:t>
      </w:r>
      <w:r>
        <w:rPr>
          <w:rFonts w:ascii="仿宋" w:eastAsia="仿宋" w:hAnsi="仿宋"/>
          <w:sz w:val="32"/>
          <w:szCs w:val="32"/>
        </w:rPr>
        <w:t>648.54</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w:t>
      </w:r>
    </w:p>
    <w:p w:rsidR="0011445E" w:rsidRDefault="00C50C39">
      <w:pPr>
        <w:pStyle w:val="5"/>
        <w:outlineLvl w:val="9"/>
      </w:pPr>
      <w:r>
        <w:rPr>
          <w:rFonts w:hint="eastAsia"/>
          <w:noProof/>
        </w:rPr>
        <w:drawing>
          <wp:anchor distT="0" distB="0" distL="114300" distR="114300" simplePos="0" relativeHeight="251660288" behindDoc="0" locked="0" layoutInCell="1" allowOverlap="1">
            <wp:simplePos x="0" y="0"/>
            <wp:positionH relativeFrom="column">
              <wp:posOffset>352425</wp:posOffset>
            </wp:positionH>
            <wp:positionV relativeFrom="paragraph">
              <wp:posOffset>34290</wp:posOffset>
            </wp:positionV>
            <wp:extent cx="4543425" cy="2419350"/>
            <wp:effectExtent l="19050" t="0" r="9525"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1445E" w:rsidRDefault="0011445E"/>
    <w:p w:rsidR="0011445E" w:rsidRDefault="0011445E">
      <w:pPr>
        <w:pStyle w:val="5"/>
        <w:outlineLvl w:val="9"/>
      </w:pPr>
    </w:p>
    <w:p w:rsidR="0011445E" w:rsidRDefault="0011445E">
      <w:pPr>
        <w:spacing w:line="600" w:lineRule="exact"/>
        <w:ind w:firstLineChars="200" w:firstLine="640"/>
        <w:rPr>
          <w:rFonts w:ascii="仿宋" w:eastAsia="仿宋" w:hAnsi="仿宋"/>
          <w:sz w:val="32"/>
          <w:szCs w:val="32"/>
        </w:rPr>
      </w:pPr>
    </w:p>
    <w:p w:rsidR="0011445E" w:rsidRDefault="00C50C39">
      <w:pPr>
        <w:spacing w:line="600" w:lineRule="exact"/>
        <w:ind w:firstLineChars="200" w:firstLine="640"/>
        <w:jc w:val="center"/>
        <w:rPr>
          <w:rFonts w:ascii="仿宋_GB2312" w:eastAsia="仿宋_GB2312"/>
          <w:sz w:val="32"/>
          <w:szCs w:val="32"/>
        </w:rPr>
      </w:pPr>
      <w:r>
        <w:rPr>
          <w:rFonts w:ascii="仿宋" w:eastAsia="仿宋" w:hAnsi="仿宋" w:hint="eastAsia"/>
          <w:sz w:val="32"/>
          <w:szCs w:val="32"/>
        </w:rPr>
        <w:lastRenderedPageBreak/>
        <w:t>（图2：收入决算结构图）</w:t>
      </w:r>
    </w:p>
    <w:p w:rsidR="0011445E" w:rsidRPr="0051151A" w:rsidRDefault="0051151A" w:rsidP="0051151A">
      <w:pPr>
        <w:spacing w:line="600" w:lineRule="exact"/>
        <w:ind w:firstLineChars="200" w:firstLine="640"/>
        <w:outlineLvl w:val="1"/>
        <w:rPr>
          <w:rFonts w:ascii="黑体" w:eastAsia="黑体" w:hAnsi="黑体"/>
          <w:sz w:val="32"/>
          <w:szCs w:val="32"/>
        </w:rPr>
      </w:pPr>
      <w:bookmarkStart w:id="31" w:name="_Toc15396605"/>
      <w:bookmarkStart w:id="32" w:name="_Toc15377207"/>
      <w:bookmarkStart w:id="33" w:name="_Toc180654203"/>
      <w:r>
        <w:rPr>
          <w:rFonts w:ascii="黑体" w:eastAsia="黑体" w:hAnsi="黑体" w:hint="eastAsia"/>
          <w:sz w:val="32"/>
          <w:szCs w:val="32"/>
        </w:rPr>
        <w:t>三、</w:t>
      </w:r>
      <w:r w:rsidR="00C50C39">
        <w:rPr>
          <w:rFonts w:ascii="黑体" w:eastAsia="黑体" w:hAnsi="黑体" w:hint="eastAsia"/>
          <w:sz w:val="32"/>
          <w:szCs w:val="32"/>
        </w:rPr>
        <w:t>支</w:t>
      </w:r>
      <w:r w:rsidR="00C50C39" w:rsidRPr="0051151A">
        <w:rPr>
          <w:rFonts w:ascii="黑体" w:eastAsia="黑体" w:hAnsi="黑体" w:hint="eastAsia"/>
          <w:sz w:val="32"/>
          <w:szCs w:val="32"/>
        </w:rPr>
        <w:t>出决算情况说明</w:t>
      </w:r>
      <w:bookmarkEnd w:id="31"/>
      <w:bookmarkEnd w:id="32"/>
      <w:bookmarkEnd w:id="33"/>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2023年度本年支出合计</w:t>
      </w:r>
      <w:r>
        <w:rPr>
          <w:rFonts w:ascii="仿宋" w:eastAsia="仿宋" w:hAnsi="仿宋"/>
          <w:sz w:val="32"/>
          <w:szCs w:val="32"/>
        </w:rPr>
        <w:t>674.37</w:t>
      </w:r>
      <w:r>
        <w:rPr>
          <w:rFonts w:ascii="仿宋" w:eastAsia="仿宋" w:hAnsi="仿宋" w:hint="eastAsia"/>
          <w:sz w:val="32"/>
          <w:szCs w:val="32"/>
        </w:rPr>
        <w:t>万元，其中：基本支出</w:t>
      </w:r>
      <w:r>
        <w:rPr>
          <w:rFonts w:ascii="仿宋" w:eastAsia="仿宋" w:hAnsi="仿宋"/>
          <w:sz w:val="32"/>
          <w:szCs w:val="32"/>
        </w:rPr>
        <w:t>578.15</w:t>
      </w:r>
      <w:r>
        <w:rPr>
          <w:rFonts w:ascii="仿宋" w:eastAsia="仿宋" w:hAnsi="仿宋" w:hint="eastAsia"/>
          <w:sz w:val="32"/>
          <w:szCs w:val="32"/>
        </w:rPr>
        <w:t>万元，占</w:t>
      </w:r>
      <w:r>
        <w:rPr>
          <w:rFonts w:ascii="仿宋" w:eastAsia="仿宋" w:hAnsi="仿宋"/>
          <w:sz w:val="32"/>
          <w:szCs w:val="32"/>
        </w:rPr>
        <w:t>85.73%</w:t>
      </w:r>
      <w:r>
        <w:rPr>
          <w:rFonts w:ascii="仿宋" w:eastAsia="仿宋" w:hAnsi="仿宋" w:hint="eastAsia"/>
          <w:sz w:val="32"/>
          <w:szCs w:val="32"/>
        </w:rPr>
        <w:t>；项目支出</w:t>
      </w:r>
      <w:r>
        <w:rPr>
          <w:rFonts w:ascii="仿宋" w:eastAsia="仿宋" w:hAnsi="仿宋"/>
          <w:sz w:val="32"/>
          <w:szCs w:val="32"/>
        </w:rPr>
        <w:t>96.22</w:t>
      </w:r>
      <w:r>
        <w:rPr>
          <w:rFonts w:ascii="仿宋" w:eastAsia="仿宋" w:hAnsi="仿宋" w:hint="eastAsia"/>
          <w:sz w:val="32"/>
          <w:szCs w:val="32"/>
        </w:rPr>
        <w:t>万元，占</w:t>
      </w:r>
      <w:r>
        <w:rPr>
          <w:rFonts w:ascii="仿宋" w:eastAsia="仿宋" w:hAnsi="仿宋"/>
          <w:sz w:val="32"/>
          <w:szCs w:val="32"/>
        </w:rPr>
        <w:t>14.2</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w:t>
      </w:r>
    </w:p>
    <w:p w:rsidR="0011445E" w:rsidRDefault="00C50C39" w:rsidP="00186C3F">
      <w:pPr>
        <w:pStyle w:val="5"/>
        <w:ind w:firstLineChars="200" w:firstLine="480"/>
        <w:outlineLvl w:val="9"/>
      </w:pPr>
      <w:r>
        <w:rPr>
          <w:noProof/>
        </w:rPr>
        <w:drawing>
          <wp:inline distT="0" distB="0" distL="0" distR="0">
            <wp:extent cx="4572000" cy="253365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1445E" w:rsidRDefault="00C50C39">
      <w:pPr>
        <w:spacing w:line="600" w:lineRule="exact"/>
        <w:ind w:firstLineChars="200" w:firstLine="640"/>
        <w:jc w:val="center"/>
        <w:rPr>
          <w:rFonts w:ascii="仿宋_GB2312" w:eastAsia="仿宋_GB2312"/>
          <w:sz w:val="32"/>
          <w:szCs w:val="32"/>
        </w:rPr>
      </w:pPr>
      <w:r>
        <w:rPr>
          <w:rFonts w:ascii="仿宋" w:eastAsia="仿宋" w:hAnsi="仿宋" w:hint="eastAsia"/>
          <w:sz w:val="32"/>
          <w:szCs w:val="32"/>
        </w:rPr>
        <w:t>（图3：支出决算结构图）</w:t>
      </w:r>
    </w:p>
    <w:p w:rsidR="0011445E" w:rsidRDefault="00C50C39">
      <w:pPr>
        <w:spacing w:line="600" w:lineRule="exact"/>
        <w:ind w:firstLineChars="200" w:firstLine="640"/>
        <w:outlineLvl w:val="1"/>
        <w:rPr>
          <w:rStyle w:val="2Char"/>
          <w:rFonts w:ascii="黑体" w:eastAsia="黑体" w:hAnsi="黑体"/>
          <w:b w:val="0"/>
        </w:rPr>
      </w:pPr>
      <w:bookmarkStart w:id="34" w:name="_Toc15396606"/>
      <w:bookmarkStart w:id="35" w:name="_Toc15377208"/>
      <w:bookmarkStart w:id="36" w:name="_Toc180654204"/>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4"/>
      <w:bookmarkEnd w:id="35"/>
      <w:bookmarkEnd w:id="36"/>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2023年度财政拨款收、支总计均为</w:t>
      </w:r>
      <w:r>
        <w:rPr>
          <w:rFonts w:ascii="仿宋" w:eastAsia="仿宋" w:hAnsi="仿宋"/>
          <w:sz w:val="32"/>
          <w:szCs w:val="32"/>
        </w:rPr>
        <w:t>674.37</w:t>
      </w:r>
      <w:r>
        <w:rPr>
          <w:rFonts w:ascii="仿宋" w:eastAsia="仿宋" w:hAnsi="仿宋" w:hint="eastAsia"/>
          <w:sz w:val="32"/>
          <w:szCs w:val="32"/>
        </w:rPr>
        <w:t>万元。与2022年度相比，财政拨款收、支总计各减少11277.06万元，下降94.36</w:t>
      </w:r>
      <w:r>
        <w:rPr>
          <w:rFonts w:ascii="仿宋" w:eastAsia="仿宋" w:hAnsi="仿宋"/>
          <w:sz w:val="32"/>
          <w:szCs w:val="32"/>
        </w:rPr>
        <w:t>%</w:t>
      </w:r>
      <w:r>
        <w:rPr>
          <w:rFonts w:ascii="仿宋" w:eastAsia="仿宋" w:hAnsi="仿宋" w:hint="eastAsia"/>
          <w:sz w:val="32"/>
          <w:szCs w:val="32"/>
        </w:rPr>
        <w:t>。主要变动原因是2023年减少项目支出11300万元。</w:t>
      </w:r>
    </w:p>
    <w:p w:rsidR="0011445E" w:rsidRDefault="00C50C39">
      <w:pPr>
        <w:spacing w:line="600" w:lineRule="exac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180975</wp:posOffset>
            </wp:positionH>
            <wp:positionV relativeFrom="paragraph">
              <wp:posOffset>-2540</wp:posOffset>
            </wp:positionV>
            <wp:extent cx="4572000" cy="2743200"/>
            <wp:effectExtent l="19050" t="0" r="1905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仿宋" w:eastAsia="仿宋" w:hAnsi="仿宋" w:hint="eastAsia"/>
          <w:sz w:val="32"/>
          <w:szCs w:val="32"/>
        </w:rPr>
        <w:t xml:space="preserve">    </w:t>
      </w:r>
    </w:p>
    <w:p w:rsidR="0011445E" w:rsidRDefault="0011445E">
      <w:pPr>
        <w:pStyle w:val="5"/>
        <w:outlineLvl w:val="9"/>
      </w:pPr>
    </w:p>
    <w:p w:rsidR="0011445E" w:rsidRDefault="0011445E"/>
    <w:p w:rsidR="0011445E" w:rsidRDefault="0011445E">
      <w:pPr>
        <w:pStyle w:val="5"/>
        <w:outlineLvl w:val="9"/>
      </w:pPr>
    </w:p>
    <w:p w:rsidR="0011445E" w:rsidRDefault="0011445E"/>
    <w:p w:rsidR="0011445E" w:rsidRDefault="0011445E"/>
    <w:p w:rsidR="0011445E" w:rsidRDefault="00C50C39">
      <w:pPr>
        <w:spacing w:line="600" w:lineRule="exact"/>
        <w:ind w:firstLineChars="200" w:firstLine="640"/>
        <w:jc w:val="center"/>
        <w:rPr>
          <w:rFonts w:ascii="仿宋" w:eastAsia="仿宋" w:hAnsi="仿宋"/>
          <w:b/>
          <w:sz w:val="32"/>
          <w:szCs w:val="32"/>
        </w:rPr>
      </w:pPr>
      <w:r>
        <w:rPr>
          <w:rFonts w:ascii="仿宋" w:eastAsia="仿宋" w:hAnsi="仿宋" w:hint="eastAsia"/>
          <w:sz w:val="32"/>
          <w:szCs w:val="32"/>
        </w:rPr>
        <w:lastRenderedPageBreak/>
        <w:t>（图4：财政拨款收、支决算总计变动情况）</w:t>
      </w:r>
    </w:p>
    <w:p w:rsidR="0011445E" w:rsidRDefault="00C50C39">
      <w:pPr>
        <w:spacing w:line="600" w:lineRule="exact"/>
        <w:ind w:firstLineChars="200" w:firstLine="640"/>
        <w:outlineLvl w:val="1"/>
        <w:rPr>
          <w:rStyle w:val="2Char"/>
          <w:rFonts w:ascii="黑体" w:eastAsia="黑体" w:hAnsi="黑体"/>
          <w:b w:val="0"/>
        </w:rPr>
      </w:pPr>
      <w:bookmarkStart w:id="37" w:name="_Toc15396607"/>
      <w:bookmarkStart w:id="38" w:name="_Toc15377209"/>
      <w:bookmarkStart w:id="39" w:name="_Toc180654205"/>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7"/>
      <w:bookmarkEnd w:id="38"/>
      <w:bookmarkEnd w:id="39"/>
    </w:p>
    <w:p w:rsidR="0011445E" w:rsidRDefault="00C50C39">
      <w:pPr>
        <w:spacing w:line="600" w:lineRule="exact"/>
        <w:ind w:firstLineChars="200" w:firstLine="640"/>
        <w:outlineLvl w:val="2"/>
        <w:rPr>
          <w:rFonts w:ascii="仿宋" w:eastAsia="仿宋" w:hAnsi="仿宋"/>
          <w:sz w:val="32"/>
          <w:szCs w:val="32"/>
        </w:rPr>
      </w:pPr>
      <w:bookmarkStart w:id="40" w:name="_Toc15377210"/>
      <w:r>
        <w:rPr>
          <w:rFonts w:ascii="仿宋" w:eastAsia="仿宋" w:hAnsi="仿宋" w:hint="eastAsia"/>
          <w:sz w:val="32"/>
          <w:szCs w:val="32"/>
        </w:rPr>
        <w:t>（一）一般公共预算财政拨款支出决算总体情况</w:t>
      </w:r>
      <w:bookmarkEnd w:id="40"/>
    </w:p>
    <w:p w:rsidR="0011445E" w:rsidRDefault="00C50C39">
      <w:pPr>
        <w:spacing w:line="570" w:lineRule="exact"/>
        <w:ind w:firstLineChars="200" w:firstLine="640"/>
      </w:pPr>
      <w:r>
        <w:rPr>
          <w:rFonts w:ascii="仿宋" w:eastAsia="仿宋" w:hAnsi="仿宋" w:hint="eastAsia"/>
          <w:sz w:val="32"/>
          <w:szCs w:val="32"/>
        </w:rPr>
        <w:t>2023年度一般公共预算财政拨款支出</w:t>
      </w:r>
      <w:r>
        <w:rPr>
          <w:rFonts w:ascii="仿宋" w:eastAsia="仿宋" w:hAnsi="仿宋"/>
          <w:sz w:val="32"/>
          <w:szCs w:val="32"/>
        </w:rPr>
        <w:t>674.37</w:t>
      </w:r>
      <w:r>
        <w:rPr>
          <w:rFonts w:ascii="仿宋" w:eastAsia="仿宋" w:hAnsi="仿宋" w:hint="eastAsia"/>
          <w:sz w:val="32"/>
          <w:szCs w:val="32"/>
        </w:rPr>
        <w:t>万元，占本年支出合计的</w:t>
      </w:r>
      <w:r>
        <w:rPr>
          <w:rFonts w:ascii="仿宋" w:eastAsia="仿宋" w:hAnsi="仿宋"/>
          <w:sz w:val="32"/>
          <w:szCs w:val="32"/>
        </w:rPr>
        <w:t>100%</w:t>
      </w:r>
      <w:r>
        <w:rPr>
          <w:rFonts w:ascii="仿宋" w:eastAsia="仿宋" w:hAnsi="仿宋" w:hint="eastAsia"/>
          <w:sz w:val="32"/>
          <w:szCs w:val="32"/>
        </w:rPr>
        <w:t>。与2022年度相比，一般公共预算财政拨款支出增加22.94万元，增长3.52</w:t>
      </w:r>
      <w:r>
        <w:rPr>
          <w:rFonts w:ascii="仿宋" w:eastAsia="仿宋" w:hAnsi="仿宋"/>
          <w:sz w:val="32"/>
          <w:szCs w:val="32"/>
        </w:rPr>
        <w:t xml:space="preserve"> %</w:t>
      </w:r>
      <w:r>
        <w:rPr>
          <w:rFonts w:ascii="仿宋" w:eastAsia="仿宋" w:hAnsi="仿宋" w:hint="eastAsia"/>
          <w:sz w:val="32"/>
          <w:szCs w:val="32"/>
        </w:rPr>
        <w:t>。主要变动原因是2023年对之前年度年终绩效进行清算，人员经费有所增加。</w:t>
      </w:r>
    </w:p>
    <w:p w:rsidR="0011445E" w:rsidRDefault="00C50C39">
      <w:pPr>
        <w:spacing w:line="60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2336" behindDoc="0" locked="0" layoutInCell="1" allowOverlap="1">
            <wp:simplePos x="0" y="0"/>
            <wp:positionH relativeFrom="column">
              <wp:posOffset>190500</wp:posOffset>
            </wp:positionH>
            <wp:positionV relativeFrom="paragraph">
              <wp:posOffset>31115</wp:posOffset>
            </wp:positionV>
            <wp:extent cx="5239385" cy="2743200"/>
            <wp:effectExtent l="19050" t="0" r="18415"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11445E" w:rsidRDefault="0011445E">
      <w:pPr>
        <w:pStyle w:val="5"/>
        <w:outlineLvl w:val="9"/>
      </w:pPr>
    </w:p>
    <w:p w:rsidR="0011445E" w:rsidRDefault="0011445E"/>
    <w:p w:rsidR="0011445E" w:rsidRDefault="0011445E">
      <w:pPr>
        <w:pStyle w:val="5"/>
        <w:outlineLvl w:val="9"/>
      </w:pPr>
    </w:p>
    <w:p w:rsidR="0011445E" w:rsidRDefault="0011445E"/>
    <w:p w:rsidR="0011445E" w:rsidRDefault="0011445E">
      <w:pPr>
        <w:pStyle w:val="5"/>
        <w:outlineLvl w:val="9"/>
      </w:pPr>
    </w:p>
    <w:p w:rsidR="0011445E" w:rsidRDefault="0011445E"/>
    <w:p w:rsidR="0011445E" w:rsidRDefault="00C50C39">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rsidR="0011445E" w:rsidRDefault="00C50C39">
      <w:pPr>
        <w:spacing w:line="600" w:lineRule="exact"/>
        <w:ind w:firstLineChars="200" w:firstLine="640"/>
        <w:outlineLvl w:val="2"/>
        <w:rPr>
          <w:rFonts w:ascii="仿宋" w:eastAsia="仿宋" w:hAnsi="仿宋"/>
          <w:sz w:val="32"/>
          <w:szCs w:val="32"/>
        </w:rPr>
      </w:pPr>
      <w:bookmarkStart w:id="41" w:name="_Toc15377211"/>
      <w:r>
        <w:rPr>
          <w:rFonts w:ascii="仿宋" w:eastAsia="仿宋" w:hAnsi="仿宋" w:hint="eastAsia"/>
          <w:sz w:val="32"/>
          <w:szCs w:val="32"/>
        </w:rPr>
        <w:t>（二）一般公共预算财政拨款支出决算结构情况</w:t>
      </w:r>
      <w:bookmarkEnd w:id="41"/>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sz w:val="32"/>
          <w:szCs w:val="32"/>
        </w:rPr>
        <w:t>674.37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sz w:val="32"/>
          <w:szCs w:val="32"/>
        </w:rPr>
        <w:t>科学技术支出4.47万元，占0.66</w:t>
      </w:r>
      <w:r>
        <w:rPr>
          <w:rFonts w:ascii="仿宋" w:eastAsia="仿宋" w:hAnsi="仿宋"/>
          <w:sz w:val="32"/>
          <w:szCs w:val="32"/>
        </w:rPr>
        <w:t>%</w:t>
      </w:r>
      <w:r>
        <w:rPr>
          <w:rFonts w:ascii="仿宋" w:eastAsia="仿宋" w:hAnsi="仿宋" w:hint="eastAsia"/>
          <w:sz w:val="32"/>
          <w:szCs w:val="32"/>
        </w:rPr>
        <w:t>；社会保障和就业支出607.08万元，占90.02</w:t>
      </w:r>
      <w:r>
        <w:rPr>
          <w:rFonts w:ascii="仿宋" w:eastAsia="仿宋" w:hAnsi="仿宋"/>
          <w:sz w:val="32"/>
          <w:szCs w:val="32"/>
        </w:rPr>
        <w:t>%</w:t>
      </w:r>
      <w:r>
        <w:rPr>
          <w:rFonts w:ascii="仿宋" w:eastAsia="仿宋" w:hAnsi="仿宋" w:hint="eastAsia"/>
          <w:sz w:val="32"/>
          <w:szCs w:val="32"/>
        </w:rPr>
        <w:t>；卫生健康支出36.32万元，占5.39</w:t>
      </w:r>
      <w:r>
        <w:rPr>
          <w:rFonts w:ascii="仿宋" w:eastAsia="仿宋" w:hAnsi="仿宋"/>
          <w:sz w:val="32"/>
          <w:szCs w:val="32"/>
        </w:rPr>
        <w:t>%</w:t>
      </w:r>
      <w:r>
        <w:rPr>
          <w:rFonts w:ascii="仿宋" w:eastAsia="仿宋" w:hAnsi="仿宋" w:hint="eastAsia"/>
          <w:sz w:val="32"/>
          <w:szCs w:val="32"/>
        </w:rPr>
        <w:t>；住房保障支出26.51万元，占3.93</w:t>
      </w:r>
      <w:r>
        <w:rPr>
          <w:rFonts w:ascii="仿宋" w:eastAsia="仿宋" w:hAnsi="仿宋"/>
          <w:sz w:val="32"/>
          <w:szCs w:val="32"/>
        </w:rPr>
        <w:t>%</w:t>
      </w:r>
      <w:r>
        <w:rPr>
          <w:rFonts w:ascii="仿宋" w:eastAsia="仿宋" w:hAnsi="仿宋" w:hint="eastAsia"/>
          <w:sz w:val="32"/>
          <w:szCs w:val="32"/>
        </w:rPr>
        <w:t>。</w:t>
      </w:r>
    </w:p>
    <w:p w:rsidR="0011445E" w:rsidRDefault="0011445E">
      <w:pPr>
        <w:spacing w:line="600" w:lineRule="exact"/>
        <w:ind w:firstLine="640"/>
        <w:rPr>
          <w:rFonts w:ascii="仿宋" w:eastAsia="仿宋" w:hAnsi="仿宋"/>
          <w:sz w:val="32"/>
          <w:szCs w:val="32"/>
        </w:rPr>
      </w:pPr>
    </w:p>
    <w:p w:rsidR="0011445E" w:rsidRDefault="0011445E">
      <w:pPr>
        <w:spacing w:line="600" w:lineRule="exact"/>
        <w:ind w:firstLineChars="200" w:firstLine="640"/>
        <w:rPr>
          <w:rFonts w:ascii="仿宋" w:eastAsia="仿宋" w:hAnsi="仿宋"/>
          <w:sz w:val="32"/>
          <w:szCs w:val="32"/>
        </w:rPr>
      </w:pPr>
    </w:p>
    <w:p w:rsidR="0011445E" w:rsidRDefault="00C50C39">
      <w:pPr>
        <w:spacing w:line="600" w:lineRule="exact"/>
        <w:ind w:firstLineChars="200" w:firstLine="640"/>
        <w:rPr>
          <w:rFonts w:ascii="仿宋" w:eastAsia="仿宋" w:hAnsi="仿宋"/>
          <w:sz w:val="32"/>
          <w:szCs w:val="32"/>
        </w:rPr>
      </w:pPr>
      <w:r>
        <w:rPr>
          <w:rFonts w:ascii="仿宋" w:eastAsia="仿宋" w:hAnsi="仿宋"/>
          <w:noProof/>
          <w:sz w:val="32"/>
          <w:szCs w:val="32"/>
        </w:rPr>
        <w:lastRenderedPageBreak/>
        <w:drawing>
          <wp:anchor distT="0" distB="0" distL="114300" distR="114300" simplePos="0" relativeHeight="251663360" behindDoc="0" locked="0" layoutInCell="1" allowOverlap="1">
            <wp:simplePos x="0" y="0"/>
            <wp:positionH relativeFrom="column">
              <wp:posOffset>323850</wp:posOffset>
            </wp:positionH>
            <wp:positionV relativeFrom="paragraph">
              <wp:posOffset>-314325</wp:posOffset>
            </wp:positionV>
            <wp:extent cx="4572000" cy="2962275"/>
            <wp:effectExtent l="19050" t="0" r="19050"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11445E" w:rsidRDefault="0011445E">
      <w:pPr>
        <w:spacing w:line="600" w:lineRule="exact"/>
        <w:ind w:firstLineChars="200" w:firstLine="640"/>
        <w:rPr>
          <w:rFonts w:ascii="仿宋" w:eastAsia="仿宋" w:hAnsi="仿宋"/>
          <w:sz w:val="32"/>
          <w:szCs w:val="32"/>
        </w:rPr>
      </w:pPr>
    </w:p>
    <w:p w:rsidR="0011445E" w:rsidRDefault="0011445E">
      <w:pPr>
        <w:spacing w:line="600" w:lineRule="exact"/>
        <w:ind w:firstLineChars="200" w:firstLine="640"/>
        <w:rPr>
          <w:rFonts w:ascii="仿宋" w:eastAsia="仿宋" w:hAnsi="仿宋"/>
          <w:sz w:val="32"/>
          <w:szCs w:val="32"/>
        </w:rPr>
      </w:pPr>
    </w:p>
    <w:p w:rsidR="0011445E" w:rsidRDefault="0011445E">
      <w:pPr>
        <w:spacing w:line="600" w:lineRule="exact"/>
        <w:ind w:firstLineChars="200" w:firstLine="640"/>
        <w:rPr>
          <w:rFonts w:ascii="仿宋" w:eastAsia="仿宋" w:hAnsi="仿宋"/>
          <w:sz w:val="32"/>
          <w:szCs w:val="32"/>
        </w:rPr>
      </w:pPr>
    </w:p>
    <w:p w:rsidR="0011445E" w:rsidRDefault="0011445E">
      <w:pPr>
        <w:spacing w:line="600" w:lineRule="exact"/>
        <w:ind w:firstLineChars="200" w:firstLine="640"/>
        <w:rPr>
          <w:rFonts w:ascii="仿宋" w:eastAsia="仿宋" w:hAnsi="仿宋"/>
          <w:sz w:val="32"/>
          <w:szCs w:val="32"/>
        </w:rPr>
      </w:pPr>
    </w:p>
    <w:p w:rsidR="0011445E" w:rsidRDefault="0011445E">
      <w:pPr>
        <w:spacing w:line="570" w:lineRule="exact"/>
        <w:ind w:firstLineChars="200" w:firstLine="640"/>
        <w:rPr>
          <w:rFonts w:ascii="仿宋" w:eastAsia="仿宋" w:hAnsi="仿宋"/>
          <w:sz w:val="32"/>
          <w:szCs w:val="32"/>
        </w:rPr>
      </w:pPr>
    </w:p>
    <w:p w:rsidR="0011445E" w:rsidRDefault="0011445E">
      <w:pPr>
        <w:spacing w:line="600" w:lineRule="exact"/>
        <w:ind w:firstLineChars="200" w:firstLine="640"/>
        <w:jc w:val="center"/>
        <w:rPr>
          <w:rFonts w:ascii="仿宋" w:eastAsia="仿宋" w:hAnsi="仿宋"/>
          <w:sz w:val="32"/>
          <w:szCs w:val="32"/>
        </w:rPr>
      </w:pPr>
    </w:p>
    <w:p w:rsidR="0011445E" w:rsidRDefault="00C50C39">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t>（图6：一般公共预算财政拨款支出决算结构）</w:t>
      </w:r>
    </w:p>
    <w:p w:rsidR="0011445E" w:rsidRDefault="00C50C39">
      <w:pPr>
        <w:spacing w:line="600" w:lineRule="exact"/>
        <w:ind w:firstLineChars="200" w:firstLine="640"/>
        <w:outlineLvl w:val="2"/>
        <w:rPr>
          <w:rFonts w:ascii="仿宋" w:eastAsia="仿宋" w:hAnsi="仿宋"/>
          <w:sz w:val="32"/>
          <w:szCs w:val="32"/>
        </w:rPr>
      </w:pPr>
      <w:bookmarkStart w:id="42" w:name="_Toc15377212"/>
      <w:r>
        <w:rPr>
          <w:rFonts w:ascii="仿宋" w:eastAsia="仿宋" w:hAnsi="仿宋" w:hint="eastAsia"/>
          <w:sz w:val="32"/>
          <w:szCs w:val="32"/>
        </w:rPr>
        <w:t>（三）一般公共预算财政拨款支出决算具体情况</w:t>
      </w:r>
      <w:bookmarkEnd w:id="42"/>
    </w:p>
    <w:p w:rsidR="0011445E" w:rsidRDefault="00C50C39">
      <w:pPr>
        <w:spacing w:line="570" w:lineRule="exact"/>
        <w:ind w:firstLineChars="200" w:firstLine="640"/>
        <w:rPr>
          <w:rFonts w:ascii="仿宋" w:eastAsia="仿宋" w:hAnsi="仿宋"/>
          <w:sz w:val="32"/>
          <w:szCs w:val="32"/>
        </w:rPr>
      </w:pPr>
      <w:bookmarkStart w:id="43" w:name="_Toc15377213"/>
      <w:bookmarkStart w:id="44" w:name="_Toc15378460"/>
      <w:bookmarkStart w:id="45" w:name="_Toc15377444"/>
      <w:r>
        <w:rPr>
          <w:rFonts w:ascii="仿宋" w:eastAsia="仿宋" w:hAnsi="仿宋" w:hint="eastAsia"/>
          <w:sz w:val="32"/>
          <w:szCs w:val="32"/>
        </w:rPr>
        <w:t>2023年度一般公共预算支出决算数为</w:t>
      </w:r>
      <w:r>
        <w:rPr>
          <w:rFonts w:ascii="仿宋" w:eastAsia="仿宋" w:hAnsi="仿宋"/>
          <w:sz w:val="32"/>
          <w:szCs w:val="32"/>
        </w:rPr>
        <w:t>674.37</w:t>
      </w:r>
      <w:r>
        <w:rPr>
          <w:rFonts w:ascii="仿宋" w:eastAsia="仿宋" w:hAnsi="仿宋" w:hint="eastAsia"/>
          <w:sz w:val="32"/>
          <w:szCs w:val="32"/>
        </w:rPr>
        <w:t>，完成预算100</w:t>
      </w:r>
      <w:r>
        <w:rPr>
          <w:rFonts w:ascii="仿宋" w:eastAsia="仿宋" w:hAnsi="仿宋"/>
          <w:sz w:val="32"/>
          <w:szCs w:val="32"/>
        </w:rPr>
        <w:t>%</w:t>
      </w:r>
      <w:r>
        <w:rPr>
          <w:rFonts w:ascii="仿宋" w:eastAsia="仿宋" w:hAnsi="仿宋" w:hint="eastAsia"/>
          <w:sz w:val="32"/>
          <w:szCs w:val="32"/>
        </w:rPr>
        <w:t>。其中：</w:t>
      </w:r>
      <w:bookmarkEnd w:id="43"/>
      <w:bookmarkEnd w:id="44"/>
      <w:bookmarkEnd w:id="45"/>
    </w:p>
    <w:p w:rsidR="0011445E" w:rsidRDefault="00C50C39">
      <w:pPr>
        <w:spacing w:line="57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科学技术（类）其他科学技术支出（款）其他科学技术支出（项）</w:t>
      </w:r>
      <w:r>
        <w:rPr>
          <w:rFonts w:ascii="仿宋" w:eastAsia="仿宋" w:hAnsi="仿宋"/>
          <w:sz w:val="32"/>
          <w:szCs w:val="32"/>
        </w:rPr>
        <w:t xml:space="preserve">: </w:t>
      </w:r>
      <w:r>
        <w:rPr>
          <w:rFonts w:ascii="仿宋" w:eastAsia="仿宋" w:hAnsi="仿宋" w:hint="eastAsia"/>
          <w:sz w:val="32"/>
          <w:szCs w:val="32"/>
        </w:rPr>
        <w:t>支出决算为4.47万元，完成预算100</w:t>
      </w:r>
      <w:r>
        <w:rPr>
          <w:rFonts w:ascii="仿宋" w:eastAsia="仿宋" w:hAnsi="仿宋"/>
          <w:sz w:val="32"/>
          <w:szCs w:val="32"/>
        </w:rPr>
        <w:t>%</w:t>
      </w:r>
      <w:r>
        <w:rPr>
          <w:rFonts w:ascii="仿宋" w:eastAsia="仿宋" w:hAnsi="仿宋" w:hint="eastAsia"/>
          <w:sz w:val="32"/>
          <w:szCs w:val="32"/>
        </w:rPr>
        <w:t>。</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2.社会保障和就业（类）人力资源和社会保障管理事务（款）社会保险经办机构（项）: 支出决算为577.12万元，完成预算100%。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3.社会保障和就业（类）人力资源和社会保障管理事务（款）其他人力资源和社会保障管理事务支出（项）: 支出决算为3.27万元，完成预算100%。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4.社会保障和就业（类）行政事业单位养老支出（款）行政单位离退休（项）: 支出决算为1.99万元，完成预算100%。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5.社会保障和就业（类）行政事业单位养老支出（款）机关事业单位基本养老保险缴费支出（项）: 支出决算为8.07</w:t>
      </w:r>
      <w:r>
        <w:rPr>
          <w:rFonts w:ascii="仿宋" w:eastAsia="仿宋" w:hAnsi="仿宋" w:hint="eastAsia"/>
          <w:sz w:val="32"/>
          <w:szCs w:val="32"/>
        </w:rPr>
        <w:lastRenderedPageBreak/>
        <w:t>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6.社会保障和就业（类）行政事业单位养老支出（款）机关事业单位职业年金缴费支出（项）: 支出决算为16.17万元，完成预算100%。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7.社会保障和就业（类）其他社会保障和就业支出（款）其他社会保障和就业支出（项）: 支出决算为0.47万元，完成预算100%。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8.卫生健康（类）行政事业单位医疗（款）行政单位医疗（项）:支出决算为27.19万元，完成预算100%。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9.卫生健康（类）行政事业单位医疗（款）公务员医疗补助（项）:支出决算为9.12万元，完成预算100%。</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10.住房保障（类）住房改革支出（款）住房公积金（项）:支出决算为26.51万元，完成预算100%。</w:t>
      </w:r>
    </w:p>
    <w:p w:rsidR="0011445E" w:rsidRDefault="00C50C39">
      <w:pPr>
        <w:tabs>
          <w:tab w:val="right" w:pos="8306"/>
        </w:tabs>
        <w:spacing w:line="600" w:lineRule="exact"/>
        <w:ind w:firstLine="640"/>
        <w:outlineLvl w:val="1"/>
        <w:rPr>
          <w:rStyle w:val="2Char"/>
        </w:rPr>
      </w:pPr>
      <w:bookmarkStart w:id="46" w:name="_Toc15377214"/>
      <w:bookmarkStart w:id="47" w:name="_Toc15396608"/>
      <w:bookmarkStart w:id="48" w:name="_Toc18065420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6"/>
      <w:bookmarkEnd w:id="47"/>
      <w:bookmarkEnd w:id="48"/>
      <w:r>
        <w:rPr>
          <w:rStyle w:val="2Char"/>
          <w:rFonts w:ascii="黑体" w:eastAsia="黑体" w:hAnsi="黑体"/>
          <w:b w:val="0"/>
        </w:rPr>
        <w:tab/>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sz w:val="32"/>
          <w:szCs w:val="32"/>
        </w:rPr>
        <w:t>578.15</w:t>
      </w:r>
      <w:r>
        <w:rPr>
          <w:rFonts w:ascii="仿宋" w:eastAsia="仿宋" w:hAnsi="仿宋" w:hint="eastAsia"/>
          <w:sz w:val="32"/>
          <w:szCs w:val="32"/>
        </w:rPr>
        <w:t>万元，其中：</w:t>
      </w:r>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sz w:val="32"/>
          <w:szCs w:val="32"/>
        </w:rPr>
        <w:t>507.2</w:t>
      </w:r>
      <w:r>
        <w:rPr>
          <w:rFonts w:ascii="仿宋" w:eastAsia="仿宋" w:hAnsi="仿宋" w:hint="eastAsia"/>
          <w:sz w:val="32"/>
          <w:szCs w:val="32"/>
        </w:rPr>
        <w:t>万元，主要包括：基本工资、津贴补贴、奖金、绩效工资、机关事业单位基本养老保险缴费、职工基本医疗保险缴费、职业年金缴费、其他社会保障缴费、其他工资福利支出、生活补助、医疗费补助、奖励金、住房公积金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sz w:val="32"/>
          <w:szCs w:val="32"/>
        </w:rPr>
        <w:t>70.95</w:t>
      </w:r>
      <w:r>
        <w:rPr>
          <w:rFonts w:ascii="仿宋" w:eastAsia="仿宋" w:hAnsi="仿宋" w:hint="eastAsia"/>
          <w:sz w:val="32"/>
          <w:szCs w:val="32"/>
        </w:rPr>
        <w:t>万元，主要包括：办公费、邮电费、差旅费、会议费、培训费、公务接待费、委托业务费、工会经费、福利费、其他交通费、其他商品和服务支出等。</w:t>
      </w:r>
    </w:p>
    <w:p w:rsidR="0011445E" w:rsidRDefault="00C50C39">
      <w:pPr>
        <w:spacing w:line="600" w:lineRule="exact"/>
        <w:ind w:firstLine="640"/>
        <w:outlineLvl w:val="1"/>
        <w:rPr>
          <w:rStyle w:val="2Char"/>
          <w:rFonts w:ascii="黑体" w:eastAsia="黑体" w:hAnsi="黑体"/>
          <w:b w:val="0"/>
        </w:rPr>
      </w:pPr>
      <w:bookmarkStart w:id="49" w:name="_Toc15377215"/>
      <w:bookmarkStart w:id="50" w:name="_Toc15396609"/>
      <w:bookmarkStart w:id="51" w:name="_Toc180654207"/>
      <w:r>
        <w:rPr>
          <w:rFonts w:ascii="黑体" w:eastAsia="黑体" w:hint="eastAsia"/>
          <w:sz w:val="32"/>
          <w:szCs w:val="32"/>
        </w:rPr>
        <w:lastRenderedPageBreak/>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49"/>
      <w:bookmarkEnd w:id="50"/>
      <w:bookmarkEnd w:id="51"/>
    </w:p>
    <w:p w:rsidR="0011445E" w:rsidRDefault="00C50C39">
      <w:pPr>
        <w:spacing w:line="600" w:lineRule="exact"/>
        <w:ind w:firstLine="640"/>
        <w:outlineLvl w:val="2"/>
        <w:rPr>
          <w:rFonts w:ascii="仿宋" w:eastAsia="仿宋" w:hAnsi="仿宋"/>
          <w:sz w:val="32"/>
          <w:szCs w:val="32"/>
        </w:rPr>
      </w:pPr>
      <w:bookmarkStart w:id="52" w:name="_Toc15377216"/>
      <w:r>
        <w:rPr>
          <w:rFonts w:ascii="仿宋" w:eastAsia="仿宋" w:hAnsi="仿宋" w:hint="eastAsia"/>
          <w:sz w:val="32"/>
          <w:szCs w:val="32"/>
        </w:rPr>
        <w:t>（一）“三公”经费财政拨款支出决算总体情况说明</w:t>
      </w:r>
      <w:bookmarkEnd w:id="52"/>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2023年度“三公”经费财政拨款支出决算为</w:t>
      </w:r>
      <w:r>
        <w:rPr>
          <w:rFonts w:ascii="仿宋" w:eastAsia="仿宋" w:hAnsi="仿宋"/>
          <w:sz w:val="32"/>
          <w:szCs w:val="32"/>
        </w:rPr>
        <w:t>0.18</w:t>
      </w:r>
      <w:r>
        <w:rPr>
          <w:rFonts w:ascii="仿宋" w:eastAsia="仿宋" w:hAnsi="仿宋" w:hint="eastAsia"/>
          <w:sz w:val="32"/>
          <w:szCs w:val="32"/>
        </w:rPr>
        <w:t>万元，完成预算</w:t>
      </w:r>
      <w:r>
        <w:rPr>
          <w:rFonts w:ascii="仿宋" w:eastAsia="仿宋" w:hAnsi="仿宋"/>
          <w:sz w:val="32"/>
          <w:szCs w:val="32"/>
        </w:rPr>
        <w:t>100%</w:t>
      </w:r>
      <w:r>
        <w:rPr>
          <w:rFonts w:ascii="仿宋" w:eastAsia="仿宋" w:hAnsi="仿宋" w:hint="eastAsia"/>
          <w:sz w:val="32"/>
          <w:szCs w:val="32"/>
        </w:rPr>
        <w:t>，较上年度减少0.91万元，下降83.49%。</w:t>
      </w:r>
    </w:p>
    <w:p w:rsidR="0011445E" w:rsidRDefault="00C50C39">
      <w:pPr>
        <w:spacing w:line="600" w:lineRule="exact"/>
        <w:ind w:firstLine="640"/>
        <w:outlineLvl w:val="2"/>
        <w:rPr>
          <w:rFonts w:ascii="仿宋" w:eastAsia="仿宋" w:hAnsi="仿宋"/>
          <w:sz w:val="32"/>
          <w:szCs w:val="32"/>
        </w:rPr>
      </w:pPr>
      <w:bookmarkStart w:id="53" w:name="_Toc15377217"/>
      <w:r>
        <w:rPr>
          <w:rFonts w:ascii="仿宋" w:eastAsia="仿宋" w:hAnsi="仿宋" w:hint="eastAsia"/>
          <w:sz w:val="32"/>
          <w:szCs w:val="32"/>
        </w:rPr>
        <w:t>（二）“三公”经费财政拨款支出决算具体情况说明</w:t>
      </w:r>
      <w:bookmarkEnd w:id="53"/>
    </w:p>
    <w:p w:rsidR="0011445E" w:rsidRDefault="00C50C39">
      <w:pPr>
        <w:spacing w:line="570" w:lineRule="exact"/>
        <w:ind w:firstLineChars="200"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；公务用车购置及运行维护费支出决算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；公务接待费支出决算</w:t>
      </w:r>
      <w:r>
        <w:rPr>
          <w:rFonts w:ascii="仿宋" w:eastAsia="仿宋" w:hAnsi="仿宋"/>
          <w:sz w:val="32"/>
          <w:szCs w:val="32"/>
        </w:rPr>
        <w:t>0.18</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。具体情况如下：</w:t>
      </w:r>
    </w:p>
    <w:p w:rsidR="0011445E" w:rsidRDefault="00C50C39">
      <w:pPr>
        <w:pStyle w:val="5"/>
        <w:outlineLvl w:val="9"/>
      </w:pPr>
      <w:r>
        <w:rPr>
          <w:rFonts w:hint="eastAsia"/>
        </w:rPr>
        <w:t xml:space="preserve">    </w:t>
      </w:r>
      <w:r>
        <w:rPr>
          <w:noProof/>
        </w:rPr>
        <w:drawing>
          <wp:inline distT="0" distB="0" distL="0" distR="0">
            <wp:extent cx="4572000" cy="2743200"/>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1445E" w:rsidRDefault="00C50C39">
      <w:pPr>
        <w:spacing w:line="600" w:lineRule="exact"/>
        <w:ind w:firstLine="640"/>
        <w:jc w:val="center"/>
        <w:rPr>
          <w:rFonts w:ascii="仿宋" w:eastAsia="仿宋" w:hAnsi="仿宋"/>
          <w:sz w:val="32"/>
          <w:szCs w:val="32"/>
        </w:rPr>
      </w:pPr>
      <w:r>
        <w:rPr>
          <w:rFonts w:ascii="仿宋" w:eastAsia="仿宋" w:hAnsi="仿宋" w:hint="eastAsia"/>
          <w:sz w:val="32"/>
          <w:szCs w:val="32"/>
        </w:rPr>
        <w:t>（图7：“三公”经费财政拨款支出结构）</w:t>
      </w:r>
    </w:p>
    <w:p w:rsidR="0011445E" w:rsidRDefault="00C50C39">
      <w:pPr>
        <w:spacing w:line="600" w:lineRule="exact"/>
        <w:ind w:firstLine="640"/>
        <w:rPr>
          <w:rFonts w:ascii="仿宋" w:eastAsia="仿宋" w:hAnsi="仿宋"/>
          <w:sz w:val="32"/>
          <w:szCs w:val="32"/>
        </w:rPr>
      </w:pPr>
      <w:bookmarkStart w:id="54" w:name="_Toc15377218"/>
      <w:bookmarkStart w:id="55" w:name="_Toc15396610"/>
      <w:r>
        <w:rPr>
          <w:rFonts w:ascii="仿宋" w:eastAsia="仿宋" w:hAnsi="仿宋"/>
          <w:sz w:val="32"/>
          <w:szCs w:val="32"/>
        </w:rPr>
        <w:t>1.</w:t>
      </w:r>
      <w:r>
        <w:rPr>
          <w:rFonts w:ascii="仿宋" w:eastAsia="仿宋" w:hAnsi="仿宋" w:hint="eastAsia"/>
          <w:sz w:val="32"/>
          <w:szCs w:val="32"/>
        </w:rPr>
        <w:t>因公出国（境）经费支出</w:t>
      </w:r>
      <w:r>
        <w:rPr>
          <w:rFonts w:ascii="仿宋" w:eastAsia="仿宋" w:hAnsi="仿宋"/>
          <w:sz w:val="32"/>
          <w:szCs w:val="32"/>
        </w:rPr>
        <w:t>0</w:t>
      </w:r>
      <w:r>
        <w:rPr>
          <w:rFonts w:ascii="仿宋" w:eastAsia="仿宋" w:hAnsi="仿宋" w:hint="eastAsia"/>
          <w:sz w:val="32"/>
          <w:szCs w:val="32"/>
        </w:rPr>
        <w:t>万元，完成预算100</w:t>
      </w:r>
      <w:r>
        <w:rPr>
          <w:rFonts w:ascii="仿宋" w:eastAsia="仿宋" w:hAnsi="仿宋"/>
          <w:sz w:val="32"/>
          <w:szCs w:val="32"/>
        </w:rPr>
        <w:t>%</w:t>
      </w:r>
      <w:r>
        <w:rPr>
          <w:rFonts w:ascii="仿宋" w:eastAsia="仿宋" w:hAnsi="仿宋" w:hint="eastAsia"/>
          <w:sz w:val="32"/>
          <w:szCs w:val="32"/>
        </w:rPr>
        <w:t>。因公出国（境）支出决算与2022年持平。</w:t>
      </w:r>
    </w:p>
    <w:p w:rsidR="0011445E" w:rsidRDefault="00C50C39">
      <w:pPr>
        <w:spacing w:line="600" w:lineRule="exact"/>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公务用车购置及运行维护费支出</w:t>
      </w:r>
      <w:r>
        <w:rPr>
          <w:rFonts w:ascii="仿宋" w:eastAsia="仿宋" w:hAnsi="仿宋"/>
          <w:sz w:val="32"/>
          <w:szCs w:val="32"/>
        </w:rPr>
        <w:t>0</w:t>
      </w:r>
      <w:r>
        <w:rPr>
          <w:rFonts w:ascii="仿宋" w:eastAsia="仿宋" w:hAnsi="仿宋" w:hint="eastAsia"/>
          <w:sz w:val="32"/>
          <w:szCs w:val="32"/>
        </w:rPr>
        <w:t>万元,完成预算10</w:t>
      </w:r>
      <w:r>
        <w:rPr>
          <w:rFonts w:ascii="仿宋" w:eastAsia="仿宋" w:hAnsi="仿宋"/>
          <w:sz w:val="32"/>
          <w:szCs w:val="32"/>
        </w:rPr>
        <w:t>0%</w:t>
      </w:r>
      <w:r>
        <w:rPr>
          <w:rFonts w:ascii="仿宋" w:eastAsia="仿宋" w:hAnsi="仿宋" w:hint="eastAsia"/>
          <w:sz w:val="32"/>
          <w:szCs w:val="32"/>
        </w:rPr>
        <w:t>。公务用车购置及运行维护费支出决算与2022年度持平。</w:t>
      </w:r>
    </w:p>
    <w:p w:rsidR="0011445E" w:rsidRDefault="00C50C39">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其中：公务用车购置支出</w:t>
      </w:r>
      <w:r>
        <w:rPr>
          <w:rFonts w:ascii="仿宋" w:eastAsia="仿宋" w:hAnsi="仿宋"/>
          <w:sz w:val="32"/>
          <w:szCs w:val="32"/>
        </w:rPr>
        <w:t>0</w:t>
      </w:r>
      <w:r>
        <w:rPr>
          <w:rFonts w:ascii="仿宋" w:eastAsia="仿宋" w:hAnsi="仿宋" w:hint="eastAsia"/>
          <w:sz w:val="32"/>
          <w:szCs w:val="32"/>
        </w:rPr>
        <w:t>万元。</w:t>
      </w:r>
    </w:p>
    <w:p w:rsidR="0011445E" w:rsidRDefault="00C50C39">
      <w:pPr>
        <w:spacing w:line="600" w:lineRule="exact"/>
        <w:ind w:firstLine="640"/>
        <w:rPr>
          <w:rFonts w:ascii="仿宋" w:eastAsia="仿宋" w:hAnsi="仿宋"/>
          <w:sz w:val="32"/>
          <w:szCs w:val="32"/>
        </w:rPr>
      </w:pPr>
      <w:r>
        <w:rPr>
          <w:rFonts w:ascii="仿宋" w:eastAsia="仿宋" w:hAnsi="仿宋" w:hint="eastAsia"/>
          <w:sz w:val="32"/>
          <w:szCs w:val="32"/>
        </w:rPr>
        <w:t>公务用车运行维护费支出</w:t>
      </w:r>
      <w:r>
        <w:rPr>
          <w:rFonts w:ascii="仿宋" w:eastAsia="仿宋" w:hAnsi="仿宋"/>
          <w:sz w:val="32"/>
          <w:szCs w:val="32"/>
        </w:rPr>
        <w:t>0</w:t>
      </w:r>
      <w:r>
        <w:rPr>
          <w:rFonts w:ascii="仿宋" w:eastAsia="仿宋" w:hAnsi="仿宋" w:hint="eastAsia"/>
          <w:sz w:val="32"/>
          <w:szCs w:val="32"/>
        </w:rPr>
        <w:t>万元。</w:t>
      </w:r>
    </w:p>
    <w:p w:rsidR="0011445E" w:rsidRDefault="00C50C39">
      <w:pPr>
        <w:spacing w:line="600" w:lineRule="exact"/>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公务接待费支出</w:t>
      </w:r>
      <w:r>
        <w:rPr>
          <w:rFonts w:ascii="仿宋" w:eastAsia="仿宋" w:hAnsi="仿宋"/>
          <w:sz w:val="32"/>
          <w:szCs w:val="32"/>
        </w:rPr>
        <w:t>0.18</w:t>
      </w:r>
      <w:r>
        <w:rPr>
          <w:rFonts w:ascii="仿宋" w:eastAsia="仿宋" w:hAnsi="仿宋" w:hint="eastAsia"/>
          <w:sz w:val="32"/>
          <w:szCs w:val="32"/>
        </w:rPr>
        <w:t>万元，完成预算</w:t>
      </w:r>
      <w:r>
        <w:rPr>
          <w:rFonts w:ascii="仿宋" w:eastAsia="仿宋" w:hAnsi="仿宋"/>
          <w:sz w:val="32"/>
          <w:szCs w:val="32"/>
        </w:rPr>
        <w:t>100%</w:t>
      </w:r>
      <w:r>
        <w:rPr>
          <w:rFonts w:ascii="仿宋" w:eastAsia="仿宋" w:hAnsi="仿宋" w:hint="eastAsia"/>
          <w:sz w:val="32"/>
          <w:szCs w:val="32"/>
        </w:rPr>
        <w:t>。公务接待费支出决算比2022年度减少0.91万元，下降83.49</w:t>
      </w:r>
      <w:r>
        <w:rPr>
          <w:rFonts w:ascii="仿宋" w:eastAsia="仿宋" w:hAnsi="仿宋"/>
          <w:sz w:val="32"/>
          <w:szCs w:val="32"/>
        </w:rPr>
        <w:t>%</w:t>
      </w:r>
      <w:r>
        <w:rPr>
          <w:rFonts w:ascii="仿宋" w:eastAsia="仿宋" w:hAnsi="仿宋" w:hint="eastAsia"/>
          <w:sz w:val="32"/>
          <w:szCs w:val="32"/>
        </w:rPr>
        <w:t>。主要原因是加强“三公”经费预算管理，控制各类公务接待活动，简化接待，禁止超标准接待，全力压缩“三公”经费开支。其中：</w:t>
      </w:r>
    </w:p>
    <w:p w:rsidR="0011445E" w:rsidRDefault="00C50C39">
      <w:pPr>
        <w:spacing w:line="600" w:lineRule="exact"/>
        <w:ind w:firstLine="640"/>
        <w:rPr>
          <w:rFonts w:ascii="仿宋" w:eastAsia="仿宋" w:hAnsi="仿宋"/>
          <w:sz w:val="32"/>
          <w:szCs w:val="32"/>
        </w:rPr>
      </w:pPr>
      <w:r>
        <w:rPr>
          <w:rFonts w:ascii="仿宋" w:eastAsia="仿宋" w:hAnsi="仿宋" w:hint="eastAsia"/>
          <w:sz w:val="32"/>
          <w:szCs w:val="32"/>
        </w:rPr>
        <w:t>国内公务接待支出</w:t>
      </w:r>
      <w:r>
        <w:rPr>
          <w:rFonts w:ascii="仿宋" w:eastAsia="仿宋" w:hAnsi="仿宋"/>
          <w:sz w:val="32"/>
          <w:szCs w:val="32"/>
        </w:rPr>
        <w:t>0.18</w:t>
      </w:r>
      <w:r>
        <w:rPr>
          <w:rFonts w:ascii="仿宋" w:eastAsia="仿宋" w:hAnsi="仿宋" w:hint="eastAsia"/>
          <w:sz w:val="32"/>
          <w:szCs w:val="32"/>
        </w:rPr>
        <w:t>万元，主要用于开展业务活动开支用餐费。国内公务接待3批次，25人次共计支出0.18万元。</w:t>
      </w:r>
    </w:p>
    <w:p w:rsidR="0011445E" w:rsidRDefault="00C50C39">
      <w:pPr>
        <w:spacing w:line="600" w:lineRule="exact"/>
        <w:ind w:firstLineChars="200" w:firstLine="640"/>
        <w:rPr>
          <w:rFonts w:ascii="仿宋" w:eastAsia="仿宋" w:hAnsi="仿宋"/>
          <w:sz w:val="32"/>
          <w:szCs w:val="32"/>
        </w:rPr>
      </w:pPr>
      <w:r>
        <w:rPr>
          <w:rFonts w:ascii="仿宋" w:eastAsia="仿宋" w:hAnsi="仿宋" w:hint="eastAsia"/>
          <w:sz w:val="32"/>
          <w:szCs w:val="32"/>
        </w:rPr>
        <w:t>外事接待支出</w:t>
      </w:r>
      <w:r>
        <w:rPr>
          <w:rFonts w:ascii="仿宋" w:eastAsia="仿宋" w:hAnsi="仿宋"/>
          <w:sz w:val="32"/>
          <w:szCs w:val="32"/>
        </w:rPr>
        <w:t>0</w:t>
      </w:r>
      <w:r>
        <w:rPr>
          <w:rFonts w:ascii="仿宋" w:eastAsia="仿宋" w:hAnsi="仿宋" w:hint="eastAsia"/>
          <w:sz w:val="32"/>
          <w:szCs w:val="32"/>
        </w:rPr>
        <w:t>万元。</w:t>
      </w:r>
    </w:p>
    <w:p w:rsidR="0011445E" w:rsidRDefault="00C50C39">
      <w:pPr>
        <w:spacing w:line="600" w:lineRule="exact"/>
        <w:ind w:firstLine="640"/>
        <w:outlineLvl w:val="1"/>
        <w:rPr>
          <w:rStyle w:val="2Char"/>
          <w:rFonts w:ascii="黑体" w:eastAsia="黑体" w:hAnsi="黑体"/>
        </w:rPr>
      </w:pPr>
      <w:bookmarkStart w:id="56" w:name="_Toc180654208"/>
      <w:r>
        <w:rPr>
          <w:rFonts w:ascii="黑体" w:eastAsia="黑体" w:hint="eastAsia"/>
          <w:sz w:val="32"/>
          <w:szCs w:val="32"/>
        </w:rPr>
        <w:t>八、</w:t>
      </w:r>
      <w:r>
        <w:rPr>
          <w:rStyle w:val="2Char"/>
          <w:rFonts w:ascii="黑体" w:eastAsia="黑体" w:hAnsi="黑体" w:hint="eastAsia"/>
          <w:b w:val="0"/>
        </w:rPr>
        <w:t>政府性基金预算支出决算情况说明</w:t>
      </w:r>
      <w:bookmarkEnd w:id="54"/>
      <w:bookmarkEnd w:id="55"/>
      <w:bookmarkEnd w:id="56"/>
    </w:p>
    <w:p w:rsidR="0011445E" w:rsidRDefault="00C50C39">
      <w:pPr>
        <w:spacing w:line="600" w:lineRule="exact"/>
        <w:ind w:firstLine="640"/>
        <w:rPr>
          <w:rFonts w:ascii="仿宋" w:eastAsia="仿宋" w:hAnsi="仿宋"/>
          <w:sz w:val="32"/>
          <w:szCs w:val="32"/>
        </w:rPr>
      </w:pPr>
      <w:r>
        <w:rPr>
          <w:rFonts w:ascii="仿宋" w:eastAsia="仿宋" w:hAnsi="仿宋" w:hint="eastAsia"/>
          <w:sz w:val="32"/>
          <w:szCs w:val="32"/>
        </w:rPr>
        <w:t>2023年度政府性基金预算财政拨款支出</w:t>
      </w:r>
      <w:r>
        <w:rPr>
          <w:rFonts w:ascii="仿宋" w:eastAsia="仿宋" w:hAnsi="仿宋"/>
          <w:sz w:val="32"/>
          <w:szCs w:val="32"/>
        </w:rPr>
        <w:t>0</w:t>
      </w:r>
      <w:r>
        <w:rPr>
          <w:rFonts w:ascii="仿宋" w:eastAsia="仿宋" w:hAnsi="仿宋" w:hint="eastAsia"/>
          <w:sz w:val="32"/>
          <w:szCs w:val="32"/>
        </w:rPr>
        <w:t>万元。</w:t>
      </w:r>
    </w:p>
    <w:p w:rsidR="0011445E" w:rsidRDefault="006C3999" w:rsidP="006C3999">
      <w:pPr>
        <w:spacing w:line="600" w:lineRule="exact"/>
        <w:ind w:firstLineChars="200" w:firstLine="640"/>
        <w:outlineLvl w:val="1"/>
        <w:rPr>
          <w:rStyle w:val="2Char"/>
          <w:rFonts w:ascii="黑体" w:eastAsia="黑体" w:hAnsi="黑体"/>
          <w:b w:val="0"/>
        </w:rPr>
      </w:pPr>
      <w:bookmarkStart w:id="57" w:name="_Toc15396611"/>
      <w:bookmarkStart w:id="58" w:name="_Toc15377219"/>
      <w:bookmarkStart w:id="59" w:name="_Toc180654209"/>
      <w:r>
        <w:rPr>
          <w:rStyle w:val="2Char"/>
          <w:rFonts w:ascii="黑体" w:eastAsia="黑体" w:hAnsi="黑体" w:hint="eastAsia"/>
          <w:b w:val="0"/>
        </w:rPr>
        <w:t>九、</w:t>
      </w:r>
      <w:r w:rsidR="00C50C39">
        <w:rPr>
          <w:rStyle w:val="2Char"/>
          <w:rFonts w:ascii="黑体" w:eastAsia="黑体" w:hAnsi="黑体" w:hint="eastAsia"/>
          <w:b w:val="0"/>
        </w:rPr>
        <w:t>国有资本经营预算支出决算情况说明</w:t>
      </w:r>
      <w:bookmarkEnd w:id="57"/>
      <w:bookmarkEnd w:id="58"/>
      <w:bookmarkEnd w:id="59"/>
    </w:p>
    <w:p w:rsidR="0011445E" w:rsidRDefault="00C50C39">
      <w:pPr>
        <w:spacing w:line="600" w:lineRule="exact"/>
        <w:ind w:firstLine="640"/>
        <w:rPr>
          <w:rFonts w:ascii="仿宋" w:eastAsia="仿宋" w:hAnsi="仿宋"/>
          <w:sz w:val="32"/>
          <w:szCs w:val="32"/>
        </w:rPr>
      </w:pPr>
      <w:r>
        <w:rPr>
          <w:rFonts w:ascii="仿宋" w:eastAsia="仿宋" w:hAnsi="仿宋" w:hint="eastAsia"/>
          <w:sz w:val="32"/>
          <w:szCs w:val="32"/>
        </w:rPr>
        <w:t>2023年度国有资本经营预算财政拨款支出</w:t>
      </w:r>
      <w:r>
        <w:rPr>
          <w:rFonts w:ascii="仿宋" w:eastAsia="仿宋" w:hAnsi="仿宋"/>
          <w:sz w:val="32"/>
          <w:szCs w:val="32"/>
        </w:rPr>
        <w:t>0</w:t>
      </w:r>
      <w:r>
        <w:rPr>
          <w:rFonts w:ascii="仿宋" w:eastAsia="仿宋" w:hAnsi="仿宋" w:hint="eastAsia"/>
          <w:sz w:val="32"/>
          <w:szCs w:val="32"/>
        </w:rPr>
        <w:t>万元。</w:t>
      </w:r>
    </w:p>
    <w:p w:rsidR="0011445E" w:rsidRPr="006C3999" w:rsidRDefault="006C3999" w:rsidP="006C3999">
      <w:pPr>
        <w:spacing w:line="600" w:lineRule="exact"/>
        <w:ind w:firstLineChars="200" w:firstLine="640"/>
        <w:outlineLvl w:val="1"/>
        <w:rPr>
          <w:rStyle w:val="2Char"/>
          <w:rFonts w:ascii="黑体" w:eastAsia="黑体" w:hAnsi="黑体"/>
          <w:bCs w:val="0"/>
        </w:rPr>
      </w:pPr>
      <w:bookmarkStart w:id="60" w:name="_Toc15396612"/>
      <w:bookmarkStart w:id="61" w:name="_Toc15377221"/>
      <w:bookmarkStart w:id="62" w:name="_Toc180654210"/>
      <w:r>
        <w:rPr>
          <w:rStyle w:val="2Char"/>
          <w:rFonts w:ascii="黑体" w:eastAsia="黑体" w:hAnsi="黑体" w:hint="eastAsia"/>
          <w:b w:val="0"/>
        </w:rPr>
        <w:t>十、</w:t>
      </w:r>
      <w:r w:rsidR="00C50C39">
        <w:rPr>
          <w:rStyle w:val="2Char"/>
          <w:rFonts w:ascii="黑体" w:eastAsia="黑体" w:hAnsi="黑体" w:hint="eastAsia"/>
          <w:b w:val="0"/>
        </w:rPr>
        <w:t>其他重要事项的情况说明</w:t>
      </w:r>
      <w:bookmarkEnd w:id="60"/>
      <w:bookmarkEnd w:id="61"/>
      <w:bookmarkEnd w:id="62"/>
    </w:p>
    <w:p w:rsidR="0011445E" w:rsidRDefault="00C50C39">
      <w:pPr>
        <w:spacing w:line="600" w:lineRule="exact"/>
        <w:ind w:firstLineChars="200" w:firstLine="640"/>
        <w:outlineLvl w:val="2"/>
        <w:rPr>
          <w:rFonts w:ascii="仿宋" w:eastAsia="仿宋" w:hAnsi="仿宋"/>
          <w:sz w:val="32"/>
          <w:szCs w:val="32"/>
        </w:rPr>
      </w:pPr>
      <w:bookmarkStart w:id="63" w:name="_Toc15377222"/>
      <w:r w:rsidRPr="00A3204C">
        <w:rPr>
          <w:rFonts w:ascii="仿宋" w:eastAsia="仿宋" w:hAnsi="仿宋" w:hint="eastAsia"/>
          <w:sz w:val="32"/>
          <w:szCs w:val="32"/>
        </w:rPr>
        <w:t>（一）机关运行经费支出情况</w:t>
      </w:r>
      <w:bookmarkEnd w:id="63"/>
    </w:p>
    <w:p w:rsidR="0011445E" w:rsidRDefault="00C50C39">
      <w:pPr>
        <w:spacing w:line="600" w:lineRule="exact"/>
        <w:ind w:firstLineChars="200" w:firstLine="640"/>
        <w:rPr>
          <w:rFonts w:ascii="仿宋" w:eastAsia="仿宋" w:hAnsi="仿宋"/>
          <w:sz w:val="32"/>
          <w:szCs w:val="32"/>
        </w:rPr>
      </w:pPr>
      <w:r>
        <w:rPr>
          <w:rFonts w:ascii="仿宋" w:eastAsia="仿宋" w:hAnsi="仿宋" w:hint="eastAsia"/>
          <w:sz w:val="32"/>
          <w:szCs w:val="32"/>
        </w:rPr>
        <w:t>2023年度，</w:t>
      </w:r>
      <w:r>
        <w:rPr>
          <w:rFonts w:ascii="仿宋" w:eastAsia="仿宋" w:hAnsi="仿宋"/>
          <w:sz w:val="32"/>
          <w:szCs w:val="32"/>
        </w:rPr>
        <w:t>大竹县社会保险事业管理局</w:t>
      </w:r>
      <w:r>
        <w:rPr>
          <w:rFonts w:ascii="仿宋" w:eastAsia="仿宋" w:hAnsi="仿宋" w:hint="eastAsia"/>
          <w:sz w:val="32"/>
          <w:szCs w:val="32"/>
        </w:rPr>
        <w:t>机关运行经费支出</w:t>
      </w:r>
      <w:r>
        <w:rPr>
          <w:rFonts w:ascii="仿宋" w:eastAsia="仿宋" w:hAnsi="仿宋"/>
          <w:sz w:val="32"/>
          <w:szCs w:val="32"/>
        </w:rPr>
        <w:t>70.95</w:t>
      </w:r>
      <w:r>
        <w:rPr>
          <w:rFonts w:ascii="仿宋" w:eastAsia="仿宋" w:hAnsi="仿宋" w:hint="eastAsia"/>
          <w:sz w:val="32"/>
          <w:szCs w:val="32"/>
        </w:rPr>
        <w:t>万元，比2022年度减少21.87万元，下降23.56</w:t>
      </w:r>
      <w:r>
        <w:rPr>
          <w:rFonts w:ascii="仿宋" w:eastAsia="仿宋" w:hAnsi="仿宋"/>
          <w:sz w:val="32"/>
          <w:szCs w:val="32"/>
        </w:rPr>
        <w:t>%</w:t>
      </w:r>
      <w:r>
        <w:rPr>
          <w:rFonts w:ascii="仿宋" w:eastAsia="仿宋" w:hAnsi="仿宋" w:hint="eastAsia"/>
          <w:sz w:val="32"/>
          <w:szCs w:val="32"/>
        </w:rPr>
        <w:t>。主要原因是2023年差旅费、电费等运转经费减少。</w:t>
      </w:r>
    </w:p>
    <w:p w:rsidR="0011445E" w:rsidRPr="00A3204C" w:rsidRDefault="00C50C39">
      <w:pPr>
        <w:autoSpaceDE w:val="0"/>
        <w:autoSpaceDN w:val="0"/>
        <w:adjustRightInd w:val="0"/>
        <w:spacing w:line="600" w:lineRule="exact"/>
        <w:ind w:firstLineChars="200" w:firstLine="640"/>
        <w:jc w:val="left"/>
        <w:outlineLvl w:val="2"/>
        <w:rPr>
          <w:rFonts w:ascii="仿宋" w:eastAsia="仿宋" w:hAnsi="仿宋"/>
          <w:sz w:val="32"/>
          <w:szCs w:val="32"/>
        </w:rPr>
      </w:pPr>
      <w:bookmarkStart w:id="64" w:name="_Toc15377223"/>
      <w:r w:rsidRPr="00A3204C">
        <w:rPr>
          <w:rFonts w:ascii="仿宋" w:eastAsia="仿宋" w:hAnsi="仿宋" w:hint="eastAsia"/>
          <w:sz w:val="32"/>
          <w:szCs w:val="32"/>
        </w:rPr>
        <w:t>（二）政府采购支出情况</w:t>
      </w:r>
      <w:bookmarkEnd w:id="64"/>
    </w:p>
    <w:p w:rsidR="0011445E" w:rsidRDefault="00C50C39">
      <w:pPr>
        <w:spacing w:line="600" w:lineRule="exact"/>
        <w:ind w:firstLineChars="200" w:firstLine="640"/>
        <w:rPr>
          <w:rFonts w:ascii="仿宋" w:eastAsia="仿宋" w:hAnsi="仿宋"/>
          <w:sz w:val="32"/>
          <w:szCs w:val="32"/>
        </w:rPr>
      </w:pPr>
      <w:r>
        <w:rPr>
          <w:rFonts w:ascii="仿宋" w:eastAsia="仿宋" w:hAnsi="仿宋" w:hint="eastAsia"/>
          <w:sz w:val="32"/>
          <w:szCs w:val="32"/>
        </w:rPr>
        <w:t>2023年度，</w:t>
      </w:r>
      <w:r>
        <w:rPr>
          <w:rFonts w:ascii="仿宋" w:eastAsia="仿宋" w:hAnsi="仿宋"/>
          <w:sz w:val="32"/>
          <w:szCs w:val="32"/>
        </w:rPr>
        <w:t>大竹县社会保险事业管理局</w:t>
      </w:r>
      <w:r>
        <w:rPr>
          <w:rFonts w:ascii="仿宋" w:eastAsia="仿宋" w:hAnsi="仿宋" w:hint="eastAsia"/>
          <w:sz w:val="32"/>
          <w:szCs w:val="32"/>
        </w:rPr>
        <w:t>政府采购支出总额</w:t>
      </w:r>
      <w:r>
        <w:rPr>
          <w:rFonts w:ascii="仿宋" w:eastAsia="仿宋" w:hAnsi="仿宋"/>
          <w:sz w:val="32"/>
          <w:szCs w:val="32"/>
        </w:rPr>
        <w:t>0</w:t>
      </w:r>
      <w:r>
        <w:rPr>
          <w:rFonts w:ascii="仿宋" w:eastAsia="仿宋" w:hAnsi="仿宋" w:hint="eastAsia"/>
          <w:sz w:val="32"/>
          <w:szCs w:val="32"/>
        </w:rPr>
        <w:t>万元。</w:t>
      </w:r>
    </w:p>
    <w:p w:rsidR="0011445E" w:rsidRPr="00A3204C" w:rsidRDefault="00C50C39">
      <w:pPr>
        <w:autoSpaceDE w:val="0"/>
        <w:autoSpaceDN w:val="0"/>
        <w:adjustRightInd w:val="0"/>
        <w:spacing w:line="600" w:lineRule="exact"/>
        <w:ind w:firstLineChars="200" w:firstLine="640"/>
        <w:jc w:val="left"/>
        <w:outlineLvl w:val="2"/>
        <w:rPr>
          <w:rFonts w:ascii="仿宋" w:eastAsia="仿宋" w:hAnsi="仿宋"/>
          <w:sz w:val="32"/>
          <w:szCs w:val="32"/>
        </w:rPr>
      </w:pPr>
      <w:bookmarkStart w:id="65" w:name="_Toc15377224"/>
      <w:r w:rsidRPr="00A3204C">
        <w:rPr>
          <w:rFonts w:ascii="仿宋" w:eastAsia="仿宋" w:hAnsi="仿宋" w:hint="eastAsia"/>
          <w:sz w:val="32"/>
          <w:szCs w:val="32"/>
        </w:rPr>
        <w:lastRenderedPageBreak/>
        <w:t>（三）国有资产占有使用情况</w:t>
      </w:r>
      <w:bookmarkEnd w:id="65"/>
    </w:p>
    <w:p w:rsidR="0011445E" w:rsidRDefault="00C50C39">
      <w:pPr>
        <w:autoSpaceDE w:val="0"/>
        <w:autoSpaceDN w:val="0"/>
        <w:adjustRightIn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截至2023年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w:t>
      </w:r>
      <w:r>
        <w:rPr>
          <w:rFonts w:ascii="仿宋" w:eastAsia="仿宋" w:hAnsi="仿宋"/>
          <w:sz w:val="32"/>
          <w:szCs w:val="32"/>
        </w:rPr>
        <w:t>大竹县社会保险事业管理局</w:t>
      </w:r>
      <w:r>
        <w:rPr>
          <w:rFonts w:ascii="仿宋" w:eastAsia="仿宋" w:hAnsi="仿宋" w:hint="eastAsia"/>
          <w:sz w:val="32"/>
          <w:szCs w:val="32"/>
        </w:rPr>
        <w:t>共有车辆0辆。</w:t>
      </w:r>
    </w:p>
    <w:p w:rsidR="0011445E" w:rsidRPr="00A3204C" w:rsidRDefault="00C50C39">
      <w:pPr>
        <w:autoSpaceDE w:val="0"/>
        <w:autoSpaceDN w:val="0"/>
        <w:adjustRightInd w:val="0"/>
        <w:spacing w:line="600" w:lineRule="exact"/>
        <w:ind w:firstLineChars="200" w:firstLine="640"/>
        <w:jc w:val="left"/>
        <w:outlineLvl w:val="2"/>
        <w:rPr>
          <w:rFonts w:ascii="仿宋" w:eastAsia="仿宋" w:hAnsi="仿宋"/>
          <w:sz w:val="32"/>
          <w:szCs w:val="32"/>
        </w:rPr>
      </w:pPr>
      <w:r w:rsidRPr="00A3204C">
        <w:rPr>
          <w:rFonts w:ascii="仿宋" w:eastAsia="仿宋" w:hAnsi="仿宋" w:hint="eastAsia"/>
          <w:sz w:val="32"/>
          <w:szCs w:val="32"/>
        </w:rPr>
        <w:t>（四）预算绩效管理情况</w:t>
      </w:r>
    </w:p>
    <w:p w:rsidR="0011445E" w:rsidRDefault="00C50C39">
      <w:pPr>
        <w:spacing w:line="600" w:lineRule="exact"/>
        <w:ind w:firstLineChars="200" w:firstLine="640"/>
        <w:rPr>
          <w:rFonts w:ascii="仿宋" w:eastAsia="仿宋" w:hAnsi="仿宋"/>
          <w:sz w:val="32"/>
          <w:szCs w:val="32"/>
        </w:rPr>
      </w:pPr>
      <w:r>
        <w:rPr>
          <w:rFonts w:ascii="仿宋" w:eastAsia="仿宋" w:hAnsi="仿宋" w:hint="eastAsia"/>
          <w:sz w:val="32"/>
          <w:szCs w:val="32"/>
        </w:rPr>
        <w:t>根据预算绩效管理要求，本单位在2023年度预算编制阶段，组织对6个项目编制了绩效目标，预算执行过程中，选取6个项目开展绩效监控，组织对6个项目开展绩效自评，绩效自评表详见第四部分附件。</w:t>
      </w:r>
    </w:p>
    <w:p w:rsidR="0011445E" w:rsidRDefault="00C50C39">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11445E" w:rsidRDefault="00C50C39">
      <w:pPr>
        <w:numPr>
          <w:ilvl w:val="0"/>
          <w:numId w:val="4"/>
        </w:numPr>
        <w:spacing w:line="600" w:lineRule="exact"/>
        <w:ind w:firstLineChars="150" w:firstLine="660"/>
        <w:jc w:val="center"/>
        <w:outlineLvl w:val="0"/>
        <w:rPr>
          <w:rStyle w:val="1Char"/>
          <w:rFonts w:ascii="黑体" w:eastAsia="黑体" w:hAnsi="黑体"/>
          <w:b w:val="0"/>
        </w:rPr>
      </w:pPr>
      <w:bookmarkStart w:id="66" w:name="_Toc15377225"/>
      <w:bookmarkStart w:id="67" w:name="_Toc15396613"/>
      <w:bookmarkStart w:id="68" w:name="_Toc180654211"/>
      <w:r>
        <w:rPr>
          <w:rFonts w:ascii="黑体" w:eastAsia="黑体" w:hAnsi="黑体" w:hint="eastAsia"/>
          <w:sz w:val="44"/>
          <w:szCs w:val="44"/>
        </w:rPr>
        <w:lastRenderedPageBreak/>
        <w:t>名</w:t>
      </w:r>
      <w:r>
        <w:rPr>
          <w:rStyle w:val="1Char"/>
          <w:rFonts w:ascii="黑体" w:eastAsia="黑体" w:hAnsi="黑体" w:hint="eastAsia"/>
          <w:b w:val="0"/>
        </w:rPr>
        <w:t>词解释</w:t>
      </w:r>
      <w:bookmarkEnd w:id="66"/>
      <w:bookmarkEnd w:id="67"/>
      <w:bookmarkEnd w:id="68"/>
    </w:p>
    <w:p w:rsidR="0011445E" w:rsidRDefault="0011445E">
      <w:pPr>
        <w:spacing w:line="600" w:lineRule="exact"/>
        <w:jc w:val="left"/>
        <w:rPr>
          <w:rFonts w:ascii="宋体"/>
          <w:b/>
          <w:sz w:val="44"/>
          <w:szCs w:val="44"/>
        </w:rPr>
      </w:pP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r>
        <w:rPr>
          <w:rFonts w:ascii="仿宋_GB2312" w:eastAsia="仿宋_GB2312"/>
          <w:color w:val="auto"/>
          <w:sz w:val="32"/>
          <w:szCs w:val="32"/>
        </w:rPr>
        <w:t xml:space="preserve"> </w:t>
      </w: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11445E" w:rsidRDefault="00C50C39">
      <w:pPr>
        <w:pStyle w:val="Default"/>
        <w:spacing w:line="560" w:lineRule="exact"/>
        <w:ind w:firstLineChars="200" w:firstLine="640"/>
        <w:rPr>
          <w:rFonts w:ascii="仿宋_GB2312" w:eastAsia="仿宋_GB2312" w:hint="eastAsia"/>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9.科学技术（206）其他科学技术支出（99）其他科学技术支出（99）：指反映其他科学技术支出中除以上各项外用于科技方面的支出。</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10.社会保障和就业（208）人力资源和社会保障管理事务（01）社会保险经办机构（09）：指反映社会保险经办机构开展业务工作的支出。</w:t>
      </w:r>
      <w:r>
        <w:rPr>
          <w:rFonts w:ascii="仿宋_GB2312" w:eastAsia="仿宋_GB2312" w:hAnsi="仿宋"/>
          <w:bCs/>
          <w:color w:val="000000"/>
          <w:kern w:val="0"/>
          <w:sz w:val="32"/>
          <w:szCs w:val="32"/>
        </w:rPr>
        <w:t xml:space="preserve"> </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lastRenderedPageBreak/>
        <w:t>11.社会保障和就业（208）人力资源和社会保障管理事务（01）其他人力资源和社会保障管理事务支出（99）：指反映除上述项目以外其他用于人力资源和社会保障管理事务方面的支出。</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12.社会保障和就业（208）行政事业单位养老支出（05）行政单位离退休（01）</w:t>
      </w:r>
      <w:r>
        <w:rPr>
          <w:rFonts w:ascii="仿宋_GB2312" w:eastAsia="仿宋_GB2312" w:hAnsi="仿宋"/>
          <w:bCs/>
          <w:color w:val="000000"/>
          <w:kern w:val="0"/>
          <w:sz w:val="32"/>
          <w:szCs w:val="32"/>
        </w:rPr>
        <w:t xml:space="preserve">: </w:t>
      </w:r>
      <w:r>
        <w:rPr>
          <w:rFonts w:ascii="仿宋_GB2312" w:eastAsia="仿宋_GB2312" w:hAnsi="仿宋" w:hint="eastAsia"/>
          <w:bCs/>
          <w:color w:val="000000"/>
          <w:kern w:val="0"/>
          <w:sz w:val="32"/>
          <w:szCs w:val="32"/>
        </w:rPr>
        <w:t>指反映行政单位（包括实行公务员管理的事业单位）开支的离退休经费。</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13.社会保障和就业（208）行政事业单位养老支出（05）机关事业单位基本养老保险缴费支出（05）</w:t>
      </w:r>
      <w:r>
        <w:rPr>
          <w:rFonts w:ascii="仿宋_GB2312" w:eastAsia="仿宋_GB2312" w:hAnsi="仿宋"/>
          <w:bCs/>
          <w:color w:val="000000"/>
          <w:kern w:val="0"/>
          <w:sz w:val="32"/>
          <w:szCs w:val="32"/>
        </w:rPr>
        <w:t xml:space="preserve">: </w:t>
      </w:r>
      <w:r>
        <w:rPr>
          <w:rFonts w:ascii="仿宋_GB2312" w:eastAsia="仿宋_GB2312" w:hAnsi="仿宋" w:hint="eastAsia"/>
          <w:bCs/>
          <w:color w:val="000000"/>
          <w:kern w:val="0"/>
          <w:sz w:val="32"/>
          <w:szCs w:val="32"/>
        </w:rPr>
        <w:t>指反映机关事业单位实施养老保险制度由单位缴纳的基本养老保险费支出。</w:t>
      </w:r>
    </w:p>
    <w:p w:rsidR="0011445E" w:rsidRDefault="00C50C39">
      <w:pPr>
        <w:spacing w:line="570" w:lineRule="exact"/>
        <w:ind w:firstLineChars="200" w:firstLine="640"/>
        <w:rPr>
          <w:rFonts w:ascii="仿宋_GB2312" w:eastAsia="仿宋_GB2312" w:hAnsi="仿宋"/>
          <w:bCs/>
          <w:color w:val="000000"/>
          <w:kern w:val="0"/>
          <w:sz w:val="32"/>
          <w:szCs w:val="32"/>
          <w:highlight w:val="yellow"/>
        </w:rPr>
      </w:pPr>
      <w:r>
        <w:rPr>
          <w:rFonts w:ascii="仿宋_GB2312" w:eastAsia="仿宋_GB2312" w:hAnsi="仿宋" w:hint="eastAsia"/>
          <w:bCs/>
          <w:color w:val="000000"/>
          <w:kern w:val="0"/>
          <w:sz w:val="32"/>
          <w:szCs w:val="32"/>
        </w:rPr>
        <w:t>14.社会保障和就业（208）行政事业单位养老支出（05）机关事业单位职业年金缴费支出（06）</w:t>
      </w:r>
      <w:r>
        <w:rPr>
          <w:rFonts w:ascii="仿宋_GB2312" w:eastAsia="仿宋_GB2312" w:hAnsi="仿宋"/>
          <w:bCs/>
          <w:color w:val="000000"/>
          <w:kern w:val="0"/>
          <w:sz w:val="32"/>
          <w:szCs w:val="32"/>
        </w:rPr>
        <w:t xml:space="preserve">: </w:t>
      </w:r>
      <w:r>
        <w:rPr>
          <w:rFonts w:ascii="仿宋_GB2312" w:eastAsia="仿宋_GB2312" w:hAnsi="仿宋" w:hint="eastAsia"/>
          <w:bCs/>
          <w:color w:val="000000"/>
          <w:kern w:val="0"/>
          <w:sz w:val="32"/>
          <w:szCs w:val="32"/>
        </w:rPr>
        <w:t>指反映机关事业单位实施养老保险制度由单位实际缴纳的职业年金支出。</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15.社会保障和就业（208）其他社会保障和就业支出（99）其他社会保障和就业支出（99）</w:t>
      </w:r>
      <w:r>
        <w:rPr>
          <w:rFonts w:ascii="仿宋_GB2312" w:eastAsia="仿宋_GB2312" w:hAnsi="仿宋"/>
          <w:bCs/>
          <w:color w:val="000000"/>
          <w:kern w:val="0"/>
          <w:sz w:val="32"/>
          <w:szCs w:val="32"/>
        </w:rPr>
        <w:t xml:space="preserve">: </w:t>
      </w:r>
      <w:r>
        <w:rPr>
          <w:rFonts w:ascii="仿宋_GB2312" w:eastAsia="仿宋_GB2312" w:hAnsi="仿宋" w:hint="eastAsia"/>
          <w:bCs/>
          <w:color w:val="000000"/>
          <w:kern w:val="0"/>
          <w:sz w:val="32"/>
          <w:szCs w:val="32"/>
        </w:rPr>
        <w:t>指反映除上述项目以外其他用于社会保障和就业方面的支出。</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16.卫生健康（210）行政事业单位医疗（11）行政单位医疗（01）</w:t>
      </w:r>
      <w:r>
        <w:rPr>
          <w:rFonts w:ascii="仿宋_GB2312" w:eastAsia="仿宋_GB2312" w:hAnsi="仿宋"/>
          <w:bCs/>
          <w:color w:val="000000"/>
          <w:kern w:val="0"/>
          <w:sz w:val="32"/>
          <w:szCs w:val="32"/>
        </w:rPr>
        <w:t xml:space="preserve">: </w:t>
      </w:r>
      <w:r>
        <w:rPr>
          <w:rFonts w:ascii="仿宋_GB2312" w:eastAsia="仿宋_GB2312" w:hAnsi="仿宋" w:hint="eastAsia"/>
          <w:bCs/>
          <w:color w:val="000000"/>
          <w:kern w:val="0"/>
          <w:sz w:val="32"/>
          <w:szCs w:val="32"/>
        </w:rPr>
        <w:t>指反映财政部门安排的行政单位（包括实行公务员管理的事业单位，下同）基本医疗保险缴费经费，未参加医疗保险的行政单位的公费医疗经费，按国家规定享受离退休人员、红军老战士待遇人员的医疗经费。</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17.卫生健康（210）行政事业单位医疗（11）公务员医疗补助（03）</w:t>
      </w:r>
      <w:r>
        <w:rPr>
          <w:rFonts w:ascii="仿宋_GB2312" w:eastAsia="仿宋_GB2312" w:hAnsi="仿宋"/>
          <w:bCs/>
          <w:color w:val="000000"/>
          <w:kern w:val="0"/>
          <w:sz w:val="32"/>
          <w:szCs w:val="32"/>
        </w:rPr>
        <w:t xml:space="preserve">: </w:t>
      </w:r>
      <w:r>
        <w:rPr>
          <w:rFonts w:ascii="仿宋_GB2312" w:eastAsia="仿宋_GB2312" w:hAnsi="仿宋" w:hint="eastAsia"/>
          <w:bCs/>
          <w:color w:val="000000"/>
          <w:kern w:val="0"/>
          <w:sz w:val="32"/>
          <w:szCs w:val="32"/>
        </w:rPr>
        <w:t>指反映财政部门安排的公务员医疗补助经费。</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lastRenderedPageBreak/>
        <w:t>18.住房保障（221）住房改革支出（02）住房公积金（01）</w:t>
      </w:r>
      <w:r>
        <w:rPr>
          <w:rFonts w:ascii="仿宋_GB2312" w:eastAsia="仿宋_GB2312" w:hAnsi="仿宋"/>
          <w:bCs/>
          <w:color w:val="000000"/>
          <w:kern w:val="0"/>
          <w:sz w:val="32"/>
          <w:szCs w:val="32"/>
        </w:rPr>
        <w:t xml:space="preserve">: </w:t>
      </w:r>
      <w:r>
        <w:rPr>
          <w:rFonts w:ascii="仿宋_GB2312" w:eastAsia="仿宋_GB2312" w:hAnsi="仿宋" w:hint="eastAsia"/>
          <w:bCs/>
          <w:color w:val="000000"/>
          <w:kern w:val="0"/>
          <w:sz w:val="32"/>
          <w:szCs w:val="32"/>
        </w:rPr>
        <w:t>指反映行政事业单位按人力资源和社会保障部、财政部规定的基本工资和津贴补贴以及规定比例为职工缴纳的住房公积金。</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19</w:t>
      </w:r>
      <w:r>
        <w:rPr>
          <w:rFonts w:ascii="仿宋_GB2312" w:eastAsia="仿宋_GB2312" w:hAnsi="仿宋"/>
          <w:bCs/>
          <w:color w:val="000000"/>
          <w:kern w:val="0"/>
          <w:sz w:val="32"/>
          <w:szCs w:val="32"/>
        </w:rPr>
        <w:t>.</w:t>
      </w:r>
      <w:r>
        <w:rPr>
          <w:rFonts w:ascii="仿宋_GB2312" w:eastAsia="仿宋_GB2312" w:hAnsi="仿宋" w:hint="eastAsia"/>
          <w:bCs/>
          <w:color w:val="000000"/>
          <w:kern w:val="0"/>
          <w:sz w:val="32"/>
          <w:szCs w:val="32"/>
        </w:rPr>
        <w:t>基本支出：指为保障机构正常运转、完成日常工作任务而发生的人员支出和公用支出。</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bCs/>
          <w:color w:val="000000"/>
          <w:kern w:val="0"/>
          <w:sz w:val="32"/>
          <w:szCs w:val="32"/>
        </w:rPr>
        <w:t>2</w:t>
      </w:r>
      <w:r>
        <w:rPr>
          <w:rFonts w:ascii="仿宋_GB2312" w:eastAsia="仿宋_GB2312" w:hAnsi="仿宋" w:hint="eastAsia"/>
          <w:bCs/>
          <w:color w:val="000000"/>
          <w:kern w:val="0"/>
          <w:sz w:val="32"/>
          <w:szCs w:val="32"/>
        </w:rPr>
        <w:t>0</w:t>
      </w:r>
      <w:r>
        <w:rPr>
          <w:rFonts w:ascii="仿宋_GB2312" w:eastAsia="仿宋_GB2312" w:hAnsi="仿宋"/>
          <w:bCs/>
          <w:color w:val="000000"/>
          <w:kern w:val="0"/>
          <w:sz w:val="32"/>
          <w:szCs w:val="32"/>
        </w:rPr>
        <w:t>.</w:t>
      </w:r>
      <w:r>
        <w:rPr>
          <w:rFonts w:ascii="仿宋_GB2312" w:eastAsia="仿宋_GB2312" w:hAnsi="仿宋" w:hint="eastAsia"/>
          <w:bCs/>
          <w:color w:val="000000"/>
          <w:kern w:val="0"/>
          <w:sz w:val="32"/>
          <w:szCs w:val="32"/>
        </w:rPr>
        <w:t>项目支出：指在基本支出之外为完成特定行政任务和事业发展目标所发生的支出。</w:t>
      </w:r>
      <w:r>
        <w:rPr>
          <w:rFonts w:ascii="仿宋_GB2312" w:eastAsia="仿宋_GB2312" w:hAnsi="仿宋"/>
          <w:bCs/>
          <w:color w:val="000000"/>
          <w:kern w:val="0"/>
          <w:sz w:val="32"/>
          <w:szCs w:val="32"/>
        </w:rPr>
        <w:t xml:space="preserve"> </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bCs/>
          <w:color w:val="000000"/>
          <w:kern w:val="0"/>
          <w:sz w:val="32"/>
          <w:szCs w:val="32"/>
        </w:rPr>
        <w:t>2</w:t>
      </w:r>
      <w:r>
        <w:rPr>
          <w:rFonts w:ascii="仿宋_GB2312" w:eastAsia="仿宋_GB2312" w:hAnsi="仿宋" w:hint="eastAsia"/>
          <w:bCs/>
          <w:color w:val="000000"/>
          <w:kern w:val="0"/>
          <w:sz w:val="32"/>
          <w:szCs w:val="32"/>
        </w:rPr>
        <w:t>1</w:t>
      </w:r>
      <w:r>
        <w:rPr>
          <w:rFonts w:ascii="仿宋_GB2312" w:eastAsia="仿宋_GB2312" w:hAnsi="仿宋"/>
          <w:bCs/>
          <w:color w:val="000000"/>
          <w:kern w:val="0"/>
          <w:sz w:val="32"/>
          <w:szCs w:val="32"/>
        </w:rPr>
        <w:t>.</w:t>
      </w:r>
      <w:r>
        <w:rPr>
          <w:rFonts w:ascii="仿宋_GB2312" w:eastAsia="仿宋_GB2312" w:hAnsi="仿宋" w:hint="eastAsia"/>
          <w:bCs/>
          <w:color w:val="000000"/>
          <w:kern w:val="0"/>
          <w:sz w:val="32"/>
          <w:szCs w:val="32"/>
        </w:rPr>
        <w:t>经营支出：指事业单位在专业业务活动及其辅助活动之外开展非独立核算经营活动发生的支出。</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22</w:t>
      </w:r>
      <w:r>
        <w:rPr>
          <w:rFonts w:ascii="仿宋_GB2312" w:eastAsia="仿宋_GB2312" w:hAnsi="仿宋"/>
          <w:bCs/>
          <w:color w:val="000000"/>
          <w:kern w:val="0"/>
          <w:sz w:val="32"/>
          <w:szCs w:val="32"/>
        </w:rPr>
        <w:t>.</w:t>
      </w:r>
      <w:r>
        <w:rPr>
          <w:rFonts w:ascii="仿宋_GB2312" w:eastAsia="仿宋_GB2312" w:hAnsi="仿宋" w:hint="eastAsia"/>
          <w:bCs/>
          <w:color w:val="000000"/>
          <w:kern w:val="0"/>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1445E" w:rsidRDefault="00C50C39">
      <w:pPr>
        <w:spacing w:line="570" w:lineRule="exact"/>
        <w:ind w:firstLineChars="200"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23</w:t>
      </w:r>
      <w:r>
        <w:rPr>
          <w:rFonts w:ascii="仿宋_GB2312" w:eastAsia="仿宋_GB2312" w:hAnsi="仿宋"/>
          <w:bCs/>
          <w:color w:val="000000"/>
          <w:kern w:val="0"/>
          <w:sz w:val="32"/>
          <w:szCs w:val="32"/>
        </w:rPr>
        <w:t>.</w:t>
      </w:r>
      <w:r>
        <w:rPr>
          <w:rFonts w:ascii="仿宋_GB2312" w:eastAsia="仿宋_GB2312" w:hAnsi="仿宋" w:hint="eastAsia"/>
          <w:bCs/>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1445E" w:rsidRDefault="00C50C39">
      <w:pPr>
        <w:spacing w:line="600" w:lineRule="exact"/>
        <w:jc w:val="center"/>
        <w:outlineLvl w:val="0"/>
        <w:rPr>
          <w:rStyle w:val="1Char"/>
          <w:rFonts w:ascii="黑体" w:eastAsia="黑体" w:hAnsi="黑体"/>
          <w:b w:val="0"/>
        </w:rPr>
      </w:pPr>
      <w:bookmarkStart w:id="69" w:name="_Toc15377226"/>
      <w:r>
        <w:rPr>
          <w:rFonts w:ascii="宋体"/>
          <w:b/>
          <w:sz w:val="44"/>
          <w:szCs w:val="44"/>
        </w:rPr>
        <w:br w:type="page"/>
      </w:r>
      <w:bookmarkStart w:id="70" w:name="_Toc15396614"/>
      <w:bookmarkStart w:id="71" w:name="_Toc180654212"/>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70"/>
      <w:bookmarkEnd w:id="71"/>
    </w:p>
    <w:p w:rsidR="0011445E" w:rsidRDefault="0011445E">
      <w:pPr>
        <w:spacing w:line="572" w:lineRule="exact"/>
        <w:jc w:val="left"/>
        <w:rPr>
          <w:rFonts w:ascii="仿宋_GB2312" w:eastAsia="仿宋_GB2312" w:hAnsi="仿宋_GB2312" w:cs="仿宋_GB2312"/>
          <w:sz w:val="32"/>
          <w:szCs w:val="32"/>
        </w:rPr>
      </w:pPr>
    </w:p>
    <w:p w:rsidR="0011445E" w:rsidRDefault="00C50C39">
      <w:pPr>
        <w:spacing w:line="600" w:lineRule="exact"/>
        <w:jc w:val="center"/>
        <w:rPr>
          <w:sz w:val="32"/>
          <w:szCs w:val="32"/>
        </w:rPr>
      </w:pPr>
      <w:bookmarkStart w:id="72" w:name="_Toc15396618"/>
      <w:r>
        <w:rPr>
          <w:rFonts w:hint="eastAsia"/>
          <w:sz w:val="32"/>
          <w:szCs w:val="32"/>
        </w:rPr>
        <w:t>部门整体支出绩效自评表（</w:t>
      </w:r>
      <w:r>
        <w:rPr>
          <w:rFonts w:hint="eastAsia"/>
          <w:sz w:val="32"/>
          <w:szCs w:val="32"/>
        </w:rPr>
        <w:t>2023</w:t>
      </w:r>
      <w:r>
        <w:rPr>
          <w:rFonts w:hint="eastAsia"/>
          <w:sz w:val="32"/>
          <w:szCs w:val="32"/>
        </w:rPr>
        <w:t>年度）</w:t>
      </w:r>
    </w:p>
    <w:tbl>
      <w:tblPr>
        <w:tblW w:w="5000" w:type="pct"/>
        <w:tblLook w:val="04A0"/>
      </w:tblPr>
      <w:tblGrid>
        <w:gridCol w:w="812"/>
        <w:gridCol w:w="1007"/>
        <w:gridCol w:w="1009"/>
        <w:gridCol w:w="1556"/>
        <w:gridCol w:w="811"/>
        <w:gridCol w:w="943"/>
        <w:gridCol w:w="614"/>
        <w:gridCol w:w="470"/>
        <w:gridCol w:w="1300"/>
      </w:tblGrid>
      <w:tr w:rsidR="0011445E">
        <w:trPr>
          <w:trHeight w:val="570"/>
        </w:trPr>
        <w:tc>
          <w:tcPr>
            <w:tcW w:w="16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部门名称</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大竹县社会保险事业管理局部门</w:t>
            </w:r>
          </w:p>
        </w:tc>
      </w:tr>
      <w:tr w:rsidR="0011445E">
        <w:trPr>
          <w:trHeight w:val="570"/>
        </w:trPr>
        <w:tc>
          <w:tcPr>
            <w:tcW w:w="476"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年度部门整体支出预算</w:t>
            </w: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资金总额</w:t>
            </w:r>
          </w:p>
        </w:tc>
        <w:tc>
          <w:tcPr>
            <w:tcW w:w="1389" w:type="pct"/>
            <w:gridSpan w:val="2"/>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952" w:type="pct"/>
            <w:gridSpan w:val="4"/>
            <w:tcBorders>
              <w:top w:val="nil"/>
              <w:left w:val="single" w:sz="4" w:space="0" w:color="auto"/>
              <w:bottom w:val="single" w:sz="4" w:space="0" w:color="auto"/>
              <w:right w:val="single" w:sz="4" w:space="0" w:color="auto"/>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right"/>
              <w:rPr>
                <w:rFonts w:ascii="宋体" w:hAnsi="宋体" w:cs="宋体"/>
                <w:color w:val="000000"/>
                <w:kern w:val="0"/>
                <w:sz w:val="18"/>
                <w:szCs w:val="18"/>
              </w:rPr>
            </w:pPr>
            <w:r>
              <w:rPr>
                <w:rFonts w:ascii="宋体" w:hAnsi="宋体" w:cs="宋体" w:hint="eastAsia"/>
                <w:color w:val="000000"/>
                <w:kern w:val="0"/>
                <w:sz w:val="18"/>
                <w:szCs w:val="18"/>
              </w:rPr>
              <w:t>10,273.76</w:t>
            </w:r>
          </w:p>
        </w:tc>
        <w:tc>
          <w:tcPr>
            <w:tcW w:w="1389"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right"/>
              <w:rPr>
                <w:rFonts w:ascii="宋体" w:hAnsi="宋体" w:cs="宋体"/>
                <w:color w:val="000000"/>
                <w:kern w:val="0"/>
                <w:sz w:val="18"/>
                <w:szCs w:val="18"/>
              </w:rPr>
            </w:pPr>
            <w:r>
              <w:rPr>
                <w:rFonts w:ascii="宋体" w:hAnsi="宋体" w:cs="宋体" w:hint="eastAsia"/>
                <w:color w:val="000000"/>
                <w:kern w:val="0"/>
                <w:sz w:val="18"/>
                <w:szCs w:val="18"/>
              </w:rPr>
              <w:t>10,273.76</w:t>
            </w:r>
          </w:p>
        </w:tc>
        <w:tc>
          <w:tcPr>
            <w:tcW w:w="19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r>
      <w:tr w:rsidR="0011445E">
        <w:trPr>
          <w:trHeight w:val="2262"/>
        </w:trPr>
        <w:tc>
          <w:tcPr>
            <w:tcW w:w="476"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年度总体目标</w:t>
            </w:r>
          </w:p>
        </w:tc>
        <w:tc>
          <w:tcPr>
            <w:tcW w:w="4524" w:type="pct"/>
            <w:gridSpan w:val="8"/>
            <w:tcBorders>
              <w:top w:val="nil"/>
              <w:left w:val="nil"/>
              <w:bottom w:val="nil"/>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1、贯彻落实国家、省、市、县各级政府的方针政策，奋力做好社会保险管理服务工作；</w:t>
            </w:r>
            <w:r>
              <w:rPr>
                <w:rFonts w:ascii="宋体" w:hAnsi="宋体" w:cs="宋体" w:hint="eastAsia"/>
                <w:color w:val="000000"/>
                <w:kern w:val="0"/>
                <w:sz w:val="18"/>
                <w:szCs w:val="18"/>
              </w:rPr>
              <w:br/>
              <w:t>2、全面完成省、市、县各项工作考核目标；</w:t>
            </w:r>
            <w:r>
              <w:rPr>
                <w:rFonts w:ascii="宋体" w:hAnsi="宋体" w:cs="宋体" w:hint="eastAsia"/>
                <w:color w:val="000000"/>
                <w:kern w:val="0"/>
                <w:sz w:val="18"/>
                <w:szCs w:val="18"/>
              </w:rPr>
              <w:br/>
              <w:t>3、做好各险种申报、稽核、管理、监督与审计工作，提升全民参保率；</w:t>
            </w:r>
            <w:r>
              <w:rPr>
                <w:rFonts w:ascii="宋体" w:hAnsi="宋体" w:cs="宋体" w:hint="eastAsia"/>
                <w:color w:val="000000"/>
                <w:kern w:val="0"/>
                <w:sz w:val="18"/>
                <w:szCs w:val="18"/>
              </w:rPr>
              <w:br/>
              <w:t>4、保障退休人员养老待遇足额及时发放，跟踪了解退休人员生存状况及资格认证；</w:t>
            </w:r>
            <w:r>
              <w:rPr>
                <w:rFonts w:ascii="宋体" w:hAnsi="宋体" w:cs="宋体" w:hint="eastAsia"/>
                <w:color w:val="000000"/>
                <w:kern w:val="0"/>
                <w:sz w:val="18"/>
                <w:szCs w:val="18"/>
              </w:rPr>
              <w:br/>
              <w:t>5、大力宣传社保政策，主动深入基层，为群众提供社会保险政策咨询服务；</w:t>
            </w:r>
            <w:r>
              <w:rPr>
                <w:rFonts w:ascii="宋体" w:hAnsi="宋体" w:cs="宋体" w:hint="eastAsia"/>
                <w:color w:val="000000"/>
                <w:kern w:val="0"/>
                <w:sz w:val="18"/>
                <w:szCs w:val="18"/>
              </w:rPr>
              <w:br/>
              <w:t>6、保障建国初期老干部、离休人员及其遗属津补贴及时足额到位；</w:t>
            </w:r>
            <w:r>
              <w:rPr>
                <w:rFonts w:ascii="宋体" w:hAnsi="宋体" w:cs="宋体" w:hint="eastAsia"/>
                <w:color w:val="000000"/>
                <w:kern w:val="0"/>
                <w:sz w:val="18"/>
                <w:szCs w:val="18"/>
              </w:rPr>
              <w:br/>
              <w:t>7、保障被征地农民社保费用及时足额到位；</w:t>
            </w:r>
            <w:r>
              <w:rPr>
                <w:rFonts w:ascii="宋体" w:hAnsi="宋体" w:cs="宋体" w:hint="eastAsia"/>
                <w:color w:val="000000"/>
                <w:kern w:val="0"/>
                <w:sz w:val="18"/>
                <w:szCs w:val="18"/>
              </w:rPr>
              <w:br/>
              <w:t>8、负责社保基金的管理、结算与支付，确保社保基金安全；</w:t>
            </w:r>
            <w:r>
              <w:rPr>
                <w:rFonts w:ascii="宋体" w:hAnsi="宋体" w:cs="宋体" w:hint="eastAsia"/>
                <w:color w:val="000000"/>
                <w:kern w:val="0"/>
                <w:sz w:val="18"/>
                <w:szCs w:val="18"/>
              </w:rPr>
              <w:br/>
              <w:t>9、安全管理个人退休档案、社保业务档案，做到有档可查，有档可依；</w:t>
            </w:r>
            <w:r>
              <w:rPr>
                <w:rFonts w:ascii="宋体" w:hAnsi="宋体" w:cs="宋体" w:hint="eastAsia"/>
                <w:color w:val="000000"/>
                <w:kern w:val="0"/>
                <w:sz w:val="18"/>
                <w:szCs w:val="18"/>
              </w:rPr>
              <w:br/>
              <w:t>10、维护网络安全，保障日常办公运转。</w:t>
            </w:r>
          </w:p>
        </w:tc>
      </w:tr>
      <w:tr w:rsidR="0011445E">
        <w:trPr>
          <w:trHeight w:val="570"/>
        </w:trPr>
        <w:tc>
          <w:tcPr>
            <w:tcW w:w="476"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年度主要任务</w:t>
            </w: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任务名称</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主要内容</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退役军人养老保险服务</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贯彻执行党和国家有关退役军人事务的方针政策、法律法规，负责全县退役军人养老保险的接续、缴费工作</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信息系统建设与维护</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专网搭建，确保金保网、金财网专网畅通</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政策宣传</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负责社保相关政策的宣传、咨询与解答</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征地项目养老保险服务</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负责全县征地项目养老保险补偿费的核算、管理，核定代缴费补贴、生活补贴等被征地农民养老保障资金</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退休管理</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负责全县企业职工、机关事业单位养老保险待遇的计算、发放；编制养老保险基金支付计划；享受待遇人员基础数据的管理、维护、生存认证；计发丧葬抚恤金</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社保基金管理</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查询、确认基金到账情况，负责社保基金的管理、结算与支付</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机关养老保险服务</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负责全县机关事业单位养老保险、职业年金的参保登记、信息变更、征收缴费</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档案管理</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负责全县个人退休档案、日常社保工作业务档案管理；开展档案信息服务工作，建立方便人民群众的档案利用体系</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灵活就业人员社保服务</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负责全县灵活就业人员的社保参保登记和注销；受理参保人员基本信息查询、限时办结业务；办理灵活就业人员退休业务；群众政策咨询与解答</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企业“三险”管理</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执行国家和本省有关社会保险工作的方针政策，依法经办全县企业养老、工伤、失业社会保险业务</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1183" w:type="pct"/>
            <w:gridSpan w:val="2"/>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建国初期老干部及其遗属津补贴代发</w:t>
            </w: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及时足额发放建国初期老干部困难补助、离休人员津补贴及遗属生活补贴</w:t>
            </w:r>
          </w:p>
        </w:tc>
      </w:tr>
      <w:tr w:rsidR="0011445E">
        <w:trPr>
          <w:trHeight w:val="570"/>
        </w:trPr>
        <w:tc>
          <w:tcPr>
            <w:tcW w:w="476"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年度绩效指标</w:t>
            </w:r>
          </w:p>
        </w:tc>
        <w:tc>
          <w:tcPr>
            <w:tcW w:w="591"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5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绩效指标性质</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绩效指标值</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绩效度量单位</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763" w:type="pct"/>
            <w:tcBorders>
              <w:top w:val="nil"/>
              <w:left w:val="single" w:sz="4" w:space="0" w:color="auto"/>
              <w:bottom w:val="single" w:sz="4" w:space="0" w:color="auto"/>
              <w:right w:val="single" w:sz="4" w:space="0" w:color="auto"/>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实际完成指标值</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92"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工伤保险参保人数</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40000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45677</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机关养老保险参保人数</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16000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16741</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老干部、离休人员及其遗属津补贴发放人数</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灵活就业养老保险参保人数</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50000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54283</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企业养老保险参保人数</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20000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22587</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档案数字化页数</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万页</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失地农民社保清偿比例</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退休待遇发放人数</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65000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人</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75022</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宣传资料数量</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份</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50000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窗口业务办结率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95</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98%</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档案数字化清晰度</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99</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老干部津补贴代发率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社保基金安全率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失地农民社保清欠资金保障率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退休待遇发放率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网络全年畅通率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95</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97%</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老干部津补贴代发及时率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社保清欠及时清偿率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退休费按时发放</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31</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日</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20日之前</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业务办结期限</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92"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运转保障率</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98</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保障参保人、失地农民、退休老干部权益，维护社会稳定</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专网专用，高效便捷，提高工作效率，保障数据安全</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可持续发展指标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提升群众对社保政策的了解，推动全民参保</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良</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592"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定性</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高中低</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优</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592"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老干部困难补助发放标准</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6840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元/人年</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7140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离休干部津补贴发放标准</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34773</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元/人年</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34773</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离休干部遗属人员生活补贴发放标准</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12480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元/人年</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12480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档案数字化加工单价</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元</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0</w:t>
            </w:r>
          </w:p>
        </w:tc>
      </w:tr>
      <w:tr w:rsidR="0011445E">
        <w:trPr>
          <w:trHeight w:val="570"/>
        </w:trPr>
        <w:tc>
          <w:tcPr>
            <w:tcW w:w="476"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9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91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网络费用</w:t>
            </w:r>
          </w:p>
        </w:tc>
        <w:tc>
          <w:tcPr>
            <w:tcW w:w="476"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53"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15000</w:t>
            </w:r>
          </w:p>
        </w:tc>
        <w:tc>
          <w:tcPr>
            <w:tcW w:w="36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元/月</w:t>
            </w:r>
          </w:p>
        </w:tc>
        <w:tc>
          <w:tcPr>
            <w:tcW w:w="276" w:type="pct"/>
            <w:tcBorders>
              <w:top w:val="nil"/>
              <w:left w:val="nil"/>
              <w:bottom w:val="single" w:sz="4" w:space="0" w:color="000000"/>
              <w:right w:val="nil"/>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p>
        </w:tc>
        <w:tc>
          <w:tcPr>
            <w:tcW w:w="763"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9500</w:t>
            </w:r>
          </w:p>
        </w:tc>
      </w:tr>
    </w:tbl>
    <w:p w:rsidR="0011445E" w:rsidRDefault="0011445E">
      <w:pPr>
        <w:spacing w:line="570" w:lineRule="exact"/>
        <w:jc w:val="center"/>
        <w:rPr>
          <w:sz w:val="32"/>
          <w:szCs w:val="32"/>
        </w:rPr>
      </w:pPr>
    </w:p>
    <w:p w:rsidR="0011445E" w:rsidRDefault="00C50C39">
      <w:pPr>
        <w:spacing w:line="600" w:lineRule="exact"/>
        <w:jc w:val="center"/>
        <w:rPr>
          <w:sz w:val="32"/>
        </w:rPr>
      </w:pPr>
      <w:r>
        <w:rPr>
          <w:rFonts w:hint="eastAsia"/>
          <w:sz w:val="32"/>
          <w:szCs w:val="32"/>
        </w:rPr>
        <w:t>部门预算项目支出绩效自评表（</w:t>
      </w:r>
      <w:r>
        <w:rPr>
          <w:rFonts w:hint="eastAsia"/>
          <w:sz w:val="32"/>
          <w:szCs w:val="32"/>
        </w:rPr>
        <w:t>2023</w:t>
      </w:r>
      <w:r>
        <w:rPr>
          <w:rFonts w:hint="eastAsia"/>
          <w:sz w:val="32"/>
          <w:szCs w:val="32"/>
        </w:rPr>
        <w:t>年度）</w:t>
      </w:r>
    </w:p>
    <w:tbl>
      <w:tblPr>
        <w:tblW w:w="5000" w:type="pct"/>
        <w:tblLook w:val="04A0"/>
      </w:tblPr>
      <w:tblGrid>
        <w:gridCol w:w="576"/>
        <w:gridCol w:w="1068"/>
        <w:gridCol w:w="898"/>
        <w:gridCol w:w="1186"/>
        <w:gridCol w:w="397"/>
        <w:gridCol w:w="839"/>
        <w:gridCol w:w="397"/>
        <w:gridCol w:w="912"/>
        <w:gridCol w:w="486"/>
        <w:gridCol w:w="396"/>
        <w:gridCol w:w="1367"/>
      </w:tblGrid>
      <w:tr w:rsidR="0011445E">
        <w:trPr>
          <w:trHeight w:val="285"/>
        </w:trPr>
        <w:tc>
          <w:tcPr>
            <w:tcW w:w="9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4035"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建国初期老干部困难补助、离休人员津补贴及遗属生活补贴</w:t>
            </w:r>
          </w:p>
        </w:tc>
      </w:tr>
      <w:tr w:rsidR="0011445E">
        <w:trPr>
          <w:trHeight w:val="514"/>
        </w:trPr>
        <w:tc>
          <w:tcPr>
            <w:tcW w:w="9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2181"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大竹县社会保险事业管理局部门</w:t>
            </w:r>
          </w:p>
        </w:tc>
        <w:tc>
          <w:tcPr>
            <w:tcW w:w="535" w:type="pct"/>
            <w:tcBorders>
              <w:top w:val="nil"/>
              <w:left w:val="nil"/>
              <w:bottom w:val="nil"/>
              <w:right w:val="nil"/>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实施单位</w:t>
            </w:r>
            <w:r>
              <w:rPr>
                <w:rFonts w:ascii="Arial" w:hAnsi="Arial" w:cs="Arial"/>
                <w:color w:val="000000"/>
                <w:kern w:val="0"/>
                <w:sz w:val="18"/>
                <w:szCs w:val="18"/>
              </w:rPr>
              <w:t xml:space="preserve"> </w:t>
            </w:r>
            <w:r>
              <w:rPr>
                <w:rFonts w:ascii="Arial" w:hAnsi="Arial" w:cs="Arial"/>
                <w:color w:val="000000"/>
                <w:kern w:val="0"/>
                <w:sz w:val="18"/>
                <w:szCs w:val="18"/>
              </w:rPr>
              <w:t>（盖章）</w:t>
            </w:r>
          </w:p>
        </w:tc>
        <w:tc>
          <w:tcPr>
            <w:tcW w:w="132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大竹县社会保险事业管理局</w:t>
            </w:r>
          </w:p>
        </w:tc>
      </w:tr>
      <w:tr w:rsidR="0011445E">
        <w:trPr>
          <w:trHeight w:val="285"/>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627"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2181"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1855"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Arial" w:hAnsi="Arial" w:cs="Arial"/>
                <w:color w:val="000000"/>
                <w:kern w:val="0"/>
                <w:sz w:val="18"/>
                <w:szCs w:val="18"/>
              </w:rPr>
            </w:pPr>
            <w:r>
              <w:rPr>
                <w:rFonts w:ascii="Arial" w:hAnsi="Arial" w:cs="Arial"/>
                <w:color w:val="000000"/>
                <w:kern w:val="0"/>
                <w:sz w:val="18"/>
                <w:szCs w:val="18"/>
              </w:rPr>
              <w:t>年度目标完成情况</w:t>
            </w:r>
          </w:p>
        </w:tc>
      </w:tr>
      <w:tr w:rsidR="0011445E">
        <w:trPr>
          <w:trHeight w:val="7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2181"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按时足额发放建国初期老干部困难补助、离休人员津贴以及遗属人员生活补贴，保障离退休老干部享受应有的待遇。</w:t>
            </w:r>
          </w:p>
        </w:tc>
        <w:tc>
          <w:tcPr>
            <w:tcW w:w="1855"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年每月按时足额为三类人员发放了困难补助及津补贴，切实保障了老干部享受其应有的待遇。</w:t>
            </w:r>
          </w:p>
        </w:tc>
      </w:tr>
      <w:tr w:rsidR="0011445E">
        <w:trPr>
          <w:trHeight w:val="69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4035"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该项目为民生保障类项目，项目实施内容是代发建国初期老干部困难补助、离休人员津补贴及其遗属生活补贴，项目实施过程中，每月按时足额发放，不存在漏发多发的情况。</w:t>
            </w:r>
          </w:p>
        </w:tc>
      </w:tr>
      <w:tr w:rsidR="0011445E">
        <w:trPr>
          <w:trHeight w:val="360"/>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95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11445E">
        <w:trPr>
          <w:trHeight w:val="345"/>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26.84</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10.59</w:t>
            </w:r>
          </w:p>
        </w:tc>
        <w:tc>
          <w:tcPr>
            <w:tcW w:w="95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9.61</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90.75%</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　</w:t>
            </w:r>
          </w:p>
        </w:tc>
        <w:tc>
          <w:tcPr>
            <w:tcW w:w="802"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年底下达省级资金</w:t>
            </w:r>
            <w:r>
              <w:rPr>
                <w:rFonts w:ascii="Arial" w:hAnsi="Arial" w:cs="Arial"/>
                <w:color w:val="000000"/>
                <w:kern w:val="0"/>
                <w:sz w:val="18"/>
                <w:szCs w:val="18"/>
              </w:rPr>
              <w:t>0.98</w:t>
            </w:r>
            <w:r>
              <w:rPr>
                <w:rFonts w:ascii="宋体" w:hAnsi="宋体" w:cs="Arial" w:hint="eastAsia"/>
                <w:color w:val="000000"/>
                <w:kern w:val="0"/>
                <w:sz w:val="18"/>
                <w:szCs w:val="18"/>
              </w:rPr>
              <w:t>万元，此时预算一体化支付平台已关闭，未能实现支付。</w:t>
            </w:r>
          </w:p>
        </w:tc>
      </w:tr>
      <w:tr w:rsidR="0011445E">
        <w:trPr>
          <w:trHeight w:val="39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26.84</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10.59</w:t>
            </w:r>
          </w:p>
        </w:tc>
        <w:tc>
          <w:tcPr>
            <w:tcW w:w="95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9.61</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90.75%</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5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6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5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95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02"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54"/>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发放人数</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11</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15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发放率</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按时发放率</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保障退休老干部权益，维护社会稳定</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保障退休老干部权益，维护社会稳定</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老干部满意度</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99</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52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6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代发补助、津贴、补贴所需经费</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268425</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53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96102.75</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15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285"/>
        </w:trPr>
        <w:tc>
          <w:tcPr>
            <w:tcW w:w="368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99　</w:t>
            </w:r>
          </w:p>
        </w:tc>
        <w:tc>
          <w:tcPr>
            <w:tcW w:w="802"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1445E">
        <w:trPr>
          <w:trHeight w:val="60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该项目为代发困难补助和津补贴，执行过程中做到了每月及时足额发放，切实保障了离退休老干部享受应有的待遇，绩效自评总体为好，自评总分99分。</w:t>
            </w:r>
          </w:p>
        </w:tc>
      </w:tr>
      <w:tr w:rsidR="0011445E">
        <w:trPr>
          <w:trHeight w:val="57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无</w:t>
            </w:r>
          </w:p>
        </w:tc>
      </w:tr>
      <w:tr w:rsidR="0011445E">
        <w:trPr>
          <w:trHeight w:val="63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无</w:t>
            </w:r>
          </w:p>
        </w:tc>
      </w:tr>
    </w:tbl>
    <w:p w:rsidR="0011445E" w:rsidRDefault="00C50C39">
      <w:pPr>
        <w:spacing w:line="600" w:lineRule="exact"/>
        <w:jc w:val="center"/>
        <w:rPr>
          <w:sz w:val="32"/>
          <w:szCs w:val="32"/>
        </w:rPr>
      </w:pPr>
      <w:r>
        <w:rPr>
          <w:rFonts w:hint="eastAsia"/>
          <w:sz w:val="32"/>
          <w:szCs w:val="32"/>
        </w:rPr>
        <w:lastRenderedPageBreak/>
        <w:t>部门预算项目支出绩效自评表（</w:t>
      </w:r>
      <w:r>
        <w:rPr>
          <w:rFonts w:hint="eastAsia"/>
          <w:sz w:val="32"/>
          <w:szCs w:val="32"/>
        </w:rPr>
        <w:t>2023</w:t>
      </w:r>
      <w:r>
        <w:rPr>
          <w:rFonts w:hint="eastAsia"/>
          <w:sz w:val="32"/>
          <w:szCs w:val="32"/>
        </w:rPr>
        <w:t>年度）</w:t>
      </w:r>
    </w:p>
    <w:tbl>
      <w:tblPr>
        <w:tblW w:w="5000" w:type="pct"/>
        <w:tblLook w:val="04A0"/>
      </w:tblPr>
      <w:tblGrid>
        <w:gridCol w:w="576"/>
        <w:gridCol w:w="1063"/>
        <w:gridCol w:w="894"/>
        <w:gridCol w:w="1183"/>
        <w:gridCol w:w="396"/>
        <w:gridCol w:w="833"/>
        <w:gridCol w:w="397"/>
        <w:gridCol w:w="846"/>
        <w:gridCol w:w="486"/>
        <w:gridCol w:w="486"/>
        <w:gridCol w:w="1362"/>
      </w:tblGrid>
      <w:tr w:rsidR="0011445E">
        <w:trPr>
          <w:trHeight w:val="285"/>
        </w:trPr>
        <w:tc>
          <w:tcPr>
            <w:tcW w:w="9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403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老机保个人账户退款</w:t>
            </w:r>
          </w:p>
        </w:tc>
      </w:tr>
      <w:tr w:rsidR="0011445E">
        <w:trPr>
          <w:trHeight w:val="514"/>
        </w:trPr>
        <w:tc>
          <w:tcPr>
            <w:tcW w:w="9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2173"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大竹县社会保险事业管理局部门</w:t>
            </w:r>
          </w:p>
        </w:tc>
        <w:tc>
          <w:tcPr>
            <w:tcW w:w="496" w:type="pct"/>
            <w:tcBorders>
              <w:top w:val="nil"/>
              <w:left w:val="nil"/>
              <w:bottom w:val="nil"/>
              <w:right w:val="nil"/>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实施单位</w:t>
            </w:r>
            <w:r>
              <w:rPr>
                <w:rFonts w:ascii="Arial" w:hAnsi="Arial" w:cs="Arial"/>
                <w:color w:val="000000"/>
                <w:kern w:val="0"/>
                <w:sz w:val="18"/>
                <w:szCs w:val="18"/>
              </w:rPr>
              <w:t xml:space="preserve"> </w:t>
            </w:r>
            <w:r>
              <w:rPr>
                <w:rFonts w:ascii="Arial" w:hAnsi="Arial" w:cs="Arial"/>
                <w:color w:val="000000"/>
                <w:kern w:val="0"/>
                <w:sz w:val="18"/>
                <w:szCs w:val="18"/>
              </w:rPr>
              <w:t>（盖章）</w:t>
            </w:r>
          </w:p>
        </w:tc>
        <w:tc>
          <w:tcPr>
            <w:tcW w:w="13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大竹县社会保险事业管理局</w:t>
            </w:r>
          </w:p>
        </w:tc>
      </w:tr>
      <w:tr w:rsidR="0011445E">
        <w:trPr>
          <w:trHeight w:val="285"/>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62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2173"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1866"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Arial" w:hAnsi="Arial" w:cs="Arial"/>
                <w:color w:val="000000"/>
                <w:kern w:val="0"/>
                <w:sz w:val="18"/>
                <w:szCs w:val="18"/>
              </w:rPr>
            </w:pPr>
            <w:r>
              <w:rPr>
                <w:rFonts w:ascii="Arial" w:hAnsi="Arial" w:cs="Arial"/>
                <w:color w:val="000000"/>
                <w:kern w:val="0"/>
                <w:sz w:val="18"/>
                <w:szCs w:val="18"/>
              </w:rPr>
              <w:t>年度目标完成情况</w:t>
            </w:r>
          </w:p>
        </w:tc>
      </w:tr>
      <w:tr w:rsidR="0011445E">
        <w:trPr>
          <w:trHeight w:val="7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2173"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及时完成前来办理老机保个人账户退款，申请一个办理一个，不让群众多跑路。</w:t>
            </w:r>
          </w:p>
        </w:tc>
        <w:tc>
          <w:tcPr>
            <w:tcW w:w="1866"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年对全县</w:t>
            </w:r>
            <w:r>
              <w:rPr>
                <w:rFonts w:ascii="Arial" w:hAnsi="Arial" w:cs="Arial"/>
                <w:color w:val="000000"/>
                <w:kern w:val="0"/>
                <w:sz w:val="18"/>
                <w:szCs w:val="18"/>
              </w:rPr>
              <w:t>459</w:t>
            </w:r>
            <w:r>
              <w:rPr>
                <w:rFonts w:ascii="宋体" w:hAnsi="宋体" w:cs="Arial" w:hint="eastAsia"/>
                <w:color w:val="000000"/>
                <w:kern w:val="0"/>
                <w:sz w:val="18"/>
                <w:szCs w:val="18"/>
              </w:rPr>
              <w:t>人完成清退工作，退款准确到位，不存在多退少退的情况。</w:t>
            </w:r>
          </w:p>
        </w:tc>
      </w:tr>
      <w:tr w:rsidR="0011445E">
        <w:trPr>
          <w:trHeight w:val="69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403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根据达人社发【2023】86号文件要求，2023年共清退及转移459人，及时完成机关事业单位养老保险试点遗留问题整改工作。</w:t>
            </w:r>
          </w:p>
        </w:tc>
      </w:tr>
      <w:tr w:rsidR="0011445E">
        <w:trPr>
          <w:trHeight w:val="360"/>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954"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11445E">
        <w:trPr>
          <w:trHeight w:val="345"/>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76.97</w:t>
            </w:r>
          </w:p>
        </w:tc>
        <w:tc>
          <w:tcPr>
            <w:tcW w:w="954"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76.97</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799"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宋体" w:hAnsi="宋体" w:cs="Arial" w:hint="eastAsia"/>
                <w:color w:val="000000"/>
                <w:kern w:val="0"/>
                <w:sz w:val="18"/>
                <w:szCs w:val="18"/>
              </w:rPr>
              <w:t>根据四川省财政厅下达的工作要求，</w:t>
            </w:r>
            <w:r>
              <w:rPr>
                <w:rFonts w:ascii="Arial" w:hAnsi="Arial" w:cs="Arial"/>
                <w:color w:val="000000"/>
                <w:kern w:val="0"/>
                <w:sz w:val="18"/>
                <w:szCs w:val="18"/>
              </w:rPr>
              <w:t>2023</w:t>
            </w:r>
            <w:r>
              <w:rPr>
                <w:rFonts w:ascii="宋体" w:hAnsi="宋体" w:cs="Arial" w:hint="eastAsia"/>
                <w:color w:val="000000"/>
                <w:kern w:val="0"/>
                <w:sz w:val="18"/>
                <w:szCs w:val="18"/>
              </w:rPr>
              <w:t>年必须清退完毕所有未退的老机保个人账户，我县需清理</w:t>
            </w:r>
            <w:r>
              <w:rPr>
                <w:rFonts w:ascii="Arial" w:hAnsi="Arial" w:cs="Arial"/>
                <w:color w:val="000000"/>
                <w:kern w:val="0"/>
                <w:sz w:val="18"/>
                <w:szCs w:val="18"/>
              </w:rPr>
              <w:t>459</w:t>
            </w:r>
            <w:r>
              <w:rPr>
                <w:rFonts w:ascii="宋体" w:hAnsi="宋体" w:cs="Arial" w:hint="eastAsia"/>
                <w:color w:val="000000"/>
                <w:kern w:val="0"/>
                <w:sz w:val="18"/>
                <w:szCs w:val="18"/>
              </w:rPr>
              <w:t>人，所需资金</w:t>
            </w:r>
            <w:r>
              <w:rPr>
                <w:rFonts w:ascii="Arial" w:hAnsi="Arial" w:cs="Arial"/>
                <w:color w:val="000000"/>
                <w:kern w:val="0"/>
                <w:sz w:val="18"/>
                <w:szCs w:val="18"/>
              </w:rPr>
              <w:t>769742.23</w:t>
            </w:r>
            <w:r>
              <w:rPr>
                <w:rFonts w:ascii="宋体" w:hAnsi="宋体" w:cs="Arial" w:hint="eastAsia"/>
                <w:color w:val="000000"/>
                <w:kern w:val="0"/>
                <w:sz w:val="18"/>
                <w:szCs w:val="18"/>
              </w:rPr>
              <w:t>元，因此年中追加预算</w:t>
            </w:r>
            <w:r>
              <w:rPr>
                <w:rFonts w:ascii="Arial" w:hAnsi="Arial" w:cs="Arial"/>
                <w:color w:val="000000"/>
                <w:kern w:val="0"/>
                <w:sz w:val="18"/>
                <w:szCs w:val="18"/>
              </w:rPr>
              <w:t>569742.23</w:t>
            </w:r>
            <w:r>
              <w:rPr>
                <w:rFonts w:ascii="宋体" w:hAnsi="宋体" w:cs="Arial" w:hint="eastAsia"/>
                <w:color w:val="000000"/>
                <w:kern w:val="0"/>
                <w:sz w:val="18"/>
                <w:szCs w:val="18"/>
              </w:rPr>
              <w:t>元。</w:t>
            </w:r>
          </w:p>
        </w:tc>
      </w:tr>
      <w:tr w:rsidR="0011445E">
        <w:trPr>
          <w:trHeight w:val="39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20.00</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76.97</w:t>
            </w:r>
          </w:p>
        </w:tc>
        <w:tc>
          <w:tcPr>
            <w:tcW w:w="954"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76.97</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54"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6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54"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954"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54"/>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退款人数</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459</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申请退款业务办结率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申请一个，办理一个，及时完成</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个工作日</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15</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保障参保人权益，维护社会稳定</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保障参保人权益，维护社会稳定</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受益对象满意度</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95</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2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52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69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老机保个人账户退款经费</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76.97</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清退人数459人，资金需求大</w:t>
            </w:r>
          </w:p>
        </w:tc>
      </w:tr>
      <w:tr w:rsidR="0011445E">
        <w:trPr>
          <w:trHeight w:val="285"/>
        </w:trPr>
        <w:tc>
          <w:tcPr>
            <w:tcW w:w="363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799"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1445E">
        <w:trPr>
          <w:trHeight w:val="60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该项目在规定的时间内完成了全县所有未退人员老机保个人账户退款，不存在多退少退的情况，绩效自评总体为好，自评总分100分。</w:t>
            </w:r>
          </w:p>
        </w:tc>
      </w:tr>
      <w:tr w:rsidR="0011445E">
        <w:trPr>
          <w:trHeight w:val="57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无</w:t>
            </w:r>
          </w:p>
        </w:tc>
      </w:tr>
      <w:tr w:rsidR="0011445E">
        <w:trPr>
          <w:trHeight w:val="63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无</w:t>
            </w:r>
          </w:p>
        </w:tc>
      </w:tr>
    </w:tbl>
    <w:p w:rsidR="0011445E" w:rsidRDefault="0011445E">
      <w:pPr>
        <w:spacing w:line="570" w:lineRule="exact"/>
        <w:jc w:val="center"/>
        <w:rPr>
          <w:sz w:val="32"/>
          <w:szCs w:val="32"/>
        </w:rPr>
      </w:pPr>
    </w:p>
    <w:p w:rsidR="0011445E" w:rsidRDefault="00C50C39">
      <w:pPr>
        <w:spacing w:line="600" w:lineRule="exact"/>
        <w:jc w:val="center"/>
        <w:rPr>
          <w:sz w:val="32"/>
          <w:szCs w:val="32"/>
        </w:rPr>
      </w:pPr>
      <w:r>
        <w:rPr>
          <w:rFonts w:hint="eastAsia"/>
          <w:sz w:val="32"/>
          <w:szCs w:val="32"/>
        </w:rPr>
        <w:t>部门预算项目支出绩效自评表（</w:t>
      </w:r>
      <w:r>
        <w:rPr>
          <w:rFonts w:hint="eastAsia"/>
          <w:sz w:val="32"/>
          <w:szCs w:val="32"/>
        </w:rPr>
        <w:t>2023</w:t>
      </w:r>
      <w:r>
        <w:rPr>
          <w:rFonts w:hint="eastAsia"/>
          <w:sz w:val="32"/>
          <w:szCs w:val="32"/>
        </w:rPr>
        <w:t>年度）</w:t>
      </w:r>
    </w:p>
    <w:tbl>
      <w:tblPr>
        <w:tblW w:w="5000" w:type="pct"/>
        <w:tblLook w:val="04A0"/>
      </w:tblPr>
      <w:tblGrid>
        <w:gridCol w:w="576"/>
        <w:gridCol w:w="1097"/>
        <w:gridCol w:w="930"/>
        <w:gridCol w:w="1219"/>
        <w:gridCol w:w="396"/>
        <w:gridCol w:w="869"/>
        <w:gridCol w:w="397"/>
        <w:gridCol w:w="757"/>
        <w:gridCol w:w="486"/>
        <w:gridCol w:w="396"/>
        <w:gridCol w:w="1399"/>
      </w:tblGrid>
      <w:tr w:rsidR="0011445E">
        <w:trPr>
          <w:trHeight w:val="285"/>
        </w:trPr>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401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社保公共服务能力建设</w:t>
            </w:r>
          </w:p>
        </w:tc>
      </w:tr>
      <w:tr w:rsidR="0011445E">
        <w:trPr>
          <w:trHeight w:val="514"/>
        </w:trPr>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2236"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大竹县社会保险事业管理局部门</w:t>
            </w:r>
          </w:p>
        </w:tc>
        <w:tc>
          <w:tcPr>
            <w:tcW w:w="444" w:type="pct"/>
            <w:tcBorders>
              <w:top w:val="nil"/>
              <w:left w:val="nil"/>
              <w:bottom w:val="nil"/>
              <w:right w:val="nil"/>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实施单位</w:t>
            </w:r>
            <w:r>
              <w:rPr>
                <w:rFonts w:ascii="Arial" w:hAnsi="Arial" w:cs="Arial"/>
                <w:color w:val="000000"/>
                <w:kern w:val="0"/>
                <w:sz w:val="18"/>
                <w:szCs w:val="18"/>
              </w:rPr>
              <w:t xml:space="preserve"> </w:t>
            </w:r>
            <w:r>
              <w:rPr>
                <w:rFonts w:ascii="Arial" w:hAnsi="Arial" w:cs="Arial"/>
                <w:color w:val="000000"/>
                <w:kern w:val="0"/>
                <w:sz w:val="18"/>
                <w:szCs w:val="18"/>
              </w:rPr>
              <w:t>（盖章）</w:t>
            </w:r>
          </w:p>
        </w:tc>
        <w:tc>
          <w:tcPr>
            <w:tcW w:w="13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大竹县社会保险事业管理局</w:t>
            </w:r>
          </w:p>
        </w:tc>
      </w:tr>
      <w:tr w:rsidR="0011445E">
        <w:trPr>
          <w:trHeight w:val="285"/>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64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2236"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1782"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Arial" w:hAnsi="Arial" w:cs="Arial"/>
                <w:color w:val="000000"/>
                <w:kern w:val="0"/>
                <w:sz w:val="18"/>
                <w:szCs w:val="18"/>
              </w:rPr>
            </w:pPr>
            <w:r>
              <w:rPr>
                <w:rFonts w:ascii="Arial" w:hAnsi="Arial" w:cs="Arial"/>
                <w:color w:val="000000"/>
                <w:kern w:val="0"/>
                <w:sz w:val="18"/>
                <w:szCs w:val="18"/>
              </w:rPr>
              <w:t>年度目标完成情况</w:t>
            </w:r>
          </w:p>
        </w:tc>
      </w:tr>
      <w:tr w:rsidR="0011445E">
        <w:trPr>
          <w:trHeight w:val="7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2236"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加强社保经办机构标准化建设、综合柜员制打造，提高经办人员能力素质，强化养老保险征缴管理，完成社会保险基金征缴体制改革，提升经办服务能力。</w:t>
            </w:r>
          </w:p>
        </w:tc>
        <w:tc>
          <w:tcPr>
            <w:tcW w:w="1782"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年我单位进一步加强社保经办机构标准化建设，入驻政务服务中心，加强综合柜员制管理，实行一窗通办，让群众少跑路，进一步提升了社保经办服务能力。</w:t>
            </w:r>
          </w:p>
        </w:tc>
      </w:tr>
      <w:tr w:rsidR="0011445E">
        <w:trPr>
          <w:trHeight w:val="69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401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该项目属于行政运转类项目，项目实施主要内容为社保经办机构的标准化建设及社保经办服务能力提升。</w:t>
            </w:r>
          </w:p>
        </w:tc>
      </w:tr>
      <w:tr w:rsidR="0011445E">
        <w:trPr>
          <w:trHeight w:val="360"/>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2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11445E">
        <w:trPr>
          <w:trHeight w:val="345"/>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1.41</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4.41</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3.27</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74.03%</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　</w:t>
            </w:r>
          </w:p>
        </w:tc>
        <w:tc>
          <w:tcPr>
            <w:tcW w:w="820"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年项目年初预算数</w:t>
            </w:r>
            <w:r>
              <w:rPr>
                <w:rFonts w:ascii="Arial" w:hAnsi="Arial" w:cs="Arial"/>
                <w:color w:val="000000"/>
                <w:kern w:val="0"/>
                <w:sz w:val="18"/>
                <w:szCs w:val="18"/>
              </w:rPr>
              <w:t>1.41</w:t>
            </w:r>
            <w:r>
              <w:rPr>
                <w:rFonts w:ascii="宋体" w:hAnsi="宋体" w:cs="Arial" w:hint="eastAsia"/>
                <w:color w:val="000000"/>
                <w:kern w:val="0"/>
                <w:sz w:val="18"/>
                <w:szCs w:val="18"/>
              </w:rPr>
              <w:t>万元，年中省级下达资金</w:t>
            </w:r>
            <w:r>
              <w:rPr>
                <w:rFonts w:ascii="Arial" w:hAnsi="Arial" w:cs="Arial"/>
                <w:color w:val="000000"/>
                <w:kern w:val="0"/>
                <w:sz w:val="18"/>
                <w:szCs w:val="18"/>
              </w:rPr>
              <w:t>3</w:t>
            </w:r>
            <w:r>
              <w:rPr>
                <w:rFonts w:ascii="宋体" w:hAnsi="宋体" w:cs="Arial" w:hint="eastAsia"/>
                <w:color w:val="000000"/>
                <w:kern w:val="0"/>
                <w:sz w:val="18"/>
                <w:szCs w:val="18"/>
              </w:rPr>
              <w:t>万元，因此年中追加调整预算数为</w:t>
            </w:r>
            <w:r>
              <w:rPr>
                <w:rFonts w:ascii="Arial" w:hAnsi="Arial" w:cs="Arial"/>
                <w:color w:val="000000"/>
                <w:kern w:val="0"/>
                <w:sz w:val="18"/>
                <w:szCs w:val="18"/>
              </w:rPr>
              <w:t>4.41</w:t>
            </w:r>
            <w:r>
              <w:rPr>
                <w:rFonts w:ascii="宋体" w:hAnsi="宋体" w:cs="Arial" w:hint="eastAsia"/>
                <w:color w:val="000000"/>
                <w:kern w:val="0"/>
                <w:sz w:val="18"/>
                <w:szCs w:val="18"/>
              </w:rPr>
              <w:t>万元；因财政资金拨付不到位，预算</w:t>
            </w:r>
            <w:r>
              <w:rPr>
                <w:rFonts w:ascii="宋体" w:hAnsi="宋体" w:cs="Arial" w:hint="eastAsia"/>
                <w:color w:val="000000"/>
                <w:kern w:val="0"/>
                <w:sz w:val="18"/>
                <w:szCs w:val="18"/>
              </w:rPr>
              <w:lastRenderedPageBreak/>
              <w:t>执行率低于</w:t>
            </w:r>
            <w:r>
              <w:rPr>
                <w:rFonts w:ascii="Arial" w:hAnsi="Arial" w:cs="Arial"/>
                <w:color w:val="000000"/>
                <w:kern w:val="0"/>
                <w:sz w:val="18"/>
                <w:szCs w:val="18"/>
              </w:rPr>
              <w:t>90%</w:t>
            </w:r>
            <w:r>
              <w:rPr>
                <w:rFonts w:ascii="宋体" w:hAnsi="宋体" w:cs="Arial" w:hint="eastAsia"/>
                <w:color w:val="000000"/>
                <w:kern w:val="0"/>
                <w:sz w:val="18"/>
                <w:szCs w:val="18"/>
              </w:rPr>
              <w:t>，未能实现项目资金全部支付。</w:t>
            </w:r>
          </w:p>
        </w:tc>
      </w:tr>
      <w:tr w:rsidR="0011445E">
        <w:trPr>
          <w:trHeight w:val="39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1.41</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4.41</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3.27</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74.03%</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6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54"/>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绩效指标（90分）</w:t>
            </w: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5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2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经办人员培训次数</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人/年</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6</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　</w:t>
            </w:r>
          </w:p>
        </w:tc>
        <w:tc>
          <w:tcPr>
            <w:tcW w:w="82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完善社保体系，增进人民福祉</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5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良</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　</w:t>
            </w:r>
          </w:p>
        </w:tc>
        <w:tc>
          <w:tcPr>
            <w:tcW w:w="82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285"/>
        </w:trPr>
        <w:tc>
          <w:tcPr>
            <w:tcW w:w="366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97　</w:t>
            </w:r>
          </w:p>
        </w:tc>
        <w:tc>
          <w:tcPr>
            <w:tcW w:w="82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1445E">
        <w:trPr>
          <w:trHeight w:val="60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该项目为行政运转类项目，项目资金主要用于打造标准化的社保经办机构，社保经办服务能力得到一定提升，绩效自评总体</w:t>
            </w:r>
            <w:r>
              <w:rPr>
                <w:rFonts w:ascii="微软雅黑" w:eastAsia="微软雅黑" w:hAnsi="微软雅黑" w:cs="宋体" w:hint="eastAsia"/>
                <w:kern w:val="0"/>
                <w:sz w:val="16"/>
                <w:szCs w:val="16"/>
              </w:rPr>
              <w:t>评价为好，评价总分97分。</w:t>
            </w:r>
          </w:p>
        </w:tc>
      </w:tr>
      <w:tr w:rsidR="0011445E">
        <w:trPr>
          <w:trHeight w:val="57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项目资金拨付不到位，预算执行率较低</w:t>
            </w:r>
          </w:p>
        </w:tc>
      </w:tr>
      <w:tr w:rsidR="0011445E">
        <w:trPr>
          <w:trHeight w:val="63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加强与财政的沟通协调，争取早日实现项目资金拨付</w:t>
            </w:r>
          </w:p>
        </w:tc>
      </w:tr>
    </w:tbl>
    <w:p w:rsidR="0011445E" w:rsidRDefault="0011445E">
      <w:pPr>
        <w:spacing w:line="570" w:lineRule="exact"/>
        <w:jc w:val="center"/>
        <w:rPr>
          <w:sz w:val="32"/>
          <w:szCs w:val="32"/>
        </w:rPr>
      </w:pPr>
    </w:p>
    <w:p w:rsidR="0011445E" w:rsidRDefault="00C50C39">
      <w:pPr>
        <w:spacing w:line="600" w:lineRule="exact"/>
        <w:jc w:val="center"/>
        <w:rPr>
          <w:sz w:val="32"/>
          <w:szCs w:val="32"/>
        </w:rPr>
      </w:pPr>
      <w:r>
        <w:rPr>
          <w:rFonts w:hint="eastAsia"/>
          <w:sz w:val="32"/>
          <w:szCs w:val="32"/>
        </w:rPr>
        <w:t>部门预算项目支出绩效自评表（</w:t>
      </w:r>
      <w:r>
        <w:rPr>
          <w:rFonts w:hint="eastAsia"/>
          <w:sz w:val="32"/>
          <w:szCs w:val="32"/>
        </w:rPr>
        <w:t>2023</w:t>
      </w:r>
      <w:r>
        <w:rPr>
          <w:rFonts w:hint="eastAsia"/>
          <w:sz w:val="32"/>
          <w:szCs w:val="32"/>
        </w:rPr>
        <w:t>年度）</w:t>
      </w:r>
    </w:p>
    <w:tbl>
      <w:tblPr>
        <w:tblW w:w="5000" w:type="pct"/>
        <w:tblLook w:val="04A0"/>
      </w:tblPr>
      <w:tblGrid>
        <w:gridCol w:w="576"/>
        <w:gridCol w:w="1097"/>
        <w:gridCol w:w="930"/>
        <w:gridCol w:w="1219"/>
        <w:gridCol w:w="396"/>
        <w:gridCol w:w="869"/>
        <w:gridCol w:w="397"/>
        <w:gridCol w:w="757"/>
        <w:gridCol w:w="486"/>
        <w:gridCol w:w="396"/>
        <w:gridCol w:w="1399"/>
      </w:tblGrid>
      <w:tr w:rsidR="0011445E">
        <w:trPr>
          <w:trHeight w:val="285"/>
        </w:trPr>
        <w:tc>
          <w:tcPr>
            <w:tcW w:w="3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2236"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1782"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Arial" w:hAnsi="Arial" w:cs="Arial"/>
                <w:color w:val="000000"/>
                <w:kern w:val="0"/>
                <w:sz w:val="18"/>
                <w:szCs w:val="18"/>
              </w:rPr>
            </w:pPr>
            <w:r>
              <w:rPr>
                <w:rFonts w:ascii="Arial" w:hAnsi="Arial" w:cs="Arial"/>
                <w:color w:val="000000"/>
                <w:kern w:val="0"/>
                <w:sz w:val="18"/>
                <w:szCs w:val="18"/>
              </w:rPr>
              <w:t>年度目标完成情况</w:t>
            </w:r>
          </w:p>
        </w:tc>
      </w:tr>
      <w:tr w:rsidR="0011445E">
        <w:trPr>
          <w:trHeight w:val="709"/>
        </w:trPr>
        <w:tc>
          <w:tcPr>
            <w:tcW w:w="338" w:type="pct"/>
            <w:vMerge/>
            <w:tcBorders>
              <w:top w:val="single" w:sz="4" w:space="0" w:color="000000"/>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vMerge/>
            <w:tcBorders>
              <w:top w:val="single" w:sz="4" w:space="0" w:color="000000"/>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2236"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做好省管森工企业离退休人员社会化管理服务工作</w:t>
            </w:r>
          </w:p>
        </w:tc>
        <w:tc>
          <w:tcPr>
            <w:tcW w:w="1782"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年对我县安置的省级重点森工企业离退休人员开展待遇发放及领取资格认证工作，发放覆盖率</w:t>
            </w:r>
            <w:r>
              <w:rPr>
                <w:rFonts w:ascii="Arial" w:hAnsi="Arial" w:cs="Arial"/>
                <w:color w:val="000000"/>
                <w:kern w:val="0"/>
                <w:sz w:val="18"/>
                <w:szCs w:val="18"/>
              </w:rPr>
              <w:t>100%</w:t>
            </w:r>
            <w:r>
              <w:rPr>
                <w:rFonts w:ascii="宋体" w:hAnsi="宋体" w:cs="Arial" w:hint="eastAsia"/>
                <w:color w:val="000000"/>
                <w:kern w:val="0"/>
                <w:sz w:val="18"/>
                <w:szCs w:val="18"/>
              </w:rPr>
              <w:t>。</w:t>
            </w:r>
          </w:p>
        </w:tc>
      </w:tr>
      <w:tr w:rsidR="0011445E">
        <w:trPr>
          <w:trHeight w:val="694"/>
        </w:trPr>
        <w:tc>
          <w:tcPr>
            <w:tcW w:w="338" w:type="pct"/>
            <w:vMerge/>
            <w:tcBorders>
              <w:top w:val="single" w:sz="4" w:space="0" w:color="000000"/>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401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2023年对我县安置的省级重点森工企业离退休人员按月发放离退休待遇，发放覆盖率100%；对离退休人员进行领取资格认证，对未认证的人员发送短信进行提醒。</w:t>
            </w:r>
          </w:p>
        </w:tc>
      </w:tr>
      <w:tr w:rsidR="0011445E">
        <w:trPr>
          <w:trHeight w:val="360"/>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21"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11445E">
        <w:trPr>
          <w:trHeight w:val="345"/>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0.75</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1.50</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0.75</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7　</w:t>
            </w:r>
          </w:p>
        </w:tc>
        <w:tc>
          <w:tcPr>
            <w:tcW w:w="821"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年底下达省级资金</w:t>
            </w:r>
            <w:r>
              <w:rPr>
                <w:rFonts w:ascii="Arial" w:hAnsi="Arial" w:cs="Arial"/>
                <w:color w:val="000000"/>
                <w:kern w:val="0"/>
                <w:sz w:val="18"/>
                <w:szCs w:val="18"/>
              </w:rPr>
              <w:t>0.75</w:t>
            </w:r>
            <w:r>
              <w:rPr>
                <w:rFonts w:ascii="宋体" w:hAnsi="宋体" w:cs="Arial" w:hint="eastAsia"/>
                <w:color w:val="000000"/>
                <w:kern w:val="0"/>
                <w:sz w:val="18"/>
                <w:szCs w:val="18"/>
              </w:rPr>
              <w:t>万元，此时预算一体化支付平台已关闭，未能实现支付。</w:t>
            </w:r>
          </w:p>
        </w:tc>
      </w:tr>
      <w:tr w:rsidR="0011445E">
        <w:trPr>
          <w:trHeight w:val="39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0.75</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1.50</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0.75</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6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97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54"/>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w:t>
            </w:r>
            <w:r>
              <w:rPr>
                <w:rFonts w:ascii="宋体" w:hAnsi="宋体" w:cs="宋体" w:hint="eastAsia"/>
                <w:color w:val="000000"/>
                <w:kern w:val="0"/>
                <w:sz w:val="18"/>
                <w:szCs w:val="18"/>
              </w:rPr>
              <w:lastRenderedPageBreak/>
              <w:t>指标（90分）</w:t>
            </w: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一级指标</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w:t>
            </w:r>
            <w:r>
              <w:rPr>
                <w:rFonts w:ascii="宋体" w:hAnsi="宋体" w:cs="宋体" w:hint="eastAsia"/>
                <w:color w:val="000000"/>
                <w:kern w:val="0"/>
                <w:sz w:val="18"/>
                <w:szCs w:val="18"/>
              </w:rPr>
              <w:lastRenderedPageBreak/>
              <w:t>标</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三级指标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w:t>
            </w:r>
            <w:r>
              <w:rPr>
                <w:rFonts w:ascii="宋体" w:hAnsi="宋体" w:cs="宋体" w:hint="eastAsia"/>
                <w:color w:val="000000"/>
                <w:kern w:val="0"/>
                <w:sz w:val="18"/>
                <w:szCs w:val="18"/>
              </w:rPr>
              <w:lastRenderedPageBreak/>
              <w:t>标性质</w:t>
            </w:r>
          </w:p>
        </w:tc>
        <w:tc>
          <w:tcPr>
            <w:tcW w:w="5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指标值</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度</w:t>
            </w:r>
            <w:r>
              <w:rPr>
                <w:rFonts w:ascii="宋体" w:hAnsi="宋体" w:cs="宋体" w:hint="eastAsia"/>
                <w:color w:val="000000"/>
                <w:kern w:val="0"/>
                <w:sz w:val="18"/>
                <w:szCs w:val="18"/>
              </w:rPr>
              <w:lastRenderedPageBreak/>
              <w:t>量单位</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完成值</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w:t>
            </w:r>
            <w:r>
              <w:rPr>
                <w:rFonts w:ascii="宋体" w:hAnsi="宋体" w:cs="宋体" w:hint="eastAsia"/>
                <w:color w:val="000000"/>
                <w:kern w:val="0"/>
                <w:sz w:val="18"/>
                <w:szCs w:val="18"/>
              </w:rPr>
              <w:lastRenderedPageBreak/>
              <w:t>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得</w:t>
            </w:r>
            <w:r>
              <w:rPr>
                <w:rFonts w:ascii="宋体" w:hAnsi="宋体" w:cs="宋体" w:hint="eastAsia"/>
                <w:color w:val="000000"/>
                <w:kern w:val="0"/>
                <w:sz w:val="18"/>
                <w:szCs w:val="18"/>
              </w:rPr>
              <w:lastRenderedPageBreak/>
              <w:t>分</w:t>
            </w:r>
          </w:p>
        </w:tc>
        <w:tc>
          <w:tcPr>
            <w:tcW w:w="821"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未完成原因分</w:t>
            </w:r>
            <w:r>
              <w:rPr>
                <w:rFonts w:ascii="宋体" w:hAnsi="宋体" w:cs="宋体" w:hint="eastAsia"/>
                <w:color w:val="000000"/>
                <w:kern w:val="0"/>
                <w:sz w:val="18"/>
                <w:szCs w:val="18"/>
              </w:rPr>
              <w:lastRenderedPageBreak/>
              <w:t>析</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发放覆盖率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100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60　</w:t>
            </w:r>
          </w:p>
        </w:tc>
        <w:tc>
          <w:tcPr>
            <w:tcW w:w="821"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4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71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保障森工享受应有的待遇，维护社会稳定</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5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4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30　</w:t>
            </w:r>
          </w:p>
        </w:tc>
        <w:tc>
          <w:tcPr>
            <w:tcW w:w="821"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285"/>
        </w:trPr>
        <w:tc>
          <w:tcPr>
            <w:tcW w:w="366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97　</w:t>
            </w:r>
          </w:p>
        </w:tc>
        <w:tc>
          <w:tcPr>
            <w:tcW w:w="821"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1445E">
        <w:trPr>
          <w:trHeight w:val="60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2023年对省管森工127人发放离退休待遇，发放覆盖率100%，做好了省管森工企业离退休人员社会化管理服务工作，绩效自评总体为好，自评总分97分。</w:t>
            </w:r>
          </w:p>
        </w:tc>
      </w:tr>
      <w:tr w:rsidR="0011445E">
        <w:trPr>
          <w:trHeight w:val="57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无</w:t>
            </w:r>
          </w:p>
        </w:tc>
      </w:tr>
      <w:tr w:rsidR="0011445E">
        <w:trPr>
          <w:trHeight w:val="63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无</w:t>
            </w:r>
          </w:p>
        </w:tc>
      </w:tr>
    </w:tbl>
    <w:p w:rsidR="0011445E" w:rsidRDefault="0011445E">
      <w:pPr>
        <w:spacing w:line="570" w:lineRule="exact"/>
        <w:jc w:val="center"/>
        <w:rPr>
          <w:sz w:val="32"/>
          <w:szCs w:val="32"/>
        </w:rPr>
      </w:pPr>
    </w:p>
    <w:p w:rsidR="0011445E" w:rsidRDefault="00C50C39">
      <w:pPr>
        <w:spacing w:line="600" w:lineRule="exact"/>
        <w:jc w:val="center"/>
        <w:rPr>
          <w:sz w:val="32"/>
          <w:szCs w:val="32"/>
        </w:rPr>
      </w:pPr>
      <w:r>
        <w:rPr>
          <w:rFonts w:hint="eastAsia"/>
          <w:sz w:val="32"/>
          <w:szCs w:val="32"/>
        </w:rPr>
        <w:t>部门预算项目支出绩效自评表（</w:t>
      </w:r>
      <w:r>
        <w:rPr>
          <w:rFonts w:hint="eastAsia"/>
          <w:sz w:val="32"/>
          <w:szCs w:val="32"/>
        </w:rPr>
        <w:t>2023</w:t>
      </w:r>
      <w:r>
        <w:rPr>
          <w:rFonts w:hint="eastAsia"/>
          <w:sz w:val="32"/>
          <w:szCs w:val="32"/>
        </w:rPr>
        <w:t>年度）</w:t>
      </w:r>
    </w:p>
    <w:tbl>
      <w:tblPr>
        <w:tblW w:w="5000" w:type="pct"/>
        <w:tblLook w:val="04A0"/>
      </w:tblPr>
      <w:tblGrid>
        <w:gridCol w:w="576"/>
        <w:gridCol w:w="1080"/>
        <w:gridCol w:w="909"/>
        <w:gridCol w:w="1202"/>
        <w:gridCol w:w="396"/>
        <w:gridCol w:w="852"/>
        <w:gridCol w:w="397"/>
        <w:gridCol w:w="846"/>
        <w:gridCol w:w="486"/>
        <w:gridCol w:w="396"/>
        <w:gridCol w:w="1382"/>
      </w:tblGrid>
      <w:tr w:rsidR="0011445E">
        <w:trPr>
          <w:trHeight w:val="285"/>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402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网络年租</w:t>
            </w:r>
          </w:p>
        </w:tc>
      </w:tr>
      <w:tr w:rsidR="0011445E">
        <w:trPr>
          <w:trHeight w:val="514"/>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2204"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大竹县社会保险事业管理局部门</w:t>
            </w:r>
          </w:p>
        </w:tc>
        <w:tc>
          <w:tcPr>
            <w:tcW w:w="496" w:type="pct"/>
            <w:tcBorders>
              <w:top w:val="nil"/>
              <w:left w:val="nil"/>
              <w:bottom w:val="nil"/>
              <w:right w:val="nil"/>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实施单位</w:t>
            </w:r>
            <w:r>
              <w:rPr>
                <w:rFonts w:ascii="Arial" w:hAnsi="Arial" w:cs="Arial"/>
                <w:color w:val="000000"/>
                <w:kern w:val="0"/>
                <w:sz w:val="18"/>
                <w:szCs w:val="18"/>
              </w:rPr>
              <w:t xml:space="preserve"> </w:t>
            </w:r>
            <w:r>
              <w:rPr>
                <w:rFonts w:ascii="Arial" w:hAnsi="Arial" w:cs="Arial"/>
                <w:color w:val="000000"/>
                <w:kern w:val="0"/>
                <w:sz w:val="18"/>
                <w:szCs w:val="18"/>
              </w:rPr>
              <w:t>（盖章）</w:t>
            </w:r>
          </w:p>
        </w:tc>
        <w:tc>
          <w:tcPr>
            <w:tcW w:w="13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大竹县社会保险事业管理局</w:t>
            </w:r>
          </w:p>
        </w:tc>
      </w:tr>
      <w:tr w:rsidR="0011445E">
        <w:trPr>
          <w:trHeight w:val="285"/>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63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2204"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1824"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Arial" w:hAnsi="Arial" w:cs="Arial"/>
                <w:color w:val="000000"/>
                <w:kern w:val="0"/>
                <w:sz w:val="18"/>
                <w:szCs w:val="18"/>
              </w:rPr>
            </w:pPr>
            <w:r>
              <w:rPr>
                <w:rFonts w:ascii="Arial" w:hAnsi="Arial" w:cs="Arial"/>
                <w:color w:val="000000"/>
                <w:kern w:val="0"/>
                <w:sz w:val="18"/>
                <w:szCs w:val="18"/>
              </w:rPr>
              <w:t>年度目标完成情况</w:t>
            </w:r>
          </w:p>
        </w:tc>
      </w:tr>
      <w:tr w:rsidR="0011445E">
        <w:trPr>
          <w:trHeight w:val="7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2204"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主要用于网络办公综合系统、综合办公云专线、综合办公平台维护、财政金财网络专线等网络费用，确保办公网络畅通无阻，保障日常办公需求。</w:t>
            </w:r>
          </w:p>
        </w:tc>
        <w:tc>
          <w:tcPr>
            <w:tcW w:w="1824"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建立维护金财网、金保网、互联网三条网络专线，为日常办公提供后勤保障。</w:t>
            </w:r>
          </w:p>
        </w:tc>
      </w:tr>
      <w:tr w:rsidR="0011445E">
        <w:trPr>
          <w:trHeight w:val="69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402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该项目属于行政运转类项目，主要用于网络通讯费（包含社保业务专网和互联网）、社保系统维护费、网络耗材等网络费用方面，每月根据对方提供的费用发票按程序申请财政资金进行支付。</w:t>
            </w:r>
          </w:p>
        </w:tc>
      </w:tr>
      <w:tr w:rsidR="0011445E">
        <w:trPr>
          <w:trHeight w:val="360"/>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96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11445E">
        <w:trPr>
          <w:trHeight w:val="345"/>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23.00</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4.47</w:t>
            </w:r>
          </w:p>
        </w:tc>
        <w:tc>
          <w:tcPr>
            <w:tcW w:w="96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4.47</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10"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宋体" w:hAnsi="宋体" w:cs="Arial" w:hint="eastAsia"/>
                <w:color w:val="000000"/>
                <w:kern w:val="0"/>
                <w:sz w:val="18"/>
                <w:szCs w:val="18"/>
              </w:rPr>
              <w:t>因财政资金拨付不到位，部分资金未能支付出去，年度财政调整预算数</w:t>
            </w:r>
            <w:r>
              <w:rPr>
                <w:rFonts w:ascii="Arial" w:hAnsi="Arial" w:cs="Arial"/>
                <w:color w:val="000000"/>
                <w:kern w:val="0"/>
                <w:sz w:val="18"/>
                <w:szCs w:val="18"/>
              </w:rPr>
              <w:t>18.53</w:t>
            </w:r>
            <w:r>
              <w:rPr>
                <w:rFonts w:ascii="宋体" w:hAnsi="宋体" w:cs="Arial" w:hint="eastAsia"/>
                <w:color w:val="000000"/>
                <w:kern w:val="0"/>
                <w:sz w:val="18"/>
                <w:szCs w:val="18"/>
              </w:rPr>
              <w:t>万元</w:t>
            </w:r>
          </w:p>
        </w:tc>
      </w:tr>
      <w:tr w:rsidR="0011445E">
        <w:trPr>
          <w:trHeight w:val="39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23.00</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4.47</w:t>
            </w:r>
          </w:p>
        </w:tc>
        <w:tc>
          <w:tcPr>
            <w:tcW w:w="96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4.47</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1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6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1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6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6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1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965"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10"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Arial" w:hAnsi="Arial" w:cs="Arial"/>
                <w:color w:val="000000"/>
                <w:kern w:val="0"/>
                <w:sz w:val="18"/>
                <w:szCs w:val="18"/>
              </w:rPr>
            </w:pPr>
          </w:p>
        </w:tc>
      </w:tr>
      <w:tr w:rsidR="0011445E">
        <w:trPr>
          <w:trHeight w:val="454"/>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w:t>
            </w:r>
            <w:r>
              <w:rPr>
                <w:rFonts w:ascii="宋体" w:hAnsi="宋体" w:cs="宋体" w:hint="eastAsia"/>
                <w:color w:val="000000"/>
                <w:kern w:val="0"/>
                <w:sz w:val="18"/>
                <w:szCs w:val="18"/>
              </w:rPr>
              <w:lastRenderedPageBreak/>
              <w:t>（90分）</w:t>
            </w: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一级指标</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lastRenderedPageBreak/>
              <w:t>性质</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指标值</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度量</w:t>
            </w:r>
            <w:r>
              <w:rPr>
                <w:rFonts w:ascii="宋体" w:hAnsi="宋体" w:cs="宋体" w:hint="eastAsia"/>
                <w:color w:val="000000"/>
                <w:kern w:val="0"/>
                <w:sz w:val="18"/>
                <w:szCs w:val="18"/>
              </w:rPr>
              <w:lastRenderedPageBreak/>
              <w:t>单位</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完成值</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金保网、金财网、互联网、党政网网络线路</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条</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4</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15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网络全年畅通率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95</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15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按月及时缴费，保障网络通畅</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良</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13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财政资金拨付不到位，存在拖欠网络费情况</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运转保障率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97</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13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因为欠费单位断网一次</w:t>
            </w:r>
          </w:p>
        </w:tc>
      </w:tr>
      <w:tr w:rsidR="0011445E">
        <w:trPr>
          <w:trHeight w:val="67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专网专用，高效便捷，提高工作效率，保障数据安全</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职工满意度</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53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70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网络年租所需经费</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0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4.47</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285"/>
        </w:trPr>
        <w:tc>
          <w:tcPr>
            <w:tcW w:w="367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96　</w:t>
            </w:r>
          </w:p>
        </w:tc>
        <w:tc>
          <w:tcPr>
            <w:tcW w:w="810"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1445E">
        <w:trPr>
          <w:trHeight w:val="60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该项目保障了日常办公正常运转，专网专用，一方面提高了工作效率，另一方面也确保了业务数据、财务数据的安全，较好地实现了预期绩效目标，绩效自评总体评价为好，评价总分96分。</w:t>
            </w:r>
          </w:p>
        </w:tc>
      </w:tr>
      <w:tr w:rsidR="0011445E">
        <w:trPr>
          <w:trHeight w:val="57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项目支付进度慢，存在延迟支付的情况</w:t>
            </w:r>
          </w:p>
        </w:tc>
      </w:tr>
      <w:tr w:rsidR="0011445E">
        <w:trPr>
          <w:trHeight w:val="63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加强与财政的沟通协调，争取早日实现项目资金拨付</w:t>
            </w:r>
          </w:p>
        </w:tc>
      </w:tr>
    </w:tbl>
    <w:p w:rsidR="0011445E" w:rsidRDefault="0011445E">
      <w:pPr>
        <w:spacing w:line="570" w:lineRule="exact"/>
        <w:jc w:val="center"/>
        <w:rPr>
          <w:sz w:val="32"/>
          <w:szCs w:val="32"/>
        </w:rPr>
      </w:pPr>
    </w:p>
    <w:p w:rsidR="0011445E" w:rsidRDefault="00C50C39">
      <w:pPr>
        <w:spacing w:line="600" w:lineRule="exact"/>
        <w:jc w:val="center"/>
        <w:rPr>
          <w:sz w:val="32"/>
          <w:szCs w:val="32"/>
        </w:rPr>
      </w:pPr>
      <w:r>
        <w:rPr>
          <w:rFonts w:hint="eastAsia"/>
          <w:sz w:val="32"/>
          <w:szCs w:val="32"/>
        </w:rPr>
        <w:t>部门预算项目支出绩效自评表（</w:t>
      </w:r>
      <w:r>
        <w:rPr>
          <w:rFonts w:hint="eastAsia"/>
          <w:sz w:val="32"/>
          <w:szCs w:val="32"/>
        </w:rPr>
        <w:t>2023</w:t>
      </w:r>
      <w:r>
        <w:rPr>
          <w:rFonts w:hint="eastAsia"/>
          <w:sz w:val="32"/>
          <w:szCs w:val="32"/>
        </w:rPr>
        <w:t>年度）</w:t>
      </w:r>
    </w:p>
    <w:tbl>
      <w:tblPr>
        <w:tblW w:w="5000" w:type="pct"/>
        <w:tblLook w:val="04A0"/>
      </w:tblPr>
      <w:tblGrid>
        <w:gridCol w:w="576"/>
        <w:gridCol w:w="1046"/>
        <w:gridCol w:w="881"/>
        <w:gridCol w:w="1166"/>
        <w:gridCol w:w="396"/>
        <w:gridCol w:w="823"/>
        <w:gridCol w:w="397"/>
        <w:gridCol w:w="847"/>
        <w:gridCol w:w="486"/>
        <w:gridCol w:w="396"/>
        <w:gridCol w:w="1508"/>
      </w:tblGrid>
      <w:tr w:rsidR="0011445E">
        <w:trPr>
          <w:trHeight w:val="285"/>
        </w:trPr>
        <w:tc>
          <w:tcPr>
            <w:tcW w:w="9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404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第一书记和驻村工作队工作经费</w:t>
            </w:r>
          </w:p>
        </w:tc>
      </w:tr>
      <w:tr w:rsidR="0011445E">
        <w:trPr>
          <w:trHeight w:val="514"/>
        </w:trPr>
        <w:tc>
          <w:tcPr>
            <w:tcW w:w="9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2149"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大竹县社会保险事业管理局部门</w:t>
            </w:r>
          </w:p>
        </w:tc>
        <w:tc>
          <w:tcPr>
            <w:tcW w:w="496" w:type="pct"/>
            <w:tcBorders>
              <w:top w:val="nil"/>
              <w:left w:val="nil"/>
              <w:bottom w:val="nil"/>
              <w:right w:val="nil"/>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实施单位</w:t>
            </w:r>
            <w:r>
              <w:rPr>
                <w:rFonts w:ascii="Arial" w:hAnsi="Arial" w:cs="Arial"/>
                <w:color w:val="000000"/>
                <w:kern w:val="0"/>
                <w:sz w:val="18"/>
                <w:szCs w:val="18"/>
              </w:rPr>
              <w:t xml:space="preserve"> </w:t>
            </w:r>
            <w:r>
              <w:rPr>
                <w:rFonts w:ascii="Arial" w:hAnsi="Arial" w:cs="Arial"/>
                <w:color w:val="000000"/>
                <w:kern w:val="0"/>
                <w:sz w:val="18"/>
                <w:szCs w:val="18"/>
              </w:rPr>
              <w:t>（盖章）</w:t>
            </w:r>
          </w:p>
        </w:tc>
        <w:tc>
          <w:tcPr>
            <w:tcW w:w="14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大竹县社会保险事业管理局</w:t>
            </w:r>
          </w:p>
        </w:tc>
      </w:tr>
      <w:tr w:rsidR="0011445E">
        <w:trPr>
          <w:trHeight w:val="285"/>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61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2149"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1899"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Arial" w:hAnsi="Arial" w:cs="Arial"/>
                <w:color w:val="000000"/>
                <w:kern w:val="0"/>
                <w:sz w:val="18"/>
                <w:szCs w:val="18"/>
              </w:rPr>
            </w:pPr>
            <w:r>
              <w:rPr>
                <w:rFonts w:ascii="Arial" w:hAnsi="Arial" w:cs="Arial"/>
                <w:color w:val="000000"/>
                <w:kern w:val="0"/>
                <w:sz w:val="18"/>
                <w:szCs w:val="18"/>
              </w:rPr>
              <w:t>年度目标完成情况</w:t>
            </w:r>
          </w:p>
        </w:tc>
      </w:tr>
      <w:tr w:rsidR="0011445E">
        <w:trPr>
          <w:trHeight w:val="7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2149" w:type="pct"/>
            <w:gridSpan w:val="5"/>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巩固脱贫攻坚成果，助力乡村振兴。</w:t>
            </w:r>
          </w:p>
        </w:tc>
        <w:tc>
          <w:tcPr>
            <w:tcW w:w="1899" w:type="pct"/>
            <w:gridSpan w:val="4"/>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Arial" w:hAnsi="Arial" w:cs="Arial"/>
                <w:color w:val="000000"/>
                <w:kern w:val="0"/>
                <w:sz w:val="18"/>
                <w:szCs w:val="18"/>
              </w:rPr>
            </w:pPr>
            <w:r>
              <w:rPr>
                <w:rFonts w:ascii="Arial" w:hAnsi="Arial" w:cs="Arial"/>
                <w:color w:val="000000"/>
                <w:kern w:val="0"/>
                <w:sz w:val="18"/>
                <w:szCs w:val="18"/>
              </w:rPr>
              <w:t>2023</w:t>
            </w:r>
            <w:r>
              <w:rPr>
                <w:rFonts w:ascii="宋体" w:hAnsi="宋体" w:cs="Arial" w:hint="eastAsia"/>
                <w:color w:val="000000"/>
                <w:kern w:val="0"/>
                <w:sz w:val="18"/>
                <w:szCs w:val="18"/>
              </w:rPr>
              <w:t>年我单位驻村工作队员深入基层开展巩固脱贫攻坚成果、助力乡村振兴工作，对口帮扶村集体经济收入得到提高，党群服务质量得到提升，群众满意</w:t>
            </w:r>
            <w:r>
              <w:rPr>
                <w:rFonts w:ascii="宋体" w:hAnsi="宋体" w:cs="Arial" w:hint="eastAsia"/>
                <w:color w:val="000000"/>
                <w:kern w:val="0"/>
                <w:sz w:val="18"/>
                <w:szCs w:val="18"/>
              </w:rPr>
              <w:lastRenderedPageBreak/>
              <w:t>度高。</w:t>
            </w:r>
          </w:p>
        </w:tc>
      </w:tr>
      <w:tr w:rsidR="0011445E">
        <w:trPr>
          <w:trHeight w:val="69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4048" w:type="pct"/>
            <w:gridSpan w:val="9"/>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派驻专人到对口扶贫村执行脱贫攻坚、乡村振兴工作</w:t>
            </w:r>
          </w:p>
        </w:tc>
      </w:tr>
      <w:tr w:rsidR="0011445E">
        <w:trPr>
          <w:trHeight w:val="360"/>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94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11445E">
        <w:trPr>
          <w:trHeight w:val="345"/>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1.20</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1.15</w:t>
            </w:r>
          </w:p>
        </w:tc>
        <w:tc>
          <w:tcPr>
            <w:tcW w:w="94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1.15</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85"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因财政资金拨付不到位，部分资金未能支付出去，年度财政调整收回预算数0.053万元</w:t>
            </w:r>
          </w:p>
        </w:tc>
      </w:tr>
      <w:tr w:rsidR="0011445E">
        <w:trPr>
          <w:trHeight w:val="39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1.20</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1.15</w:t>
            </w:r>
          </w:p>
        </w:tc>
        <w:tc>
          <w:tcPr>
            <w:tcW w:w="94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1.15</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85"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r>
      <w:tr w:rsidR="0011445E">
        <w:trPr>
          <w:trHeight w:val="409"/>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4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85"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r>
      <w:tr w:rsidR="0011445E">
        <w:trPr>
          <w:trHeight w:val="360"/>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4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85"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948" w:type="pct"/>
            <w:gridSpan w:val="3"/>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85"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r>
      <w:tr w:rsidR="0011445E">
        <w:trPr>
          <w:trHeight w:val="454"/>
        </w:trPr>
        <w:tc>
          <w:tcPr>
            <w:tcW w:w="338"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帮扶脱贫户、监测户</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228</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户</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228</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有效完成各项帮扶任务</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及时拨付驻村队员经费</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个工作日</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两个月以上</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财政资金拨付不到位，无法按时支付</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vMerge w:val="restar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954263">
            <w:pPr>
              <w:widowControl/>
              <w:jc w:val="center"/>
              <w:rPr>
                <w:rFonts w:ascii="宋体" w:hAnsi="宋体" w:cs="宋体"/>
                <w:color w:val="000000"/>
                <w:kern w:val="0"/>
                <w:sz w:val="18"/>
                <w:szCs w:val="18"/>
              </w:rPr>
            </w:pPr>
            <w:r>
              <w:rPr>
                <w:rFonts w:ascii="宋体" w:hAnsi="宋体" w:cs="宋体" w:hint="eastAsia"/>
                <w:color w:val="000000"/>
                <w:kern w:val="0"/>
                <w:sz w:val="18"/>
                <w:szCs w:val="18"/>
              </w:rPr>
              <w:t>扎实推进驻村帮扶工作，推进</w:t>
            </w:r>
            <w:r w:rsidR="00C50C39">
              <w:rPr>
                <w:rFonts w:ascii="宋体" w:hAnsi="宋体" w:cs="宋体" w:hint="eastAsia"/>
                <w:color w:val="000000"/>
                <w:kern w:val="0"/>
                <w:sz w:val="18"/>
                <w:szCs w:val="18"/>
              </w:rPr>
              <w:t>乡村振兴</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巩固脱贫攻坚成果，助力乡村振兴</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优良中低差</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优</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454"/>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帮扶对象满意度指标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群众、村干部对驻村队员满意度</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95</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338"/>
        </w:trPr>
        <w:tc>
          <w:tcPr>
            <w:tcW w:w="338" w:type="pct"/>
            <w:vMerge/>
            <w:tcBorders>
              <w:top w:val="nil"/>
              <w:left w:val="single" w:sz="4" w:space="0" w:color="000000"/>
              <w:bottom w:val="single" w:sz="4" w:space="0" w:color="000000"/>
              <w:right w:val="single" w:sz="4" w:space="0" w:color="000000"/>
            </w:tcBorders>
            <w:vAlign w:val="center"/>
          </w:tcPr>
          <w:p w:rsidR="0011445E" w:rsidRDefault="0011445E">
            <w:pPr>
              <w:widowControl/>
              <w:jc w:val="left"/>
              <w:rPr>
                <w:rFonts w:ascii="宋体" w:hAnsi="宋体" w:cs="宋体"/>
                <w:color w:val="000000"/>
                <w:kern w:val="0"/>
                <w:sz w:val="18"/>
                <w:szCs w:val="18"/>
              </w:rPr>
            </w:pPr>
          </w:p>
        </w:tc>
        <w:tc>
          <w:tcPr>
            <w:tcW w:w="61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517"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684"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驻村工作经费</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12000</w:t>
            </w:r>
          </w:p>
        </w:tc>
        <w:tc>
          <w:tcPr>
            <w:tcW w:w="233"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元</w:t>
            </w:r>
          </w:p>
        </w:tc>
        <w:tc>
          <w:tcPr>
            <w:tcW w:w="496"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11470</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11445E">
        <w:trPr>
          <w:trHeight w:val="285"/>
        </w:trPr>
        <w:tc>
          <w:tcPr>
            <w:tcW w:w="3598"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85"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32" w:type="pct"/>
            <w:tcBorders>
              <w:top w:val="nil"/>
              <w:left w:val="nil"/>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885" w:type="pct"/>
            <w:tcBorders>
              <w:top w:val="nil"/>
              <w:left w:val="nil"/>
              <w:bottom w:val="single" w:sz="4" w:space="0" w:color="000000"/>
              <w:right w:val="single" w:sz="4" w:space="0" w:color="000000"/>
            </w:tcBorders>
            <w:shd w:val="clear" w:color="auto" w:fill="auto"/>
            <w:vAlign w:val="center"/>
          </w:tcPr>
          <w:p w:rsidR="0011445E" w:rsidRDefault="00C50C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1445E">
        <w:trPr>
          <w:trHeight w:val="60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绩效自评总体为好，自评总分90分。</w:t>
            </w:r>
          </w:p>
        </w:tc>
      </w:tr>
      <w:tr w:rsidR="0011445E">
        <w:trPr>
          <w:trHeight w:val="57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项目支付进度慢，存在延迟支付的情况</w:t>
            </w:r>
          </w:p>
        </w:tc>
      </w:tr>
      <w:tr w:rsidR="0011445E">
        <w:trPr>
          <w:trHeight w:val="634"/>
        </w:trPr>
        <w:tc>
          <w:tcPr>
            <w:tcW w:w="338" w:type="pct"/>
            <w:tcBorders>
              <w:top w:val="nil"/>
              <w:left w:val="single" w:sz="4" w:space="0" w:color="000000"/>
              <w:bottom w:val="single" w:sz="4" w:space="0" w:color="000000"/>
              <w:right w:val="single" w:sz="4" w:space="0" w:color="000000"/>
            </w:tcBorders>
            <w:shd w:val="clear" w:color="auto" w:fill="auto"/>
            <w:vAlign w:val="center"/>
          </w:tcPr>
          <w:p w:rsidR="0011445E" w:rsidRDefault="00C50C3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改进措施</w:t>
            </w:r>
          </w:p>
        </w:tc>
        <w:tc>
          <w:tcPr>
            <w:tcW w:w="4662" w:type="pct"/>
            <w:gridSpan w:val="10"/>
            <w:tcBorders>
              <w:top w:val="single" w:sz="4" w:space="0" w:color="000000"/>
              <w:left w:val="nil"/>
              <w:bottom w:val="single" w:sz="4" w:space="0" w:color="000000"/>
              <w:right w:val="single" w:sz="4" w:space="0" w:color="000000"/>
            </w:tcBorders>
            <w:shd w:val="clear" w:color="auto" w:fill="auto"/>
            <w:vAlign w:val="center"/>
          </w:tcPr>
          <w:p w:rsidR="0011445E" w:rsidRDefault="00C50C3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加强与财政的沟通协调，争取早日实现项目资金拨付</w:t>
            </w:r>
          </w:p>
        </w:tc>
      </w:tr>
    </w:tbl>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11445E">
      <w:pPr>
        <w:pStyle w:val="a3"/>
        <w:spacing w:before="93"/>
        <w:rPr>
          <w:rFonts w:hAnsi="Calibri" w:cs="仿宋" w:hint="eastAsia"/>
          <w:sz w:val="32"/>
          <w:szCs w:val="32"/>
        </w:rPr>
      </w:pPr>
    </w:p>
    <w:p w:rsidR="0011445E" w:rsidRDefault="00C50C39">
      <w:pPr>
        <w:spacing w:line="600" w:lineRule="exact"/>
        <w:jc w:val="center"/>
        <w:outlineLvl w:val="0"/>
        <w:rPr>
          <w:rFonts w:ascii="仿宋" w:eastAsia="仿宋" w:hAnsi="仿宋"/>
        </w:rPr>
      </w:pPr>
      <w:bookmarkStart w:id="73" w:name="_Toc180654213"/>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74" w:name="_Toc15396619"/>
      <w:bookmarkEnd w:id="69"/>
      <w:bookmarkEnd w:id="72"/>
      <w:bookmarkEnd w:id="73"/>
    </w:p>
    <w:p w:rsidR="0011445E" w:rsidRDefault="00C50C39">
      <w:pPr>
        <w:pStyle w:val="2"/>
        <w:rPr>
          <w:rFonts w:ascii="仿宋" w:eastAsia="仿宋" w:hAnsi="仿宋"/>
        </w:rPr>
      </w:pPr>
      <w:bookmarkStart w:id="75" w:name="_Toc180654214"/>
      <w:r>
        <w:rPr>
          <w:rFonts w:ascii="仿宋" w:eastAsia="仿宋" w:hAnsi="仿宋" w:hint="eastAsia"/>
          <w:b w:val="0"/>
        </w:rPr>
        <w:t>一、收</w:t>
      </w:r>
      <w:r>
        <w:rPr>
          <w:rStyle w:val="2Char"/>
          <w:rFonts w:ascii="仿宋" w:eastAsia="仿宋" w:hAnsi="仿宋" w:hint="eastAsia"/>
        </w:rPr>
        <w:t>入支出决算总表</w:t>
      </w:r>
      <w:bookmarkEnd w:id="74"/>
      <w:bookmarkEnd w:id="75"/>
    </w:p>
    <w:p w:rsidR="0011445E" w:rsidRDefault="00C50C39">
      <w:pPr>
        <w:pStyle w:val="2"/>
        <w:rPr>
          <w:rFonts w:ascii="仿宋" w:eastAsia="仿宋" w:hAnsi="仿宋"/>
        </w:rPr>
      </w:pPr>
      <w:bookmarkStart w:id="76" w:name="_Toc15396620"/>
      <w:bookmarkStart w:id="77" w:name="_Toc180654215"/>
      <w:r>
        <w:rPr>
          <w:rFonts w:ascii="仿宋" w:eastAsia="仿宋" w:hAnsi="仿宋" w:hint="eastAsia"/>
          <w:b w:val="0"/>
        </w:rPr>
        <w:t>二、收</w:t>
      </w:r>
      <w:r>
        <w:rPr>
          <w:rStyle w:val="2Char"/>
          <w:rFonts w:ascii="仿宋" w:eastAsia="仿宋" w:hAnsi="仿宋" w:hint="eastAsia"/>
        </w:rPr>
        <w:t>入决算表</w:t>
      </w:r>
      <w:bookmarkEnd w:id="76"/>
      <w:bookmarkEnd w:id="77"/>
    </w:p>
    <w:p w:rsidR="0011445E" w:rsidRDefault="00C50C39">
      <w:pPr>
        <w:pStyle w:val="2"/>
        <w:rPr>
          <w:rFonts w:ascii="仿宋" w:eastAsia="仿宋" w:hAnsi="仿宋"/>
        </w:rPr>
      </w:pPr>
      <w:bookmarkStart w:id="78" w:name="_Toc15396621"/>
      <w:bookmarkStart w:id="79" w:name="_Toc180654216"/>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78"/>
      <w:bookmarkEnd w:id="79"/>
    </w:p>
    <w:p w:rsidR="0011445E" w:rsidRDefault="00C50C39">
      <w:pPr>
        <w:pStyle w:val="2"/>
        <w:rPr>
          <w:rFonts w:ascii="仿宋" w:eastAsia="仿宋" w:hAnsi="仿宋"/>
          <w:b w:val="0"/>
        </w:rPr>
      </w:pPr>
      <w:bookmarkStart w:id="80" w:name="_Toc15396622"/>
      <w:bookmarkStart w:id="81" w:name="_Toc180654217"/>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80"/>
      <w:bookmarkEnd w:id="81"/>
    </w:p>
    <w:p w:rsidR="0011445E" w:rsidRDefault="00C50C39">
      <w:pPr>
        <w:pStyle w:val="2"/>
        <w:rPr>
          <w:rStyle w:val="2Char"/>
          <w:rFonts w:ascii="仿宋" w:eastAsia="仿宋" w:hAnsi="仿宋"/>
        </w:rPr>
      </w:pPr>
      <w:bookmarkStart w:id="82" w:name="_Toc15396623"/>
      <w:bookmarkStart w:id="83" w:name="_Toc180654218"/>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84" w:name="_Toc15396624"/>
      <w:bookmarkEnd w:id="82"/>
      <w:bookmarkEnd w:id="83"/>
    </w:p>
    <w:p w:rsidR="0011445E" w:rsidRDefault="00C50C39">
      <w:pPr>
        <w:pStyle w:val="2"/>
        <w:rPr>
          <w:rFonts w:ascii="仿宋" w:eastAsia="仿宋" w:hAnsi="仿宋"/>
        </w:rPr>
      </w:pPr>
      <w:bookmarkStart w:id="85" w:name="_Toc180654219"/>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84"/>
      <w:bookmarkEnd w:id="85"/>
    </w:p>
    <w:p w:rsidR="0011445E" w:rsidRDefault="00C50C39">
      <w:pPr>
        <w:pStyle w:val="2"/>
        <w:rPr>
          <w:rFonts w:ascii="仿宋" w:eastAsia="仿宋" w:hAnsi="仿宋"/>
        </w:rPr>
      </w:pPr>
      <w:bookmarkStart w:id="86" w:name="_Toc15396625"/>
      <w:bookmarkStart w:id="87" w:name="_Toc180654220"/>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86"/>
      <w:bookmarkEnd w:id="87"/>
    </w:p>
    <w:p w:rsidR="0011445E" w:rsidRDefault="00C50C39">
      <w:pPr>
        <w:pStyle w:val="2"/>
        <w:rPr>
          <w:rFonts w:ascii="仿宋" w:eastAsia="仿宋" w:hAnsi="仿宋"/>
        </w:rPr>
      </w:pPr>
      <w:bookmarkStart w:id="88" w:name="_Toc15396626"/>
      <w:bookmarkStart w:id="89" w:name="_Toc180654221"/>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88"/>
      <w:bookmarkEnd w:id="89"/>
    </w:p>
    <w:p w:rsidR="0011445E" w:rsidRDefault="00C50C39">
      <w:pPr>
        <w:pStyle w:val="2"/>
        <w:rPr>
          <w:rFonts w:ascii="仿宋" w:eastAsia="仿宋" w:hAnsi="仿宋"/>
        </w:rPr>
      </w:pPr>
      <w:bookmarkStart w:id="90" w:name="_Toc15396627"/>
      <w:bookmarkStart w:id="91" w:name="_Toc180654222"/>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90"/>
      <w:bookmarkEnd w:id="91"/>
    </w:p>
    <w:p w:rsidR="0011445E" w:rsidRDefault="00C50C39">
      <w:pPr>
        <w:pStyle w:val="2"/>
        <w:rPr>
          <w:rFonts w:ascii="仿宋" w:eastAsia="仿宋" w:hAnsi="仿宋"/>
        </w:rPr>
      </w:pPr>
      <w:bookmarkStart w:id="92" w:name="_Toc15396628"/>
      <w:bookmarkStart w:id="93" w:name="_Toc180654223"/>
      <w:r>
        <w:rPr>
          <w:rStyle w:val="2Char"/>
          <w:rFonts w:ascii="仿宋" w:eastAsia="仿宋" w:hAnsi="仿宋" w:hint="eastAsia"/>
        </w:rPr>
        <w:t>十、</w:t>
      </w:r>
      <w:bookmarkEnd w:id="92"/>
      <w:r>
        <w:rPr>
          <w:rFonts w:ascii="仿宋" w:eastAsia="仿宋" w:hAnsi="仿宋" w:hint="eastAsia"/>
          <w:b w:val="0"/>
        </w:rPr>
        <w:t>政</w:t>
      </w:r>
      <w:r>
        <w:rPr>
          <w:rStyle w:val="2Char"/>
          <w:rFonts w:ascii="仿宋" w:eastAsia="仿宋" w:hAnsi="仿宋" w:hint="eastAsia"/>
        </w:rPr>
        <w:t>府性基金预算财政拨款收入支出决算表</w:t>
      </w:r>
      <w:bookmarkEnd w:id="93"/>
    </w:p>
    <w:p w:rsidR="0011445E" w:rsidRDefault="00C50C39">
      <w:pPr>
        <w:pStyle w:val="2"/>
        <w:rPr>
          <w:rFonts w:ascii="仿宋" w:eastAsia="仿宋" w:hAnsi="仿宋"/>
        </w:rPr>
      </w:pPr>
      <w:bookmarkStart w:id="94" w:name="_Toc15396629"/>
      <w:bookmarkStart w:id="95" w:name="_Toc180654224"/>
      <w:r>
        <w:rPr>
          <w:rStyle w:val="2Char"/>
          <w:rFonts w:ascii="仿宋" w:eastAsia="仿宋" w:hAnsi="仿宋" w:hint="eastAsia"/>
        </w:rPr>
        <w:t>十一、</w:t>
      </w:r>
      <w:bookmarkEnd w:id="94"/>
      <w:r>
        <w:rPr>
          <w:rFonts w:ascii="仿宋" w:eastAsia="仿宋" w:hAnsi="仿宋" w:hint="eastAsia"/>
          <w:b w:val="0"/>
        </w:rPr>
        <w:t>国</w:t>
      </w:r>
      <w:r>
        <w:rPr>
          <w:rStyle w:val="2Char"/>
          <w:rFonts w:ascii="仿宋" w:eastAsia="仿宋" w:hAnsi="仿宋" w:hint="eastAsia"/>
        </w:rPr>
        <w:t>有资本经营预算财政拨款收入支出决算表</w:t>
      </w:r>
      <w:bookmarkEnd w:id="95"/>
    </w:p>
    <w:p w:rsidR="0011445E" w:rsidRDefault="00C50C39">
      <w:pPr>
        <w:pStyle w:val="2"/>
        <w:rPr>
          <w:rFonts w:ascii="仿宋" w:eastAsia="仿宋" w:hAnsi="仿宋"/>
        </w:rPr>
      </w:pPr>
      <w:bookmarkStart w:id="96" w:name="_Toc15396630"/>
      <w:bookmarkStart w:id="97" w:name="_Toc180654225"/>
      <w:r>
        <w:rPr>
          <w:rStyle w:val="2Char"/>
          <w:rFonts w:ascii="仿宋" w:eastAsia="仿宋" w:hAnsi="仿宋" w:hint="eastAsia"/>
        </w:rPr>
        <w:t>十二、</w:t>
      </w:r>
      <w:bookmarkEnd w:id="96"/>
      <w:r>
        <w:rPr>
          <w:rStyle w:val="2Char"/>
          <w:rFonts w:ascii="仿宋" w:eastAsia="仿宋" w:hAnsi="仿宋" w:hint="eastAsia"/>
        </w:rPr>
        <w:t>国有资本经营预算财政拨款支出决算表</w:t>
      </w:r>
      <w:bookmarkEnd w:id="97"/>
    </w:p>
    <w:p w:rsidR="0011445E" w:rsidRDefault="00C50C39">
      <w:pPr>
        <w:pStyle w:val="2"/>
        <w:rPr>
          <w:rFonts w:eastAsia="仿宋"/>
        </w:rPr>
      </w:pPr>
      <w:bookmarkStart w:id="98" w:name="_Toc15396631"/>
      <w:bookmarkStart w:id="99" w:name="_Toc180654226"/>
      <w:r>
        <w:rPr>
          <w:rStyle w:val="2Char"/>
          <w:rFonts w:ascii="仿宋" w:eastAsia="仿宋" w:hAnsi="仿宋" w:hint="eastAsia"/>
        </w:rPr>
        <w:t>十三、</w:t>
      </w:r>
      <w:bookmarkEnd w:id="98"/>
      <w:r>
        <w:rPr>
          <w:rStyle w:val="2Char"/>
          <w:rFonts w:ascii="仿宋" w:eastAsia="仿宋" w:hAnsi="仿宋" w:hint="eastAsia"/>
        </w:rPr>
        <w:t>财政拨款“三公”经费支出决算表</w:t>
      </w:r>
      <w:bookmarkEnd w:id="99"/>
    </w:p>
    <w:sectPr w:rsidR="0011445E" w:rsidSect="0011445E">
      <w:footerReference w:type="default" r:id="rId24"/>
      <w:footerReference w:type="first" r:id="rId2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01" w:rsidRDefault="00BE3001" w:rsidP="0011445E">
      <w:r>
        <w:separator/>
      </w:r>
    </w:p>
  </w:endnote>
  <w:endnote w:type="continuationSeparator" w:id="0">
    <w:p w:rsidR="00BE3001" w:rsidRDefault="00BE3001" w:rsidP="0011445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ambria Math"/>
    <w:panose1 w:val="02020603050405020304"/>
    <w:charset w:val="00"/>
    <w:family w:val="roman"/>
    <w:notTrueType/>
    <w:pitch w:val="variable"/>
    <w:sig w:usb0="00000003" w:usb1="00000000" w:usb2="00000000" w:usb3="00000000" w:csb0="00000001" w:csb1="00000000"/>
  </w:font>
  <w:font w:name="黑体">
    <w:altName w:val="微软雅黑"/>
    <w:panose1 w:val="02010600030101010101"/>
    <w:charset w:val="86"/>
    <w:family w:val="modern"/>
    <w:notTrueType/>
    <w:pitch w:val="fixed"/>
    <w:sig w:usb0="00000000" w:usb1="080E0000" w:usb2="00000010" w:usb3="00000000" w:csb0="00040000" w:csb1="00000000"/>
  </w:font>
  <w:font w:name="Calibri">
    <w:altName w:val="Cambria Math"/>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11445E">
    <w:pPr>
      <w:pStyle w:val="a6"/>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11445E">
    <w:pPr>
      <w:pStyle w:val="a6"/>
      <w:jc w:val="center"/>
      <w:rPr>
        <w:rFonts w:hint="eastAsia"/>
      </w:rPr>
    </w:pPr>
  </w:p>
  <w:p w:rsidR="0011445E" w:rsidRDefault="0011445E">
    <w:pPr>
      <w:pStyle w:val="a6"/>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11445E">
    <w:pPr>
      <w:pStyle w:val="a6"/>
      <w:jc w:val="center"/>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11445E">
    <w:pPr>
      <w:pStyle w:val="a6"/>
      <w:rPr>
        <w:rFonts w:hint="eastAsi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11445E">
    <w:pPr>
      <w:pStyle w:val="a6"/>
      <w:jc w:val="center"/>
      <w:rPr>
        <w:rFonts w:hint="eastAs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740148">
    <w:pPr>
      <w:pStyle w:val="a6"/>
      <w:jc w:val="center"/>
      <w:rPr>
        <w:rFonts w:hint="eastAsia"/>
      </w:rPr>
    </w:pPr>
    <w:r>
      <w:rPr>
        <w:rFonts w:hint="eastAsia"/>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147470507"/>
                </w:sdtPr>
                <w:sdtContent>
                  <w:p w:rsidR="0011445E" w:rsidRDefault="00740148">
                    <w:pPr>
                      <w:pStyle w:val="a6"/>
                      <w:jc w:val="center"/>
                      <w:rPr>
                        <w:rFonts w:hint="eastAsia"/>
                      </w:rPr>
                    </w:pPr>
                    <w:r w:rsidRPr="00740148">
                      <w:rPr>
                        <w:rFonts w:hint="eastAsia"/>
                      </w:rPr>
                      <w:fldChar w:fldCharType="begin"/>
                    </w:r>
                    <w:r w:rsidR="00C50C39">
                      <w:instrText>PAGE   \* MERGEFORMAT</w:instrText>
                    </w:r>
                    <w:r w:rsidRPr="00740148">
                      <w:rPr>
                        <w:rFonts w:hint="eastAsia"/>
                      </w:rPr>
                      <w:fldChar w:fldCharType="separate"/>
                    </w:r>
                    <w:r w:rsidR="00954263" w:rsidRPr="00954263">
                      <w:rPr>
                        <w:rFonts w:hint="eastAsia"/>
                        <w:noProof/>
                        <w:lang w:val="zh-CN"/>
                      </w:rPr>
                      <w:t>23</w:t>
                    </w:r>
                    <w:r>
                      <w:rPr>
                        <w:rFonts w:hint="eastAsia"/>
                        <w:lang w:val="zh-CN"/>
                      </w:rPr>
                      <w:fldChar w:fldCharType="end"/>
                    </w:r>
                  </w:p>
                </w:sdtContent>
              </w:sdt>
              <w:p w:rsidR="0011445E" w:rsidRDefault="0011445E">
                <w:pPr>
                  <w:pStyle w:val="5"/>
                </w:pPr>
              </w:p>
            </w:txbxContent>
          </v:textbox>
          <w10:wrap anchorx="margin"/>
        </v:shape>
      </w:pict>
    </w:r>
  </w:p>
  <w:p w:rsidR="0011445E" w:rsidRDefault="0011445E">
    <w:pPr>
      <w:pStyle w:val="a6"/>
      <w:rPr>
        <w:rFonts w:hint="eastAsia"/>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740148">
    <w:pPr>
      <w:pStyle w:val="a6"/>
      <w:jc w:val="center"/>
      <w:rPr>
        <w:rFonts w:hint="eastAsia"/>
      </w:rPr>
    </w:pPr>
    <w:r>
      <w:rPr>
        <w:rFonts w:hint="eastAsia"/>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filled="f" stroked="f">
          <v:textbox style="mso-fit-shape-to-text:t" inset="0,0,0,0">
            <w:txbxContent>
              <w:p w:rsidR="0011445E" w:rsidRDefault="00740148">
                <w:pPr>
                  <w:pStyle w:val="a6"/>
                  <w:rPr>
                    <w:rFonts w:hint="eastAsia"/>
                  </w:rPr>
                </w:pPr>
                <w:r>
                  <w:fldChar w:fldCharType="begin"/>
                </w:r>
                <w:r w:rsidR="00C50C39">
                  <w:instrText xml:space="preserve"> PAGE  \* MERGEFORMAT </w:instrText>
                </w:r>
                <w:r>
                  <w:fldChar w:fldCharType="separate"/>
                </w:r>
                <w:r w:rsidR="00954263">
                  <w:rPr>
                    <w:rFonts w:hint="eastAsia"/>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01" w:rsidRDefault="00BE3001" w:rsidP="0011445E">
      <w:r>
        <w:separator/>
      </w:r>
    </w:p>
  </w:footnote>
  <w:footnote w:type="continuationSeparator" w:id="0">
    <w:p w:rsidR="00BE3001" w:rsidRDefault="00BE3001" w:rsidP="00114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11445E">
    <w:pPr>
      <w:pStyle w:val="a7"/>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E" w:rsidRDefault="0011445E">
    <w:pPr>
      <w:pStyle w:val="a7"/>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3F" w:rsidRDefault="00186C3F">
    <w:pPr>
      <w:pStyle w:val="a7"/>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NlOGY2ZGNlMWZiMzQ0NjViOWRmZjIzNTEyMGE2NWI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032AB"/>
    <w:rsid w:val="000222C6"/>
    <w:rsid w:val="0002549F"/>
    <w:rsid w:val="00031EA1"/>
    <w:rsid w:val="000468DB"/>
    <w:rsid w:val="00056E33"/>
    <w:rsid w:val="0006487A"/>
    <w:rsid w:val="000654BE"/>
    <w:rsid w:val="00065F8F"/>
    <w:rsid w:val="00070A43"/>
    <w:rsid w:val="000768F2"/>
    <w:rsid w:val="000862B8"/>
    <w:rsid w:val="0009184B"/>
    <w:rsid w:val="00094236"/>
    <w:rsid w:val="000943E4"/>
    <w:rsid w:val="0009593C"/>
    <w:rsid w:val="00097322"/>
    <w:rsid w:val="000A6A92"/>
    <w:rsid w:val="000A70A0"/>
    <w:rsid w:val="000B047F"/>
    <w:rsid w:val="000B5923"/>
    <w:rsid w:val="000B5A48"/>
    <w:rsid w:val="000B6FF3"/>
    <w:rsid w:val="000C3467"/>
    <w:rsid w:val="000C3CA6"/>
    <w:rsid w:val="000C7BED"/>
    <w:rsid w:val="000D1267"/>
    <w:rsid w:val="000D1D50"/>
    <w:rsid w:val="000D4F9D"/>
    <w:rsid w:val="000D5251"/>
    <w:rsid w:val="000D5782"/>
    <w:rsid w:val="000E6613"/>
    <w:rsid w:val="000E7119"/>
    <w:rsid w:val="0011445E"/>
    <w:rsid w:val="00114E9B"/>
    <w:rsid w:val="00116CC8"/>
    <w:rsid w:val="0013009D"/>
    <w:rsid w:val="00142216"/>
    <w:rsid w:val="00144D6A"/>
    <w:rsid w:val="0014729F"/>
    <w:rsid w:val="00157BAB"/>
    <w:rsid w:val="001654D1"/>
    <w:rsid w:val="00174518"/>
    <w:rsid w:val="00176F80"/>
    <w:rsid w:val="0018106D"/>
    <w:rsid w:val="00181552"/>
    <w:rsid w:val="00186942"/>
    <w:rsid w:val="00186C3F"/>
    <w:rsid w:val="001873FC"/>
    <w:rsid w:val="001877A7"/>
    <w:rsid w:val="00191536"/>
    <w:rsid w:val="00195D46"/>
    <w:rsid w:val="00196687"/>
    <w:rsid w:val="001A1DAD"/>
    <w:rsid w:val="001C0962"/>
    <w:rsid w:val="001D7531"/>
    <w:rsid w:val="001E737D"/>
    <w:rsid w:val="001F0592"/>
    <w:rsid w:val="001F6D67"/>
    <w:rsid w:val="001F7506"/>
    <w:rsid w:val="002006CD"/>
    <w:rsid w:val="00202B36"/>
    <w:rsid w:val="00204B7A"/>
    <w:rsid w:val="00204CDE"/>
    <w:rsid w:val="00206907"/>
    <w:rsid w:val="0021101A"/>
    <w:rsid w:val="00212B4A"/>
    <w:rsid w:val="00216813"/>
    <w:rsid w:val="00220536"/>
    <w:rsid w:val="00235629"/>
    <w:rsid w:val="0023695E"/>
    <w:rsid w:val="00260C38"/>
    <w:rsid w:val="002616C0"/>
    <w:rsid w:val="00265372"/>
    <w:rsid w:val="002662AA"/>
    <w:rsid w:val="00280496"/>
    <w:rsid w:val="00294DC9"/>
    <w:rsid w:val="00295495"/>
    <w:rsid w:val="002A31DE"/>
    <w:rsid w:val="002A5C09"/>
    <w:rsid w:val="002B2613"/>
    <w:rsid w:val="002C5004"/>
    <w:rsid w:val="002D6D05"/>
    <w:rsid w:val="002E0A16"/>
    <w:rsid w:val="002E46E9"/>
    <w:rsid w:val="002E7418"/>
    <w:rsid w:val="002F1818"/>
    <w:rsid w:val="002F567B"/>
    <w:rsid w:val="003100E5"/>
    <w:rsid w:val="0031170E"/>
    <w:rsid w:val="003216A9"/>
    <w:rsid w:val="00334BC5"/>
    <w:rsid w:val="00335A74"/>
    <w:rsid w:val="003464C9"/>
    <w:rsid w:val="00361F1E"/>
    <w:rsid w:val="0036561B"/>
    <w:rsid w:val="0037013F"/>
    <w:rsid w:val="00380C92"/>
    <w:rsid w:val="00386F1F"/>
    <w:rsid w:val="00390325"/>
    <w:rsid w:val="003A484F"/>
    <w:rsid w:val="003A4883"/>
    <w:rsid w:val="003B0BE0"/>
    <w:rsid w:val="003B0C1B"/>
    <w:rsid w:val="003B688C"/>
    <w:rsid w:val="003C0291"/>
    <w:rsid w:val="003C1608"/>
    <w:rsid w:val="003C39AE"/>
    <w:rsid w:val="003C7B60"/>
    <w:rsid w:val="003D0C0F"/>
    <w:rsid w:val="003D1FB2"/>
    <w:rsid w:val="003D66DA"/>
    <w:rsid w:val="003E1310"/>
    <w:rsid w:val="003E2ACD"/>
    <w:rsid w:val="003E6F55"/>
    <w:rsid w:val="003F21A0"/>
    <w:rsid w:val="00401F31"/>
    <w:rsid w:val="00406254"/>
    <w:rsid w:val="004223DE"/>
    <w:rsid w:val="00425C50"/>
    <w:rsid w:val="0043177C"/>
    <w:rsid w:val="0043224A"/>
    <w:rsid w:val="00434489"/>
    <w:rsid w:val="00437085"/>
    <w:rsid w:val="00443880"/>
    <w:rsid w:val="004441FA"/>
    <w:rsid w:val="004464F4"/>
    <w:rsid w:val="0046049C"/>
    <w:rsid w:val="00471026"/>
    <w:rsid w:val="00471401"/>
    <w:rsid w:val="004721B4"/>
    <w:rsid w:val="00473F31"/>
    <w:rsid w:val="0048263A"/>
    <w:rsid w:val="00487E5D"/>
    <w:rsid w:val="004A711F"/>
    <w:rsid w:val="004B199D"/>
    <w:rsid w:val="004B4690"/>
    <w:rsid w:val="004D4861"/>
    <w:rsid w:val="004E0A2D"/>
    <w:rsid w:val="004E206B"/>
    <w:rsid w:val="004E6DF7"/>
    <w:rsid w:val="004F0FBD"/>
    <w:rsid w:val="004F238F"/>
    <w:rsid w:val="0050041E"/>
    <w:rsid w:val="0050253E"/>
    <w:rsid w:val="00505A47"/>
    <w:rsid w:val="0051151A"/>
    <w:rsid w:val="00512FDA"/>
    <w:rsid w:val="00520DA0"/>
    <w:rsid w:val="00526A40"/>
    <w:rsid w:val="005533CF"/>
    <w:rsid w:val="005664BB"/>
    <w:rsid w:val="00566FFA"/>
    <w:rsid w:val="005678D6"/>
    <w:rsid w:val="0057481D"/>
    <w:rsid w:val="0058486E"/>
    <w:rsid w:val="00585B33"/>
    <w:rsid w:val="005874F5"/>
    <w:rsid w:val="0059014D"/>
    <w:rsid w:val="0059111B"/>
    <w:rsid w:val="005A1B24"/>
    <w:rsid w:val="005B2E49"/>
    <w:rsid w:val="005B5C64"/>
    <w:rsid w:val="005B6E8A"/>
    <w:rsid w:val="005C5337"/>
    <w:rsid w:val="005C6BD0"/>
    <w:rsid w:val="005D1C8B"/>
    <w:rsid w:val="005D468D"/>
    <w:rsid w:val="005D5CED"/>
    <w:rsid w:val="005F10BC"/>
    <w:rsid w:val="005F1A4C"/>
    <w:rsid w:val="005F5C68"/>
    <w:rsid w:val="00605688"/>
    <w:rsid w:val="006070AF"/>
    <w:rsid w:val="00607E6C"/>
    <w:rsid w:val="006101B1"/>
    <w:rsid w:val="00614E44"/>
    <w:rsid w:val="0062270A"/>
    <w:rsid w:val="00622830"/>
    <w:rsid w:val="00623DA0"/>
    <w:rsid w:val="00630AEF"/>
    <w:rsid w:val="006315BE"/>
    <w:rsid w:val="006325F8"/>
    <w:rsid w:val="00633463"/>
    <w:rsid w:val="00634C9A"/>
    <w:rsid w:val="006440E4"/>
    <w:rsid w:val="00655FC5"/>
    <w:rsid w:val="00661C52"/>
    <w:rsid w:val="0066343B"/>
    <w:rsid w:val="00664777"/>
    <w:rsid w:val="00670BC8"/>
    <w:rsid w:val="006748A4"/>
    <w:rsid w:val="00681A31"/>
    <w:rsid w:val="00683E73"/>
    <w:rsid w:val="006A3141"/>
    <w:rsid w:val="006A5E34"/>
    <w:rsid w:val="006B2422"/>
    <w:rsid w:val="006B2B9A"/>
    <w:rsid w:val="006C1937"/>
    <w:rsid w:val="006C3999"/>
    <w:rsid w:val="006D71D2"/>
    <w:rsid w:val="006F020C"/>
    <w:rsid w:val="0071021A"/>
    <w:rsid w:val="00710EEA"/>
    <w:rsid w:val="007127B7"/>
    <w:rsid w:val="0071798E"/>
    <w:rsid w:val="007262D5"/>
    <w:rsid w:val="007317E1"/>
    <w:rsid w:val="00740148"/>
    <w:rsid w:val="007416B6"/>
    <w:rsid w:val="00746F48"/>
    <w:rsid w:val="0075404D"/>
    <w:rsid w:val="0076182A"/>
    <w:rsid w:val="00767B7E"/>
    <w:rsid w:val="007770C3"/>
    <w:rsid w:val="00783DE7"/>
    <w:rsid w:val="00784D24"/>
    <w:rsid w:val="00785FBA"/>
    <w:rsid w:val="00786E4A"/>
    <w:rsid w:val="007875EB"/>
    <w:rsid w:val="00793063"/>
    <w:rsid w:val="0079426B"/>
    <w:rsid w:val="007D1682"/>
    <w:rsid w:val="007D312A"/>
    <w:rsid w:val="007D3F19"/>
    <w:rsid w:val="007E23B0"/>
    <w:rsid w:val="007E23E5"/>
    <w:rsid w:val="007F1991"/>
    <w:rsid w:val="007F2C2F"/>
    <w:rsid w:val="007F371A"/>
    <w:rsid w:val="007F55FC"/>
    <w:rsid w:val="007F5665"/>
    <w:rsid w:val="00800112"/>
    <w:rsid w:val="00813102"/>
    <w:rsid w:val="00813348"/>
    <w:rsid w:val="008253BB"/>
    <w:rsid w:val="0083706E"/>
    <w:rsid w:val="008408F6"/>
    <w:rsid w:val="008423A5"/>
    <w:rsid w:val="00850625"/>
    <w:rsid w:val="008517E7"/>
    <w:rsid w:val="00853718"/>
    <w:rsid w:val="00855221"/>
    <w:rsid w:val="00860645"/>
    <w:rsid w:val="00871F71"/>
    <w:rsid w:val="00872FD8"/>
    <w:rsid w:val="00883BFB"/>
    <w:rsid w:val="00885AF4"/>
    <w:rsid w:val="008939CD"/>
    <w:rsid w:val="008B768C"/>
    <w:rsid w:val="008C4DB1"/>
    <w:rsid w:val="008C4EAF"/>
    <w:rsid w:val="008C5176"/>
    <w:rsid w:val="008C7FD0"/>
    <w:rsid w:val="008C7FD8"/>
    <w:rsid w:val="008E1DE7"/>
    <w:rsid w:val="008E707C"/>
    <w:rsid w:val="00900B08"/>
    <w:rsid w:val="00902155"/>
    <w:rsid w:val="00902FA3"/>
    <w:rsid w:val="00906276"/>
    <w:rsid w:val="00923564"/>
    <w:rsid w:val="0092392E"/>
    <w:rsid w:val="009315F9"/>
    <w:rsid w:val="00931D95"/>
    <w:rsid w:val="00933499"/>
    <w:rsid w:val="00935C98"/>
    <w:rsid w:val="009400CC"/>
    <w:rsid w:val="00946945"/>
    <w:rsid w:val="00951248"/>
    <w:rsid w:val="0095152F"/>
    <w:rsid w:val="00954263"/>
    <w:rsid w:val="00954C49"/>
    <w:rsid w:val="00955828"/>
    <w:rsid w:val="00955E37"/>
    <w:rsid w:val="00960971"/>
    <w:rsid w:val="0097099F"/>
    <w:rsid w:val="00971997"/>
    <w:rsid w:val="00971FFC"/>
    <w:rsid w:val="00972D1F"/>
    <w:rsid w:val="00984350"/>
    <w:rsid w:val="0098660A"/>
    <w:rsid w:val="00986EE9"/>
    <w:rsid w:val="009931C3"/>
    <w:rsid w:val="00994419"/>
    <w:rsid w:val="00995676"/>
    <w:rsid w:val="00996779"/>
    <w:rsid w:val="009B2C43"/>
    <w:rsid w:val="009B4EAE"/>
    <w:rsid w:val="009B7573"/>
    <w:rsid w:val="009C22F4"/>
    <w:rsid w:val="009C2A4B"/>
    <w:rsid w:val="009C2E98"/>
    <w:rsid w:val="009D3447"/>
    <w:rsid w:val="009D3C27"/>
    <w:rsid w:val="009D3EF9"/>
    <w:rsid w:val="009D4711"/>
    <w:rsid w:val="009F1185"/>
    <w:rsid w:val="009F18CD"/>
    <w:rsid w:val="009F2A13"/>
    <w:rsid w:val="009F7527"/>
    <w:rsid w:val="00A04EB0"/>
    <w:rsid w:val="00A13CC1"/>
    <w:rsid w:val="00A16847"/>
    <w:rsid w:val="00A23646"/>
    <w:rsid w:val="00A237D8"/>
    <w:rsid w:val="00A268C4"/>
    <w:rsid w:val="00A307CD"/>
    <w:rsid w:val="00A3204C"/>
    <w:rsid w:val="00A32D5D"/>
    <w:rsid w:val="00A331C8"/>
    <w:rsid w:val="00A40A00"/>
    <w:rsid w:val="00A4142F"/>
    <w:rsid w:val="00A422EB"/>
    <w:rsid w:val="00A45BB7"/>
    <w:rsid w:val="00A51FAA"/>
    <w:rsid w:val="00A522A7"/>
    <w:rsid w:val="00A56DF2"/>
    <w:rsid w:val="00A56E6E"/>
    <w:rsid w:val="00A67AB5"/>
    <w:rsid w:val="00A733B2"/>
    <w:rsid w:val="00A741C2"/>
    <w:rsid w:val="00A91760"/>
    <w:rsid w:val="00A93B00"/>
    <w:rsid w:val="00A93C21"/>
    <w:rsid w:val="00A9431F"/>
    <w:rsid w:val="00A967C9"/>
    <w:rsid w:val="00A97E5F"/>
    <w:rsid w:val="00AA51D5"/>
    <w:rsid w:val="00AB4CB7"/>
    <w:rsid w:val="00AB64C9"/>
    <w:rsid w:val="00AC38EA"/>
    <w:rsid w:val="00AC3C6A"/>
    <w:rsid w:val="00AD305F"/>
    <w:rsid w:val="00AD3F52"/>
    <w:rsid w:val="00AD5620"/>
    <w:rsid w:val="00AD641D"/>
    <w:rsid w:val="00AD656B"/>
    <w:rsid w:val="00AD7C1B"/>
    <w:rsid w:val="00AE132E"/>
    <w:rsid w:val="00AE16BA"/>
    <w:rsid w:val="00AE1EBE"/>
    <w:rsid w:val="00AF41DE"/>
    <w:rsid w:val="00B03C9D"/>
    <w:rsid w:val="00B05445"/>
    <w:rsid w:val="00B060AE"/>
    <w:rsid w:val="00B10517"/>
    <w:rsid w:val="00B107C8"/>
    <w:rsid w:val="00B14E76"/>
    <w:rsid w:val="00B15C91"/>
    <w:rsid w:val="00B161B8"/>
    <w:rsid w:val="00B2048C"/>
    <w:rsid w:val="00B220AE"/>
    <w:rsid w:val="00B237FA"/>
    <w:rsid w:val="00B310B9"/>
    <w:rsid w:val="00B35F3F"/>
    <w:rsid w:val="00B36CBB"/>
    <w:rsid w:val="00B374F9"/>
    <w:rsid w:val="00B425E0"/>
    <w:rsid w:val="00B440AA"/>
    <w:rsid w:val="00B44B70"/>
    <w:rsid w:val="00B53C56"/>
    <w:rsid w:val="00B57DAF"/>
    <w:rsid w:val="00B77EA6"/>
    <w:rsid w:val="00B81598"/>
    <w:rsid w:val="00B841F1"/>
    <w:rsid w:val="00B878CB"/>
    <w:rsid w:val="00B915E2"/>
    <w:rsid w:val="00B944D6"/>
    <w:rsid w:val="00BB4DF0"/>
    <w:rsid w:val="00BC289F"/>
    <w:rsid w:val="00BC2D50"/>
    <w:rsid w:val="00BC5361"/>
    <w:rsid w:val="00BC5460"/>
    <w:rsid w:val="00BC6B50"/>
    <w:rsid w:val="00BD0957"/>
    <w:rsid w:val="00BD0E25"/>
    <w:rsid w:val="00BE0D08"/>
    <w:rsid w:val="00BE3001"/>
    <w:rsid w:val="00BF2F95"/>
    <w:rsid w:val="00BF5BD6"/>
    <w:rsid w:val="00C02AEE"/>
    <w:rsid w:val="00C03E31"/>
    <w:rsid w:val="00C0614A"/>
    <w:rsid w:val="00C07C68"/>
    <w:rsid w:val="00C33E72"/>
    <w:rsid w:val="00C354B2"/>
    <w:rsid w:val="00C35554"/>
    <w:rsid w:val="00C40FAC"/>
    <w:rsid w:val="00C42709"/>
    <w:rsid w:val="00C50C39"/>
    <w:rsid w:val="00C51CFC"/>
    <w:rsid w:val="00C533CC"/>
    <w:rsid w:val="00C5751C"/>
    <w:rsid w:val="00C61BFC"/>
    <w:rsid w:val="00C62B85"/>
    <w:rsid w:val="00C65438"/>
    <w:rsid w:val="00C75899"/>
    <w:rsid w:val="00C87FD8"/>
    <w:rsid w:val="00C91381"/>
    <w:rsid w:val="00C91CBB"/>
    <w:rsid w:val="00CA6440"/>
    <w:rsid w:val="00CB4E70"/>
    <w:rsid w:val="00CC09B6"/>
    <w:rsid w:val="00CC666F"/>
    <w:rsid w:val="00CD1E3F"/>
    <w:rsid w:val="00CD5F00"/>
    <w:rsid w:val="00CE44F6"/>
    <w:rsid w:val="00CE49DA"/>
    <w:rsid w:val="00CE7B61"/>
    <w:rsid w:val="00CF410F"/>
    <w:rsid w:val="00D00095"/>
    <w:rsid w:val="00D114F0"/>
    <w:rsid w:val="00D144DE"/>
    <w:rsid w:val="00D20620"/>
    <w:rsid w:val="00D254F7"/>
    <w:rsid w:val="00D26091"/>
    <w:rsid w:val="00D2685C"/>
    <w:rsid w:val="00D3086A"/>
    <w:rsid w:val="00D31E6F"/>
    <w:rsid w:val="00D34E7C"/>
    <w:rsid w:val="00D35489"/>
    <w:rsid w:val="00D36AFE"/>
    <w:rsid w:val="00D51276"/>
    <w:rsid w:val="00D5364D"/>
    <w:rsid w:val="00D7035F"/>
    <w:rsid w:val="00D80ECD"/>
    <w:rsid w:val="00D84E36"/>
    <w:rsid w:val="00DA3B92"/>
    <w:rsid w:val="00DA634F"/>
    <w:rsid w:val="00DA65AC"/>
    <w:rsid w:val="00DB1913"/>
    <w:rsid w:val="00DC2834"/>
    <w:rsid w:val="00DC410D"/>
    <w:rsid w:val="00DC5A81"/>
    <w:rsid w:val="00DC68CA"/>
    <w:rsid w:val="00DC7CBA"/>
    <w:rsid w:val="00DD73B7"/>
    <w:rsid w:val="00DF28BC"/>
    <w:rsid w:val="00DF34B9"/>
    <w:rsid w:val="00E01053"/>
    <w:rsid w:val="00E07ACF"/>
    <w:rsid w:val="00E331A1"/>
    <w:rsid w:val="00E33202"/>
    <w:rsid w:val="00E33603"/>
    <w:rsid w:val="00E336A9"/>
    <w:rsid w:val="00E472B1"/>
    <w:rsid w:val="00E50624"/>
    <w:rsid w:val="00E568DF"/>
    <w:rsid w:val="00E64269"/>
    <w:rsid w:val="00E82267"/>
    <w:rsid w:val="00E853CE"/>
    <w:rsid w:val="00E867B6"/>
    <w:rsid w:val="00E919FD"/>
    <w:rsid w:val="00E9701D"/>
    <w:rsid w:val="00EA010F"/>
    <w:rsid w:val="00EA6C77"/>
    <w:rsid w:val="00EB29A6"/>
    <w:rsid w:val="00EB7ABE"/>
    <w:rsid w:val="00ED1B63"/>
    <w:rsid w:val="00ED3C1F"/>
    <w:rsid w:val="00ED4085"/>
    <w:rsid w:val="00ED420E"/>
    <w:rsid w:val="00ED6FBE"/>
    <w:rsid w:val="00EE2F57"/>
    <w:rsid w:val="00EF4C34"/>
    <w:rsid w:val="00EF77C6"/>
    <w:rsid w:val="00F0220D"/>
    <w:rsid w:val="00F05438"/>
    <w:rsid w:val="00F1361C"/>
    <w:rsid w:val="00F156F0"/>
    <w:rsid w:val="00F160C7"/>
    <w:rsid w:val="00F2408F"/>
    <w:rsid w:val="00F240E9"/>
    <w:rsid w:val="00F36D8F"/>
    <w:rsid w:val="00F417B1"/>
    <w:rsid w:val="00F45853"/>
    <w:rsid w:val="00F516FE"/>
    <w:rsid w:val="00F5452B"/>
    <w:rsid w:val="00F602DF"/>
    <w:rsid w:val="00F754A1"/>
    <w:rsid w:val="00F7583E"/>
    <w:rsid w:val="00F81FD9"/>
    <w:rsid w:val="00F841AA"/>
    <w:rsid w:val="00F84A94"/>
    <w:rsid w:val="00F87E96"/>
    <w:rsid w:val="00FA096C"/>
    <w:rsid w:val="00FA23E8"/>
    <w:rsid w:val="00FA6452"/>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623330"/>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CAD6F6D"/>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11445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144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44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44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11445E"/>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11445E"/>
    <w:pPr>
      <w:spacing w:beforeLines="30"/>
    </w:pPr>
    <w:rPr>
      <w:rFonts w:ascii="仿宋_GB2312" w:eastAsia="仿宋_GB2312"/>
      <w:kern w:val="0"/>
      <w:sz w:val="30"/>
    </w:rPr>
  </w:style>
  <w:style w:type="paragraph" w:styleId="a4">
    <w:name w:val="Body Text Indent"/>
    <w:basedOn w:val="a"/>
    <w:qFormat/>
    <w:rsid w:val="0011445E"/>
    <w:pPr>
      <w:spacing w:after="120"/>
      <w:ind w:leftChars="200" w:left="200"/>
    </w:pPr>
    <w:rPr>
      <w:rFonts w:ascii="仿宋_GB2312"/>
      <w:szCs w:val="32"/>
    </w:rPr>
  </w:style>
  <w:style w:type="paragraph" w:styleId="30">
    <w:name w:val="toc 3"/>
    <w:basedOn w:val="a"/>
    <w:next w:val="a"/>
    <w:uiPriority w:val="39"/>
    <w:unhideWhenUsed/>
    <w:qFormat/>
    <w:rsid w:val="0011445E"/>
    <w:pPr>
      <w:tabs>
        <w:tab w:val="right" w:leader="dot" w:pos="8296"/>
      </w:tabs>
      <w:ind w:leftChars="400" w:left="840"/>
    </w:pPr>
  </w:style>
  <w:style w:type="paragraph" w:styleId="a5">
    <w:name w:val="Balloon Text"/>
    <w:basedOn w:val="a"/>
    <w:link w:val="Char0"/>
    <w:uiPriority w:val="99"/>
    <w:semiHidden/>
    <w:unhideWhenUsed/>
    <w:qFormat/>
    <w:rsid w:val="0011445E"/>
    <w:rPr>
      <w:sz w:val="18"/>
      <w:szCs w:val="18"/>
    </w:rPr>
  </w:style>
  <w:style w:type="paragraph" w:styleId="a6">
    <w:name w:val="footer"/>
    <w:basedOn w:val="a"/>
    <w:link w:val="Char1"/>
    <w:uiPriority w:val="99"/>
    <w:qFormat/>
    <w:rsid w:val="0011445E"/>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11445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1445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1445E"/>
    <w:pPr>
      <w:tabs>
        <w:tab w:val="right" w:leader="dot" w:pos="8296"/>
      </w:tabs>
      <w:ind w:leftChars="200" w:left="420"/>
    </w:pPr>
  </w:style>
  <w:style w:type="paragraph" w:styleId="21">
    <w:name w:val="Body Text First Indent 2"/>
    <w:basedOn w:val="a4"/>
    <w:uiPriority w:val="99"/>
    <w:unhideWhenUsed/>
    <w:qFormat/>
    <w:rsid w:val="0011445E"/>
    <w:pPr>
      <w:ind w:firstLineChars="200" w:firstLine="420"/>
    </w:pPr>
  </w:style>
  <w:style w:type="character" w:styleId="a8">
    <w:name w:val="Strong"/>
    <w:basedOn w:val="a0"/>
    <w:uiPriority w:val="99"/>
    <w:qFormat/>
    <w:rsid w:val="0011445E"/>
    <w:rPr>
      <w:b/>
    </w:rPr>
  </w:style>
  <w:style w:type="character" w:styleId="a9">
    <w:name w:val="Hyperlink"/>
    <w:basedOn w:val="a0"/>
    <w:uiPriority w:val="99"/>
    <w:unhideWhenUsed/>
    <w:qFormat/>
    <w:rsid w:val="0011445E"/>
    <w:rPr>
      <w:color w:val="0000FF" w:themeColor="hyperlink"/>
      <w:u w:val="single"/>
    </w:rPr>
  </w:style>
  <w:style w:type="character" w:customStyle="1" w:styleId="HeaderChar">
    <w:name w:val="Header Char"/>
    <w:basedOn w:val="a0"/>
    <w:uiPriority w:val="99"/>
    <w:semiHidden/>
    <w:qFormat/>
    <w:rsid w:val="0011445E"/>
    <w:rPr>
      <w:rFonts w:ascii="Times New Roman" w:hAnsi="Times New Roman"/>
      <w:sz w:val="18"/>
      <w:szCs w:val="18"/>
    </w:rPr>
  </w:style>
  <w:style w:type="character" w:customStyle="1" w:styleId="Char2">
    <w:name w:val="页眉 Char"/>
    <w:link w:val="a7"/>
    <w:uiPriority w:val="99"/>
    <w:semiHidden/>
    <w:qFormat/>
    <w:locked/>
    <w:rsid w:val="0011445E"/>
    <w:rPr>
      <w:sz w:val="18"/>
    </w:rPr>
  </w:style>
  <w:style w:type="character" w:customStyle="1" w:styleId="FooterChar">
    <w:name w:val="Footer Char"/>
    <w:basedOn w:val="a0"/>
    <w:uiPriority w:val="99"/>
    <w:semiHidden/>
    <w:qFormat/>
    <w:rsid w:val="0011445E"/>
    <w:rPr>
      <w:rFonts w:ascii="Times New Roman" w:hAnsi="Times New Roman"/>
      <w:sz w:val="18"/>
      <w:szCs w:val="18"/>
    </w:rPr>
  </w:style>
  <w:style w:type="character" w:customStyle="1" w:styleId="Char1">
    <w:name w:val="页脚 Char"/>
    <w:link w:val="a6"/>
    <w:uiPriority w:val="99"/>
    <w:qFormat/>
    <w:locked/>
    <w:rsid w:val="0011445E"/>
    <w:rPr>
      <w:sz w:val="18"/>
    </w:rPr>
  </w:style>
  <w:style w:type="character" w:customStyle="1" w:styleId="BodyTextChar">
    <w:name w:val="Body Text Char"/>
    <w:basedOn w:val="a0"/>
    <w:uiPriority w:val="99"/>
    <w:semiHidden/>
    <w:qFormat/>
    <w:rsid w:val="0011445E"/>
    <w:rPr>
      <w:rFonts w:ascii="Times New Roman" w:hAnsi="Times New Roman"/>
      <w:szCs w:val="24"/>
    </w:rPr>
  </w:style>
  <w:style w:type="character" w:customStyle="1" w:styleId="Char">
    <w:name w:val="正文文本 Char"/>
    <w:link w:val="a3"/>
    <w:uiPriority w:val="99"/>
    <w:qFormat/>
    <w:locked/>
    <w:rsid w:val="0011445E"/>
    <w:rPr>
      <w:rFonts w:ascii="仿宋_GB2312" w:eastAsia="仿宋_GB2312" w:hAnsi="Times New Roman"/>
      <w:sz w:val="24"/>
    </w:rPr>
  </w:style>
  <w:style w:type="paragraph" w:customStyle="1" w:styleId="Default">
    <w:name w:val="Default"/>
    <w:uiPriority w:val="99"/>
    <w:qFormat/>
    <w:rsid w:val="0011445E"/>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11445E"/>
    <w:pPr>
      <w:ind w:firstLineChars="200" w:firstLine="420"/>
    </w:pPr>
  </w:style>
  <w:style w:type="character" w:customStyle="1" w:styleId="1Char">
    <w:name w:val="标题 1 Char"/>
    <w:basedOn w:val="a0"/>
    <w:link w:val="1"/>
    <w:uiPriority w:val="9"/>
    <w:qFormat/>
    <w:rsid w:val="0011445E"/>
    <w:rPr>
      <w:rFonts w:ascii="Times New Roman" w:hAnsi="Times New Roman"/>
      <w:b/>
      <w:bCs/>
      <w:kern w:val="44"/>
      <w:sz w:val="44"/>
      <w:szCs w:val="44"/>
    </w:rPr>
  </w:style>
  <w:style w:type="character" w:customStyle="1" w:styleId="2Char">
    <w:name w:val="标题 2 Char"/>
    <w:basedOn w:val="a0"/>
    <w:link w:val="2"/>
    <w:uiPriority w:val="9"/>
    <w:qFormat/>
    <w:rsid w:val="0011445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1445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11445E"/>
    <w:rPr>
      <w:rFonts w:ascii="Times New Roman" w:hAnsi="Times New Roman"/>
      <w:kern w:val="2"/>
      <w:sz w:val="18"/>
      <w:szCs w:val="18"/>
    </w:rPr>
  </w:style>
  <w:style w:type="character" w:customStyle="1" w:styleId="3Char">
    <w:name w:val="标题 3 Char"/>
    <w:basedOn w:val="a0"/>
    <w:link w:val="3"/>
    <w:uiPriority w:val="9"/>
    <w:qFormat/>
    <w:rsid w:val="0011445E"/>
    <w:rPr>
      <w:rFonts w:ascii="Times New Roman" w:hAnsi="Times New Roman"/>
      <w:b/>
      <w:bCs/>
      <w:kern w:val="2"/>
      <w:sz w:val="32"/>
      <w:szCs w:val="32"/>
    </w:rPr>
  </w:style>
  <w:style w:type="paragraph" w:customStyle="1" w:styleId="TOC2">
    <w:name w:val="TOC 标题2"/>
    <w:basedOn w:val="1"/>
    <w:next w:val="a"/>
    <w:uiPriority w:val="39"/>
    <w:unhideWhenUsed/>
    <w:qFormat/>
    <w:rsid w:val="0011445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11445E"/>
  </w:style>
  <w:style w:type="paragraph" w:customStyle="1" w:styleId="WPSOffice2">
    <w:name w:val="WPSOffice手动目录 2"/>
    <w:qFormat/>
    <w:rsid w:val="0011445E"/>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7.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ZX-20161224PBGP\Desktop\2023&#24180;&#20915;&#31639;&#20844;&#24320;&#25968;&#25454;&#33609;&#31295;&#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ZX-20161224PBGP\Desktop\2023&#24180;&#20915;&#31639;&#20844;&#24320;&#25968;&#25454;&#33609;&#31295;&#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ZX-20161224PBGP\Desktop\2023&#24180;&#20915;&#31639;&#20844;&#24320;&#25968;&#25454;&#33609;&#31295;&#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ZX-20161224PBGP\Desktop\2023&#24180;&#20915;&#31639;&#20844;&#24320;&#25968;&#25454;&#33609;&#31295;&#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ZX-20161224PBGP\Desktop\2023&#24180;&#20915;&#31639;&#20844;&#24320;&#25968;&#25454;&#33609;&#31295;&#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ZX-20161224PBGP\Desktop\2023&#24180;&#20915;&#31639;&#20844;&#24320;&#25968;&#25454;&#33609;&#31295;&#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ZX-20161224PBGP\Desktop\2023&#24180;&#20915;&#31639;&#20844;&#24320;&#25968;&#25454;&#33609;&#31295;&#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收入总计</c:v>
                </c:pt>
                <c:pt idx="1">
                  <c:v>支出总计</c:v>
                </c:pt>
              </c:strCache>
            </c:strRef>
          </c:cat>
          <c:val>
            <c:numRef>
              <c:f>Sheet1!$B$2:$C$2</c:f>
              <c:numCache>
                <c:formatCode>#,##0.00</c:formatCode>
                <c:ptCount val="2"/>
                <c:pt idx="0">
                  <c:v>11951.43</c:v>
                </c:pt>
                <c:pt idx="1">
                  <c:v>11951.43</c:v>
                </c:pt>
              </c:numCache>
            </c:numRef>
          </c:val>
        </c:ser>
        <c:ser>
          <c:idx val="1"/>
          <c:order val="1"/>
          <c:tx>
            <c:strRef>
              <c:f>Sheet1!$A$3</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收入总计</c:v>
                </c:pt>
                <c:pt idx="1">
                  <c:v>支出总计</c:v>
                </c:pt>
              </c:strCache>
            </c:strRef>
          </c:cat>
          <c:val>
            <c:numRef>
              <c:f>Sheet1!$B$3:$C$3</c:f>
              <c:numCache>
                <c:formatCode>#,##0.00</c:formatCode>
                <c:ptCount val="2"/>
                <c:pt idx="0">
                  <c:v>674.37</c:v>
                </c:pt>
                <c:pt idx="1">
                  <c:v>674.37</c:v>
                </c:pt>
              </c:numCache>
            </c:numRef>
          </c:val>
        </c:ser>
        <c:dLbls>
          <c:showVal val="1"/>
        </c:dLbls>
        <c:axId val="162185984"/>
        <c:axId val="162187520"/>
      </c:barChart>
      <c:catAx>
        <c:axId val="16218598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2187520"/>
        <c:crosses val="autoZero"/>
        <c:auto val="1"/>
        <c:lblAlgn val="ctr"/>
        <c:lblOffset val="100"/>
      </c:catAx>
      <c:valAx>
        <c:axId val="162187520"/>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218598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extLst>
      <c:ext uri="{0b15fc19-7d7d-44ad-8c2d-2c3a37ce22c3}">
        <chartProps xmlns="https://web.wps.cn/et/2018/main" chartId="{9de6ac75-97db-4baa-b685-bc3d5be360ac}"/>
      </c:ext>
    </c:extLst>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1"/>
          <c:order val="1"/>
          <c:tx>
            <c:strRef>
              <c:f>Sheet1!$A$23</c:f>
              <c:strCache>
                <c:ptCount val="1"/>
                <c:pt idx="0">
                  <c:v>一般公共预算财政拨款收入</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extLst>
              <c:ext xmlns:c15="http://schemas.microsoft.com/office/drawing/2012/chart" uri="{CE6537A1-D6FC-4f65-9D91-7224C49458BB}">
                <c15:layout/>
                <c15:showLeaderLines val="1"/>
                <c15:leaderLines/>
              </c:ext>
            </c:extLst>
          </c:dLbls>
          <c:val>
            <c:numRef>
              <c:f>Sheet1!$B$23</c:f>
              <c:numCache>
                <c:formatCode>General</c:formatCode>
                <c:ptCount val="1"/>
                <c:pt idx="0">
                  <c:v>648.54</c:v>
                </c:pt>
              </c:numCache>
            </c:numRef>
          </c:val>
        </c:ser>
        <c:ser>
          <c:idx val="0"/>
          <c:order val="0"/>
          <c:cat>
            <c:strRef>
              <c:f>Sheet1!$A$23:$A$24</c:f>
              <c:strCache>
                <c:ptCount val="1"/>
                <c:pt idx="0">
                  <c:v>一般公共预算财政拨款收入</c:v>
                </c:pt>
              </c:strCache>
            </c:strRef>
          </c:cat>
          <c:val>
            <c:numRef>
              <c:f>Sheet1!$B$23:$B$24</c:f>
              <c:numCache>
                <c:formatCode>General</c:formatCode>
                <c:ptCount val="2"/>
                <c:pt idx="0">
                  <c:v>648.54</c:v>
                </c:pt>
              </c:numCache>
            </c:numRef>
          </c:val>
        </c:ser>
        <c:firstSliceAng val="0"/>
      </c:pieChart>
    </c:plotArea>
    <c:legend>
      <c:legendPos val="r"/>
      <c:layout>
        <c:manualLayout>
          <c:xMode val="edge"/>
          <c:yMode val="edge"/>
          <c:x val="0.61145691163604599"/>
          <c:y val="0.42563429571303601"/>
          <c:w val="0.37187642169729229"/>
          <c:h val="0.14873140857392952"/>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extLst>
      <c:ext uri="{0b15fc19-7d7d-44ad-8c2d-2c3a37ce22c3}">
        <chartProps xmlns="https://web.wps.cn/et/2018/main" chartId="{2f3c9917-3873-4847-8cdc-2448308c78c4}"/>
      </c:ext>
    </c:extLst>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layout>
                <c:manualLayout>
                  <c:x val="-0.18322451881014901"/>
                  <c:y val="-0.28245771361913102"/>
                </c:manualLayout>
              </c:layout>
              <c:tx>
                <c:rich>
                  <a:bodyPr/>
                  <a:lstStyle/>
                  <a:p>
                    <a:r>
                      <a:rPr lang="en-US" altLang="en-US"/>
                      <a:t>578.15, 85.73%</a:t>
                    </a:r>
                  </a:p>
                </c:rich>
              </c:tx>
              <c:dLblPos val="bestFit"/>
              <c:showVal val="1"/>
              <c:showPercent val="1"/>
              <c:extLst>
                <c:ext xmlns:c15="http://schemas.microsoft.com/office/drawing/2012/chart" uri="{CE6537A1-D6FC-4f65-9D91-7224C49458BB}">
                  <c15:layout/>
                </c:ext>
              </c:extLst>
            </c:dLbl>
            <c:dLbl>
              <c:idx val="1"/>
              <c:tx>
                <c:rich>
                  <a:bodyPr/>
                  <a:lstStyle/>
                  <a:p>
                    <a:r>
                      <a:rPr lang="en-US" altLang="en-US"/>
                      <a:t>96.22, 14.27%</a:t>
                    </a:r>
                  </a:p>
                </c:rich>
              </c:tx>
              <c:dLblPos val="bestFit"/>
              <c:showVal val="1"/>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Sheet1!$A$37:$A$38</c:f>
              <c:strCache>
                <c:ptCount val="2"/>
                <c:pt idx="0">
                  <c:v>基本支出</c:v>
                </c:pt>
                <c:pt idx="1">
                  <c:v>项目支出</c:v>
                </c:pt>
              </c:strCache>
            </c:strRef>
          </c:cat>
          <c:val>
            <c:numRef>
              <c:f>Sheet1!$B$37:$B$38</c:f>
              <c:numCache>
                <c:formatCode>General</c:formatCode>
                <c:ptCount val="2"/>
                <c:pt idx="0">
                  <c:v>578.15</c:v>
                </c:pt>
                <c:pt idx="1">
                  <c:v>96.22</c:v>
                </c:pt>
              </c:numCache>
            </c:numRef>
          </c:val>
        </c:ser>
        <c:dLbls>
          <c:showVal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extLst>
      <c:ext uri="{0b15fc19-7d7d-44ad-8c2d-2c3a37ce22c3}">
        <chartProps xmlns="https://web.wps.cn/et/2018/main" chartId="{e485e31a-6b87-4ba5-a8eb-374b19e92062}"/>
      </c:ext>
    </c:extLst>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Sheet1!$A$57</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Sheet1!$B$56:$C$56</c:f>
              <c:strCache>
                <c:ptCount val="2"/>
                <c:pt idx="0">
                  <c:v>财政拨款收入总计</c:v>
                </c:pt>
                <c:pt idx="1">
                  <c:v>财政拨款支出总计</c:v>
                </c:pt>
              </c:strCache>
            </c:strRef>
          </c:cat>
          <c:val>
            <c:numRef>
              <c:f>Sheet1!$B$57:$C$57</c:f>
              <c:numCache>
                <c:formatCode>#,##0.00</c:formatCode>
                <c:ptCount val="2"/>
                <c:pt idx="0">
                  <c:v>11951.43</c:v>
                </c:pt>
                <c:pt idx="1">
                  <c:v>11951.43</c:v>
                </c:pt>
              </c:numCache>
            </c:numRef>
          </c:val>
        </c:ser>
        <c:ser>
          <c:idx val="1"/>
          <c:order val="1"/>
          <c:tx>
            <c:strRef>
              <c:f>Sheet1!$A$58</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Sheet1!$B$56:$C$56</c:f>
              <c:strCache>
                <c:ptCount val="2"/>
                <c:pt idx="0">
                  <c:v>财政拨款收入总计</c:v>
                </c:pt>
                <c:pt idx="1">
                  <c:v>财政拨款支出总计</c:v>
                </c:pt>
              </c:strCache>
            </c:strRef>
          </c:cat>
          <c:val>
            <c:numRef>
              <c:f>Sheet1!$B$58:$C$58</c:f>
              <c:numCache>
                <c:formatCode>#,##0.00</c:formatCode>
                <c:ptCount val="2"/>
                <c:pt idx="0">
                  <c:v>674.37</c:v>
                </c:pt>
                <c:pt idx="1">
                  <c:v>674.37</c:v>
                </c:pt>
              </c:numCache>
            </c:numRef>
          </c:val>
        </c:ser>
        <c:dLbls>
          <c:showVal val="1"/>
        </c:dLbls>
        <c:axId val="75612544"/>
        <c:axId val="75614080"/>
      </c:barChart>
      <c:catAx>
        <c:axId val="7561254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5614080"/>
        <c:crosses val="autoZero"/>
        <c:auto val="1"/>
        <c:lblAlgn val="ctr"/>
        <c:lblOffset val="100"/>
      </c:catAx>
      <c:valAx>
        <c:axId val="75614080"/>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561254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extLst>
      <c:ext uri="{0b15fc19-7d7d-44ad-8c2d-2c3a37ce22c3}">
        <chartProps xmlns="https://web.wps.cn/et/2018/main" chartId="{ed5b5964-06c6-4f2d-9e81-26d55e119709}"/>
      </c:ext>
    </c:extLst>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Sheet1!$B$73</c:f>
              <c:strCache>
                <c:ptCount val="1"/>
                <c:pt idx="0">
                  <c:v>一般公共预算财政拨款支出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Sheet1!$A$74:$A$75</c:f>
              <c:strCache>
                <c:ptCount val="2"/>
                <c:pt idx="0">
                  <c:v>2022年</c:v>
                </c:pt>
                <c:pt idx="1">
                  <c:v>2023年</c:v>
                </c:pt>
              </c:strCache>
            </c:strRef>
          </c:cat>
          <c:val>
            <c:numRef>
              <c:f>Sheet1!$B$74:$B$75</c:f>
              <c:numCache>
                <c:formatCode>General</c:formatCode>
                <c:ptCount val="2"/>
                <c:pt idx="0">
                  <c:v>651.4299999999979</c:v>
                </c:pt>
                <c:pt idx="1">
                  <c:v>674.37</c:v>
                </c:pt>
              </c:numCache>
            </c:numRef>
          </c:val>
        </c:ser>
        <c:dLbls>
          <c:showVal val="1"/>
        </c:dLbls>
        <c:axId val="74782592"/>
        <c:axId val="74784128"/>
      </c:barChart>
      <c:catAx>
        <c:axId val="7478259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4784128"/>
        <c:crosses val="autoZero"/>
        <c:auto val="1"/>
        <c:lblAlgn val="ctr"/>
        <c:lblOffset val="100"/>
      </c:catAx>
      <c:valAx>
        <c:axId val="7478412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478259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extLst>
      <c:ext uri="{0b15fc19-7d7d-44ad-8c2d-2c3a37ce22c3}">
        <chartProps xmlns="https://web.wps.cn/et/2018/main" chartId="{f9a6523b-9fae-42bb-bb6f-ee53ee86b11d}"/>
      </c:ext>
    </c:extLst>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tx>
                <c:rich>
                  <a:bodyPr/>
                  <a:lstStyle/>
                  <a:p>
                    <a:r>
                      <a:rPr lang="en-US" altLang="en-US"/>
                      <a:t>4.47, 0.66%</a:t>
                    </a:r>
                  </a:p>
                </c:rich>
              </c:tx>
              <c:dLblPos val="bestFit"/>
              <c:showVal val="1"/>
              <c:showPercent val="1"/>
              <c:extLst>
                <c:ext xmlns:c15="http://schemas.microsoft.com/office/drawing/2012/chart" uri="{CE6537A1-D6FC-4f65-9D91-7224C49458BB}"/>
              </c:extLst>
            </c:dLbl>
            <c:dLbl>
              <c:idx val="1"/>
              <c:tx>
                <c:rich>
                  <a:bodyPr/>
                  <a:lstStyle/>
                  <a:p>
                    <a:r>
                      <a:rPr lang="en-US" altLang="en-US"/>
                      <a:t>607.08, 90.02%</a:t>
                    </a:r>
                  </a:p>
                </c:rich>
              </c:tx>
              <c:dLblPos val="bestFit"/>
              <c:showVal val="1"/>
              <c:showPercent val="1"/>
              <c:extLst>
                <c:ext xmlns:c15="http://schemas.microsoft.com/office/drawing/2012/chart" uri="{CE6537A1-D6FC-4f65-9D91-7224C49458BB}"/>
              </c:extLst>
            </c:dLbl>
            <c:dLbl>
              <c:idx val="2"/>
              <c:tx>
                <c:rich>
                  <a:bodyPr/>
                  <a:lstStyle/>
                  <a:p>
                    <a:r>
                      <a:rPr lang="en-US" altLang="en-US"/>
                      <a:t>36.32, 5.39%</a:t>
                    </a:r>
                  </a:p>
                </c:rich>
              </c:tx>
              <c:dLblPos val="bestFit"/>
              <c:showVal val="1"/>
              <c:showPercent val="1"/>
              <c:extLst>
                <c:ext xmlns:c15="http://schemas.microsoft.com/office/drawing/2012/chart" uri="{CE6537A1-D6FC-4f65-9D91-7224C49458BB}"/>
              </c:extLst>
            </c:dLbl>
            <c:dLbl>
              <c:idx val="3"/>
              <c:layout>
                <c:manualLayout>
                  <c:x val="7.3066601049869437E-2"/>
                  <c:y val="8.6745406824147043E-3"/>
                </c:manualLayout>
              </c:layout>
              <c:tx>
                <c:rich>
                  <a:bodyPr/>
                  <a:lstStyle/>
                  <a:p>
                    <a:r>
                      <a:rPr lang="en-US" altLang="en-US"/>
                      <a:t>26.51, 3.93%</a:t>
                    </a:r>
                  </a:p>
                </c:rich>
              </c:tx>
              <c:dLblPos val="bestFit"/>
              <c:showVal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Sheet1!$A$93:$A$96</c:f>
              <c:strCache>
                <c:ptCount val="4"/>
                <c:pt idx="0">
                  <c:v>科学技术支出</c:v>
                </c:pt>
                <c:pt idx="1">
                  <c:v>社会保障和就业支出</c:v>
                </c:pt>
                <c:pt idx="2">
                  <c:v>卫生健康支出</c:v>
                </c:pt>
                <c:pt idx="3">
                  <c:v>住房保障支出</c:v>
                </c:pt>
              </c:strCache>
            </c:strRef>
          </c:cat>
          <c:val>
            <c:numRef>
              <c:f>Sheet1!$B$93:$B$96</c:f>
              <c:numCache>
                <c:formatCode>General</c:formatCode>
                <c:ptCount val="4"/>
                <c:pt idx="0">
                  <c:v>4.4700000000000024</c:v>
                </c:pt>
                <c:pt idx="1">
                  <c:v>607.08000000000004</c:v>
                </c:pt>
                <c:pt idx="2">
                  <c:v>36.32</c:v>
                </c:pt>
                <c:pt idx="3">
                  <c:v>26.51</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extLst>
      <c:ext uri="{0b15fc19-7d7d-44ad-8c2d-2c3a37ce22c3}">
        <chartProps xmlns="https://web.wps.cn/et/2018/main" chartId="{62eec6fa-b3a2-41ec-9e34-5f4a7e4bdf84}"/>
      </c:ext>
    </c:extLst>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Sheet1!$A$110</c:f>
              <c:strCache>
                <c:ptCount val="1"/>
                <c:pt idx="0">
                  <c:v>公务接待费</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Sheet1!$B$109</c:f>
              <c:strCache>
                <c:ptCount val="1"/>
                <c:pt idx="0">
                  <c:v>公务接待费</c:v>
                </c:pt>
              </c:strCache>
            </c:strRef>
          </c:cat>
          <c:val>
            <c:numRef>
              <c:f>Sheet1!$B$110</c:f>
              <c:numCache>
                <c:formatCode>General</c:formatCode>
                <c:ptCount val="1"/>
                <c:pt idx="0">
                  <c:v>0.18000000000000024</c:v>
                </c:pt>
              </c:numCache>
            </c:numRef>
          </c:val>
        </c:ser>
        <c:dLbls>
          <c:showVal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extLst>
      <c:ext uri="{0b15fc19-7d7d-44ad-8c2d-2c3a37ce22c3}">
        <chartProps xmlns="https://web.wps.cn/et/2018/main" chartId="{03b5a0ad-dcbd-429a-8e45-5269810dffdf}"/>
      </c:ext>
    </c:extLst>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87373-81B3-4B37-BC34-D95930C1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2268</Words>
  <Characters>12928</Characters>
  <Application>Microsoft Office Word</Application>
  <DocSecurity>0</DocSecurity>
  <Lines>107</Lines>
  <Paragraphs>30</Paragraphs>
  <ScaleCrop>false</ScaleCrop>
  <Company>四川省财政厅</Company>
  <LinksUpToDate>false</LinksUpToDate>
  <CharactersWithSpaces>15166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141</cp:revision>
  <cp:lastPrinted>2023-08-03T02:35:00Z</cp:lastPrinted>
  <dcterms:created xsi:type="dcterms:W3CDTF">2020-08-08T01:49:00Z</dcterms:created>
  <dcterms:modified xsi:type="dcterms:W3CDTF">2024-10-24T01:51:00Z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505D366A61DC4FC2932F1407982E0DD0_12</vt:lpwstr>
  </property>
</Properties>
</file>