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23935"/>
      <w:bookmarkStart w:id="3" w:name="_Toc15396475"/>
      <w:bookmarkStart w:id="4" w:name="_Toc13776"/>
      <w:bookmarkStart w:id="5" w:name="_Toc15396597"/>
      <w:bookmarkStart w:id="6" w:name="_Toc15377425"/>
      <w:bookmarkStart w:id="7"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8" w:name="_Toc9340"/>
      <w:bookmarkStart w:id="9" w:name="_Toc19707"/>
      <w:bookmarkStart w:id="10" w:name="_Toc15396476"/>
      <w:bookmarkStart w:id="11" w:name="_Toc15377194"/>
      <w:bookmarkStart w:id="12" w:name="_Toc15377426"/>
      <w:bookmarkStart w:id="13" w:name="_Toc15378442"/>
      <w:bookmarkStart w:id="14" w:name="_Toc15396598"/>
      <w:r>
        <w:rPr>
          <w:rFonts w:hint="eastAsia" w:ascii="方正小标宋简体" w:hAnsi="方正小标宋简体" w:eastAsia="方正小标宋简体" w:cs="方正小标宋简体"/>
          <w:color w:val="auto"/>
          <w:sz w:val="72"/>
          <w:szCs w:val="72"/>
          <w:highlight w:val="none"/>
          <w:lang w:val="en-US" w:eastAsia="zh-CN"/>
        </w:rPr>
        <w:t>大竹县</w:t>
      </w:r>
      <w:bookmarkEnd w:id="0"/>
      <w:bookmarkStart w:id="15" w:name="_Toc15306268"/>
      <w:r>
        <w:rPr>
          <w:rFonts w:hint="eastAsia" w:ascii="方正小标宋简体" w:hAnsi="方正小标宋简体" w:eastAsia="方正小标宋简体" w:cs="方正小标宋简体"/>
          <w:color w:val="auto"/>
          <w:sz w:val="72"/>
          <w:szCs w:val="72"/>
          <w:highlight w:val="none"/>
          <w:lang w:val="en-US" w:eastAsia="zh-CN"/>
        </w:rPr>
        <w:t>菁竹幼儿园</w:t>
      </w:r>
      <w:bookmarkEnd w:id="8"/>
      <w:bookmarkEnd w:id="9"/>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6" w:name="_Toc20442"/>
      <w:bookmarkStart w:id="17" w:name="_Toc30018"/>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0"/>
      <w:bookmarkEnd w:id="11"/>
      <w:bookmarkEnd w:id="12"/>
      <w:bookmarkEnd w:id="13"/>
      <w:bookmarkEnd w:id="14"/>
      <w:bookmarkEnd w:id="15"/>
      <w:bookmarkEnd w:id="16"/>
      <w:bookmarkEnd w:id="17"/>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 xml:space="preserve">8 </w:t>
      </w:r>
      <w:r>
        <w:rPr>
          <w:rFonts w:hint="eastAsia"/>
          <w:color w:val="auto"/>
          <w:highlight w:val="none"/>
        </w:rPr>
        <w:t>日</w:t>
      </w:r>
    </w:p>
    <w:p>
      <w:pPr>
        <w:rPr>
          <w:color w:val="auto"/>
          <w:highlight w:val="none"/>
        </w:rPr>
      </w:pPr>
    </w:p>
    <w:p>
      <w:pPr>
        <w:pStyle w:val="30"/>
        <w:tabs>
          <w:tab w:val="left" w:pos="2942"/>
        </w:tabs>
        <w:rPr>
          <w:rFonts w:hint="eastAsia" w:ascii="仿宋_GB2312" w:hAnsi="仿宋_GB2312" w:eastAsia="仿宋_GB2312" w:cs="仿宋_GB2312"/>
          <w:kern w:val="2"/>
          <w:sz w:val="24"/>
          <w:szCs w:val="24"/>
          <w:highlight w:val="none"/>
          <w:lang w:val="en-US" w:eastAsia="zh-CN" w:bidi="ar-SA"/>
        </w:rPr>
      </w:pPr>
      <w:bookmarkStart w:id="18" w:name="_Toc15377196"/>
      <w:bookmarkStart w:id="19" w:name="_Toc17649"/>
      <w:bookmarkStart w:id="20" w:name="_Toc15396599"/>
      <w:r>
        <w:rPr>
          <w:rFonts w:hint="eastAsia" w:ascii="仿宋_GB2312" w:hAnsi="仿宋_GB2312" w:eastAsia="仿宋_GB2312" w:cs="仿宋_GB2312"/>
          <w:kern w:val="2"/>
          <w:sz w:val="24"/>
          <w:szCs w:val="24"/>
          <w:highlight w:val="none"/>
          <w:lang w:val="en-US" w:eastAsia="zh-CN" w:bidi="ar-SA"/>
        </w:rPr>
        <w:tab/>
      </w:r>
    </w:p>
    <w:sdt>
      <w:sdtPr>
        <w:rPr>
          <w:rFonts w:ascii="宋体" w:hAnsi="宋体" w:eastAsia="宋体" w:cs="Times New Roman"/>
          <w:kern w:val="2"/>
          <w:sz w:val="21"/>
          <w:szCs w:val="24"/>
          <w:lang w:val="en-US" w:eastAsia="zh-CN" w:bidi="ar-SA"/>
        </w:rPr>
        <w:id w:val="147478008"/>
        <w15:color w:val="DBDBDB"/>
        <w:docPartObj>
          <w:docPartGallery w:val="Table of Contents"/>
          <w:docPartUnique/>
        </w:docPartObj>
      </w:sdtPr>
      <w:sdtEndPr>
        <w:rPr>
          <w:rFonts w:hint="eastAsia" w:ascii="宋体" w:hAnsi="宋体" w:eastAsia="宋体" w:cs="宋体"/>
          <w:b/>
          <w:bCs w:val="0"/>
          <w:kern w:val="2"/>
          <w:sz w:val="4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TOC \o "1-2" \h \u </w:instrText>
          </w:r>
          <w:r>
            <w:rPr>
              <w:rFonts w:hint="eastAsia" w:ascii="宋体" w:hAnsi="宋体" w:eastAsia="宋体" w:cs="宋体"/>
              <w:bCs w:val="0"/>
              <w:kern w:val="2"/>
              <w:sz w:val="24"/>
              <w:szCs w:val="24"/>
              <w:highlight w:val="none"/>
              <w:lang w:val="en-US" w:eastAsia="zh-CN" w:bidi="ar-SA"/>
            </w:rPr>
            <w:fldChar w:fldCharType="separate"/>
          </w:r>
        </w:p>
        <w:p>
          <w:pPr>
            <w:pStyle w:val="30"/>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_Toc15238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第一部分 单位概况</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_Toc15238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_Toc21020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一、 主要职责</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_Toc21020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4</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_Toc7716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二、 机构设置</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_Toc7716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4</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0"/>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_Toc12701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第二部分 2022年度单位决算情况说明</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_Toc12701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5</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_Toc8256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一、 </w:t>
          </w:r>
          <w:r>
            <w:rPr>
              <w:rFonts w:hint="eastAsia" w:ascii="宋体" w:hAnsi="宋体" w:eastAsia="宋体" w:cs="宋体"/>
              <w:bCs w:val="0"/>
              <w:kern w:val="2"/>
              <w:sz w:val="24"/>
              <w:szCs w:val="24"/>
              <w:highlight w:val="none"/>
              <w:lang w:val="en-US" w:eastAsia="zh-CN" w:bidi="ar-SA"/>
            </w:rPr>
            <w:t>收入支出决算总体情况说明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_Toc8256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5</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_Toc28360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二、 </w:t>
          </w:r>
          <w:r>
            <w:rPr>
              <w:rFonts w:hint="eastAsia" w:ascii="宋体" w:hAnsi="宋体" w:eastAsia="宋体" w:cs="宋体"/>
              <w:bCs w:val="0"/>
              <w:kern w:val="2"/>
              <w:sz w:val="24"/>
              <w:szCs w:val="24"/>
              <w:highlight w:val="none"/>
              <w:lang w:val="en-US" w:eastAsia="zh-CN" w:bidi="ar-SA"/>
            </w:rPr>
            <w:t>收入决算情况说明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_Toc28360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5</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_Toc14617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三、 </w:t>
          </w:r>
          <w:r>
            <w:rPr>
              <w:rFonts w:hint="eastAsia" w:ascii="宋体" w:hAnsi="宋体" w:eastAsia="宋体" w:cs="宋体"/>
              <w:bCs w:val="0"/>
              <w:kern w:val="2"/>
              <w:sz w:val="24"/>
              <w:szCs w:val="24"/>
              <w:highlight w:val="none"/>
              <w:lang w:val="en-US" w:eastAsia="zh-CN" w:bidi="ar-SA"/>
            </w:rPr>
            <w:t>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_Toc14617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6</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_Toc29347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四、财政拨款收入支出决算总体情况说明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_Toc29347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7</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_Toc24989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五、一般公共预算财政拨款支出决算情况说明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_Toc24989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7</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_Toc4206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六、一般公共预算财政拨款基本支出决算情况说明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_Toc4206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9</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_Toc28060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七、财政拨款“三公”经费支出决算情况说明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_Toc28060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_Toc30451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八、政府性基金预算支出决算情况说明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_Toc30451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_Toc11449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九、 国有资本经营预算支出决算情况说明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_Toc11449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_Toc14523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 其他重要事项的情况说明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_Toc14523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0"/>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_Toc25766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第三部分 名词解释</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_Toc25766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13</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pPr>
            <w:pStyle w:val="30"/>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_Toc10564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第四部分 附件</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_Toc10564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15</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pPr>
            <w:pStyle w:val="30"/>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_Toc1804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第五部分 附表</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_Toc1804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20</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_Toc21988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一、收入支出决算总表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_Toc21988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_Toc27700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二、收入决算表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_Toc27700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_Toc2859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三、支出决算表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_Toc2859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_Toc2366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四、财政拨款收入支出决算总表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_Toc2366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_Toc15376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五、财政拨款支出决算明细表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_Toc15376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_Toc8871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六、一般公共预算财政拨款支出决算表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_Toc8871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_Toc7979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七、一般公共预算财政拨款支出决算明细表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_Toc7979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_Toc20592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八、一般公共预算财政拨款基本支出决算表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_Toc20592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_Toc24861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九、一般公共预算财政拨款项目支出决算表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_Toc24861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_Toc14036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十、政府性基金预算财政拨款收入支出决算表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_Toc14036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_Toc32487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十一、国有资本经营预算财政拨款收入支出决算表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_Toc32487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_Toc27064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十二、国有资本经营预算财政拨款支出决算表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_Toc27064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31"/>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_Toc17435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十三、财政拨款“三公”经费支出决算表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_Toc17435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20</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pPr>
            <w:pStyle w:val="2"/>
            <w:jc w:val="both"/>
            <w:outlineLvl w:val="9"/>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
              <w:bCs w:val="0"/>
              <w:kern w:val="2"/>
              <w:szCs w:val="24"/>
              <w:highlight w:val="none"/>
              <w:lang w:val="en-US" w:eastAsia="zh-CN" w:bidi="ar-SA"/>
            </w:rPr>
            <w:fldChar w:fldCharType="end"/>
          </w:r>
        </w:p>
      </w:sdtContent>
    </w:sdt>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rPr>
          <w:rFonts w:hint="eastAsia" w:ascii="宋体" w:hAnsi="宋体" w:eastAsia="宋体" w:cs="宋体"/>
          <w:bCs w:val="0"/>
          <w:kern w:val="2"/>
          <w:sz w:val="24"/>
          <w:szCs w:val="24"/>
          <w:highlight w:val="none"/>
          <w:lang w:val="en-US" w:eastAsia="zh-CN" w:bidi="ar-SA"/>
        </w:rPr>
      </w:pPr>
    </w:p>
    <w:p>
      <w:pPr>
        <w:pStyle w:val="2"/>
        <w:jc w:val="center"/>
        <w:rPr>
          <w:rStyle w:val="24"/>
          <w:rFonts w:ascii="黑体" w:hAnsi="黑体" w:eastAsia="黑体"/>
          <w:b/>
          <w:bCs w:val="0"/>
          <w:color w:val="auto"/>
          <w:highlight w:val="none"/>
        </w:rPr>
      </w:pPr>
      <w:bookmarkStart w:id="21" w:name="_Toc15238"/>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8"/>
      <w:bookmarkEnd w:id="19"/>
      <w:bookmarkEnd w:id="20"/>
      <w:bookmarkEnd w:id="21"/>
    </w:p>
    <w:p>
      <w:pPr>
        <w:widowControl/>
        <w:jc w:val="left"/>
        <w:rPr>
          <w:rFonts w:ascii="黑体" w:eastAsia="黑体"/>
          <w:color w:val="auto"/>
          <w:sz w:val="32"/>
          <w:szCs w:val="32"/>
          <w:highlight w:val="none"/>
        </w:rPr>
      </w:pPr>
    </w:p>
    <w:p>
      <w:pPr>
        <w:pStyle w:val="3"/>
        <w:numPr>
          <w:ilvl w:val="0"/>
          <w:numId w:val="1"/>
        </w:numPr>
        <w:rPr>
          <w:rStyle w:val="25"/>
          <w:rFonts w:hint="eastAsia" w:ascii="黑体" w:hAnsi="黑体" w:eastAsia="黑体"/>
          <w:b w:val="0"/>
          <w:bCs w:val="0"/>
          <w:color w:val="auto"/>
          <w:highlight w:val="none"/>
          <w:lang w:eastAsia="zh-CN"/>
        </w:rPr>
      </w:pPr>
      <w:bookmarkStart w:id="22" w:name="_Toc21020"/>
      <w:bookmarkStart w:id="23" w:name="_Toc15377197"/>
      <w:bookmarkStart w:id="24" w:name="_Toc15396600"/>
      <w:r>
        <w:rPr>
          <w:rStyle w:val="25"/>
          <w:rFonts w:hint="eastAsia" w:ascii="黑体" w:hAnsi="黑体" w:eastAsia="黑体"/>
          <w:b w:val="0"/>
          <w:bCs w:val="0"/>
          <w:color w:val="auto"/>
          <w:highlight w:val="none"/>
          <w:lang w:eastAsia="zh-CN"/>
        </w:rPr>
        <w:t>主要职责</w:t>
      </w:r>
      <w:bookmarkEnd w:id="22"/>
    </w:p>
    <w:p>
      <w:pPr>
        <w:ind w:firstLine="640" w:firstLineChars="200"/>
        <w:rPr>
          <w:rFonts w:hint="eastAsia"/>
          <w:lang w:eastAsia="zh-CN"/>
        </w:rPr>
      </w:pPr>
      <w:r>
        <w:rPr>
          <w:rFonts w:hint="eastAsia" w:asciiTheme="minorEastAsia" w:hAnsiTheme="minorEastAsia" w:eastAsiaTheme="minorEastAsia" w:cstheme="minorEastAsia"/>
          <w:color w:val="000000"/>
          <w:kern w:val="0"/>
          <w:sz w:val="32"/>
          <w:szCs w:val="48"/>
          <w:shd w:val="clear" w:color="auto" w:fill="FFFFFF"/>
          <w:lang w:val="zh-CN"/>
        </w:rPr>
        <w:t>为学龄前儿童提供保育和教育服务。对幼儿实施德智体美诸方面发展的教育，培养儿童良好的生活习惯，促进儿童身心健康发展。</w:t>
      </w:r>
    </w:p>
    <w:p>
      <w:pPr>
        <w:pStyle w:val="3"/>
        <w:numPr>
          <w:ilvl w:val="0"/>
          <w:numId w:val="1"/>
        </w:numPr>
        <w:ind w:left="0" w:leftChars="0" w:firstLine="0" w:firstLineChars="0"/>
        <w:rPr>
          <w:rFonts w:hint="eastAsia" w:ascii="黑体" w:hAnsi="黑体" w:eastAsia="黑体"/>
          <w:b w:val="0"/>
          <w:color w:val="auto"/>
          <w:highlight w:val="none"/>
          <w:lang w:val="en-US" w:eastAsia="zh-CN"/>
        </w:rPr>
      </w:pPr>
      <w:bookmarkStart w:id="25" w:name="_Toc7716"/>
      <w:r>
        <w:rPr>
          <w:rFonts w:hint="eastAsia" w:ascii="黑体" w:hAnsi="黑体" w:eastAsia="黑体"/>
          <w:b w:val="0"/>
          <w:color w:val="auto"/>
          <w:highlight w:val="none"/>
          <w:lang w:val="en-US" w:eastAsia="zh-CN"/>
        </w:rPr>
        <w:t>机构设置</w:t>
      </w:r>
      <w:bookmarkEnd w:id="23"/>
      <w:bookmarkEnd w:id="24"/>
      <w:bookmarkEnd w:id="25"/>
    </w:p>
    <w:p>
      <w:pPr>
        <w:pStyle w:val="3"/>
        <w:numPr>
          <w:ilvl w:val="0"/>
          <w:numId w:val="0"/>
        </w:numPr>
        <w:ind w:leftChars="0"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bookmarkStart w:id="26" w:name="_Toc26337"/>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大竹县菁竹幼儿园下属二级单位0个，其中行政单位0个，参照公务员法管理的事业单位0个，其他事业单位0个。</w:t>
      </w:r>
      <w:bookmarkEnd w:id="26"/>
    </w:p>
    <w:p>
      <w:pPr>
        <w:widowControl/>
        <w:ind w:firstLine="640" w:firstLineChars="200"/>
        <w:jc w:val="left"/>
        <w:rPr>
          <w:rFonts w:hint="default" w:asciiTheme="minorEastAsia" w:hAnsiTheme="minorEastAsia" w:eastAsiaTheme="minorEastAsia" w:cstheme="minorEastAsia"/>
          <w:b w:val="0"/>
          <w:bCs w:val="0"/>
          <w:color w:val="000000"/>
          <w:kern w:val="0"/>
          <w:sz w:val="32"/>
          <w:szCs w:val="48"/>
          <w:shd w:val="clear" w:color="auto" w:fill="FFFFFF"/>
          <w:lang w:val="en-US"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纳入大竹县菁竹幼儿园202</w:t>
      </w:r>
      <w:r>
        <w:rPr>
          <w:rFonts w:hint="eastAsia" w:asciiTheme="minorEastAsia" w:hAnsiTheme="minorEastAsia" w:eastAsiaTheme="minorEastAsia" w:cstheme="minorEastAsia"/>
          <w:b w:val="0"/>
          <w:bCs w:val="0"/>
          <w:color w:val="000000"/>
          <w:kern w:val="0"/>
          <w:sz w:val="32"/>
          <w:szCs w:val="48"/>
          <w:shd w:val="clear" w:color="auto" w:fill="FFFFFF"/>
          <w:lang w:val="en-US" w:eastAsia="zh-CN" w:bidi="ar-SA"/>
        </w:rPr>
        <w:t>2</w:t>
      </w: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年度部门决算编制范围的二级预算单位包括：无。</w:t>
      </w:r>
    </w:p>
    <w:p>
      <w:pPr>
        <w:widowControl/>
        <w:jc w:val="left"/>
        <w:rPr>
          <w:rFonts w:ascii="仿宋" w:hAnsi="仿宋" w:eastAsia="仿宋"/>
          <w:color w:val="auto"/>
          <w:kern w:val="0"/>
          <w:sz w:val="32"/>
          <w:szCs w:val="32"/>
          <w:highlight w:val="none"/>
        </w:rPr>
      </w:pPr>
    </w:p>
    <w:p>
      <w:pPr>
        <w:pStyle w:val="5"/>
        <w:rPr>
          <w:rFonts w:ascii="仿宋" w:hAnsi="仿宋" w:eastAsia="仿宋"/>
          <w:color w:val="auto"/>
          <w:kern w:val="0"/>
          <w:sz w:val="32"/>
          <w:szCs w:val="32"/>
          <w:highlight w:val="none"/>
        </w:rPr>
      </w:pPr>
    </w:p>
    <w:p>
      <w:pPr>
        <w:pStyle w:val="5"/>
        <w:rPr>
          <w:rFonts w:ascii="仿宋" w:hAnsi="仿宋" w:eastAsia="仿宋"/>
          <w:color w:val="auto"/>
          <w:kern w:val="0"/>
          <w:sz w:val="32"/>
          <w:szCs w:val="32"/>
          <w:highlight w:val="none"/>
        </w:rPr>
      </w:pPr>
    </w:p>
    <w:p>
      <w:pPr>
        <w:pStyle w:val="5"/>
        <w:rPr>
          <w:rFonts w:ascii="仿宋" w:hAnsi="仿宋" w:eastAsia="仿宋"/>
          <w:color w:val="auto"/>
          <w:kern w:val="0"/>
          <w:sz w:val="32"/>
          <w:szCs w:val="32"/>
          <w:highlight w:val="none"/>
        </w:rPr>
      </w:pPr>
    </w:p>
    <w:p>
      <w:pPr>
        <w:pStyle w:val="5"/>
        <w:rPr>
          <w:rFonts w:ascii="仿宋" w:hAnsi="仿宋" w:eastAsia="仿宋"/>
          <w:color w:val="auto"/>
          <w:kern w:val="0"/>
          <w:sz w:val="32"/>
          <w:szCs w:val="32"/>
          <w:highlight w:val="none"/>
        </w:rPr>
      </w:pPr>
    </w:p>
    <w:p>
      <w:pPr>
        <w:pStyle w:val="5"/>
        <w:rPr>
          <w:rFonts w:ascii="仿宋" w:hAnsi="仿宋" w:eastAsia="仿宋"/>
          <w:color w:val="auto"/>
          <w:kern w:val="0"/>
          <w:sz w:val="32"/>
          <w:szCs w:val="32"/>
          <w:highlight w:val="none"/>
        </w:rPr>
      </w:pPr>
    </w:p>
    <w:p>
      <w:pPr>
        <w:pStyle w:val="2"/>
        <w:ind w:right="440"/>
        <w:jc w:val="center"/>
        <w:rPr>
          <w:rStyle w:val="24"/>
          <w:rFonts w:ascii="黑体" w:hAnsi="黑体" w:eastAsia="黑体"/>
          <w:b w:val="0"/>
          <w:bCs/>
          <w:color w:val="auto"/>
          <w:highlight w:val="none"/>
        </w:rPr>
      </w:pPr>
      <w:bookmarkStart w:id="27" w:name="_Toc12701"/>
      <w:bookmarkStart w:id="28" w:name="_Toc15396602"/>
      <w:bookmarkStart w:id="29" w:name="_Toc20265"/>
      <w:bookmarkStart w:id="30"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7"/>
      <w:bookmarkEnd w:id="28"/>
      <w:bookmarkEnd w:id="29"/>
      <w:bookmarkEnd w:id="30"/>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1" w:name="_Toc15396603"/>
      <w:bookmarkStart w:id="32" w:name="_Toc8256"/>
      <w:bookmarkStart w:id="33"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1"/>
      <w:bookmarkEnd w:id="32"/>
      <w:bookmarkEnd w:id="33"/>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199.16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277.11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人员增加</w:t>
      </w:r>
      <w:r>
        <w:rPr>
          <w:rFonts w:hint="eastAsia" w:ascii="仿宋" w:hAnsi="仿宋" w:eastAsia="仿宋"/>
          <w:color w:val="auto"/>
          <w:sz w:val="32"/>
          <w:szCs w:val="32"/>
          <w:highlight w:val="none"/>
          <w:lang w:val="en-US" w:eastAsia="zh-CN"/>
        </w:rPr>
        <w:t>而导致收入支出增加</w:t>
      </w:r>
      <w:r>
        <w:rPr>
          <w:rFonts w:hint="eastAsia" w:ascii="仿宋" w:hAnsi="仿宋" w:eastAsia="仿宋"/>
          <w:color w:val="auto"/>
          <w:sz w:val="32"/>
          <w:szCs w:val="32"/>
          <w:highlight w:val="none"/>
          <w:lang w:eastAsia="zh-CN"/>
        </w:rPr>
        <w:t>。</w:t>
      </w:r>
    </w:p>
    <w:p>
      <w:pPr>
        <w:pStyle w:val="5"/>
        <w:tabs>
          <w:tab w:val="left" w:pos="3306"/>
        </w:tabs>
        <w:rPr>
          <w:rFonts w:hint="eastAsia"/>
          <w:lang w:eastAsia="zh-CN"/>
        </w:rPr>
      </w:pPr>
      <w:r>
        <w:rPr>
          <w:rFonts w:hint="eastAsia"/>
          <w:lang w:eastAsia="zh-CN"/>
        </w:rPr>
        <w:tab/>
      </w:r>
      <w:r>
        <w:drawing>
          <wp:inline distT="0" distB="0" distL="114300" distR="114300">
            <wp:extent cx="5330190" cy="2933700"/>
            <wp:effectExtent l="5080" t="4445" r="1778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4" w:name="_Toc15396604"/>
      <w:bookmarkStart w:id="35" w:name="_Toc28360"/>
      <w:bookmarkStart w:id="36"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4"/>
      <w:bookmarkEnd w:id="35"/>
      <w:bookmarkEnd w:id="36"/>
    </w:p>
    <w:p>
      <w:pPr>
        <w:spacing w:line="600" w:lineRule="exact"/>
        <w:ind w:firstLine="640" w:firstLineChars="200"/>
        <w:outlineLvl w:val="1"/>
        <w:rPr>
          <w:rFonts w:hint="eastAsia" w:ascii="仿宋" w:hAnsi="仿宋" w:eastAsia="仿宋"/>
          <w:color w:val="auto"/>
          <w:sz w:val="32"/>
          <w:szCs w:val="32"/>
          <w:highlight w:val="none"/>
          <w:lang w:eastAsia="zh-CN"/>
        </w:rPr>
      </w:pPr>
      <w:bookmarkStart w:id="37" w:name="_Toc2433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7"/>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spacing w:line="600" w:lineRule="exact"/>
        <w:ind w:firstLine="420" w:firstLineChars="200"/>
        <w:outlineLvl w:val="9"/>
      </w:pPr>
    </w:p>
    <w:p>
      <w:pPr>
        <w:spacing w:line="600" w:lineRule="exact"/>
        <w:ind w:firstLine="420" w:firstLineChars="200"/>
        <w:outlineLvl w:val="9"/>
      </w:pPr>
    </w:p>
    <w:p>
      <w:pPr>
        <w:spacing w:line="600" w:lineRule="exact"/>
        <w:ind w:firstLine="420" w:firstLineChars="200"/>
        <w:outlineLvl w:val="9"/>
      </w:pPr>
    </w:p>
    <w:p>
      <w:pPr>
        <w:spacing w:line="600" w:lineRule="exact"/>
        <w:ind w:firstLine="420" w:firstLineChars="200"/>
        <w:outlineLvl w:val="9"/>
      </w:pPr>
    </w:p>
    <w:p>
      <w:pPr>
        <w:spacing w:line="600" w:lineRule="exact"/>
        <w:ind w:firstLine="420" w:firstLineChars="200"/>
        <w:outlineLvl w:val="9"/>
      </w:pPr>
    </w:p>
    <w:p>
      <w:pPr>
        <w:spacing w:line="600" w:lineRule="exact"/>
        <w:ind w:firstLine="420" w:firstLineChars="200"/>
        <w:outlineLvl w:val="9"/>
        <w:rPr>
          <w:rFonts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8" w:name="_Toc14617"/>
      <w:bookmarkStart w:id="39" w:name="_Toc15377207"/>
      <w:bookmarkStart w:id="40"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8"/>
      <w:bookmarkEnd w:id="39"/>
      <w:bookmarkEnd w:id="40"/>
    </w:p>
    <w:p>
      <w:pPr>
        <w:spacing w:line="600" w:lineRule="exact"/>
        <w:ind w:firstLine="640" w:firstLineChars="200"/>
        <w:outlineLvl w:val="1"/>
        <w:rPr>
          <w:rFonts w:ascii="仿宋" w:hAnsi="仿宋" w:eastAsia="仿宋"/>
          <w:color w:val="auto"/>
          <w:sz w:val="32"/>
          <w:szCs w:val="32"/>
          <w:highlight w:val="none"/>
        </w:rPr>
      </w:pPr>
      <w:bookmarkStart w:id="41" w:name="_Toc1205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161.28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59.51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109.75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1"/>
    </w:p>
    <w:p>
      <w:pPr>
        <w:spacing w:line="600" w:lineRule="exact"/>
        <w:ind w:firstLine="640"/>
        <w:rPr>
          <w:rFonts w:ascii="仿宋" w:hAnsi="仿宋" w:eastAsia="仿宋"/>
          <w:color w:val="auto"/>
          <w:sz w:val="32"/>
          <w:szCs w:val="32"/>
          <w:highlight w:val="none"/>
          <w:shd w:val="pct10" w:color="auto" w:fill="FFFFFF"/>
        </w:rPr>
      </w:pPr>
    </w:p>
    <w:p>
      <w:pPr>
        <w:pStyle w:val="5"/>
      </w:pPr>
      <w:r>
        <w:drawing>
          <wp:inline distT="0" distB="0" distL="114300" distR="114300">
            <wp:extent cx="5273040" cy="2924175"/>
            <wp:effectExtent l="4445" t="4445" r="18415" b="50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42" w:name="_Toc29347"/>
      <w:bookmarkStart w:id="43" w:name="_Toc15396606"/>
      <w:bookmarkStart w:id="44"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2"/>
      <w:bookmarkEnd w:id="43"/>
      <w:bookmarkEnd w:id="44"/>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241.02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803.13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w:t>
      </w:r>
    </w:p>
    <w:p>
      <w:pPr>
        <w:pStyle w:val="5"/>
        <w:rPr>
          <w:rFonts w:hint="eastAsia"/>
          <w:lang w:eastAsia="zh-CN"/>
        </w:rPr>
      </w:pPr>
      <w:r>
        <w:drawing>
          <wp:anchor distT="0" distB="0" distL="114300" distR="114300" simplePos="0" relativeHeight="251660288" behindDoc="0" locked="0" layoutInCell="1" allowOverlap="1">
            <wp:simplePos x="0" y="0"/>
            <wp:positionH relativeFrom="column">
              <wp:posOffset>4445</wp:posOffset>
            </wp:positionH>
            <wp:positionV relativeFrom="paragraph">
              <wp:posOffset>121285</wp:posOffset>
            </wp:positionV>
            <wp:extent cx="5292090" cy="2904490"/>
            <wp:effectExtent l="4445" t="4445" r="18415" b="571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spacing w:line="600" w:lineRule="exact"/>
        <w:rPr>
          <w:rFonts w:ascii="仿宋" w:hAnsi="仿宋" w:eastAsia="仿宋"/>
          <w:color w:val="auto"/>
          <w:sz w:val="32"/>
          <w:szCs w:val="32"/>
          <w:highlight w:val="none"/>
        </w:rPr>
      </w:pP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45" w:name="_Toc15377209"/>
      <w:bookmarkStart w:id="46" w:name="_Toc24989"/>
      <w:bookmarkStart w:id="4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5"/>
      <w:bookmarkEnd w:id="46"/>
      <w:bookmarkEnd w:id="47"/>
    </w:p>
    <w:p>
      <w:pPr>
        <w:spacing w:line="600" w:lineRule="exact"/>
        <w:ind w:firstLine="643" w:firstLineChars="200"/>
        <w:outlineLvl w:val="2"/>
        <w:rPr>
          <w:rFonts w:ascii="仿宋" w:hAnsi="仿宋" w:eastAsia="仿宋"/>
          <w:b/>
          <w:color w:val="auto"/>
          <w:sz w:val="32"/>
          <w:szCs w:val="32"/>
          <w:highlight w:val="none"/>
        </w:rPr>
      </w:pPr>
      <w:bookmarkStart w:id="48" w:name="_Toc15377210"/>
      <w:r>
        <w:rPr>
          <w:rFonts w:hint="eastAsia" w:ascii="仿宋" w:hAnsi="仿宋" w:eastAsia="仿宋"/>
          <w:b/>
          <w:color w:val="auto"/>
          <w:sz w:val="32"/>
          <w:szCs w:val="32"/>
          <w:highlight w:val="none"/>
        </w:rPr>
        <w:t>（一）一般公共预算财政拨款支出决算总体情况</w:t>
      </w:r>
      <w:bookmarkEnd w:id="4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241.02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803.13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人员增加。</w:t>
      </w: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p>
    <w:p>
      <w:pPr>
        <w:pStyle w:val="5"/>
        <w:rPr>
          <w:rFonts w:hint="eastAsia" w:ascii="仿宋" w:hAnsi="仿宋" w:eastAsia="仿宋"/>
          <w:color w:val="auto"/>
          <w:sz w:val="32"/>
          <w:szCs w:val="32"/>
          <w:highlight w:val="none"/>
          <w:lang w:eastAsia="zh-CN"/>
        </w:rPr>
      </w:pPr>
      <w:r>
        <w:drawing>
          <wp:inline distT="0" distB="0" distL="114300" distR="114300">
            <wp:extent cx="5235575" cy="2838450"/>
            <wp:effectExtent l="4445" t="4445" r="17780" b="1460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49" w:name="_Toc15377211"/>
      <w:r>
        <w:rPr>
          <w:rFonts w:hint="eastAsia" w:ascii="仿宋" w:hAnsi="仿宋" w:eastAsia="仿宋"/>
          <w:b/>
          <w:color w:val="auto"/>
          <w:sz w:val="32"/>
          <w:szCs w:val="32"/>
          <w:highlight w:val="none"/>
        </w:rPr>
        <w:t>（二）一般公共预算财政拨款支出决算结构情况</w:t>
      </w:r>
      <w:bookmarkEnd w:id="4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271.03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b/>
          <w:color w:val="auto"/>
          <w:sz w:val="32"/>
          <w:szCs w:val="32"/>
        </w:rPr>
        <w:t>（205）</w:t>
      </w:r>
      <w:r>
        <w:rPr>
          <w:rFonts w:hint="eastAsia" w:ascii="仿宋" w:hAnsi="仿宋" w:eastAsia="仿宋"/>
          <w:color w:val="auto"/>
          <w:sz w:val="32"/>
          <w:szCs w:val="32"/>
          <w:highlight w:val="none"/>
        </w:rPr>
        <w:t>256.21万元，占</w:t>
      </w:r>
      <w:r>
        <w:rPr>
          <w:rFonts w:hint="eastAsia" w:ascii="仿宋" w:hAnsi="仿宋" w:eastAsia="仿宋"/>
          <w:color w:val="auto"/>
          <w:sz w:val="32"/>
          <w:szCs w:val="32"/>
          <w:highlight w:val="none"/>
          <w:lang w:val="en-US" w:eastAsia="zh-CN"/>
        </w:rPr>
        <w:t>94.53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color w:val="auto"/>
          <w:sz w:val="32"/>
          <w:szCs w:val="32"/>
        </w:rPr>
        <w:t>（208）</w:t>
      </w:r>
      <w:r>
        <w:rPr>
          <w:rFonts w:hint="eastAsia" w:ascii="仿宋" w:hAnsi="仿宋" w:eastAsia="仿宋"/>
          <w:color w:val="auto"/>
          <w:sz w:val="32"/>
          <w:szCs w:val="32"/>
          <w:highlight w:val="none"/>
        </w:rPr>
        <w:t>5.26万元，占</w:t>
      </w:r>
      <w:r>
        <w:rPr>
          <w:rFonts w:hint="eastAsia" w:ascii="仿宋" w:hAnsi="仿宋" w:eastAsia="仿宋"/>
          <w:color w:val="auto"/>
          <w:sz w:val="32"/>
          <w:szCs w:val="32"/>
          <w:highlight w:val="none"/>
          <w:lang w:val="en-US" w:eastAsia="zh-CN"/>
        </w:rPr>
        <w:t>1.94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color w:val="auto"/>
          <w:sz w:val="32"/>
          <w:szCs w:val="32"/>
        </w:rPr>
        <w:t>（210）</w:t>
      </w:r>
      <w:r>
        <w:rPr>
          <w:rFonts w:hint="eastAsia" w:ascii="仿宋" w:hAnsi="仿宋" w:eastAsia="仿宋"/>
          <w:color w:val="auto"/>
          <w:sz w:val="32"/>
          <w:szCs w:val="32"/>
          <w:highlight w:val="none"/>
        </w:rPr>
        <w:t>2.11万元，占</w:t>
      </w:r>
      <w:r>
        <w:rPr>
          <w:rFonts w:hint="eastAsia" w:ascii="仿宋" w:hAnsi="仿宋" w:eastAsia="仿宋"/>
          <w:color w:val="auto"/>
          <w:sz w:val="32"/>
          <w:szCs w:val="32"/>
          <w:highlight w:val="none"/>
          <w:lang w:val="en-US" w:eastAsia="zh-CN"/>
        </w:rPr>
        <w:t>0.78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color w:val="auto"/>
          <w:sz w:val="32"/>
          <w:szCs w:val="32"/>
        </w:rPr>
        <w:t>（221）</w:t>
      </w:r>
      <w:r>
        <w:rPr>
          <w:rFonts w:hint="eastAsia" w:ascii="仿宋" w:hAnsi="仿宋" w:eastAsia="仿宋"/>
          <w:color w:val="auto"/>
          <w:sz w:val="32"/>
          <w:szCs w:val="32"/>
          <w:highlight w:val="none"/>
        </w:rPr>
        <w:t>7.46万元，占</w:t>
      </w:r>
      <w:r>
        <w:rPr>
          <w:rFonts w:hint="eastAsia" w:ascii="仿宋" w:hAnsi="仿宋" w:eastAsia="仿宋"/>
          <w:color w:val="auto"/>
          <w:sz w:val="32"/>
          <w:szCs w:val="32"/>
          <w:highlight w:val="none"/>
          <w:lang w:val="en-US" w:eastAsia="zh-CN"/>
        </w:rPr>
        <w:t>2.75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5"/>
        <w:rPr>
          <w:rFonts w:hint="eastAsia"/>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pStyle w:val="5"/>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50" w:name="_Toc15377212"/>
      <w:r>
        <w:rPr>
          <w:rFonts w:hint="eastAsia" w:ascii="仿宋" w:hAnsi="仿宋" w:eastAsia="仿宋"/>
          <w:b/>
          <w:color w:val="auto"/>
          <w:sz w:val="32"/>
          <w:szCs w:val="32"/>
          <w:highlight w:val="none"/>
        </w:rPr>
        <w:t>（三）一般公共预算财政拨款支出决算具体情况</w:t>
      </w:r>
      <w:bookmarkEnd w:id="50"/>
    </w:p>
    <w:p>
      <w:pPr>
        <w:spacing w:line="600" w:lineRule="exact"/>
        <w:ind w:firstLine="643" w:firstLineChars="200"/>
        <w:outlineLvl w:val="1"/>
        <w:rPr>
          <w:rFonts w:ascii="仿宋" w:hAnsi="仿宋" w:eastAsia="仿宋"/>
          <w:color w:val="auto"/>
          <w:sz w:val="32"/>
          <w:szCs w:val="32"/>
          <w:highlight w:val="none"/>
        </w:rPr>
      </w:pPr>
      <w:bookmarkStart w:id="51" w:name="_Toc15378460"/>
      <w:bookmarkStart w:id="52" w:name="_Toc10556"/>
      <w:bookmarkStart w:id="53" w:name="_Toc15377213"/>
      <w:bookmarkStart w:id="54"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271.03万元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51"/>
      <w:bookmarkEnd w:id="52"/>
      <w:bookmarkEnd w:id="53"/>
      <w:bookmarkEnd w:id="54"/>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rPr>
        <w:t>1.</w:t>
      </w:r>
      <w:r>
        <w:rPr>
          <w:rStyle w:val="14"/>
          <w:rFonts w:hint="eastAsia" w:ascii="仿宋" w:hAnsi="仿宋" w:eastAsia="仿宋"/>
          <w:bCs/>
          <w:color w:val="auto"/>
          <w:sz w:val="32"/>
          <w:szCs w:val="32"/>
        </w:rPr>
        <w:t>教育（205）普通教育（02）学前教育（01）</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256.21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rPr>
      </w:pPr>
      <w:r>
        <w:rPr>
          <w:rStyle w:val="14"/>
          <w:rFonts w:hint="eastAsia" w:ascii="仿宋" w:hAnsi="仿宋" w:eastAsia="仿宋"/>
          <w:bCs/>
          <w:color w:val="auto"/>
          <w:sz w:val="32"/>
          <w:szCs w:val="32"/>
          <w:lang w:val="en-US" w:eastAsia="zh-CN"/>
        </w:rPr>
        <w:t>2</w:t>
      </w:r>
      <w:r>
        <w:rPr>
          <w:rStyle w:val="14"/>
          <w:rFonts w:hint="eastAsia" w:ascii="仿宋" w:hAnsi="仿宋" w:eastAsia="仿宋"/>
          <w:bCs/>
          <w:color w:val="auto"/>
          <w:sz w:val="32"/>
          <w:szCs w:val="32"/>
        </w:rPr>
        <w:t>.社会保障和就业（208）行政事业单位养老支出（05）机关事业单位基本养老保险缴费支出（05）</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5.26</w:t>
      </w:r>
      <w:r>
        <w:rPr>
          <w:rStyle w:val="14"/>
          <w:rFonts w:hint="eastAsia" w:ascii="仿宋" w:hAnsi="仿宋" w:eastAsia="仿宋"/>
          <w:b w:val="0"/>
          <w:bCs/>
          <w:color w:val="auto"/>
          <w:sz w:val="32"/>
          <w:szCs w:val="32"/>
        </w:rPr>
        <w:t>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ascii="仿宋" w:hAnsi="仿宋" w:eastAsia="仿宋"/>
          <w:b w:val="0"/>
          <w:bCs/>
          <w:color w:val="auto"/>
          <w:sz w:val="32"/>
          <w:szCs w:val="32"/>
        </w:rPr>
      </w:pPr>
      <w:r>
        <w:rPr>
          <w:rStyle w:val="14"/>
          <w:rFonts w:hint="eastAsia" w:ascii="仿宋" w:hAnsi="仿宋" w:eastAsia="仿宋"/>
          <w:bCs/>
          <w:color w:val="auto"/>
          <w:sz w:val="32"/>
          <w:szCs w:val="32"/>
          <w:lang w:val="en-US" w:eastAsia="zh-CN"/>
        </w:rPr>
        <w:t>3</w:t>
      </w:r>
      <w:r>
        <w:rPr>
          <w:rStyle w:val="14"/>
          <w:rFonts w:hint="eastAsia" w:ascii="仿宋" w:hAnsi="仿宋" w:eastAsia="仿宋"/>
          <w:bCs/>
          <w:color w:val="auto"/>
          <w:sz w:val="32"/>
          <w:szCs w:val="32"/>
        </w:rPr>
        <w:t>.</w:t>
      </w:r>
      <w:r>
        <w:rPr>
          <w:rFonts w:hint="eastAsia" w:ascii="仿宋" w:hAnsi="仿宋" w:eastAsia="仿宋"/>
          <w:b/>
          <w:bCs/>
          <w:color w:val="auto"/>
          <w:sz w:val="32"/>
          <w:szCs w:val="32"/>
        </w:rPr>
        <w:t>卫生健康</w:t>
      </w:r>
      <w:r>
        <w:rPr>
          <w:rStyle w:val="14"/>
          <w:rFonts w:hint="eastAsia" w:ascii="仿宋" w:hAnsi="仿宋" w:eastAsia="仿宋"/>
          <w:bCs/>
          <w:color w:val="auto"/>
          <w:sz w:val="32"/>
          <w:szCs w:val="32"/>
        </w:rPr>
        <w:t>支出（210）行政事业单位医疗（11）事业单位医疗（02）</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2.11</w:t>
      </w:r>
      <w:r>
        <w:rPr>
          <w:rStyle w:val="14"/>
          <w:rFonts w:hint="eastAsia" w:ascii="仿宋" w:hAnsi="仿宋" w:eastAsia="仿宋"/>
          <w:b w:val="0"/>
          <w:bCs/>
          <w:color w:val="auto"/>
          <w:sz w:val="32"/>
          <w:szCs w:val="32"/>
        </w:rPr>
        <w:t>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pStyle w:val="5"/>
        <w:spacing w:before="130"/>
        <w:ind w:firstLine="643" w:firstLineChars="200"/>
        <w:rPr>
          <w:rFonts w:ascii="仿宋" w:hAnsi="仿宋" w:eastAsia="仿宋"/>
          <w:b/>
          <w:bCs/>
          <w:color w:val="auto"/>
          <w:kern w:val="2"/>
          <w:sz w:val="32"/>
          <w:szCs w:val="32"/>
        </w:rPr>
      </w:pPr>
      <w:r>
        <w:rPr>
          <w:rFonts w:hint="eastAsia" w:ascii="仿宋" w:hAnsi="仿宋" w:eastAsia="仿宋"/>
          <w:b/>
          <w:bCs/>
          <w:color w:val="auto"/>
          <w:kern w:val="2"/>
          <w:sz w:val="32"/>
          <w:szCs w:val="32"/>
          <w:lang w:val="en-US" w:eastAsia="zh-CN"/>
        </w:rPr>
        <w:t>4</w:t>
      </w:r>
      <w:r>
        <w:rPr>
          <w:rFonts w:hint="eastAsia" w:ascii="仿宋" w:hAnsi="仿宋" w:eastAsia="仿宋"/>
          <w:b/>
          <w:bCs/>
          <w:color w:val="auto"/>
          <w:kern w:val="2"/>
          <w:sz w:val="32"/>
          <w:szCs w:val="32"/>
        </w:rPr>
        <w:t>.住房保障支出（221）住房改革支出（02）住房公积金（01）：</w:t>
      </w:r>
      <w:r>
        <w:rPr>
          <w:rStyle w:val="14"/>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7.46</w:t>
      </w:r>
      <w:r>
        <w:rPr>
          <w:rStyle w:val="14"/>
          <w:rFonts w:hint="eastAsia" w:ascii="仿宋" w:hAnsi="仿宋" w:eastAsia="仿宋"/>
          <w:b w:val="0"/>
          <w:bCs/>
          <w:color w:val="auto"/>
          <w:sz w:val="32"/>
          <w:szCs w:val="32"/>
        </w:rPr>
        <w:t>万元，完成预算100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55" w:name="_Toc15396608"/>
      <w:bookmarkStart w:id="56" w:name="_Toc15377214"/>
      <w:bookmarkStart w:id="57" w:name="_Toc4206"/>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5"/>
      <w:bookmarkEnd w:id="56"/>
      <w:bookmarkEnd w:id="57"/>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年一般公共预算财政拨款基本支出161.28万元，其中：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人员经费74.08万元，主要包括：基本工资25.9</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、津贴补贴0.86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、绩效工资31.49</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、机关事业单位基本养老保险缴费5.26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2.11</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住房公积金7.46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、其他</w:t>
      </w:r>
      <w:r>
        <w:rPr>
          <w:rFonts w:hint="eastAsia" w:ascii="仿宋" w:hAnsi="仿宋" w:eastAsia="仿宋"/>
          <w:color w:val="auto"/>
          <w:sz w:val="32"/>
          <w:szCs w:val="32"/>
          <w:highlight w:val="none"/>
          <w:lang w:eastAsia="zh-CN"/>
        </w:rPr>
        <w:t>工资和福利</w:t>
      </w:r>
      <w:r>
        <w:rPr>
          <w:rFonts w:hint="eastAsia" w:ascii="仿宋" w:hAnsi="仿宋" w:eastAsia="仿宋"/>
          <w:color w:val="auto"/>
          <w:sz w:val="32"/>
          <w:szCs w:val="32"/>
          <w:highlight w:val="none"/>
        </w:rPr>
        <w:t>支出1.01</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公用经费87.2万元，主要包括：办公费43.66万元、印刷费2.85万元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水费1.92万元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电费1.7万元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邮电费0.28万元、物业管理费8.38万元、差旅费0.03万元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维修（护）费1.11万元、培训费0.09万元、劳务费1.49万元、工会经费0.3万元、其他商品和服务支出25.39万元。</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58" w:name="_Toc15377215"/>
      <w:bookmarkStart w:id="59" w:name="_Toc28060"/>
      <w:bookmarkStart w:id="60"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58"/>
      <w:bookmarkEnd w:id="59"/>
      <w:bookmarkEnd w:id="60"/>
    </w:p>
    <w:p>
      <w:pPr>
        <w:spacing w:line="600" w:lineRule="exact"/>
        <w:ind w:firstLine="640"/>
        <w:outlineLvl w:val="2"/>
        <w:rPr>
          <w:rFonts w:ascii="仿宋" w:hAnsi="仿宋" w:eastAsia="仿宋"/>
          <w:b/>
          <w:color w:val="auto"/>
          <w:sz w:val="32"/>
          <w:szCs w:val="32"/>
          <w:highlight w:val="none"/>
        </w:rPr>
      </w:pPr>
      <w:bookmarkStart w:id="61" w:name="_Toc15377216"/>
      <w:r>
        <w:rPr>
          <w:rFonts w:hint="eastAsia" w:ascii="仿宋" w:hAnsi="仿宋" w:eastAsia="仿宋"/>
          <w:b/>
          <w:color w:val="auto"/>
          <w:sz w:val="32"/>
          <w:szCs w:val="32"/>
          <w:highlight w:val="none"/>
        </w:rPr>
        <w:t>（一）“三公”经费财政拨款支出决算总体情况说明</w:t>
      </w:r>
      <w:bookmarkEnd w:id="61"/>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r>
        <w:rPr>
          <w:rFonts w:hint="eastAsia" w:ascii="仿宋" w:hAnsi="仿宋" w:eastAsia="仿宋"/>
          <w:color w:val="auto"/>
          <w:sz w:val="32"/>
          <w:szCs w:val="32"/>
          <w:highlight w:val="none"/>
          <w:lang w:eastAsia="zh-CN"/>
        </w:rPr>
        <w:t>。</w:t>
      </w:r>
    </w:p>
    <w:p>
      <w:pPr>
        <w:spacing w:line="600" w:lineRule="exact"/>
        <w:ind w:firstLine="640"/>
        <w:outlineLvl w:val="2"/>
        <w:rPr>
          <w:rFonts w:ascii="仿宋" w:hAnsi="仿宋" w:eastAsia="仿宋"/>
          <w:b/>
          <w:color w:val="auto"/>
          <w:sz w:val="32"/>
          <w:szCs w:val="32"/>
          <w:highlight w:val="none"/>
        </w:rPr>
      </w:pPr>
      <w:bookmarkStart w:id="62" w:name="_Toc15377217"/>
      <w:r>
        <w:rPr>
          <w:rFonts w:hint="eastAsia" w:ascii="仿宋" w:hAnsi="仿宋" w:eastAsia="仿宋"/>
          <w:b/>
          <w:color w:val="auto"/>
          <w:sz w:val="32"/>
          <w:szCs w:val="32"/>
          <w:highlight w:val="none"/>
        </w:rPr>
        <w:t>（二）“三公”经费财政拨款支出决算具体情况说明</w:t>
      </w:r>
      <w:bookmarkEnd w:id="62"/>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5"/>
      </w:pPr>
      <w:r>
        <w:drawing>
          <wp:inline distT="0" distB="0" distL="114300" distR="114300">
            <wp:extent cx="5187950" cy="2847340"/>
            <wp:effectExtent l="4445" t="4445" r="8255" b="571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9"/>
        <w:rPr>
          <w:rFonts w:ascii="黑体" w:eastAsia="黑体"/>
          <w:color w:val="auto"/>
          <w:sz w:val="32"/>
          <w:szCs w:val="32"/>
          <w:highlight w:val="none"/>
        </w:rPr>
      </w:pPr>
      <w:bookmarkStart w:id="63" w:name="_Toc15377218"/>
      <w:bookmarkStart w:id="64" w:name="_Toc15396610"/>
    </w:p>
    <w:p>
      <w:pPr>
        <w:spacing w:line="600" w:lineRule="exact"/>
        <w:ind w:firstLine="640"/>
        <w:outlineLvl w:val="1"/>
        <w:rPr>
          <w:rStyle w:val="25"/>
          <w:rFonts w:ascii="黑体" w:hAnsi="黑体" w:eastAsia="黑体"/>
          <w:color w:val="auto"/>
          <w:highlight w:val="none"/>
        </w:rPr>
      </w:pPr>
      <w:bookmarkStart w:id="65" w:name="_Toc30451"/>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3"/>
      <w:bookmarkEnd w:id="64"/>
      <w:bookmarkEnd w:id="6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66" w:name="_Toc15377219"/>
      <w:bookmarkStart w:id="67" w:name="_Toc11449"/>
      <w:bookmarkStart w:id="68" w:name="_Toc15396611"/>
      <w:r>
        <w:rPr>
          <w:rStyle w:val="25"/>
          <w:rFonts w:hint="eastAsia" w:ascii="黑体" w:hAnsi="黑体" w:eastAsia="黑体"/>
          <w:b w:val="0"/>
          <w:color w:val="auto"/>
          <w:highlight w:val="none"/>
        </w:rPr>
        <w:t>国有资本经营预算支出决算情况说明</w:t>
      </w:r>
      <w:bookmarkEnd w:id="66"/>
      <w:bookmarkEnd w:id="67"/>
      <w:bookmarkEnd w:id="6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69" w:name="_Toc15396612"/>
      <w:bookmarkStart w:id="70" w:name="_Toc14523"/>
      <w:bookmarkStart w:id="71" w:name="_Toc15377221"/>
      <w:r>
        <w:rPr>
          <w:rStyle w:val="25"/>
          <w:rFonts w:hint="eastAsia" w:ascii="黑体" w:hAnsi="黑体" w:eastAsia="黑体"/>
          <w:b w:val="0"/>
          <w:color w:val="auto"/>
          <w:highlight w:val="none"/>
        </w:rPr>
        <w:t>其他重要事项的情况说明</w:t>
      </w:r>
      <w:bookmarkEnd w:id="69"/>
      <w:bookmarkEnd w:id="70"/>
      <w:bookmarkEnd w:id="71"/>
    </w:p>
    <w:p>
      <w:pPr>
        <w:spacing w:line="600" w:lineRule="exact"/>
        <w:ind w:firstLine="643" w:firstLineChars="200"/>
        <w:outlineLvl w:val="2"/>
        <w:rPr>
          <w:rFonts w:ascii="仿宋" w:hAnsi="仿宋" w:eastAsia="仿宋"/>
          <w:color w:val="auto"/>
          <w:sz w:val="32"/>
          <w:szCs w:val="32"/>
          <w:highlight w:val="none"/>
        </w:rPr>
      </w:pPr>
      <w:bookmarkStart w:id="72" w:name="_Toc15377222"/>
      <w:r>
        <w:rPr>
          <w:rFonts w:hint="eastAsia" w:ascii="仿宋" w:hAnsi="仿宋" w:eastAsia="仿宋"/>
          <w:b/>
          <w:color w:val="auto"/>
          <w:sz w:val="32"/>
          <w:szCs w:val="32"/>
          <w:highlight w:val="none"/>
        </w:rPr>
        <w:t>（一）机关运行经费支出情况</w:t>
      </w:r>
      <w:bookmarkEnd w:id="7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rPr>
        <w:t>我单位为事业单位（学校），执行政府会计制度，无机关运行经费。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3" w:name="_Toc15377223"/>
      <w:r>
        <w:rPr>
          <w:rFonts w:hint="eastAsia" w:ascii="仿宋" w:hAnsi="仿宋" w:eastAsia="仿宋"/>
          <w:b/>
          <w:color w:val="auto"/>
          <w:sz w:val="32"/>
          <w:szCs w:val="32"/>
          <w:highlight w:val="none"/>
        </w:rPr>
        <w:t>（二）政府采购支出情况</w:t>
      </w:r>
      <w:bookmarkEnd w:id="7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大竹县菁竹幼儿园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15377224"/>
      <w:r>
        <w:rPr>
          <w:rFonts w:hint="eastAsia" w:ascii="仿宋" w:hAnsi="仿宋" w:eastAsia="仿宋"/>
          <w:b/>
          <w:color w:val="auto"/>
          <w:sz w:val="32"/>
          <w:szCs w:val="32"/>
          <w:highlight w:val="none"/>
        </w:rPr>
        <w:t>（三）国有资产占有使用情况</w:t>
      </w:r>
      <w:bookmarkEnd w:id="7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大竹县菁竹幼儿园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w:t>
      </w:r>
      <w:r>
        <w:rPr>
          <w:rFonts w:hint="eastAsia" w:ascii="仿宋_GB2312" w:hAnsi="仿宋_GB2312" w:eastAsia="仿宋_GB2312" w:cs="仿宋_GB2312"/>
          <w:color w:val="auto"/>
          <w:sz w:val="32"/>
          <w:szCs w:val="32"/>
          <w:highlight w:val="none"/>
        </w:rPr>
        <w:t>，对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w:t>
      </w:r>
      <w:bookmarkStart w:id="112" w:name="_GoBack"/>
      <w:bookmarkEnd w:id="112"/>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5" w:name="_Toc2171"/>
      <w:bookmarkStart w:id="76" w:name="_Toc25766"/>
      <w:bookmarkStart w:id="77" w:name="_Toc15396613"/>
      <w:bookmarkStart w:id="78"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5"/>
      <w:bookmarkEnd w:id="76"/>
      <w:bookmarkEnd w:id="77"/>
      <w:bookmarkEnd w:id="78"/>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教育（2</w:t>
      </w:r>
      <w:r>
        <w:rPr>
          <w:rFonts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rPr>
        <w:t>）普通</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（02）学前教育（01）：指政府在教育事务支出</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社会保障和就业（208）行政事业单位养老支出（05）机关事业单位基本养老保险缴费支出（05）：指政府在社会保障与就业方面的支出。</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卫生健康支出（210）行政事业单位医疗（11）事业单位医疗支出（02）：指政府用于医疗方面的支出。</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.住房保障支出（221）住房改革支出（02）住房公积金（01）：指政府用于住房改革方面的支出。</w:t>
      </w:r>
    </w:p>
    <w:p>
      <w:pPr>
        <w:ind w:firstLine="640" w:firstLineChars="200"/>
        <w:rPr>
          <w:rFonts w:ascii="仿宋_GB2312" w:hAnsi="Calibri" w:eastAsia="仿宋_GB2312" w:cs="仿宋"/>
          <w:color w:val="auto"/>
          <w:kern w:val="0"/>
          <w:sz w:val="32"/>
          <w:szCs w:val="32"/>
        </w:rPr>
      </w:pPr>
      <w:bookmarkStart w:id="79" w:name="_Toc15377226"/>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9"/>
        <w:rPr>
          <w:rStyle w:val="24"/>
          <w:rFonts w:ascii="黑体" w:hAnsi="黑体" w:eastAsia="黑体"/>
          <w:b w:val="0"/>
          <w:color w:val="auto"/>
          <w:highlight w:val="none"/>
        </w:rPr>
      </w:pPr>
      <w:r>
        <w:rPr>
          <w:rFonts w:ascii="宋体"/>
          <w:b/>
          <w:color w:val="auto"/>
          <w:sz w:val="44"/>
          <w:szCs w:val="44"/>
          <w:highlight w:val="none"/>
        </w:rPr>
        <w:br w:type="page"/>
      </w:r>
    </w:p>
    <w:p>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sectPr>
          <w:footerReference r:id="rId6" w:type="first"/>
          <w:footerReference r:id="rId5" w:type="default"/>
          <w:pgSz w:w="11906" w:h="16838"/>
          <w:pgMar w:top="1440" w:right="1800" w:bottom="1440" w:left="1800" w:header="851" w:footer="992" w:gutter="0"/>
          <w:pgNumType w:start="2"/>
          <w:cols w:space="425" w:num="1"/>
          <w:docGrid w:type="lines" w:linePitch="312" w:charSpace="0"/>
        </w:sectPr>
      </w:pPr>
    </w:p>
    <w:p>
      <w:pPr>
        <w:spacing w:line="600" w:lineRule="exact"/>
        <w:jc w:val="center"/>
        <w:outlineLvl w:val="0"/>
        <w:rPr>
          <w:rStyle w:val="24"/>
          <w:rFonts w:ascii="黑体" w:hAnsi="黑体" w:eastAsia="黑体"/>
          <w:b w:val="0"/>
          <w:color w:val="auto"/>
          <w:highlight w:val="none"/>
        </w:rPr>
      </w:pPr>
      <w:bookmarkStart w:id="80" w:name="_Toc31559"/>
      <w:bookmarkStart w:id="81" w:name="_Toc15396614"/>
      <w:bookmarkStart w:id="82" w:name="_Toc1056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80"/>
      <w:bookmarkEnd w:id="81"/>
      <w:bookmarkEnd w:id="82"/>
    </w:p>
    <w:p>
      <w:pPr>
        <w:spacing w:line="600" w:lineRule="exact"/>
        <w:jc w:val="both"/>
        <w:outlineLvl w:val="1"/>
        <w:rPr>
          <w:rFonts w:hint="eastAsia" w:ascii="仿宋_GB2312" w:hAnsi="Calibri" w:eastAsia="仿宋_GB2312" w:cs="仿宋"/>
          <w:color w:val="auto"/>
          <w:kern w:val="0"/>
          <w:sz w:val="32"/>
          <w:szCs w:val="32"/>
          <w:highlight w:val="none"/>
          <w:lang w:val="en-US" w:eastAsia="zh-CN" w:bidi="ar-SA"/>
        </w:rPr>
      </w:pPr>
      <w:bookmarkStart w:id="83" w:name="_Toc15396618"/>
    </w:p>
    <w:tbl>
      <w:tblPr>
        <w:tblStyle w:val="12"/>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2091"/>
        <w:gridCol w:w="1725"/>
        <w:gridCol w:w="2223"/>
        <w:gridCol w:w="519"/>
        <w:gridCol w:w="1495"/>
        <w:gridCol w:w="754"/>
        <w:gridCol w:w="1086"/>
        <w:gridCol w:w="576"/>
        <w:gridCol w:w="576"/>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51172422T000006762526-大竹县菁竹幼儿园维修改造及设施设备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进一步加强幼儿园建设，改善办学和办公条件</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进一步加强幼儿园建设，改善办学和办公条件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1.教学楼外墙面改造；2.行政办公室新增隔断；3.校门口与路面填平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94.43%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追加项目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94.43%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产出指标</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成本指标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合理运用项目资金，控制外墙改造成本</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时效指标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项目完成时间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完成外墙改造：围墙发泡填充为实体墙且外墙刷真石漆</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3816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平方米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3816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质量指标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项目工程验收合格率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校门口透水混凝土填平与路面齐平</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30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平方米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效益指标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可持续发展指标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改善办学和办公条件</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定性</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优良中低差</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kern w:val="2"/>
                <w:sz w:val="16"/>
                <w:szCs w:val="16"/>
                <w:u w:val="no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产出指标</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教室新增两个隔断：打造一个园长办公室一个财务室和一个行政办公室</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12.9</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平方米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等线" w:hAnsi="等线" w:eastAsia="等线" w:cs="等线"/>
                <w:i w:val="0"/>
                <w:iCs w:val="0"/>
                <w:color w:val="000000"/>
                <w:kern w:val="0"/>
                <w:sz w:val="18"/>
                <w:szCs w:val="18"/>
                <w:u w:val="none"/>
                <w:lang w:val="en-US" w:eastAsia="zh-CN" w:bidi="ar"/>
              </w:rPr>
              <w:t>12.9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成本指标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合理运用项目资金，控制校门改造成本</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满意度指标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服务对象满意度指标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为师生提供良好的学习和工作环境</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95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成本指标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合理运用项目资金，控制隔断成本</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default" w:ascii="等线" w:hAnsi="等线" w:eastAsia="等线" w:cs="等线"/>
                <w:i w:val="0"/>
                <w:iCs w:val="0"/>
                <w:color w:val="000000"/>
                <w:kern w:val="0"/>
                <w:sz w:val="18"/>
                <w:szCs w:val="18"/>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10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项目负责人：张永芬</w:t>
            </w:r>
          </w:p>
        </w:tc>
        <w:tc>
          <w:tcPr>
            <w:tcW w:w="6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523"/>
              </w:tabs>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r>
              <w:rPr>
                <w:rFonts w:hint="eastAsia" w:ascii="黑体" w:hAnsi="黑体" w:eastAsia="黑体" w:cs="黑体"/>
                <w:i w:val="0"/>
                <w:iCs w:val="0"/>
                <w:color w:val="000000"/>
                <w:kern w:val="0"/>
                <w:sz w:val="18"/>
                <w:szCs w:val="18"/>
                <w:u w:val="none"/>
                <w:lang w:val="en-US" w:eastAsia="zh-CN" w:bidi="ar"/>
              </w:rPr>
              <w:tab/>
            </w:r>
            <w:r>
              <w:rPr>
                <w:rFonts w:hint="eastAsia" w:ascii="黑体" w:hAnsi="黑体" w:eastAsia="黑体" w:cs="黑体"/>
                <w:i w:val="0"/>
                <w:iCs w:val="0"/>
                <w:color w:val="000000"/>
                <w:kern w:val="0"/>
                <w:sz w:val="18"/>
                <w:szCs w:val="18"/>
                <w:u w:val="none"/>
                <w:lang w:val="en-US" w:eastAsia="zh-CN" w:bidi="ar"/>
              </w:rPr>
              <w:t>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5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51172423T000007998801-校舍维修改造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进一步加强幼儿园建设，改善办学和办公条件</w:t>
            </w:r>
          </w:p>
        </w:tc>
        <w:tc>
          <w:tcPr>
            <w:tcW w:w="4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进一步加强幼儿园建设，改善办学和办公条件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4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校舍维修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43.65</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追加项目资金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43.65</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产出指标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时效指标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项目完成时间</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基础设施改造面积</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平方米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质量指标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竣工验收合格率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质量指标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可持续发展指标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改造后设施使用年限</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可持续发展指标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社会效益指标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改善师生教学和学习条件</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社会效益指标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定性</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较改造前相比师幼活动场地更大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default" w:ascii="等线" w:hAnsi="等线" w:eastAsia="等线" w:cs="等线"/>
                <w:i w:val="0"/>
                <w:iCs w:val="0"/>
                <w:color w:val="000000"/>
                <w:kern w:val="0"/>
                <w:sz w:val="18"/>
                <w:szCs w:val="18"/>
                <w:u w:val="none"/>
                <w:lang w:val="en-US" w:eastAsia="zh-CN" w:bidi="ar"/>
              </w:rPr>
              <w:t>师幼活动场地更大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服务对象满意度指标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教职工满意度</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服务对象满意度指标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项目负责人：张永芬</w:t>
            </w:r>
          </w:p>
        </w:tc>
        <w:tc>
          <w:tcPr>
            <w:tcW w:w="6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9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4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sectPr>
          <w:pgSz w:w="16838" w:h="11906" w:orient="landscape"/>
          <w:pgMar w:top="1803" w:right="1440" w:bottom="1803" w:left="1440" w:header="851" w:footer="992" w:gutter="0"/>
          <w:cols w:space="0" w:num="1"/>
          <w:titlePg/>
          <w:rtlGutter w:val="0"/>
          <w:docGrid w:type="lines" w:linePitch="319" w:charSpace="0"/>
        </w:sect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bookmarkStart w:id="84" w:name="_Toc1804"/>
      <w:bookmarkStart w:id="85" w:name="_Toc23027"/>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79"/>
      <w:bookmarkEnd w:id="83"/>
      <w:bookmarkEnd w:id="84"/>
      <w:bookmarkEnd w:id="85"/>
      <w:bookmarkStart w:id="86" w:name="_Toc15396619"/>
    </w:p>
    <w:p>
      <w:pPr>
        <w:pStyle w:val="3"/>
        <w:rPr>
          <w:rFonts w:ascii="仿宋" w:hAnsi="仿宋" w:eastAsia="仿宋"/>
          <w:color w:val="auto"/>
          <w:highlight w:val="none"/>
        </w:rPr>
      </w:pPr>
      <w:bookmarkStart w:id="87" w:name="_Toc21988"/>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6"/>
      <w:bookmarkEnd w:id="87"/>
    </w:p>
    <w:p>
      <w:pPr>
        <w:pStyle w:val="3"/>
        <w:rPr>
          <w:rFonts w:ascii="仿宋" w:hAnsi="仿宋" w:eastAsia="仿宋"/>
          <w:color w:val="auto"/>
          <w:highlight w:val="none"/>
        </w:rPr>
      </w:pPr>
      <w:bookmarkStart w:id="88" w:name="_Toc15396620"/>
      <w:bookmarkStart w:id="89" w:name="_Toc2770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8"/>
      <w:bookmarkEnd w:id="89"/>
    </w:p>
    <w:p>
      <w:pPr>
        <w:pStyle w:val="3"/>
        <w:rPr>
          <w:rFonts w:ascii="仿宋" w:hAnsi="仿宋" w:eastAsia="仿宋"/>
          <w:color w:val="auto"/>
          <w:highlight w:val="none"/>
        </w:rPr>
      </w:pPr>
      <w:bookmarkStart w:id="90" w:name="_Toc2859"/>
      <w:bookmarkStart w:id="91"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0"/>
      <w:bookmarkEnd w:id="91"/>
    </w:p>
    <w:p>
      <w:pPr>
        <w:pStyle w:val="3"/>
        <w:rPr>
          <w:rFonts w:ascii="仿宋" w:hAnsi="仿宋" w:eastAsia="仿宋"/>
          <w:b w:val="0"/>
          <w:color w:val="auto"/>
          <w:highlight w:val="none"/>
        </w:rPr>
      </w:pPr>
      <w:bookmarkStart w:id="92" w:name="_Toc15396622"/>
      <w:bookmarkStart w:id="93" w:name="_Toc2366"/>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2"/>
      <w:bookmarkEnd w:id="93"/>
    </w:p>
    <w:p>
      <w:pPr>
        <w:pStyle w:val="3"/>
        <w:rPr>
          <w:rStyle w:val="25"/>
          <w:rFonts w:ascii="仿宋" w:hAnsi="仿宋" w:eastAsia="仿宋"/>
          <w:b w:val="0"/>
          <w:bCs w:val="0"/>
          <w:color w:val="auto"/>
          <w:highlight w:val="none"/>
        </w:rPr>
      </w:pPr>
      <w:bookmarkStart w:id="94" w:name="_Toc15376"/>
      <w:bookmarkStart w:id="95"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4"/>
      <w:bookmarkEnd w:id="95"/>
      <w:bookmarkStart w:id="96" w:name="_Toc15396624"/>
    </w:p>
    <w:p>
      <w:pPr>
        <w:pStyle w:val="3"/>
        <w:rPr>
          <w:rFonts w:ascii="仿宋" w:hAnsi="仿宋" w:eastAsia="仿宋"/>
          <w:color w:val="auto"/>
          <w:highlight w:val="none"/>
        </w:rPr>
      </w:pPr>
      <w:bookmarkStart w:id="97" w:name="_Toc887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6"/>
      <w:bookmarkEnd w:id="97"/>
    </w:p>
    <w:p>
      <w:pPr>
        <w:pStyle w:val="3"/>
        <w:rPr>
          <w:rFonts w:ascii="仿宋" w:hAnsi="仿宋" w:eastAsia="仿宋"/>
          <w:color w:val="auto"/>
          <w:highlight w:val="none"/>
        </w:rPr>
      </w:pPr>
      <w:bookmarkStart w:id="98" w:name="_Toc7979"/>
      <w:bookmarkStart w:id="99"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8"/>
      <w:bookmarkEnd w:id="99"/>
    </w:p>
    <w:p>
      <w:pPr>
        <w:pStyle w:val="3"/>
        <w:rPr>
          <w:rFonts w:ascii="仿宋" w:hAnsi="仿宋" w:eastAsia="仿宋"/>
          <w:color w:val="auto"/>
          <w:highlight w:val="none"/>
        </w:rPr>
      </w:pPr>
      <w:bookmarkStart w:id="100" w:name="_Toc15396626"/>
      <w:bookmarkStart w:id="101" w:name="_Toc20592"/>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0"/>
      <w:bookmarkEnd w:id="101"/>
    </w:p>
    <w:p>
      <w:pPr>
        <w:pStyle w:val="3"/>
        <w:rPr>
          <w:rFonts w:ascii="仿宋" w:hAnsi="仿宋" w:eastAsia="仿宋"/>
          <w:color w:val="auto"/>
          <w:highlight w:val="none"/>
        </w:rPr>
      </w:pPr>
      <w:bookmarkStart w:id="102" w:name="_Toc15396627"/>
      <w:bookmarkStart w:id="103" w:name="_Toc24861"/>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2"/>
      <w:bookmarkEnd w:id="103"/>
    </w:p>
    <w:p>
      <w:pPr>
        <w:pStyle w:val="3"/>
        <w:rPr>
          <w:rFonts w:ascii="仿宋" w:hAnsi="仿宋" w:eastAsia="仿宋"/>
          <w:color w:val="auto"/>
          <w:highlight w:val="none"/>
        </w:rPr>
      </w:pPr>
      <w:bookmarkStart w:id="104" w:name="_Toc15396628"/>
      <w:bookmarkStart w:id="105" w:name="_Toc14036"/>
      <w:r>
        <w:rPr>
          <w:rStyle w:val="25"/>
          <w:rFonts w:hint="eastAsia" w:ascii="仿宋" w:hAnsi="仿宋" w:eastAsia="仿宋"/>
          <w:b w:val="0"/>
          <w:bCs w:val="0"/>
          <w:color w:val="auto"/>
          <w:highlight w:val="none"/>
        </w:rPr>
        <w:t>十、</w:t>
      </w:r>
      <w:bookmarkEnd w:id="104"/>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5"/>
    </w:p>
    <w:p>
      <w:pPr>
        <w:pStyle w:val="3"/>
        <w:rPr>
          <w:rFonts w:ascii="仿宋" w:hAnsi="仿宋" w:eastAsia="仿宋"/>
          <w:color w:val="auto"/>
          <w:highlight w:val="none"/>
        </w:rPr>
      </w:pPr>
      <w:bookmarkStart w:id="106" w:name="_Toc15396629"/>
      <w:bookmarkStart w:id="107" w:name="_Toc32487"/>
      <w:r>
        <w:rPr>
          <w:rStyle w:val="25"/>
          <w:rFonts w:hint="eastAsia" w:ascii="仿宋" w:hAnsi="仿宋" w:eastAsia="仿宋"/>
          <w:b w:val="0"/>
          <w:bCs w:val="0"/>
          <w:color w:val="auto"/>
          <w:highlight w:val="none"/>
        </w:rPr>
        <w:t>十一、</w:t>
      </w:r>
      <w:bookmarkEnd w:id="106"/>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7"/>
    </w:p>
    <w:p>
      <w:pPr>
        <w:pStyle w:val="3"/>
        <w:rPr>
          <w:rFonts w:ascii="仿宋" w:hAnsi="仿宋" w:eastAsia="仿宋"/>
          <w:color w:val="auto"/>
          <w:highlight w:val="none"/>
        </w:rPr>
      </w:pPr>
      <w:bookmarkStart w:id="108" w:name="_Toc15396630"/>
      <w:bookmarkStart w:id="109" w:name="_Toc27064"/>
      <w:r>
        <w:rPr>
          <w:rStyle w:val="25"/>
          <w:rFonts w:hint="eastAsia" w:ascii="仿宋" w:hAnsi="仿宋" w:eastAsia="仿宋"/>
          <w:b w:val="0"/>
          <w:bCs w:val="0"/>
          <w:color w:val="auto"/>
          <w:highlight w:val="none"/>
        </w:rPr>
        <w:t>十二、</w:t>
      </w:r>
      <w:bookmarkEnd w:id="108"/>
      <w:r>
        <w:rPr>
          <w:rStyle w:val="25"/>
          <w:rFonts w:hint="eastAsia" w:ascii="仿宋" w:hAnsi="仿宋" w:eastAsia="仿宋"/>
          <w:b w:val="0"/>
          <w:bCs w:val="0"/>
          <w:color w:val="auto"/>
          <w:highlight w:val="none"/>
          <w:lang w:eastAsia="zh-CN"/>
        </w:rPr>
        <w:t>国有资本经营预算财政拨款支出决算表</w:t>
      </w:r>
      <w:bookmarkEnd w:id="109"/>
    </w:p>
    <w:p>
      <w:pPr>
        <w:pStyle w:val="3"/>
        <w:rPr>
          <w:rFonts w:hint="eastAsia" w:eastAsia="仿宋"/>
          <w:color w:val="auto"/>
          <w:highlight w:val="none"/>
          <w:lang w:eastAsia="zh-CN"/>
        </w:rPr>
      </w:pPr>
      <w:bookmarkStart w:id="110" w:name="_Toc15396631"/>
      <w:bookmarkStart w:id="111" w:name="_Toc17435"/>
      <w:r>
        <w:rPr>
          <w:rStyle w:val="25"/>
          <w:rFonts w:hint="eastAsia" w:ascii="仿宋" w:hAnsi="仿宋" w:eastAsia="仿宋"/>
          <w:b w:val="0"/>
          <w:bCs w:val="0"/>
          <w:color w:val="auto"/>
          <w:highlight w:val="none"/>
        </w:rPr>
        <w:t>十三、</w:t>
      </w:r>
      <w:bookmarkEnd w:id="110"/>
      <w:r>
        <w:rPr>
          <w:rStyle w:val="25"/>
          <w:rFonts w:hint="eastAsia" w:ascii="仿宋" w:hAnsi="仿宋" w:eastAsia="仿宋"/>
          <w:b w:val="0"/>
          <w:bCs w:val="0"/>
          <w:color w:val="auto"/>
          <w:highlight w:val="none"/>
          <w:lang w:eastAsia="zh-CN"/>
        </w:rPr>
        <w:t>财政拨款“三公”经费支出决算表</w:t>
      </w:r>
      <w:bookmarkEnd w:id="111"/>
    </w:p>
    <w:sectPr>
      <w:pgSz w:w="11906" w:h="16838"/>
      <w:pgMar w:top="1440" w:right="1803" w:bottom="1440" w:left="1803" w:header="851" w:footer="992" w:gutter="0"/>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53A62B5"/>
    <w:rsid w:val="0A2032A3"/>
    <w:rsid w:val="0AD876A7"/>
    <w:rsid w:val="0B8A37D8"/>
    <w:rsid w:val="0C5B120D"/>
    <w:rsid w:val="0D26294C"/>
    <w:rsid w:val="0E1609AD"/>
    <w:rsid w:val="10C055FF"/>
    <w:rsid w:val="118107EC"/>
    <w:rsid w:val="11DD6519"/>
    <w:rsid w:val="16BB723D"/>
    <w:rsid w:val="18015F3F"/>
    <w:rsid w:val="1BE8440E"/>
    <w:rsid w:val="1CB61CF5"/>
    <w:rsid w:val="1D155CEE"/>
    <w:rsid w:val="1F525822"/>
    <w:rsid w:val="20F57F95"/>
    <w:rsid w:val="240371BF"/>
    <w:rsid w:val="247F31F6"/>
    <w:rsid w:val="25711CC6"/>
    <w:rsid w:val="25C741E6"/>
    <w:rsid w:val="27842671"/>
    <w:rsid w:val="29FD04D3"/>
    <w:rsid w:val="2ABE7A3E"/>
    <w:rsid w:val="2CA234A8"/>
    <w:rsid w:val="2EFA178C"/>
    <w:rsid w:val="301C0FD0"/>
    <w:rsid w:val="30B46D73"/>
    <w:rsid w:val="319F7F4E"/>
    <w:rsid w:val="35B773EF"/>
    <w:rsid w:val="383D272C"/>
    <w:rsid w:val="39AE70AB"/>
    <w:rsid w:val="3C0C0783"/>
    <w:rsid w:val="3F9F3A96"/>
    <w:rsid w:val="45944610"/>
    <w:rsid w:val="48BF60AB"/>
    <w:rsid w:val="493C27E9"/>
    <w:rsid w:val="496F39ED"/>
    <w:rsid w:val="49FF41D3"/>
    <w:rsid w:val="4BE068DB"/>
    <w:rsid w:val="4BF6002B"/>
    <w:rsid w:val="4ECE2238"/>
    <w:rsid w:val="51DB4B86"/>
    <w:rsid w:val="55333C3E"/>
    <w:rsid w:val="5E0263E0"/>
    <w:rsid w:val="604C4594"/>
    <w:rsid w:val="62182D8D"/>
    <w:rsid w:val="64CA39A1"/>
    <w:rsid w:val="65757142"/>
    <w:rsid w:val="69630ADE"/>
    <w:rsid w:val="6C4A05C8"/>
    <w:rsid w:val="6D3B1A89"/>
    <w:rsid w:val="6D7D7313"/>
    <w:rsid w:val="6F062BB9"/>
    <w:rsid w:val="6F4A74A4"/>
    <w:rsid w:val="71BF4EC2"/>
    <w:rsid w:val="72734D90"/>
    <w:rsid w:val="7412278C"/>
    <w:rsid w:val="7669377B"/>
    <w:rsid w:val="79E7B28D"/>
    <w:rsid w:val="7B330B44"/>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2022年收、支决算变动情况表</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收入</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71.87万元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2021年</c:v>
                </c:pt>
                <c:pt idx="1">
                  <c:v>2022年</c:v>
                </c:pt>
              </c:strCache>
            </c:strRef>
          </c:cat>
          <c:val>
            <c:numRef>
              <c:f>[工作簿1]Sheet1!$B$2:$C$2</c:f>
              <c:numCache>
                <c:formatCode>General</c:formatCode>
                <c:ptCount val="2"/>
                <c:pt idx="0">
                  <c:v>71.87</c:v>
                </c:pt>
                <c:pt idx="1">
                  <c:v>271.03</c:v>
                </c:pt>
              </c:numCache>
            </c:numRef>
          </c:val>
        </c:ser>
        <c:ser>
          <c:idx val="1"/>
          <c:order val="1"/>
          <c:tx>
            <c:strRef>
              <c:f>[工作簿1]Sheet1!$A$3</c:f>
              <c:strCache>
                <c:ptCount val="1"/>
                <c:pt idx="0">
                  <c:v>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71.87万元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2021年</c:v>
                </c:pt>
                <c:pt idx="1">
                  <c:v>2022年</c:v>
                </c:pt>
              </c:strCache>
            </c:strRef>
          </c:cat>
          <c:val>
            <c:numRef>
              <c:f>[工作簿1]Sheet1!$B$3:$C$3</c:f>
              <c:numCache>
                <c:formatCode>General</c:formatCode>
                <c:ptCount val="2"/>
                <c:pt idx="0">
                  <c:v>71.87</c:v>
                </c:pt>
                <c:pt idx="1">
                  <c:v>271.03</c:v>
                </c:pt>
              </c:numCache>
            </c:numRef>
          </c:val>
        </c:ser>
        <c:dLbls>
          <c:showLegendKey val="0"/>
          <c:showVal val="1"/>
          <c:showCatName val="0"/>
          <c:showSerName val="0"/>
          <c:showPercent val="0"/>
          <c:showBubbleSize val="0"/>
        </c:dLbls>
        <c:gapWidth val="246"/>
        <c:overlap val="-28"/>
        <c:axId val="411587655"/>
        <c:axId val="159231435"/>
      </c:barChart>
      <c:catAx>
        <c:axId val="4115876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31435"/>
        <c:crosses val="autoZero"/>
        <c:auto val="1"/>
        <c:lblAlgn val="ctr"/>
        <c:lblOffset val="100"/>
        <c:noMultiLvlLbl val="0"/>
      </c:catAx>
      <c:valAx>
        <c:axId val="15923143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5876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2763157894737"/>
          <c:y val="0.0659722222222225"/>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[工作簿1]Sheet1!$A$24</c:f>
              <c:strCache>
                <c:ptCount val="1"/>
                <c:pt idx="0">
                  <c:v>2022年收入决算结构图</c:v>
                </c:pt>
              </c:strCache>
            </c:strRef>
          </c:tx>
          <c:spPr/>
          <c:explosion val="0"/>
          <c:dPt>
            <c:idx val="0"/>
            <c:bubble3D val="0"/>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[工作簿1]Sheet1!$B$23</c:f>
              <c:strCache>
                <c:ptCount val="1"/>
                <c:pt idx="0">
                  <c:v>一般公共预算财政拨款收入</c:v>
                </c:pt>
              </c:strCache>
            </c:strRef>
          </c:cat>
          <c:val>
            <c:numRef>
              <c:f>[工作簿1]Sheet1!$B$24</c:f>
              <c:numCache>
                <c:formatCode>General</c:formatCode>
                <c:ptCount val="1"/>
                <c:pt idx="0">
                  <c:v>271.03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38552631578948"/>
          <c:y val="0.19722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[工作簿1]Sheet1!$A$24</c:f>
              <c:strCache>
                <c:ptCount val="1"/>
                <c:pt idx="0">
                  <c:v>2022年收入决算结构图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161.28万元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109.75万元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[工作簿1]Sheet1!$B$23:$C$23</c:f>
              <c:strCache>
                <c:ptCount val="2"/>
                <c:pt idx="0">
                  <c:v>基本支出</c:v>
                </c:pt>
                <c:pt idx="1">
                  <c:v>项目支出</c:v>
                </c:pt>
              </c:strCache>
            </c:strRef>
          </c:cat>
          <c:val>
            <c:numRef>
              <c:f>[工作簿1]Sheet1!$B$24:$C$24</c:f>
              <c:numCache>
                <c:formatCode>General</c:formatCode>
                <c:ptCount val="2"/>
                <c:pt idx="0">
                  <c:v>161.28</c:v>
                </c:pt>
                <c:pt idx="1">
                  <c:v>109.75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财政拨款收、支出总计变动情况</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[工作簿1]Sheet1!$A$44</c:f>
              <c:strCache>
                <c:ptCount val="1"/>
                <c:pt idx="0">
                  <c:v>财政拨款收入</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30.01万元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[工作簿1]Sheet1!$B$43:$C$43</c:f>
              <c:strCache>
                <c:ptCount val="2"/>
                <c:pt idx="0">
                  <c:v>2021年</c:v>
                </c:pt>
                <c:pt idx="1">
                  <c:v>2022年</c:v>
                </c:pt>
              </c:strCache>
            </c:strRef>
          </c:cat>
          <c:val>
            <c:numRef>
              <c:f>[工作簿1]Sheet1!$B$44:$C$44</c:f>
              <c:numCache>
                <c:formatCode>General</c:formatCode>
                <c:ptCount val="2"/>
                <c:pt idx="0">
                  <c:v>30.01</c:v>
                </c:pt>
                <c:pt idx="1">
                  <c:v>271.03</c:v>
                </c:pt>
              </c:numCache>
            </c:numRef>
          </c:val>
        </c:ser>
        <c:ser>
          <c:idx val="1"/>
          <c:order val="1"/>
          <c:tx>
            <c:strRef>
              <c:f>[工作簿1]Sheet1!$A$45</c:f>
              <c:strCache>
                <c:ptCount val="1"/>
                <c:pt idx="0">
                  <c:v>财政拨款支出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30.01万元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[工作簿1]Sheet1!$B$43:$C$43</c:f>
              <c:strCache>
                <c:ptCount val="2"/>
                <c:pt idx="0">
                  <c:v>2021年</c:v>
                </c:pt>
                <c:pt idx="1">
                  <c:v>2022年</c:v>
                </c:pt>
              </c:strCache>
            </c:strRef>
          </c:cat>
          <c:val>
            <c:numRef>
              <c:f>[工作簿1]Sheet1!$B$45:$C$45</c:f>
              <c:numCache>
                <c:formatCode>General</c:formatCode>
                <c:ptCount val="2"/>
                <c:pt idx="0">
                  <c:v>30.01</c:v>
                </c:pt>
                <c:pt idx="1">
                  <c:v>271.03</c:v>
                </c:pt>
              </c:numCache>
            </c:numRef>
          </c:val>
        </c:ser>
        <c:dLbls>
          <c:showLegendKey val="0"/>
          <c:showVal val="1"/>
          <c:showCatName val="0"/>
          <c:showSerName val="0"/>
          <c:showPercent val="0"/>
          <c:showBubbleSize val="0"/>
        </c:dLbls>
        <c:gapWidth val="246"/>
        <c:overlap val="-28"/>
        <c:axId val="691861439"/>
        <c:axId val="730020953"/>
      </c:barChart>
      <c:catAx>
        <c:axId val="6918614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020953"/>
        <c:crosses val="autoZero"/>
        <c:auto val="1"/>
        <c:lblAlgn val="ctr"/>
        <c:lblOffset val="100"/>
        <c:noMultiLvlLbl val="0"/>
      </c:catAx>
      <c:valAx>
        <c:axId val="73002095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8614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[工作簿1]Sheet1!$B$65</c:f>
              <c:strCache>
                <c:ptCount val="1"/>
                <c:pt idx="0">
                  <c:v>一般公共预算财政拨款支出</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30.01万元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[工作簿1]Sheet1!$A$66:$A$67</c:f>
              <c:strCache>
                <c:ptCount val="2"/>
                <c:pt idx="0">
                  <c:v>2021年</c:v>
                </c:pt>
                <c:pt idx="1">
                  <c:v>2022年</c:v>
                </c:pt>
              </c:strCache>
            </c:strRef>
          </c:cat>
          <c:val>
            <c:numRef>
              <c:f>[工作簿1]Sheet1!$B$66:$B$67</c:f>
              <c:numCache>
                <c:formatCode>General</c:formatCode>
                <c:ptCount val="2"/>
                <c:pt idx="0">
                  <c:v>30.01</c:v>
                </c:pt>
                <c:pt idx="1">
                  <c:v>271.03</c:v>
                </c:pt>
              </c:numCache>
            </c:numRef>
          </c:val>
        </c:ser>
        <c:dLbls>
          <c:showLegendKey val="0"/>
          <c:showVal val="1"/>
          <c:showCatName val="0"/>
          <c:showSerName val="0"/>
          <c:showPercent val="0"/>
          <c:showBubbleSize val="0"/>
        </c:dLbls>
        <c:gapWidth val="246"/>
        <c:overlap val="-28"/>
        <c:axId val="230980824"/>
        <c:axId val="448557094"/>
      </c:barChart>
      <c:catAx>
        <c:axId val="230980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557094"/>
        <c:crosses val="autoZero"/>
        <c:auto val="1"/>
        <c:lblAlgn val="ctr"/>
        <c:lblOffset val="100"/>
        <c:noMultiLvlLbl val="0"/>
      </c:catAx>
      <c:valAx>
        <c:axId val="4485570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9808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[工作簿1]Sheet1!$A$80</c:f>
              <c:strCache>
                <c:ptCount val="1"/>
                <c:pt idx="0">
                  <c:v>一般公共预算拨款支出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311377948474825"/>
                  <c:y val="-0.21536540070552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256.21万元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47454136127122"/>
                  <c:y val="0.1302647794242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5.26万元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2.11万元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676770922026924"/>
                  <c:y val="0.13036384820884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7.46万元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[工作簿1]Sheet1!$B$79:$E$79</c:f>
              <c:strCache>
                <c:ptCount val="4"/>
                <c:pt idx="0">
                  <c:v>教育支出</c:v>
                </c:pt>
                <c:pt idx="1">
                  <c:v>社会保障和就业支出</c:v>
                </c:pt>
                <c:pt idx="2">
                  <c:v>卫生健康支出</c:v>
                </c:pt>
                <c:pt idx="3">
                  <c:v>住房保障支出</c:v>
                </c:pt>
              </c:strCache>
            </c:strRef>
          </c:cat>
          <c:val>
            <c:numRef>
              <c:f>[工作簿1]Sheet1!$B$80:$E$80</c:f>
              <c:numCache>
                <c:formatCode>General</c:formatCode>
                <c:ptCount val="4"/>
                <c:pt idx="0">
                  <c:v>256.21</c:v>
                </c:pt>
                <c:pt idx="1">
                  <c:v>5.26</c:v>
                </c:pt>
                <c:pt idx="2">
                  <c:v>2.11</c:v>
                </c:pt>
                <c:pt idx="3">
                  <c:v>7.46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[工作簿1]Sheet1!$A$101</c:f>
              <c:strCache>
                <c:ptCount val="1"/>
                <c:pt idx="0">
                  <c:v>“三公”经费财政拨款支出决算结构图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[工作簿1]Sheet1!$B$100:$D$100</c:f>
              <c:strCache>
                <c:ptCount val="3"/>
                <c:pt idx="0">
                  <c:v>因公出国（境）费支出</c:v>
                </c:pt>
                <c:pt idx="1">
                  <c:v>公务用车购置及运行维护费支出</c:v>
                </c:pt>
                <c:pt idx="2">
                  <c:v>公务接待费支出</c:v>
                </c:pt>
              </c:strCache>
            </c:strRef>
          </c:cat>
          <c:val>
            <c:numRef>
              <c:f>[工作簿1]Sheet1!$B$101:$D$101</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7</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2023-07-31T02:35:00Z</cp:lastPrinted>
  <dcterms:modified xsi:type="dcterms:W3CDTF">2023-10-08T14:12:24Z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7F00AF5A610E473CA018C226A04CC19A_13</vt:lpwstr>
  </property>
</Properties>
</file>