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259EA">
      <w:pPr>
        <w:spacing w:line="600" w:lineRule="exact"/>
        <w:jc w:val="left"/>
        <w:outlineLvl w:val="0"/>
        <w:rPr>
          <w:rFonts w:ascii="方正小标宋简体" w:hAnsi="宋体" w:eastAsia="方正小标宋简体"/>
          <w:szCs w:val="21"/>
        </w:rPr>
      </w:pPr>
      <w:bookmarkStart w:id="0" w:name="_Toc15306267"/>
    </w:p>
    <w:p w14:paraId="3C765998">
      <w:pPr>
        <w:pStyle w:val="6"/>
        <w:spacing w:before="93"/>
      </w:pPr>
    </w:p>
    <w:p w14:paraId="4A122C52">
      <w:pPr>
        <w:spacing w:line="600" w:lineRule="exact"/>
        <w:jc w:val="center"/>
        <w:outlineLvl w:val="0"/>
        <w:rPr>
          <w:rFonts w:ascii="方正小标宋简体" w:hAnsi="宋体" w:eastAsia="方正小标宋简体"/>
          <w:sz w:val="72"/>
          <w:szCs w:val="72"/>
        </w:rPr>
      </w:pPr>
    </w:p>
    <w:p w14:paraId="3D15B18B">
      <w:pPr>
        <w:spacing w:line="600" w:lineRule="exact"/>
        <w:jc w:val="center"/>
        <w:outlineLvl w:val="0"/>
        <w:rPr>
          <w:rFonts w:ascii="方正小标宋简体" w:hAnsi="宋体" w:eastAsia="方正小标宋简体"/>
          <w:sz w:val="72"/>
          <w:szCs w:val="72"/>
        </w:rPr>
      </w:pPr>
    </w:p>
    <w:p w14:paraId="798318FE">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77425"/>
      <w:bookmarkStart w:id="3" w:name="_Toc10316"/>
      <w:bookmarkStart w:id="4" w:name="_Toc15396475"/>
      <w:bookmarkStart w:id="5" w:name="_Toc15377193"/>
      <w:bookmarkStart w:id="6"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bookmarkEnd w:id="0"/>
    <w:p w14:paraId="27B33CB0">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7" w:name="_Toc19272"/>
      <w:bookmarkStart w:id="8" w:name="_Toc15396598"/>
      <w:bookmarkStart w:id="9" w:name="_Toc15378442"/>
      <w:bookmarkStart w:id="10" w:name="_Toc15377426"/>
      <w:bookmarkStart w:id="11" w:name="_Toc15306268"/>
      <w:bookmarkStart w:id="12" w:name="_Toc15377194"/>
      <w:bookmarkStart w:id="13" w:name="_Toc15396476"/>
      <w:r>
        <w:rPr>
          <w:rFonts w:hint="eastAsia" w:ascii="方正小标宋简体" w:hAnsi="方正小标宋简体" w:eastAsia="方正小标宋简体" w:cs="方正小标宋简体"/>
          <w:sz w:val="72"/>
          <w:szCs w:val="72"/>
        </w:rPr>
        <w:t>大竹县峰顶山国有林场</w:t>
      </w:r>
      <w:bookmarkEnd w:id="7"/>
    </w:p>
    <w:p w14:paraId="1980EB2C">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4" w:name="_Toc3567"/>
      <w:r>
        <w:rPr>
          <w:rFonts w:hint="eastAsia" w:ascii="方正小标宋简体" w:hAnsi="方正小标宋简体" w:eastAsia="方正小标宋简体" w:cs="方正小标宋简体"/>
          <w:sz w:val="72"/>
          <w:szCs w:val="72"/>
        </w:rPr>
        <w:t>单位决算</w:t>
      </w:r>
      <w:bookmarkEnd w:id="8"/>
      <w:bookmarkEnd w:id="9"/>
      <w:bookmarkEnd w:id="10"/>
      <w:bookmarkEnd w:id="11"/>
      <w:bookmarkEnd w:id="12"/>
      <w:bookmarkEnd w:id="13"/>
      <w:bookmarkEnd w:id="14"/>
    </w:p>
    <w:p w14:paraId="6AAD5092">
      <w:pPr>
        <w:widowControl/>
        <w:jc w:val="center"/>
        <w:rPr>
          <w:rFonts w:ascii="黑体" w:hAnsi="黑体" w:eastAsia="黑体" w:cstheme="minorBidi"/>
          <w:sz w:val="28"/>
          <w:szCs w:val="28"/>
        </w:rPr>
      </w:pPr>
      <w:r>
        <w:rPr>
          <w:rFonts w:ascii="方正小标宋简体" w:hAnsi="宋体" w:eastAsia="方正小标宋简体"/>
          <w:sz w:val="36"/>
          <w:szCs w:val="36"/>
        </w:rPr>
        <w:br w:type="page"/>
      </w:r>
      <w:r>
        <w:rPr>
          <w:rFonts w:hint="eastAsia" w:ascii="黑体" w:hAnsi="黑体" w:eastAsia="黑体"/>
          <w:sz w:val="48"/>
          <w:szCs w:val="48"/>
        </w:rPr>
        <w:t>目录</w:t>
      </w:r>
    </w:p>
    <w:p w14:paraId="1E8195E5">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r>
        <w:fldChar w:fldCharType="begin"/>
      </w:r>
      <w:r>
        <w:instrText xml:space="preserve">TOC \o "1-2" \h \u </w:instrText>
      </w:r>
      <w:r>
        <w:fldChar w:fldCharType="separate"/>
      </w:r>
    </w:p>
    <w:p w14:paraId="7636E0BD">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pPr>
      <w:r>
        <w:fldChar w:fldCharType="begin"/>
      </w:r>
      <w:r>
        <w:instrText xml:space="preserve"> HYPERLINK \l _Toc14424 </w:instrText>
      </w:r>
      <w:r>
        <w:fldChar w:fldCharType="separate"/>
      </w:r>
      <w:r>
        <w:rPr>
          <w:rFonts w:hint="eastAsia" w:ascii="黑体" w:hAnsi="黑体" w:eastAsia="黑体"/>
        </w:rPr>
        <w:t>第一部分 单位</w:t>
      </w:r>
      <w:r>
        <w:rPr>
          <w:rFonts w:hint="eastAsia" w:ascii="黑体" w:hAnsi="黑体" w:eastAsia="黑体"/>
          <w:bCs w:val="0"/>
        </w:rPr>
        <w:t>概况</w:t>
      </w:r>
      <w:r>
        <w:tab/>
      </w:r>
      <w:r>
        <w:rPr>
          <w:rFonts w:hint="eastAsia" w:ascii="Times New Roman" w:hAnsi="Times New Roman" w:eastAsia="宋体" w:cs="Times New Roman"/>
          <w:kern w:val="2"/>
          <w:sz w:val="21"/>
          <w:szCs w:val="24"/>
          <w:lang w:val="en-US" w:eastAsia="zh-CN" w:bidi="ar-SA"/>
        </w:rPr>
        <w:t>3</w:t>
      </w:r>
      <w:r>
        <w:fldChar w:fldCharType="end"/>
      </w:r>
    </w:p>
    <w:p w14:paraId="2A544A45">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rPr>
          <w:rFonts w:hint="eastAsia" w:ascii="仿宋" w:hAnsi="仿宋" w:eastAsia="仿宋"/>
          <w:bCs w:val="0"/>
        </w:rPr>
      </w:pPr>
      <w:r>
        <w:rPr>
          <w:rFonts w:hint="eastAsia" w:ascii="仿宋" w:hAnsi="仿宋" w:eastAsia="仿宋"/>
          <w:bCs w:val="0"/>
        </w:rPr>
        <w:fldChar w:fldCharType="begin"/>
      </w:r>
      <w:r>
        <w:rPr>
          <w:rFonts w:hint="eastAsia" w:ascii="仿宋" w:hAnsi="仿宋" w:eastAsia="仿宋"/>
          <w:bCs w:val="0"/>
        </w:rPr>
        <w:instrText xml:space="preserve"> HYPERLINK \l _Toc17013 </w:instrText>
      </w:r>
      <w:r>
        <w:rPr>
          <w:rFonts w:hint="eastAsia" w:ascii="仿宋" w:hAnsi="仿宋" w:eastAsia="仿宋"/>
          <w:bCs w:val="0"/>
        </w:rPr>
        <w:fldChar w:fldCharType="separate"/>
      </w:r>
      <w:r>
        <w:rPr>
          <w:rFonts w:hint="eastAsia" w:ascii="仿宋" w:hAnsi="仿宋" w:eastAsia="仿宋"/>
          <w:bCs w:val="0"/>
        </w:rPr>
        <w:t>一、</w:t>
      </w:r>
      <w:bookmarkStart w:id="137" w:name="_GoBack"/>
      <w:bookmarkEnd w:id="137"/>
      <w:r>
        <w:rPr>
          <w:rFonts w:hint="eastAsia" w:ascii="仿宋" w:hAnsi="仿宋" w:eastAsia="仿宋"/>
          <w:bCs w:val="0"/>
        </w:rPr>
        <w:t>主要职责</w:t>
      </w:r>
      <w:r>
        <w:rPr>
          <w:rFonts w:hint="eastAsia" w:ascii="仿宋" w:hAnsi="仿宋" w:eastAsia="仿宋"/>
          <w:bCs w:val="0"/>
        </w:rPr>
        <w:tab/>
      </w:r>
      <w:r>
        <w:rPr>
          <w:rFonts w:hint="eastAsia" w:ascii="仿宋" w:hAnsi="仿宋" w:eastAsia="仿宋"/>
          <w:bCs w:val="0"/>
          <w:lang w:val="en-US" w:eastAsia="zh-CN"/>
        </w:rPr>
        <w:t>3</w:t>
      </w:r>
      <w:r>
        <w:rPr>
          <w:rFonts w:hint="eastAsia" w:ascii="仿宋" w:hAnsi="仿宋" w:eastAsia="仿宋"/>
          <w:bCs w:val="0"/>
        </w:rPr>
        <w:fldChar w:fldCharType="end"/>
      </w:r>
    </w:p>
    <w:p w14:paraId="32BC712F">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pPr>
      <w:r>
        <w:rPr>
          <w:rFonts w:hint="eastAsia" w:ascii="仿宋" w:hAnsi="仿宋" w:eastAsia="仿宋"/>
          <w:bCs w:val="0"/>
        </w:rPr>
        <w:fldChar w:fldCharType="begin"/>
      </w:r>
      <w:r>
        <w:rPr>
          <w:rFonts w:hint="eastAsia" w:ascii="仿宋" w:hAnsi="仿宋" w:eastAsia="仿宋"/>
          <w:bCs w:val="0"/>
        </w:rPr>
        <w:instrText xml:space="preserve"> HYPERLINK \l _Toc21966 </w:instrText>
      </w:r>
      <w:r>
        <w:rPr>
          <w:rFonts w:hint="eastAsia" w:ascii="仿宋" w:hAnsi="仿宋" w:eastAsia="仿宋"/>
          <w:bCs w:val="0"/>
        </w:rPr>
        <w:fldChar w:fldCharType="separate"/>
      </w:r>
      <w:r>
        <w:rPr>
          <w:rFonts w:hint="eastAsia" w:ascii="仿宋" w:hAnsi="仿宋" w:eastAsia="仿宋"/>
          <w:bCs w:val="0"/>
        </w:rPr>
        <w:t>二、机构设置</w:t>
      </w:r>
      <w:r>
        <w:rPr>
          <w:rFonts w:hint="eastAsia" w:ascii="仿宋" w:hAnsi="仿宋" w:eastAsia="仿宋"/>
          <w:bCs w:val="0"/>
        </w:rPr>
        <w:tab/>
      </w:r>
      <w:r>
        <w:rPr>
          <w:rFonts w:hint="eastAsia" w:ascii="仿宋" w:hAnsi="仿宋" w:eastAsia="仿宋"/>
          <w:bCs w:val="0"/>
        </w:rPr>
        <w:fldChar w:fldCharType="begin"/>
      </w:r>
      <w:r>
        <w:rPr>
          <w:rFonts w:hint="eastAsia" w:ascii="仿宋" w:hAnsi="仿宋" w:eastAsia="仿宋"/>
          <w:bCs w:val="0"/>
        </w:rPr>
        <w:instrText xml:space="preserve"> PAGEREF _Toc21966 \h </w:instrText>
      </w:r>
      <w:r>
        <w:rPr>
          <w:rFonts w:hint="eastAsia" w:ascii="仿宋" w:hAnsi="仿宋" w:eastAsia="仿宋"/>
          <w:bCs w:val="0"/>
        </w:rPr>
        <w:fldChar w:fldCharType="separate"/>
      </w:r>
      <w:r>
        <w:rPr>
          <w:rFonts w:hint="eastAsia" w:ascii="仿宋" w:hAnsi="仿宋" w:eastAsia="仿宋"/>
          <w:bCs w:val="0"/>
        </w:rPr>
        <w:t>3</w:t>
      </w:r>
      <w:r>
        <w:rPr>
          <w:rFonts w:hint="eastAsia" w:ascii="仿宋" w:hAnsi="仿宋" w:eastAsia="仿宋"/>
          <w:bCs w:val="0"/>
        </w:rPr>
        <w:fldChar w:fldCharType="end"/>
      </w:r>
      <w:r>
        <w:rPr>
          <w:rFonts w:hint="eastAsia" w:ascii="仿宋" w:hAnsi="仿宋" w:eastAsia="仿宋"/>
          <w:bCs w:val="0"/>
        </w:rPr>
        <w:fldChar w:fldCharType="end"/>
      </w:r>
    </w:p>
    <w:p w14:paraId="5AA154E3">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pPr>
      <w:r>
        <w:fldChar w:fldCharType="begin"/>
      </w:r>
      <w:r>
        <w:instrText xml:space="preserve"> HYPERLINK \l _Toc18683 </w:instrText>
      </w:r>
      <w:r>
        <w:fldChar w:fldCharType="separate"/>
      </w:r>
      <w:r>
        <w:rPr>
          <w:rFonts w:hint="eastAsia" w:ascii="黑体" w:hAnsi="黑体" w:eastAsia="黑体"/>
        </w:rPr>
        <w:t>第二部分 2023年度</w:t>
      </w:r>
      <w:r>
        <w:rPr>
          <w:rFonts w:hint="eastAsia" w:ascii="黑体" w:hAnsi="黑体" w:eastAsia="黑体"/>
          <w:bCs/>
        </w:rPr>
        <w:t>单位决算情况说明</w:t>
      </w:r>
      <w:r>
        <w:tab/>
      </w:r>
      <w:r>
        <w:fldChar w:fldCharType="begin"/>
      </w:r>
      <w:r>
        <w:instrText xml:space="preserve"> PAGEREF _Toc18683 \h </w:instrText>
      </w:r>
      <w:r>
        <w:fldChar w:fldCharType="separate"/>
      </w:r>
      <w:r>
        <w:t>4</w:t>
      </w:r>
      <w:r>
        <w:fldChar w:fldCharType="end"/>
      </w:r>
      <w:r>
        <w:fldChar w:fldCharType="end"/>
      </w:r>
    </w:p>
    <w:p w14:paraId="5D0FEB9F">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rPr>
          <w:rFonts w:hint="eastAsia" w:ascii="仿宋" w:hAnsi="仿宋" w:eastAsia="仿宋"/>
          <w:bCs w:val="0"/>
        </w:rPr>
      </w:pPr>
      <w:r>
        <w:rPr>
          <w:rFonts w:hint="eastAsia" w:ascii="仿宋" w:hAnsi="仿宋" w:eastAsia="仿宋"/>
          <w:bCs w:val="0"/>
        </w:rPr>
        <w:fldChar w:fldCharType="begin"/>
      </w:r>
      <w:r>
        <w:rPr>
          <w:rFonts w:hint="eastAsia" w:ascii="仿宋" w:hAnsi="仿宋" w:eastAsia="仿宋"/>
          <w:bCs w:val="0"/>
        </w:rPr>
        <w:instrText xml:space="preserve"> HYPERLINK \l _Toc29191 </w:instrText>
      </w:r>
      <w:r>
        <w:rPr>
          <w:rFonts w:hint="eastAsia" w:ascii="仿宋" w:hAnsi="仿宋" w:eastAsia="仿宋"/>
          <w:bCs w:val="0"/>
        </w:rPr>
        <w:fldChar w:fldCharType="separate"/>
      </w:r>
      <w:r>
        <w:rPr>
          <w:rFonts w:hint="default" w:ascii="仿宋" w:hAnsi="仿宋" w:eastAsia="仿宋"/>
          <w:bCs w:val="0"/>
        </w:rPr>
        <w:t xml:space="preserve">一、 </w:t>
      </w:r>
      <w:r>
        <w:rPr>
          <w:rFonts w:hint="eastAsia" w:ascii="仿宋" w:hAnsi="仿宋" w:eastAsia="仿宋"/>
          <w:bCs w:val="0"/>
        </w:rPr>
        <w:t>收入支出决算总体情况说明</w:t>
      </w:r>
      <w:r>
        <w:rPr>
          <w:rFonts w:hint="eastAsia" w:ascii="仿宋" w:hAnsi="仿宋" w:eastAsia="仿宋"/>
          <w:bCs w:val="0"/>
        </w:rPr>
        <w:tab/>
      </w:r>
      <w:r>
        <w:rPr>
          <w:rFonts w:hint="eastAsia" w:ascii="仿宋" w:hAnsi="仿宋" w:eastAsia="仿宋"/>
          <w:bCs w:val="0"/>
        </w:rPr>
        <w:fldChar w:fldCharType="begin"/>
      </w:r>
      <w:r>
        <w:rPr>
          <w:rFonts w:hint="eastAsia" w:ascii="仿宋" w:hAnsi="仿宋" w:eastAsia="仿宋"/>
          <w:bCs w:val="0"/>
        </w:rPr>
        <w:instrText xml:space="preserve"> PAGEREF _Toc29191 \h </w:instrText>
      </w:r>
      <w:r>
        <w:rPr>
          <w:rFonts w:hint="eastAsia" w:ascii="仿宋" w:hAnsi="仿宋" w:eastAsia="仿宋"/>
          <w:bCs w:val="0"/>
        </w:rPr>
        <w:fldChar w:fldCharType="separate"/>
      </w:r>
      <w:r>
        <w:rPr>
          <w:rFonts w:hint="eastAsia" w:ascii="仿宋" w:hAnsi="仿宋" w:eastAsia="仿宋"/>
          <w:bCs w:val="0"/>
        </w:rPr>
        <w:t>4</w:t>
      </w:r>
      <w:r>
        <w:rPr>
          <w:rFonts w:hint="eastAsia" w:ascii="仿宋" w:hAnsi="仿宋" w:eastAsia="仿宋"/>
          <w:bCs w:val="0"/>
        </w:rPr>
        <w:fldChar w:fldCharType="end"/>
      </w:r>
      <w:r>
        <w:rPr>
          <w:rFonts w:hint="eastAsia" w:ascii="仿宋" w:hAnsi="仿宋" w:eastAsia="仿宋"/>
          <w:bCs w:val="0"/>
        </w:rPr>
        <w:fldChar w:fldCharType="end"/>
      </w:r>
    </w:p>
    <w:p w14:paraId="6CC66648">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rPr>
          <w:rFonts w:hint="eastAsia" w:ascii="仿宋" w:hAnsi="仿宋" w:eastAsia="仿宋"/>
          <w:bCs w:val="0"/>
        </w:rPr>
      </w:pPr>
      <w:r>
        <w:rPr>
          <w:rFonts w:hint="eastAsia" w:ascii="仿宋" w:hAnsi="仿宋" w:eastAsia="仿宋"/>
          <w:bCs w:val="0"/>
        </w:rPr>
        <w:fldChar w:fldCharType="begin"/>
      </w:r>
      <w:r>
        <w:rPr>
          <w:rFonts w:hint="eastAsia" w:ascii="仿宋" w:hAnsi="仿宋" w:eastAsia="仿宋"/>
          <w:bCs w:val="0"/>
        </w:rPr>
        <w:instrText xml:space="preserve"> HYPERLINK \l _Toc9436 </w:instrText>
      </w:r>
      <w:r>
        <w:rPr>
          <w:rFonts w:hint="eastAsia" w:ascii="仿宋" w:hAnsi="仿宋" w:eastAsia="仿宋"/>
          <w:bCs w:val="0"/>
        </w:rPr>
        <w:fldChar w:fldCharType="separate"/>
      </w:r>
      <w:r>
        <w:rPr>
          <w:rFonts w:hint="default" w:ascii="仿宋" w:hAnsi="仿宋" w:eastAsia="仿宋"/>
          <w:bCs w:val="0"/>
        </w:rPr>
        <w:t xml:space="preserve">二、 </w:t>
      </w:r>
      <w:r>
        <w:rPr>
          <w:rFonts w:hint="eastAsia" w:ascii="仿宋" w:hAnsi="仿宋" w:eastAsia="仿宋"/>
          <w:bCs w:val="0"/>
        </w:rPr>
        <w:t>收入决算情况说明</w:t>
      </w:r>
      <w:r>
        <w:rPr>
          <w:rFonts w:hint="eastAsia" w:ascii="仿宋" w:hAnsi="仿宋" w:eastAsia="仿宋"/>
          <w:bCs w:val="0"/>
        </w:rPr>
        <w:tab/>
      </w:r>
      <w:r>
        <w:rPr>
          <w:rFonts w:hint="eastAsia" w:ascii="仿宋" w:hAnsi="仿宋" w:eastAsia="仿宋"/>
          <w:bCs w:val="0"/>
        </w:rPr>
        <w:fldChar w:fldCharType="begin"/>
      </w:r>
      <w:r>
        <w:rPr>
          <w:rFonts w:hint="eastAsia" w:ascii="仿宋" w:hAnsi="仿宋" w:eastAsia="仿宋"/>
          <w:bCs w:val="0"/>
        </w:rPr>
        <w:instrText xml:space="preserve"> PAGEREF _Toc9436 \h </w:instrText>
      </w:r>
      <w:r>
        <w:rPr>
          <w:rFonts w:hint="eastAsia" w:ascii="仿宋" w:hAnsi="仿宋" w:eastAsia="仿宋"/>
          <w:bCs w:val="0"/>
        </w:rPr>
        <w:fldChar w:fldCharType="separate"/>
      </w:r>
      <w:r>
        <w:rPr>
          <w:rFonts w:hint="eastAsia" w:ascii="仿宋" w:hAnsi="仿宋" w:eastAsia="仿宋"/>
          <w:bCs w:val="0"/>
        </w:rPr>
        <w:t>4</w:t>
      </w:r>
      <w:r>
        <w:rPr>
          <w:rFonts w:hint="eastAsia" w:ascii="仿宋" w:hAnsi="仿宋" w:eastAsia="仿宋"/>
          <w:bCs w:val="0"/>
        </w:rPr>
        <w:fldChar w:fldCharType="end"/>
      </w:r>
      <w:r>
        <w:rPr>
          <w:rFonts w:hint="eastAsia" w:ascii="仿宋" w:hAnsi="仿宋" w:eastAsia="仿宋"/>
          <w:bCs w:val="0"/>
        </w:rPr>
        <w:fldChar w:fldCharType="end"/>
      </w:r>
    </w:p>
    <w:p w14:paraId="6428BA5B">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rPr>
          <w:rFonts w:hint="eastAsia" w:ascii="仿宋" w:hAnsi="仿宋" w:eastAsia="仿宋"/>
          <w:bCs w:val="0"/>
        </w:rPr>
      </w:pPr>
      <w:r>
        <w:rPr>
          <w:rFonts w:hint="eastAsia" w:ascii="仿宋" w:hAnsi="仿宋" w:eastAsia="仿宋"/>
          <w:bCs w:val="0"/>
        </w:rPr>
        <w:fldChar w:fldCharType="begin"/>
      </w:r>
      <w:r>
        <w:rPr>
          <w:rFonts w:hint="eastAsia" w:ascii="仿宋" w:hAnsi="仿宋" w:eastAsia="仿宋"/>
          <w:bCs w:val="0"/>
        </w:rPr>
        <w:instrText xml:space="preserve"> HYPERLINK \l _Toc20490 </w:instrText>
      </w:r>
      <w:r>
        <w:rPr>
          <w:rFonts w:hint="eastAsia" w:ascii="仿宋" w:hAnsi="仿宋" w:eastAsia="仿宋"/>
          <w:bCs w:val="0"/>
        </w:rPr>
        <w:fldChar w:fldCharType="separate"/>
      </w:r>
      <w:r>
        <w:rPr>
          <w:rFonts w:hint="default" w:ascii="仿宋" w:hAnsi="仿宋" w:eastAsia="仿宋"/>
          <w:bCs w:val="0"/>
        </w:rPr>
        <w:t xml:space="preserve">三、 </w:t>
      </w:r>
      <w:r>
        <w:rPr>
          <w:rFonts w:hint="eastAsia" w:ascii="仿宋" w:hAnsi="仿宋" w:eastAsia="仿宋"/>
          <w:bCs w:val="0"/>
        </w:rPr>
        <w:t>支出决算情况说明</w:t>
      </w:r>
      <w:r>
        <w:rPr>
          <w:rFonts w:hint="eastAsia" w:ascii="仿宋" w:hAnsi="仿宋" w:eastAsia="仿宋"/>
          <w:bCs w:val="0"/>
        </w:rPr>
        <w:tab/>
      </w:r>
      <w:r>
        <w:rPr>
          <w:rFonts w:hint="eastAsia" w:ascii="仿宋" w:hAnsi="仿宋" w:eastAsia="仿宋"/>
          <w:bCs w:val="0"/>
        </w:rPr>
        <w:fldChar w:fldCharType="begin"/>
      </w:r>
      <w:r>
        <w:rPr>
          <w:rFonts w:hint="eastAsia" w:ascii="仿宋" w:hAnsi="仿宋" w:eastAsia="仿宋"/>
          <w:bCs w:val="0"/>
        </w:rPr>
        <w:instrText xml:space="preserve"> PAGEREF _Toc20490 \h </w:instrText>
      </w:r>
      <w:r>
        <w:rPr>
          <w:rFonts w:hint="eastAsia" w:ascii="仿宋" w:hAnsi="仿宋" w:eastAsia="仿宋"/>
          <w:bCs w:val="0"/>
        </w:rPr>
        <w:fldChar w:fldCharType="separate"/>
      </w:r>
      <w:r>
        <w:rPr>
          <w:rFonts w:hint="eastAsia" w:ascii="仿宋" w:hAnsi="仿宋" w:eastAsia="仿宋"/>
          <w:bCs w:val="0"/>
        </w:rPr>
        <w:t>5</w:t>
      </w:r>
      <w:r>
        <w:rPr>
          <w:rFonts w:hint="eastAsia" w:ascii="仿宋" w:hAnsi="仿宋" w:eastAsia="仿宋"/>
          <w:bCs w:val="0"/>
        </w:rPr>
        <w:fldChar w:fldCharType="end"/>
      </w:r>
      <w:r>
        <w:rPr>
          <w:rFonts w:hint="eastAsia" w:ascii="仿宋" w:hAnsi="仿宋" w:eastAsia="仿宋"/>
          <w:bCs w:val="0"/>
        </w:rPr>
        <w:fldChar w:fldCharType="end"/>
      </w:r>
    </w:p>
    <w:p w14:paraId="2DF58898">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rPr>
          <w:rFonts w:hint="eastAsia" w:ascii="仿宋" w:hAnsi="仿宋" w:eastAsia="仿宋"/>
          <w:bCs w:val="0"/>
        </w:rPr>
      </w:pPr>
      <w:r>
        <w:rPr>
          <w:rFonts w:hint="eastAsia" w:ascii="仿宋" w:hAnsi="仿宋" w:eastAsia="仿宋"/>
          <w:bCs w:val="0"/>
        </w:rPr>
        <w:fldChar w:fldCharType="begin"/>
      </w:r>
      <w:r>
        <w:rPr>
          <w:rFonts w:hint="eastAsia" w:ascii="仿宋" w:hAnsi="仿宋" w:eastAsia="仿宋"/>
          <w:bCs w:val="0"/>
        </w:rPr>
        <w:instrText xml:space="preserve"> HYPERLINK \l _Toc5004 </w:instrText>
      </w:r>
      <w:r>
        <w:rPr>
          <w:rFonts w:hint="eastAsia" w:ascii="仿宋" w:hAnsi="仿宋" w:eastAsia="仿宋"/>
          <w:bCs w:val="0"/>
        </w:rPr>
        <w:fldChar w:fldCharType="separate"/>
      </w:r>
      <w:r>
        <w:rPr>
          <w:rFonts w:hint="eastAsia" w:ascii="仿宋" w:hAnsi="仿宋" w:eastAsia="仿宋"/>
          <w:bCs w:val="0"/>
        </w:rPr>
        <w:t>四、财政拨款收入支出决算总体情况说明</w:t>
      </w:r>
      <w:r>
        <w:rPr>
          <w:rFonts w:hint="eastAsia" w:ascii="仿宋" w:hAnsi="仿宋" w:eastAsia="仿宋"/>
          <w:bCs w:val="0"/>
        </w:rPr>
        <w:tab/>
      </w:r>
      <w:r>
        <w:rPr>
          <w:rFonts w:hint="eastAsia" w:ascii="仿宋" w:hAnsi="仿宋" w:eastAsia="仿宋"/>
          <w:bCs w:val="0"/>
        </w:rPr>
        <w:fldChar w:fldCharType="begin"/>
      </w:r>
      <w:r>
        <w:rPr>
          <w:rFonts w:hint="eastAsia" w:ascii="仿宋" w:hAnsi="仿宋" w:eastAsia="仿宋"/>
          <w:bCs w:val="0"/>
        </w:rPr>
        <w:instrText xml:space="preserve"> PAGEREF _Toc5004 \h </w:instrText>
      </w:r>
      <w:r>
        <w:rPr>
          <w:rFonts w:hint="eastAsia" w:ascii="仿宋" w:hAnsi="仿宋" w:eastAsia="仿宋"/>
          <w:bCs w:val="0"/>
        </w:rPr>
        <w:fldChar w:fldCharType="separate"/>
      </w:r>
      <w:r>
        <w:rPr>
          <w:rFonts w:hint="eastAsia" w:ascii="仿宋" w:hAnsi="仿宋" w:eastAsia="仿宋"/>
          <w:bCs w:val="0"/>
        </w:rPr>
        <w:t>6</w:t>
      </w:r>
      <w:r>
        <w:rPr>
          <w:rFonts w:hint="eastAsia" w:ascii="仿宋" w:hAnsi="仿宋" w:eastAsia="仿宋"/>
          <w:bCs w:val="0"/>
        </w:rPr>
        <w:fldChar w:fldCharType="end"/>
      </w:r>
      <w:r>
        <w:rPr>
          <w:rFonts w:hint="eastAsia" w:ascii="仿宋" w:hAnsi="仿宋" w:eastAsia="仿宋"/>
          <w:bCs w:val="0"/>
        </w:rPr>
        <w:fldChar w:fldCharType="end"/>
      </w:r>
    </w:p>
    <w:p w14:paraId="0D161285">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rPr>
          <w:rFonts w:hint="eastAsia" w:ascii="仿宋" w:hAnsi="仿宋" w:eastAsia="仿宋"/>
          <w:bCs w:val="0"/>
        </w:rPr>
      </w:pPr>
      <w:r>
        <w:rPr>
          <w:rFonts w:hint="eastAsia" w:ascii="仿宋" w:hAnsi="仿宋" w:eastAsia="仿宋"/>
          <w:bCs w:val="0"/>
        </w:rPr>
        <w:fldChar w:fldCharType="begin"/>
      </w:r>
      <w:r>
        <w:rPr>
          <w:rFonts w:hint="eastAsia" w:ascii="仿宋" w:hAnsi="仿宋" w:eastAsia="仿宋"/>
          <w:bCs w:val="0"/>
        </w:rPr>
        <w:instrText xml:space="preserve"> HYPERLINK \l _Toc28405 </w:instrText>
      </w:r>
      <w:r>
        <w:rPr>
          <w:rFonts w:hint="eastAsia" w:ascii="仿宋" w:hAnsi="仿宋" w:eastAsia="仿宋"/>
          <w:bCs w:val="0"/>
        </w:rPr>
        <w:fldChar w:fldCharType="separate"/>
      </w:r>
      <w:r>
        <w:rPr>
          <w:rFonts w:hint="eastAsia" w:ascii="仿宋" w:hAnsi="仿宋" w:eastAsia="仿宋"/>
          <w:bCs w:val="0"/>
        </w:rPr>
        <w:t>五、一般公共预算财政拨款支出决算情况说明</w:t>
      </w:r>
      <w:r>
        <w:rPr>
          <w:rFonts w:hint="eastAsia" w:ascii="仿宋" w:hAnsi="仿宋" w:eastAsia="仿宋"/>
          <w:bCs w:val="0"/>
        </w:rPr>
        <w:tab/>
      </w:r>
      <w:r>
        <w:rPr>
          <w:rFonts w:hint="eastAsia" w:ascii="仿宋" w:hAnsi="仿宋" w:eastAsia="仿宋"/>
          <w:bCs w:val="0"/>
        </w:rPr>
        <w:fldChar w:fldCharType="begin"/>
      </w:r>
      <w:r>
        <w:rPr>
          <w:rFonts w:hint="eastAsia" w:ascii="仿宋" w:hAnsi="仿宋" w:eastAsia="仿宋"/>
          <w:bCs w:val="0"/>
        </w:rPr>
        <w:instrText xml:space="preserve"> PAGEREF _Toc28405 \h </w:instrText>
      </w:r>
      <w:r>
        <w:rPr>
          <w:rFonts w:hint="eastAsia" w:ascii="仿宋" w:hAnsi="仿宋" w:eastAsia="仿宋"/>
          <w:bCs w:val="0"/>
        </w:rPr>
        <w:fldChar w:fldCharType="separate"/>
      </w:r>
      <w:r>
        <w:rPr>
          <w:rFonts w:hint="eastAsia" w:ascii="仿宋" w:hAnsi="仿宋" w:eastAsia="仿宋"/>
          <w:bCs w:val="0"/>
        </w:rPr>
        <w:t>6</w:t>
      </w:r>
      <w:r>
        <w:rPr>
          <w:rFonts w:hint="eastAsia" w:ascii="仿宋" w:hAnsi="仿宋" w:eastAsia="仿宋"/>
          <w:bCs w:val="0"/>
        </w:rPr>
        <w:fldChar w:fldCharType="end"/>
      </w:r>
      <w:r>
        <w:rPr>
          <w:rFonts w:hint="eastAsia" w:ascii="仿宋" w:hAnsi="仿宋" w:eastAsia="仿宋"/>
          <w:bCs w:val="0"/>
        </w:rPr>
        <w:fldChar w:fldCharType="end"/>
      </w:r>
    </w:p>
    <w:p w14:paraId="49D06CB5">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rPr>
          <w:rFonts w:hint="eastAsia" w:ascii="仿宋" w:hAnsi="仿宋" w:eastAsia="仿宋"/>
          <w:bCs w:val="0"/>
        </w:rPr>
      </w:pPr>
      <w:r>
        <w:rPr>
          <w:rFonts w:hint="eastAsia" w:ascii="仿宋" w:hAnsi="仿宋" w:eastAsia="仿宋"/>
          <w:bCs w:val="0"/>
        </w:rPr>
        <w:fldChar w:fldCharType="begin"/>
      </w:r>
      <w:r>
        <w:rPr>
          <w:rFonts w:hint="eastAsia" w:ascii="仿宋" w:hAnsi="仿宋" w:eastAsia="仿宋"/>
          <w:bCs w:val="0"/>
        </w:rPr>
        <w:instrText xml:space="preserve"> HYPERLINK \l _Toc14491 </w:instrText>
      </w:r>
      <w:r>
        <w:rPr>
          <w:rFonts w:hint="eastAsia" w:ascii="仿宋" w:hAnsi="仿宋" w:eastAsia="仿宋"/>
          <w:bCs w:val="0"/>
        </w:rPr>
        <w:fldChar w:fldCharType="separate"/>
      </w:r>
      <w:r>
        <w:rPr>
          <w:rFonts w:hint="eastAsia" w:ascii="仿宋" w:hAnsi="仿宋" w:eastAsia="仿宋"/>
          <w:bCs w:val="0"/>
        </w:rPr>
        <w:t>六、一般公共预算财政拨款基本支出决算情况说明</w:t>
      </w:r>
      <w:r>
        <w:rPr>
          <w:rFonts w:hint="eastAsia" w:ascii="仿宋" w:hAnsi="仿宋" w:eastAsia="仿宋"/>
          <w:bCs w:val="0"/>
        </w:rPr>
        <w:tab/>
      </w:r>
      <w:r>
        <w:rPr>
          <w:rFonts w:hint="eastAsia" w:ascii="仿宋" w:hAnsi="仿宋" w:eastAsia="仿宋"/>
          <w:bCs w:val="0"/>
        </w:rPr>
        <w:fldChar w:fldCharType="begin"/>
      </w:r>
      <w:r>
        <w:rPr>
          <w:rFonts w:hint="eastAsia" w:ascii="仿宋" w:hAnsi="仿宋" w:eastAsia="仿宋"/>
          <w:bCs w:val="0"/>
        </w:rPr>
        <w:instrText xml:space="preserve"> PAGEREF _Toc14491 \h </w:instrText>
      </w:r>
      <w:r>
        <w:rPr>
          <w:rFonts w:hint="eastAsia" w:ascii="仿宋" w:hAnsi="仿宋" w:eastAsia="仿宋"/>
          <w:bCs w:val="0"/>
        </w:rPr>
        <w:fldChar w:fldCharType="separate"/>
      </w:r>
      <w:r>
        <w:rPr>
          <w:rFonts w:hint="eastAsia" w:ascii="仿宋" w:hAnsi="仿宋" w:eastAsia="仿宋"/>
          <w:bCs w:val="0"/>
        </w:rPr>
        <w:t>9</w:t>
      </w:r>
      <w:r>
        <w:rPr>
          <w:rFonts w:hint="eastAsia" w:ascii="仿宋" w:hAnsi="仿宋" w:eastAsia="仿宋"/>
          <w:bCs w:val="0"/>
        </w:rPr>
        <w:fldChar w:fldCharType="end"/>
      </w:r>
      <w:r>
        <w:rPr>
          <w:rFonts w:hint="eastAsia" w:ascii="仿宋" w:hAnsi="仿宋" w:eastAsia="仿宋"/>
          <w:bCs w:val="0"/>
        </w:rPr>
        <w:fldChar w:fldCharType="end"/>
      </w:r>
    </w:p>
    <w:p w14:paraId="49911E06">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rPr>
          <w:rFonts w:hint="eastAsia" w:ascii="仿宋" w:hAnsi="仿宋" w:eastAsia="仿宋"/>
          <w:bCs w:val="0"/>
        </w:rPr>
      </w:pPr>
      <w:r>
        <w:rPr>
          <w:rFonts w:hint="eastAsia" w:ascii="仿宋" w:hAnsi="仿宋" w:eastAsia="仿宋"/>
          <w:bCs w:val="0"/>
        </w:rPr>
        <w:fldChar w:fldCharType="begin"/>
      </w:r>
      <w:r>
        <w:rPr>
          <w:rFonts w:hint="eastAsia" w:ascii="仿宋" w:hAnsi="仿宋" w:eastAsia="仿宋"/>
          <w:bCs w:val="0"/>
        </w:rPr>
        <w:instrText xml:space="preserve"> HYPERLINK \l _Toc19916 </w:instrText>
      </w:r>
      <w:r>
        <w:rPr>
          <w:rFonts w:hint="eastAsia" w:ascii="仿宋" w:hAnsi="仿宋" w:eastAsia="仿宋"/>
          <w:bCs w:val="0"/>
        </w:rPr>
        <w:fldChar w:fldCharType="separate"/>
      </w:r>
      <w:r>
        <w:rPr>
          <w:rFonts w:hint="eastAsia" w:ascii="仿宋" w:hAnsi="仿宋" w:eastAsia="仿宋"/>
          <w:bCs w:val="0"/>
        </w:rPr>
        <w:t>七、财政拨款“三公”经费支出决算情况说明</w:t>
      </w:r>
      <w:r>
        <w:rPr>
          <w:rFonts w:hint="eastAsia" w:ascii="仿宋" w:hAnsi="仿宋" w:eastAsia="仿宋"/>
          <w:bCs w:val="0"/>
        </w:rPr>
        <w:tab/>
      </w:r>
      <w:r>
        <w:rPr>
          <w:rFonts w:hint="eastAsia" w:ascii="仿宋" w:hAnsi="仿宋" w:eastAsia="仿宋"/>
          <w:bCs w:val="0"/>
        </w:rPr>
        <w:fldChar w:fldCharType="begin"/>
      </w:r>
      <w:r>
        <w:rPr>
          <w:rFonts w:hint="eastAsia" w:ascii="仿宋" w:hAnsi="仿宋" w:eastAsia="仿宋"/>
          <w:bCs w:val="0"/>
        </w:rPr>
        <w:instrText xml:space="preserve"> PAGEREF _Toc19916 \h </w:instrText>
      </w:r>
      <w:r>
        <w:rPr>
          <w:rFonts w:hint="eastAsia" w:ascii="仿宋" w:hAnsi="仿宋" w:eastAsia="仿宋"/>
          <w:bCs w:val="0"/>
        </w:rPr>
        <w:fldChar w:fldCharType="separate"/>
      </w:r>
      <w:r>
        <w:rPr>
          <w:rFonts w:hint="eastAsia" w:ascii="仿宋" w:hAnsi="仿宋" w:eastAsia="仿宋"/>
          <w:bCs w:val="0"/>
        </w:rPr>
        <w:t>10</w:t>
      </w:r>
      <w:r>
        <w:rPr>
          <w:rFonts w:hint="eastAsia" w:ascii="仿宋" w:hAnsi="仿宋" w:eastAsia="仿宋"/>
          <w:bCs w:val="0"/>
        </w:rPr>
        <w:fldChar w:fldCharType="end"/>
      </w:r>
      <w:r>
        <w:rPr>
          <w:rFonts w:hint="eastAsia" w:ascii="仿宋" w:hAnsi="仿宋" w:eastAsia="仿宋"/>
          <w:bCs w:val="0"/>
        </w:rPr>
        <w:fldChar w:fldCharType="end"/>
      </w:r>
    </w:p>
    <w:p w14:paraId="43AC723F">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rPr>
          <w:rFonts w:hint="eastAsia" w:ascii="仿宋" w:hAnsi="仿宋" w:eastAsia="仿宋"/>
          <w:bCs w:val="0"/>
        </w:rPr>
      </w:pPr>
      <w:r>
        <w:rPr>
          <w:rFonts w:hint="eastAsia" w:ascii="仿宋" w:hAnsi="仿宋" w:eastAsia="仿宋"/>
          <w:bCs w:val="0"/>
        </w:rPr>
        <w:fldChar w:fldCharType="begin"/>
      </w:r>
      <w:r>
        <w:rPr>
          <w:rFonts w:hint="eastAsia" w:ascii="仿宋" w:hAnsi="仿宋" w:eastAsia="仿宋"/>
          <w:bCs w:val="0"/>
        </w:rPr>
        <w:instrText xml:space="preserve"> HYPERLINK \l _Toc30716 </w:instrText>
      </w:r>
      <w:r>
        <w:rPr>
          <w:rFonts w:hint="eastAsia" w:ascii="仿宋" w:hAnsi="仿宋" w:eastAsia="仿宋"/>
          <w:bCs w:val="0"/>
        </w:rPr>
        <w:fldChar w:fldCharType="separate"/>
      </w:r>
      <w:r>
        <w:rPr>
          <w:rFonts w:hint="eastAsia" w:ascii="仿宋" w:hAnsi="仿宋" w:eastAsia="仿宋"/>
          <w:bCs w:val="0"/>
        </w:rPr>
        <w:t>八、政府性基金预算支出决算情况说明</w:t>
      </w:r>
      <w:r>
        <w:rPr>
          <w:rFonts w:hint="eastAsia" w:ascii="仿宋" w:hAnsi="仿宋" w:eastAsia="仿宋"/>
          <w:bCs w:val="0"/>
        </w:rPr>
        <w:tab/>
      </w:r>
      <w:r>
        <w:rPr>
          <w:rFonts w:hint="eastAsia" w:ascii="仿宋" w:hAnsi="仿宋" w:eastAsia="仿宋"/>
          <w:bCs w:val="0"/>
        </w:rPr>
        <w:fldChar w:fldCharType="begin"/>
      </w:r>
      <w:r>
        <w:rPr>
          <w:rFonts w:hint="eastAsia" w:ascii="仿宋" w:hAnsi="仿宋" w:eastAsia="仿宋"/>
          <w:bCs w:val="0"/>
        </w:rPr>
        <w:instrText xml:space="preserve"> PAGEREF _Toc30716 \h </w:instrText>
      </w:r>
      <w:r>
        <w:rPr>
          <w:rFonts w:hint="eastAsia" w:ascii="仿宋" w:hAnsi="仿宋" w:eastAsia="仿宋"/>
          <w:bCs w:val="0"/>
        </w:rPr>
        <w:fldChar w:fldCharType="separate"/>
      </w:r>
      <w:r>
        <w:rPr>
          <w:rFonts w:hint="eastAsia" w:ascii="仿宋" w:hAnsi="仿宋" w:eastAsia="仿宋"/>
          <w:bCs w:val="0"/>
        </w:rPr>
        <w:t>10</w:t>
      </w:r>
      <w:r>
        <w:rPr>
          <w:rFonts w:hint="eastAsia" w:ascii="仿宋" w:hAnsi="仿宋" w:eastAsia="仿宋"/>
          <w:bCs w:val="0"/>
        </w:rPr>
        <w:fldChar w:fldCharType="end"/>
      </w:r>
      <w:r>
        <w:rPr>
          <w:rFonts w:hint="eastAsia" w:ascii="仿宋" w:hAnsi="仿宋" w:eastAsia="仿宋"/>
          <w:bCs w:val="0"/>
        </w:rPr>
        <w:fldChar w:fldCharType="end"/>
      </w:r>
    </w:p>
    <w:p w14:paraId="201BE4A9">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rPr>
          <w:rFonts w:hint="eastAsia" w:ascii="仿宋" w:hAnsi="仿宋" w:eastAsia="仿宋"/>
          <w:bCs w:val="0"/>
        </w:rPr>
      </w:pPr>
      <w:r>
        <w:rPr>
          <w:rFonts w:hint="eastAsia" w:ascii="仿宋" w:hAnsi="仿宋" w:eastAsia="仿宋"/>
          <w:bCs w:val="0"/>
        </w:rPr>
        <w:fldChar w:fldCharType="begin"/>
      </w:r>
      <w:r>
        <w:rPr>
          <w:rFonts w:hint="eastAsia" w:ascii="仿宋" w:hAnsi="仿宋" w:eastAsia="仿宋"/>
          <w:bCs w:val="0"/>
        </w:rPr>
        <w:instrText xml:space="preserve"> HYPERLINK \l _Toc16789 </w:instrText>
      </w:r>
      <w:r>
        <w:rPr>
          <w:rFonts w:hint="eastAsia" w:ascii="仿宋" w:hAnsi="仿宋" w:eastAsia="仿宋"/>
          <w:bCs w:val="0"/>
        </w:rPr>
        <w:fldChar w:fldCharType="separate"/>
      </w:r>
      <w:r>
        <w:rPr>
          <w:rFonts w:hint="eastAsia" w:ascii="仿宋" w:hAnsi="仿宋" w:eastAsia="仿宋"/>
          <w:bCs w:val="0"/>
        </w:rPr>
        <w:t>九、 国有资本经营预算支出决算情况说明</w:t>
      </w:r>
      <w:r>
        <w:rPr>
          <w:rFonts w:hint="eastAsia" w:ascii="仿宋" w:hAnsi="仿宋" w:eastAsia="仿宋"/>
          <w:bCs w:val="0"/>
        </w:rPr>
        <w:tab/>
      </w:r>
      <w:r>
        <w:rPr>
          <w:rFonts w:hint="eastAsia" w:ascii="仿宋" w:hAnsi="仿宋" w:eastAsia="仿宋"/>
          <w:bCs w:val="0"/>
        </w:rPr>
        <w:fldChar w:fldCharType="begin"/>
      </w:r>
      <w:r>
        <w:rPr>
          <w:rFonts w:hint="eastAsia" w:ascii="仿宋" w:hAnsi="仿宋" w:eastAsia="仿宋"/>
          <w:bCs w:val="0"/>
        </w:rPr>
        <w:instrText xml:space="preserve"> PAGEREF _Toc16789 \h </w:instrText>
      </w:r>
      <w:r>
        <w:rPr>
          <w:rFonts w:hint="eastAsia" w:ascii="仿宋" w:hAnsi="仿宋" w:eastAsia="仿宋"/>
          <w:bCs w:val="0"/>
        </w:rPr>
        <w:fldChar w:fldCharType="separate"/>
      </w:r>
      <w:r>
        <w:rPr>
          <w:rFonts w:hint="eastAsia" w:ascii="仿宋" w:hAnsi="仿宋" w:eastAsia="仿宋"/>
          <w:bCs w:val="0"/>
        </w:rPr>
        <w:t>11</w:t>
      </w:r>
      <w:r>
        <w:rPr>
          <w:rFonts w:hint="eastAsia" w:ascii="仿宋" w:hAnsi="仿宋" w:eastAsia="仿宋"/>
          <w:bCs w:val="0"/>
        </w:rPr>
        <w:fldChar w:fldCharType="end"/>
      </w:r>
      <w:r>
        <w:rPr>
          <w:rFonts w:hint="eastAsia" w:ascii="仿宋" w:hAnsi="仿宋" w:eastAsia="仿宋"/>
          <w:bCs w:val="0"/>
        </w:rPr>
        <w:fldChar w:fldCharType="end"/>
      </w:r>
    </w:p>
    <w:p w14:paraId="0298C119">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pPr>
      <w:r>
        <w:rPr>
          <w:rFonts w:hint="eastAsia" w:ascii="仿宋" w:hAnsi="仿宋" w:eastAsia="仿宋"/>
          <w:bCs w:val="0"/>
        </w:rPr>
        <w:fldChar w:fldCharType="begin"/>
      </w:r>
      <w:r>
        <w:rPr>
          <w:rFonts w:hint="eastAsia" w:ascii="仿宋" w:hAnsi="仿宋" w:eastAsia="仿宋"/>
          <w:bCs w:val="0"/>
        </w:rPr>
        <w:instrText xml:space="preserve"> HYPERLINK \l _Toc15361 </w:instrText>
      </w:r>
      <w:r>
        <w:rPr>
          <w:rFonts w:hint="eastAsia" w:ascii="仿宋" w:hAnsi="仿宋" w:eastAsia="仿宋"/>
          <w:bCs w:val="0"/>
        </w:rPr>
        <w:fldChar w:fldCharType="separate"/>
      </w:r>
      <w:r>
        <w:rPr>
          <w:rFonts w:hint="eastAsia" w:ascii="仿宋" w:hAnsi="仿宋" w:eastAsia="仿宋"/>
          <w:bCs w:val="0"/>
        </w:rPr>
        <w:t>十、 其他重要事项的情况说明</w:t>
      </w:r>
      <w:r>
        <w:rPr>
          <w:rFonts w:hint="eastAsia" w:ascii="仿宋" w:hAnsi="仿宋" w:eastAsia="仿宋"/>
          <w:bCs w:val="0"/>
        </w:rPr>
        <w:tab/>
      </w:r>
      <w:r>
        <w:rPr>
          <w:rFonts w:hint="eastAsia" w:ascii="仿宋" w:hAnsi="仿宋" w:eastAsia="仿宋"/>
          <w:bCs w:val="0"/>
        </w:rPr>
        <w:fldChar w:fldCharType="begin"/>
      </w:r>
      <w:r>
        <w:rPr>
          <w:rFonts w:hint="eastAsia" w:ascii="仿宋" w:hAnsi="仿宋" w:eastAsia="仿宋"/>
          <w:bCs w:val="0"/>
        </w:rPr>
        <w:instrText xml:space="preserve"> PAGEREF _Toc15361 \h </w:instrText>
      </w:r>
      <w:r>
        <w:rPr>
          <w:rFonts w:hint="eastAsia" w:ascii="仿宋" w:hAnsi="仿宋" w:eastAsia="仿宋"/>
          <w:bCs w:val="0"/>
        </w:rPr>
        <w:fldChar w:fldCharType="separate"/>
      </w:r>
      <w:r>
        <w:rPr>
          <w:rFonts w:hint="eastAsia" w:ascii="仿宋" w:hAnsi="仿宋" w:eastAsia="仿宋"/>
          <w:bCs w:val="0"/>
        </w:rPr>
        <w:t>11</w:t>
      </w:r>
      <w:r>
        <w:rPr>
          <w:rFonts w:hint="eastAsia" w:ascii="仿宋" w:hAnsi="仿宋" w:eastAsia="仿宋"/>
          <w:bCs w:val="0"/>
        </w:rPr>
        <w:fldChar w:fldCharType="end"/>
      </w:r>
      <w:r>
        <w:rPr>
          <w:rFonts w:hint="eastAsia" w:ascii="仿宋" w:hAnsi="仿宋" w:eastAsia="仿宋"/>
          <w:bCs w:val="0"/>
        </w:rPr>
        <w:fldChar w:fldCharType="end"/>
      </w:r>
    </w:p>
    <w:p w14:paraId="1BE225C4">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pPr>
      <w:r>
        <w:fldChar w:fldCharType="begin"/>
      </w:r>
      <w:r>
        <w:instrText xml:space="preserve"> HYPERLINK \l _Toc30726 </w:instrText>
      </w:r>
      <w:r>
        <w:fldChar w:fldCharType="separate"/>
      </w:r>
      <w:r>
        <w:rPr>
          <w:rFonts w:hint="eastAsia" w:ascii="黑体" w:hAnsi="黑体" w:eastAsia="黑体"/>
          <w:lang w:val="en-US" w:eastAsia="zh-CN"/>
        </w:rPr>
        <w:t xml:space="preserve">第三部分 </w:t>
      </w:r>
      <w:r>
        <w:rPr>
          <w:rFonts w:hint="eastAsia" w:ascii="黑体" w:hAnsi="黑体" w:eastAsia="黑体"/>
        </w:rPr>
        <w:t>名词解释</w:t>
      </w:r>
      <w:r>
        <w:tab/>
      </w:r>
      <w:r>
        <w:fldChar w:fldCharType="begin"/>
      </w:r>
      <w:r>
        <w:instrText xml:space="preserve"> PAGEREF _Toc30726 \h </w:instrText>
      </w:r>
      <w:r>
        <w:fldChar w:fldCharType="separate"/>
      </w:r>
      <w:r>
        <w:t>12</w:t>
      </w:r>
      <w:r>
        <w:fldChar w:fldCharType="end"/>
      </w:r>
      <w:r>
        <w:fldChar w:fldCharType="end"/>
      </w:r>
    </w:p>
    <w:p w14:paraId="143A7650">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jc w:val="both"/>
        <w:textAlignment w:val="auto"/>
      </w:pPr>
      <w:r>
        <w:fldChar w:fldCharType="begin"/>
      </w:r>
      <w:r>
        <w:instrText xml:space="preserve"> HYPERLINK \l _Toc18084 </w:instrText>
      </w:r>
      <w:r>
        <w:fldChar w:fldCharType="separate"/>
      </w:r>
      <w:r>
        <w:rPr>
          <w:rFonts w:hint="eastAsia" w:ascii="黑体" w:hAnsi="黑体" w:eastAsia="黑体"/>
          <w:lang w:val="en-US" w:eastAsia="zh-CN"/>
        </w:rPr>
        <w:t>第四部分 附件</w:t>
      </w:r>
      <w:r>
        <w:tab/>
      </w:r>
      <w:r>
        <w:fldChar w:fldCharType="begin"/>
      </w:r>
      <w:r>
        <w:instrText xml:space="preserve"> PAGEREF _Toc18084 \h </w:instrText>
      </w:r>
      <w:r>
        <w:fldChar w:fldCharType="separate"/>
      </w:r>
      <w:r>
        <w:t>15</w:t>
      </w:r>
      <w:r>
        <w:fldChar w:fldCharType="end"/>
      </w:r>
      <w:r>
        <w:fldChar w:fldCharType="end"/>
      </w:r>
    </w:p>
    <w:p w14:paraId="46CB66F1">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jc w:val="both"/>
        <w:textAlignment w:val="auto"/>
      </w:pPr>
      <w:r>
        <w:fldChar w:fldCharType="begin"/>
      </w:r>
      <w:r>
        <w:instrText xml:space="preserve"> HYPERLINK \l _Toc30550 </w:instrText>
      </w:r>
      <w:r>
        <w:fldChar w:fldCharType="separate"/>
      </w:r>
      <w:r>
        <w:rPr>
          <w:rFonts w:hint="eastAsia" w:ascii="仿宋" w:hAnsi="仿宋" w:eastAsia="仿宋" w:cs="Times New Roman"/>
          <w:bCs w:val="0"/>
          <w:kern w:val="2"/>
          <w:sz w:val="21"/>
          <w:szCs w:val="24"/>
          <w:lang w:val="en-US" w:eastAsia="zh-CN" w:bidi="ar-SA"/>
        </w:rPr>
        <w:t>部门预算项目支出绩效自评表（2023年度）</w:t>
      </w:r>
      <w:r>
        <w:tab/>
      </w:r>
      <w:r>
        <w:fldChar w:fldCharType="begin"/>
      </w:r>
      <w:r>
        <w:instrText xml:space="preserve"> PAGEREF _Toc30550 \h </w:instrText>
      </w:r>
      <w:r>
        <w:fldChar w:fldCharType="separate"/>
      </w:r>
      <w:r>
        <w:t>15</w:t>
      </w:r>
      <w:r>
        <w:fldChar w:fldCharType="end"/>
      </w:r>
      <w:r>
        <w:fldChar w:fldCharType="end"/>
      </w:r>
    </w:p>
    <w:p w14:paraId="093EAA25">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pPr>
      <w:r>
        <w:fldChar w:fldCharType="begin"/>
      </w:r>
      <w:r>
        <w:instrText xml:space="preserve"> HYPERLINK \l _Toc22749 </w:instrText>
      </w:r>
      <w:r>
        <w:fldChar w:fldCharType="separate"/>
      </w:r>
      <w:r>
        <w:rPr>
          <w:rFonts w:hint="eastAsia" w:ascii="黑体" w:hAnsi="黑体" w:eastAsia="黑体"/>
          <w:lang w:val="en-US" w:eastAsia="zh-CN"/>
        </w:rPr>
        <w:t>第五部分 附表</w:t>
      </w:r>
      <w:r>
        <w:tab/>
      </w:r>
      <w:r>
        <w:fldChar w:fldCharType="begin"/>
      </w:r>
      <w:r>
        <w:instrText xml:space="preserve"> PAGEREF _Toc22749 \h </w:instrText>
      </w:r>
      <w:r>
        <w:fldChar w:fldCharType="separate"/>
      </w:r>
      <w:r>
        <w:t>1</w:t>
      </w:r>
      <w:r>
        <w:rPr>
          <w:rFonts w:hint="eastAsia"/>
          <w:lang w:val="en-US" w:eastAsia="zh-CN"/>
        </w:rPr>
        <w:t>6</w:t>
      </w:r>
      <w:r>
        <w:fldChar w:fldCharType="end"/>
      </w:r>
      <w:r>
        <w:fldChar w:fldCharType="end"/>
      </w:r>
    </w:p>
    <w:p w14:paraId="51B5AE10">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pPr>
      <w:r>
        <w:fldChar w:fldCharType="begin"/>
      </w:r>
      <w:r>
        <w:instrText xml:space="preserve"> HYPERLINK \l _Toc25623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_Toc25623 \h </w:instrText>
      </w:r>
      <w:r>
        <w:fldChar w:fldCharType="separate"/>
      </w:r>
      <w:r>
        <w:t>1</w:t>
      </w:r>
      <w:r>
        <w:rPr>
          <w:rFonts w:hint="eastAsia"/>
          <w:lang w:val="en-US" w:eastAsia="zh-CN"/>
        </w:rPr>
        <w:t>6</w:t>
      </w:r>
      <w:r>
        <w:fldChar w:fldCharType="end"/>
      </w:r>
      <w:r>
        <w:fldChar w:fldCharType="end"/>
      </w:r>
    </w:p>
    <w:p w14:paraId="13935588">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pPr>
      <w:r>
        <w:fldChar w:fldCharType="begin"/>
      </w:r>
      <w:r>
        <w:instrText xml:space="preserve"> HYPERLINK \l _Toc30156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_Toc30156 \h </w:instrText>
      </w:r>
      <w:r>
        <w:fldChar w:fldCharType="separate"/>
      </w:r>
      <w:r>
        <w:t>1</w:t>
      </w:r>
      <w:r>
        <w:rPr>
          <w:rFonts w:hint="eastAsia"/>
          <w:lang w:val="en-US" w:eastAsia="zh-CN"/>
        </w:rPr>
        <w:t>6</w:t>
      </w:r>
      <w:r>
        <w:fldChar w:fldCharType="end"/>
      </w:r>
      <w:r>
        <w:fldChar w:fldCharType="end"/>
      </w:r>
    </w:p>
    <w:p w14:paraId="6DDCDA52">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pPr>
      <w:r>
        <w:fldChar w:fldCharType="begin"/>
      </w:r>
      <w:r>
        <w:instrText xml:space="preserve"> HYPERLINK \l _Toc5235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_Toc5235 \h </w:instrText>
      </w:r>
      <w:r>
        <w:fldChar w:fldCharType="separate"/>
      </w:r>
      <w:r>
        <w:t>1</w:t>
      </w:r>
      <w:r>
        <w:rPr>
          <w:rFonts w:hint="eastAsia"/>
          <w:lang w:val="en-US" w:eastAsia="zh-CN"/>
        </w:rPr>
        <w:t>6</w:t>
      </w:r>
      <w:r>
        <w:fldChar w:fldCharType="end"/>
      </w:r>
      <w:r>
        <w:fldChar w:fldCharType="end"/>
      </w:r>
    </w:p>
    <w:p w14:paraId="7D0ED2E4">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pPr>
      <w:r>
        <w:fldChar w:fldCharType="begin"/>
      </w:r>
      <w:r>
        <w:instrText xml:space="preserve"> HYPERLINK \l _Toc13144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_Toc13144 \h </w:instrText>
      </w:r>
      <w:r>
        <w:fldChar w:fldCharType="separate"/>
      </w:r>
      <w:r>
        <w:t>1</w:t>
      </w:r>
      <w:r>
        <w:rPr>
          <w:rFonts w:hint="eastAsia"/>
          <w:lang w:val="en-US" w:eastAsia="zh-CN"/>
        </w:rPr>
        <w:t>6</w:t>
      </w:r>
      <w:r>
        <w:fldChar w:fldCharType="end"/>
      </w:r>
      <w:r>
        <w:fldChar w:fldCharType="end"/>
      </w:r>
    </w:p>
    <w:p w14:paraId="5BE7BBBB">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pPr>
      <w:r>
        <w:fldChar w:fldCharType="begin"/>
      </w:r>
      <w:r>
        <w:instrText xml:space="preserve"> HYPERLINK \l _Toc17293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_Toc17293 \h </w:instrText>
      </w:r>
      <w:r>
        <w:fldChar w:fldCharType="separate"/>
      </w:r>
      <w:r>
        <w:t>1</w:t>
      </w:r>
      <w:r>
        <w:rPr>
          <w:rFonts w:hint="eastAsia"/>
          <w:lang w:val="en-US" w:eastAsia="zh-CN"/>
        </w:rPr>
        <w:t>6</w:t>
      </w:r>
      <w:r>
        <w:fldChar w:fldCharType="end"/>
      </w:r>
      <w:r>
        <w:fldChar w:fldCharType="end"/>
      </w:r>
    </w:p>
    <w:p w14:paraId="635EBD6A">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pPr>
      <w:r>
        <w:fldChar w:fldCharType="begin"/>
      </w:r>
      <w:r>
        <w:instrText xml:space="preserve"> HYPERLINK \l _Toc29676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_Toc29676 \h </w:instrText>
      </w:r>
      <w:r>
        <w:fldChar w:fldCharType="separate"/>
      </w:r>
      <w:r>
        <w:t>1</w:t>
      </w:r>
      <w:r>
        <w:rPr>
          <w:rFonts w:hint="eastAsia"/>
          <w:lang w:val="en-US" w:eastAsia="zh-CN"/>
        </w:rPr>
        <w:t>6</w:t>
      </w:r>
      <w:r>
        <w:fldChar w:fldCharType="end"/>
      </w:r>
      <w:r>
        <w:fldChar w:fldCharType="end"/>
      </w:r>
    </w:p>
    <w:p w14:paraId="213D991D">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pPr>
      <w:r>
        <w:fldChar w:fldCharType="begin"/>
      </w:r>
      <w:r>
        <w:instrText xml:space="preserve"> HYPERLINK \l _Toc2246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_Toc2246 \h </w:instrText>
      </w:r>
      <w:r>
        <w:fldChar w:fldCharType="separate"/>
      </w:r>
      <w:r>
        <w:t>1</w:t>
      </w:r>
      <w:r>
        <w:rPr>
          <w:rFonts w:hint="eastAsia"/>
          <w:lang w:val="en-US" w:eastAsia="zh-CN"/>
        </w:rPr>
        <w:t>6</w:t>
      </w:r>
      <w:r>
        <w:fldChar w:fldCharType="end"/>
      </w:r>
      <w:r>
        <w:fldChar w:fldCharType="end"/>
      </w:r>
    </w:p>
    <w:p w14:paraId="2994A5CA">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pPr>
      <w:r>
        <w:fldChar w:fldCharType="begin"/>
      </w:r>
      <w:r>
        <w:instrText xml:space="preserve"> HYPERLINK \l _Toc15745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_Toc15745 \h </w:instrText>
      </w:r>
      <w:r>
        <w:fldChar w:fldCharType="separate"/>
      </w:r>
      <w:r>
        <w:t>1</w:t>
      </w:r>
      <w:r>
        <w:rPr>
          <w:rFonts w:hint="eastAsia"/>
          <w:lang w:val="en-US" w:eastAsia="zh-CN"/>
        </w:rPr>
        <w:t>6</w:t>
      </w:r>
      <w:r>
        <w:fldChar w:fldCharType="end"/>
      </w:r>
      <w:r>
        <w:fldChar w:fldCharType="end"/>
      </w:r>
    </w:p>
    <w:p w14:paraId="285CC0ED">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pPr>
      <w:r>
        <w:fldChar w:fldCharType="begin"/>
      </w:r>
      <w:r>
        <w:instrText xml:space="preserve"> HYPERLINK \l _Toc21989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_Toc21989 \h </w:instrText>
      </w:r>
      <w:r>
        <w:fldChar w:fldCharType="separate"/>
      </w:r>
      <w:r>
        <w:t>1</w:t>
      </w:r>
      <w:r>
        <w:rPr>
          <w:rFonts w:hint="eastAsia"/>
          <w:lang w:val="en-US" w:eastAsia="zh-CN"/>
        </w:rPr>
        <w:t>6</w:t>
      </w:r>
      <w:r>
        <w:fldChar w:fldCharType="end"/>
      </w:r>
      <w:r>
        <w:fldChar w:fldCharType="end"/>
      </w:r>
    </w:p>
    <w:p w14:paraId="333922E5">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15" w:lineRule="auto"/>
        <w:textAlignment w:val="auto"/>
      </w:pPr>
      <w:r>
        <w:fldChar w:fldCharType="begin"/>
      </w:r>
      <w:r>
        <w:instrText xml:space="preserve"> HYPERLINK \l _Toc30639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_Toc30639 \h </w:instrText>
      </w:r>
      <w:r>
        <w:fldChar w:fldCharType="separate"/>
      </w:r>
      <w:r>
        <w:t>1</w:t>
      </w:r>
      <w:r>
        <w:rPr>
          <w:rFonts w:hint="eastAsia"/>
          <w:lang w:val="en-US" w:eastAsia="zh-CN"/>
        </w:rPr>
        <w:t>6</w:t>
      </w:r>
      <w:r>
        <w:fldChar w:fldCharType="end"/>
      </w:r>
      <w:r>
        <w:fldChar w:fldCharType="end"/>
      </w:r>
    </w:p>
    <w:p w14:paraId="5B3C50CB">
      <w:pPr>
        <w:pStyle w:val="13"/>
        <w:tabs>
          <w:tab w:val="right" w:leader="dot" w:pos="8306"/>
          <w:tab w:val="clear" w:pos="8296"/>
        </w:tabs>
      </w:pPr>
      <w:r>
        <w:fldChar w:fldCharType="begin"/>
      </w:r>
      <w:r>
        <w:instrText xml:space="preserve"> HYPERLINK \l _Toc25956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_Toc25956 \h </w:instrText>
      </w:r>
      <w:r>
        <w:fldChar w:fldCharType="separate"/>
      </w:r>
      <w:r>
        <w:t>1</w:t>
      </w:r>
      <w:r>
        <w:rPr>
          <w:rFonts w:hint="eastAsia"/>
          <w:lang w:val="en-US" w:eastAsia="zh-CN"/>
        </w:rPr>
        <w:t>6</w:t>
      </w:r>
      <w:r>
        <w:fldChar w:fldCharType="end"/>
      </w:r>
      <w:r>
        <w:fldChar w:fldCharType="end"/>
      </w:r>
    </w:p>
    <w:p w14:paraId="078BF501">
      <w:pPr>
        <w:pStyle w:val="13"/>
        <w:tabs>
          <w:tab w:val="right" w:leader="dot" w:pos="8306"/>
          <w:tab w:val="clear" w:pos="8296"/>
        </w:tabs>
      </w:pPr>
      <w:r>
        <w:fldChar w:fldCharType="begin"/>
      </w:r>
      <w:r>
        <w:instrText xml:space="preserve"> HYPERLINK \l _Toc10044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_Toc10044 \h </w:instrText>
      </w:r>
      <w:r>
        <w:fldChar w:fldCharType="separate"/>
      </w:r>
      <w:r>
        <w:t>1</w:t>
      </w:r>
      <w:r>
        <w:rPr>
          <w:rFonts w:hint="eastAsia"/>
          <w:lang w:val="en-US" w:eastAsia="zh-CN"/>
        </w:rPr>
        <w:t>6</w:t>
      </w:r>
      <w:r>
        <w:fldChar w:fldCharType="end"/>
      </w:r>
      <w:r>
        <w:fldChar w:fldCharType="end"/>
      </w:r>
    </w:p>
    <w:p w14:paraId="2172E6D9">
      <w:pPr>
        <w:pStyle w:val="13"/>
        <w:tabs>
          <w:tab w:val="right" w:leader="dot" w:pos="8306"/>
          <w:tab w:val="clear" w:pos="8296"/>
        </w:tabs>
      </w:pPr>
      <w:r>
        <w:fldChar w:fldCharType="begin"/>
      </w:r>
      <w:r>
        <w:instrText xml:space="preserve"> HYPERLINK \l _Toc29761 </w:instrText>
      </w:r>
      <w:r>
        <w:fldChar w:fldCharType="separate"/>
      </w:r>
      <w:r>
        <w:rPr>
          <w:rFonts w:hint="eastAsia" w:ascii="仿宋" w:hAnsi="仿宋" w:eastAsia="仿宋"/>
          <w:bCs w:val="0"/>
        </w:rPr>
        <w:t>十三、财政拨款“三公”经费支出决算表</w:t>
      </w:r>
      <w:r>
        <w:tab/>
      </w:r>
      <w:r>
        <w:fldChar w:fldCharType="begin"/>
      </w:r>
      <w:r>
        <w:instrText xml:space="preserve"> PAGEREF _Toc29761 \h </w:instrText>
      </w:r>
      <w:r>
        <w:fldChar w:fldCharType="separate"/>
      </w:r>
      <w:r>
        <w:t>1</w:t>
      </w:r>
      <w:r>
        <w:rPr>
          <w:rFonts w:hint="eastAsia"/>
          <w:lang w:val="en-US" w:eastAsia="zh-CN"/>
        </w:rPr>
        <w:t>6</w:t>
      </w:r>
      <w:r>
        <w:fldChar w:fldCharType="end"/>
      </w:r>
      <w:r>
        <w:fldChar w:fldCharType="end"/>
      </w:r>
    </w:p>
    <w:p w14:paraId="37B507A0">
      <w:r>
        <w:fldChar w:fldCharType="end"/>
      </w:r>
    </w:p>
    <w:p w14:paraId="013EEC6E">
      <w:pPr>
        <w:pStyle w:val="3"/>
        <w:jc w:val="center"/>
        <w:rPr>
          <w:rStyle w:val="27"/>
          <w:rFonts w:ascii="黑体" w:hAnsi="黑体" w:eastAsia="黑体"/>
          <w:b/>
          <w:bCs w:val="0"/>
        </w:rPr>
      </w:pPr>
      <w:bookmarkStart w:id="15" w:name="_Toc15396599"/>
      <w:bookmarkStart w:id="16" w:name="_Toc14424"/>
      <w:bookmarkStart w:id="17" w:name="_Toc15377196"/>
      <w:r>
        <w:rPr>
          <w:rFonts w:hint="eastAsia" w:ascii="黑体" w:hAnsi="黑体" w:eastAsia="黑体"/>
          <w:b w:val="0"/>
        </w:rPr>
        <w:t>第一部分 单位</w:t>
      </w:r>
      <w:r>
        <w:rPr>
          <w:rStyle w:val="27"/>
          <w:rFonts w:hint="eastAsia" w:ascii="黑体" w:hAnsi="黑体" w:eastAsia="黑体"/>
          <w:b w:val="0"/>
          <w:bCs w:val="0"/>
        </w:rPr>
        <w:t>概况</w:t>
      </w:r>
      <w:bookmarkEnd w:id="15"/>
      <w:bookmarkEnd w:id="16"/>
      <w:bookmarkEnd w:id="17"/>
    </w:p>
    <w:p w14:paraId="225ADE65">
      <w:pPr>
        <w:widowControl/>
        <w:jc w:val="left"/>
        <w:rPr>
          <w:rFonts w:ascii="黑体" w:eastAsia="黑体"/>
          <w:sz w:val="32"/>
          <w:szCs w:val="32"/>
        </w:rPr>
      </w:pPr>
    </w:p>
    <w:p w14:paraId="16C6F90D">
      <w:pPr>
        <w:pStyle w:val="4"/>
        <w:numPr>
          <w:ilvl w:val="0"/>
          <w:numId w:val="1"/>
        </w:numPr>
        <w:rPr>
          <w:rStyle w:val="28"/>
          <w:rFonts w:ascii="黑体" w:hAnsi="黑体" w:eastAsia="黑体"/>
          <w:b w:val="0"/>
          <w:bCs w:val="0"/>
        </w:rPr>
      </w:pPr>
      <w:bookmarkStart w:id="18" w:name="_Toc17013"/>
      <w:bookmarkStart w:id="19" w:name="_Toc15396600"/>
      <w:bookmarkStart w:id="20" w:name="_Toc15377197"/>
      <w:r>
        <w:rPr>
          <w:rStyle w:val="28"/>
          <w:rFonts w:hint="eastAsia" w:ascii="黑体" w:hAnsi="黑体" w:eastAsia="黑体"/>
          <w:b w:val="0"/>
          <w:bCs w:val="0"/>
        </w:rPr>
        <w:t>主要职责</w:t>
      </w:r>
      <w:bookmarkEnd w:id="18"/>
    </w:p>
    <w:p w14:paraId="426431E2">
      <w:pPr>
        <w:spacing w:line="600" w:lineRule="exact"/>
        <w:ind w:firstLine="640" w:firstLineChars="200"/>
        <w:outlineLvl w:val="1"/>
        <w:rPr>
          <w:rFonts w:hint="eastAsia" w:ascii="仿宋" w:hAnsi="仿宋" w:eastAsia="仿宋"/>
          <w:sz w:val="32"/>
          <w:szCs w:val="32"/>
        </w:rPr>
      </w:pPr>
      <w:bookmarkStart w:id="21" w:name="_Toc9924"/>
      <w:r>
        <w:rPr>
          <w:rFonts w:hint="eastAsia" w:ascii="仿宋" w:hAnsi="仿宋" w:eastAsia="仿宋"/>
          <w:sz w:val="32"/>
          <w:szCs w:val="32"/>
        </w:rPr>
        <w:t>大竹县峰顶山国有林场主要管理国有林场/国有苗圃，促进林业发展；负责实施（国有林场）规划计划编制、林木种苗生产供应、森林培育与经营、护林防火、林木种苗产品质量检验与执法监督。</w:t>
      </w:r>
      <w:bookmarkEnd w:id="21"/>
    </w:p>
    <w:p w14:paraId="029A542B">
      <w:pPr>
        <w:pStyle w:val="4"/>
        <w:rPr>
          <w:rFonts w:ascii="黑体" w:hAnsi="黑体" w:eastAsia="黑体"/>
          <w:b w:val="0"/>
        </w:rPr>
      </w:pPr>
      <w:bookmarkStart w:id="22" w:name="_Toc21966"/>
      <w:r>
        <w:rPr>
          <w:rFonts w:hint="eastAsia" w:ascii="黑体" w:hAnsi="黑体" w:eastAsia="黑体"/>
          <w:b w:val="0"/>
        </w:rPr>
        <w:t>二、机构设置</w:t>
      </w:r>
      <w:bookmarkEnd w:id="22"/>
    </w:p>
    <w:bookmarkEnd w:id="19"/>
    <w:bookmarkEnd w:id="20"/>
    <w:p w14:paraId="48207999">
      <w:pPr>
        <w:widowControl/>
        <w:ind w:firstLine="640" w:firstLineChars="200"/>
        <w:jc w:val="left"/>
        <w:rPr>
          <w:rFonts w:hint="eastAsia" w:ascii="仿宋" w:hAnsi="仿宋" w:eastAsia="仿宋"/>
          <w:sz w:val="32"/>
          <w:szCs w:val="32"/>
        </w:rPr>
      </w:pPr>
      <w:r>
        <w:rPr>
          <w:rFonts w:hint="eastAsia" w:ascii="仿宋" w:hAnsi="仿宋" w:eastAsia="仿宋"/>
          <w:sz w:val="32"/>
          <w:szCs w:val="32"/>
        </w:rPr>
        <w:t>大竹县峰顶山国有林场，属于大竹县自然资源局下属的一级预算单位，下设独立编制0个，其中行政机构0个，参照公务员法管理的事业机构0个，其他事业机构0个。</w:t>
      </w:r>
    </w:p>
    <w:p w14:paraId="3A13C749">
      <w:pPr>
        <w:widowControl/>
        <w:jc w:val="left"/>
        <w:rPr>
          <w:rFonts w:ascii="仿宋" w:hAnsi="仿宋" w:eastAsia="仿宋"/>
          <w:kern w:val="0"/>
          <w:sz w:val="32"/>
          <w:szCs w:val="32"/>
        </w:rPr>
      </w:pPr>
      <w:r>
        <w:rPr>
          <w:rFonts w:hint="eastAsia" w:ascii="仿宋" w:hAnsi="仿宋" w:eastAsia="仿宋"/>
          <w:sz w:val="32"/>
          <w:szCs w:val="32"/>
        </w:rPr>
        <w:t>纳入2023年度单位决算编制范围的独立编制机构包括：大竹县峰顶山国有林场</w:t>
      </w:r>
      <w:r>
        <w:rPr>
          <w:rFonts w:ascii="仿宋" w:hAnsi="仿宋" w:eastAsia="仿宋"/>
          <w:sz w:val="32"/>
          <w:szCs w:val="32"/>
        </w:rPr>
        <w:br w:type="page"/>
      </w:r>
    </w:p>
    <w:p w14:paraId="708B3884">
      <w:pPr>
        <w:pStyle w:val="3"/>
        <w:ind w:right="440"/>
        <w:jc w:val="center"/>
        <w:rPr>
          <w:rStyle w:val="27"/>
          <w:rFonts w:ascii="黑体" w:hAnsi="黑体" w:eastAsia="黑体"/>
          <w:b w:val="0"/>
          <w:bCs/>
        </w:rPr>
      </w:pPr>
      <w:bookmarkStart w:id="23" w:name="_Toc15377204"/>
      <w:bookmarkStart w:id="24" w:name="_Toc18683"/>
      <w:bookmarkStart w:id="25"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23"/>
      <w:bookmarkEnd w:id="24"/>
      <w:bookmarkEnd w:id="25"/>
    </w:p>
    <w:p w14:paraId="03432EEE"/>
    <w:p w14:paraId="6629CC30">
      <w:pPr>
        <w:pStyle w:val="26"/>
        <w:numPr>
          <w:ilvl w:val="0"/>
          <w:numId w:val="2"/>
        </w:numPr>
        <w:spacing w:line="600" w:lineRule="exact"/>
        <w:ind w:firstLineChars="0"/>
        <w:outlineLvl w:val="1"/>
        <w:rPr>
          <w:rStyle w:val="28"/>
          <w:rFonts w:ascii="黑体" w:hAnsi="黑体" w:eastAsia="黑体"/>
          <w:b w:val="0"/>
        </w:rPr>
      </w:pPr>
      <w:bookmarkStart w:id="26" w:name="_Toc15377205"/>
      <w:bookmarkStart w:id="27" w:name="_Toc29191"/>
      <w:bookmarkStart w:id="28"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26"/>
      <w:bookmarkEnd w:id="27"/>
      <w:bookmarkEnd w:id="28"/>
    </w:p>
    <w:p w14:paraId="0F0B2C89">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552.39</w:t>
      </w:r>
      <w:r>
        <w:rPr>
          <w:rFonts w:hint="eastAsia" w:ascii="仿宋" w:hAnsi="仿宋" w:eastAsia="仿宋"/>
          <w:sz w:val="32"/>
          <w:szCs w:val="32"/>
        </w:rPr>
        <w:t>万元。与收、支总计增加275.6万元。上涨了33.2%。主要变动原因是人员经费增加并且使用了以前年度资金。</w:t>
      </w:r>
    </w:p>
    <w:p w14:paraId="1AB3C24C">
      <w:pPr>
        <w:pStyle w:val="2"/>
      </w:pPr>
      <w:r>
        <w:drawing>
          <wp:anchor distT="0" distB="0" distL="114300" distR="114300" simplePos="0" relativeHeight="251659264" behindDoc="0" locked="0" layoutInCell="1" allowOverlap="1">
            <wp:simplePos x="0" y="0"/>
            <wp:positionH relativeFrom="column">
              <wp:posOffset>334645</wp:posOffset>
            </wp:positionH>
            <wp:positionV relativeFrom="paragraph">
              <wp:posOffset>63500</wp:posOffset>
            </wp:positionV>
            <wp:extent cx="4826000" cy="2743200"/>
            <wp:effectExtent l="4445" t="4445" r="15875" b="1079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6FF3E6FB">
      <w:pPr>
        <w:spacing w:line="600" w:lineRule="exact"/>
        <w:ind w:firstLine="640" w:firstLineChars="200"/>
        <w:jc w:val="left"/>
        <w:rPr>
          <w:rFonts w:ascii="仿宋_GB2312" w:eastAsia="仿宋_GB2312"/>
          <w:sz w:val="32"/>
          <w:szCs w:val="32"/>
        </w:rPr>
      </w:pPr>
    </w:p>
    <w:p w14:paraId="1CD2E97E">
      <w:pPr>
        <w:pStyle w:val="26"/>
        <w:numPr>
          <w:ilvl w:val="0"/>
          <w:numId w:val="2"/>
        </w:numPr>
        <w:spacing w:line="600" w:lineRule="exact"/>
        <w:ind w:firstLineChars="0"/>
        <w:outlineLvl w:val="1"/>
        <w:rPr>
          <w:rStyle w:val="28"/>
          <w:rFonts w:ascii="黑体" w:hAnsi="黑体" w:eastAsia="黑体"/>
          <w:b w:val="0"/>
        </w:rPr>
      </w:pPr>
      <w:bookmarkStart w:id="29" w:name="_Toc15396604"/>
      <w:bookmarkStart w:id="30" w:name="_Toc15377206"/>
      <w:bookmarkStart w:id="31" w:name="_Toc9436"/>
      <w:r>
        <w:rPr>
          <w:rFonts w:hint="eastAsia" w:ascii="黑体" w:hAnsi="黑体" w:eastAsia="黑体"/>
          <w:sz w:val="32"/>
          <w:szCs w:val="32"/>
        </w:rPr>
        <w:t>收</w:t>
      </w:r>
      <w:r>
        <w:rPr>
          <w:rStyle w:val="28"/>
          <w:rFonts w:hint="eastAsia" w:ascii="黑体" w:hAnsi="黑体" w:eastAsia="黑体"/>
          <w:b w:val="0"/>
        </w:rPr>
        <w:t>入决算情况说明</w:t>
      </w:r>
      <w:bookmarkEnd w:id="29"/>
      <w:bookmarkEnd w:id="30"/>
      <w:bookmarkEnd w:id="31"/>
    </w:p>
    <w:p w14:paraId="445E3AE5">
      <w:pPr>
        <w:spacing w:line="600" w:lineRule="exact"/>
        <w:ind w:firstLine="640" w:firstLineChars="200"/>
        <w:outlineLvl w:val="1"/>
        <w:rPr>
          <w:rFonts w:ascii="仿宋" w:hAnsi="仿宋" w:eastAsia="仿宋"/>
          <w:sz w:val="32"/>
          <w:szCs w:val="32"/>
        </w:rPr>
      </w:pPr>
      <w:bookmarkStart w:id="32" w:name="_Toc8542"/>
      <w:r>
        <w:rPr>
          <w:rFonts w:hint="eastAsia" w:ascii="仿宋" w:hAnsi="仿宋" w:eastAsia="仿宋"/>
          <w:sz w:val="32"/>
          <w:szCs w:val="32"/>
        </w:rPr>
        <w:t>2023年度本年收入合计</w:t>
      </w:r>
      <w:r>
        <w:rPr>
          <w:rFonts w:ascii="仿宋" w:hAnsi="仿宋" w:eastAsia="仿宋"/>
          <w:b/>
          <w:sz w:val="32"/>
          <w:szCs w:val="32"/>
        </w:rPr>
        <w:t>521.71</w:t>
      </w:r>
      <w:r>
        <w:rPr>
          <w:rFonts w:hint="eastAsia" w:ascii="仿宋" w:hAnsi="仿宋" w:eastAsia="仿宋"/>
          <w:sz w:val="32"/>
          <w:szCs w:val="32"/>
        </w:rPr>
        <w:t>万元，其中：一般公共预算财政拨款收入</w:t>
      </w:r>
      <w:r>
        <w:rPr>
          <w:rFonts w:ascii="仿宋" w:hAnsi="仿宋" w:eastAsia="仿宋"/>
          <w:b/>
          <w:sz w:val="32"/>
          <w:szCs w:val="32"/>
        </w:rPr>
        <w:t>521.71</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bookmarkEnd w:id="32"/>
    </w:p>
    <w:p w14:paraId="6DA9085B">
      <w:pPr>
        <w:pStyle w:val="2"/>
        <w:rPr>
          <w:rFonts w:ascii="仿宋_GB2312" w:eastAsia="仿宋_GB2312"/>
          <w:sz w:val="32"/>
          <w:szCs w:val="32"/>
        </w:rPr>
      </w:pPr>
      <w:r>
        <w:drawing>
          <wp:inline distT="0" distB="0" distL="114300" distR="114300">
            <wp:extent cx="4572000" cy="2743200"/>
            <wp:effectExtent l="4445" t="4445" r="1079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143F234">
      <w:pPr>
        <w:pStyle w:val="2"/>
        <w:rPr>
          <w:rFonts w:ascii="仿宋_GB2312" w:eastAsia="仿宋_GB2312"/>
          <w:sz w:val="32"/>
          <w:szCs w:val="32"/>
        </w:rPr>
      </w:pPr>
    </w:p>
    <w:p w14:paraId="0F4F09AA"/>
    <w:p w14:paraId="003804F7">
      <w:pPr>
        <w:pStyle w:val="26"/>
        <w:numPr>
          <w:ilvl w:val="0"/>
          <w:numId w:val="2"/>
        </w:numPr>
        <w:spacing w:line="600" w:lineRule="exact"/>
        <w:ind w:firstLineChars="0"/>
        <w:outlineLvl w:val="1"/>
        <w:rPr>
          <w:rStyle w:val="28"/>
          <w:rFonts w:ascii="黑体" w:hAnsi="黑体" w:eastAsia="黑体"/>
          <w:b w:val="0"/>
        </w:rPr>
      </w:pPr>
      <w:bookmarkStart w:id="33" w:name="_Toc15377207"/>
      <w:bookmarkStart w:id="34" w:name="_Toc20490"/>
      <w:bookmarkStart w:id="35" w:name="_Toc15396605"/>
      <w:r>
        <w:rPr>
          <w:rFonts w:hint="eastAsia" w:ascii="黑体" w:hAnsi="黑体" w:eastAsia="黑体"/>
          <w:sz w:val="32"/>
          <w:szCs w:val="32"/>
        </w:rPr>
        <w:t>支</w:t>
      </w:r>
      <w:r>
        <w:rPr>
          <w:rStyle w:val="28"/>
          <w:rFonts w:hint="eastAsia" w:ascii="黑体" w:hAnsi="黑体" w:eastAsia="黑体"/>
          <w:b w:val="0"/>
        </w:rPr>
        <w:t>出决算情况说明</w:t>
      </w:r>
      <w:bookmarkEnd w:id="33"/>
      <w:bookmarkEnd w:id="34"/>
      <w:bookmarkEnd w:id="35"/>
    </w:p>
    <w:p w14:paraId="6EC426BD">
      <w:pPr>
        <w:spacing w:line="600" w:lineRule="exact"/>
        <w:ind w:firstLine="640" w:firstLineChars="200"/>
        <w:outlineLvl w:val="1"/>
        <w:rPr>
          <w:rFonts w:ascii="仿宋_GB2312" w:eastAsia="仿宋_GB2312"/>
          <w:sz w:val="32"/>
          <w:szCs w:val="32"/>
        </w:rPr>
      </w:pPr>
      <w:bookmarkStart w:id="36" w:name="_Toc28126"/>
      <w:r>
        <w:rPr>
          <w:rFonts w:hint="eastAsia" w:ascii="仿宋" w:hAnsi="仿宋" w:eastAsia="仿宋"/>
          <w:sz w:val="32"/>
          <w:szCs w:val="32"/>
        </w:rPr>
        <w:t>2023年度本年支出合计</w:t>
      </w:r>
      <w:r>
        <w:rPr>
          <w:rFonts w:ascii="仿宋" w:hAnsi="仿宋" w:eastAsia="仿宋"/>
          <w:b/>
          <w:sz w:val="32"/>
          <w:szCs w:val="32"/>
        </w:rPr>
        <w:t>552.39</w:t>
      </w:r>
      <w:r>
        <w:rPr>
          <w:rFonts w:hint="eastAsia" w:ascii="仿宋" w:hAnsi="仿宋" w:eastAsia="仿宋"/>
          <w:sz w:val="32"/>
          <w:szCs w:val="32"/>
        </w:rPr>
        <w:t>万元，其中：基本支出</w:t>
      </w:r>
      <w:r>
        <w:rPr>
          <w:rFonts w:ascii="仿宋" w:hAnsi="仿宋" w:eastAsia="仿宋"/>
          <w:b/>
          <w:sz w:val="32"/>
          <w:szCs w:val="32"/>
        </w:rPr>
        <w:t>460.08</w:t>
      </w:r>
      <w:r>
        <w:rPr>
          <w:rFonts w:hint="eastAsia" w:ascii="仿宋" w:hAnsi="仿宋" w:eastAsia="仿宋"/>
          <w:sz w:val="32"/>
          <w:szCs w:val="32"/>
        </w:rPr>
        <w:t>万元，占</w:t>
      </w:r>
      <w:r>
        <w:rPr>
          <w:rFonts w:ascii="仿宋" w:hAnsi="仿宋" w:eastAsia="仿宋"/>
          <w:b/>
          <w:sz w:val="32"/>
          <w:szCs w:val="32"/>
        </w:rPr>
        <w:t>83.28</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92.31</w:t>
      </w:r>
      <w:r>
        <w:rPr>
          <w:rFonts w:hint="eastAsia" w:ascii="仿宋" w:hAnsi="仿宋" w:eastAsia="仿宋"/>
          <w:sz w:val="32"/>
          <w:szCs w:val="32"/>
        </w:rPr>
        <w:t>万元，占</w:t>
      </w:r>
      <w:r>
        <w:rPr>
          <w:rFonts w:ascii="仿宋" w:hAnsi="仿宋" w:eastAsia="仿宋"/>
          <w:b/>
          <w:sz w:val="32"/>
          <w:szCs w:val="32"/>
        </w:rPr>
        <w:t>16.71</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bookmarkEnd w:id="36"/>
    </w:p>
    <w:p w14:paraId="0D708CE6">
      <w:pPr>
        <w:pStyle w:val="2"/>
        <w:rPr>
          <w:rFonts w:ascii="仿宋_GB2312" w:eastAsia="仿宋_GB2312"/>
          <w:sz w:val="32"/>
          <w:szCs w:val="32"/>
        </w:rPr>
      </w:pPr>
      <w:r>
        <w:drawing>
          <wp:inline distT="0" distB="0" distL="114300" distR="114300">
            <wp:extent cx="4572000" cy="2743200"/>
            <wp:effectExtent l="4445" t="4445" r="10795" b="1079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AB8B70">
      <w:pPr>
        <w:rPr>
          <w:rFonts w:ascii="仿宋_GB2312" w:eastAsia="仿宋_GB2312"/>
          <w:sz w:val="32"/>
          <w:szCs w:val="32"/>
        </w:rPr>
      </w:pPr>
    </w:p>
    <w:p w14:paraId="6171652A">
      <w:pPr>
        <w:pStyle w:val="2"/>
      </w:pPr>
    </w:p>
    <w:p w14:paraId="5F3AE71C">
      <w:pPr>
        <w:spacing w:line="600" w:lineRule="exact"/>
        <w:ind w:firstLine="640" w:firstLineChars="200"/>
        <w:outlineLvl w:val="1"/>
        <w:rPr>
          <w:rStyle w:val="28"/>
          <w:rFonts w:ascii="黑体" w:hAnsi="黑体" w:eastAsia="黑体"/>
          <w:b w:val="0"/>
        </w:rPr>
      </w:pPr>
      <w:bookmarkStart w:id="37" w:name="_Toc15377208"/>
      <w:bookmarkStart w:id="38" w:name="_Toc15396606"/>
      <w:bookmarkStart w:id="39" w:name="_Toc5004"/>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7"/>
      <w:bookmarkEnd w:id="38"/>
      <w:bookmarkEnd w:id="39"/>
    </w:p>
    <w:p w14:paraId="6C5697BA">
      <w:pPr>
        <w:spacing w:line="600" w:lineRule="exact"/>
        <w:ind w:firstLine="640" w:firstLineChars="200"/>
        <w:rPr>
          <w:rFonts w:ascii="仿宋" w:hAnsi="仿宋" w:eastAsia="仿宋"/>
          <w:sz w:val="32"/>
          <w:szCs w:val="32"/>
        </w:rPr>
      </w:pPr>
      <w:r>
        <w:rPr>
          <w:rFonts w:hint="eastAsia" w:ascii="仿宋" w:hAnsi="仿宋" w:eastAsia="仿宋"/>
          <w:sz w:val="32"/>
          <w:szCs w:val="32"/>
        </w:rPr>
        <w:t>2023年财政拨款收、支总计1104.78万元。与2022年相比：收、支总计增加275.6万元，上涨了33.2%。主要变动原因是人员经费增加并且使用了以前年度资金。</w:t>
      </w:r>
    </w:p>
    <w:p w14:paraId="7954A9A7">
      <w:pPr>
        <w:pStyle w:val="2"/>
        <w:rPr>
          <w:rFonts w:ascii="仿宋" w:hAnsi="仿宋" w:eastAsia="仿宋"/>
          <w:b/>
          <w:sz w:val="32"/>
          <w:szCs w:val="32"/>
        </w:rPr>
      </w:pPr>
      <w:r>
        <w:drawing>
          <wp:inline distT="0" distB="0" distL="114300" distR="114300">
            <wp:extent cx="4826000" cy="2743200"/>
            <wp:effectExtent l="4445" t="4445" r="15875" b="10795"/>
            <wp:docPr id="102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08E144">
      <w:pPr>
        <w:spacing w:line="600" w:lineRule="exact"/>
        <w:ind w:firstLine="640" w:firstLineChars="200"/>
        <w:outlineLvl w:val="1"/>
        <w:rPr>
          <w:rStyle w:val="28"/>
          <w:rFonts w:ascii="黑体" w:hAnsi="黑体" w:eastAsia="黑体"/>
          <w:b w:val="0"/>
        </w:rPr>
      </w:pPr>
      <w:bookmarkStart w:id="40" w:name="_Toc15377209"/>
      <w:bookmarkStart w:id="41" w:name="_Toc28405"/>
      <w:bookmarkStart w:id="42"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40"/>
      <w:bookmarkEnd w:id="41"/>
      <w:bookmarkEnd w:id="42"/>
    </w:p>
    <w:p w14:paraId="0AA5823A">
      <w:pPr>
        <w:spacing w:line="600" w:lineRule="exact"/>
        <w:ind w:firstLine="643" w:firstLineChars="200"/>
        <w:outlineLvl w:val="2"/>
        <w:rPr>
          <w:rFonts w:ascii="仿宋" w:hAnsi="仿宋" w:eastAsia="仿宋"/>
          <w:b/>
          <w:sz w:val="32"/>
          <w:szCs w:val="32"/>
        </w:rPr>
      </w:pPr>
      <w:bookmarkStart w:id="43" w:name="_Toc15377210"/>
      <w:r>
        <w:rPr>
          <w:rFonts w:hint="eastAsia" w:ascii="仿宋" w:hAnsi="仿宋" w:eastAsia="仿宋"/>
          <w:b/>
          <w:sz w:val="32"/>
          <w:szCs w:val="32"/>
        </w:rPr>
        <w:t>（一）一般公共预算财政拨款支出决算总体情况</w:t>
      </w:r>
      <w:bookmarkEnd w:id="43"/>
    </w:p>
    <w:p w14:paraId="3B411CA0">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2023年一般公共预算财政拨款支出552.39万元，占本年支出合计的100%。与2022年相比，一般公共预算财政拨款支出增加42.95万元，上涨33%。主要变动原因是基本支出增加，项目支出增加。</w:t>
      </w:r>
    </w:p>
    <w:p w14:paraId="4441BF45">
      <w:pPr>
        <w:spacing w:line="600" w:lineRule="exact"/>
        <w:ind w:firstLine="640" w:firstLineChars="200"/>
        <w:rPr>
          <w:rFonts w:ascii="仿宋" w:hAnsi="仿宋" w:eastAsia="仿宋"/>
          <w:sz w:val="32"/>
          <w:szCs w:val="32"/>
        </w:rPr>
      </w:pPr>
    </w:p>
    <w:p w14:paraId="11AE8DA0">
      <w:pPr>
        <w:pStyle w:val="2"/>
        <w:rPr>
          <w:rFonts w:ascii="仿宋" w:hAnsi="仿宋" w:eastAsia="仿宋"/>
          <w:sz w:val="32"/>
          <w:szCs w:val="32"/>
        </w:rPr>
      </w:pPr>
      <w:r>
        <w:drawing>
          <wp:inline distT="0" distB="0" distL="114300" distR="114300">
            <wp:extent cx="4826000" cy="2743200"/>
            <wp:effectExtent l="4445" t="4445" r="15875" b="1079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18F6C4">
      <w:pPr>
        <w:rPr>
          <w:rFonts w:ascii="仿宋" w:hAnsi="仿宋" w:eastAsia="仿宋"/>
          <w:sz w:val="32"/>
          <w:szCs w:val="32"/>
        </w:rPr>
      </w:pPr>
    </w:p>
    <w:p w14:paraId="322CE774">
      <w:pPr>
        <w:pStyle w:val="2"/>
        <w:rPr>
          <w:rFonts w:ascii="仿宋" w:hAnsi="仿宋" w:eastAsia="仿宋"/>
          <w:sz w:val="32"/>
          <w:szCs w:val="32"/>
        </w:rPr>
      </w:pPr>
    </w:p>
    <w:p w14:paraId="0955877C"/>
    <w:p w14:paraId="32F80CAB">
      <w:pPr>
        <w:spacing w:line="600" w:lineRule="exact"/>
        <w:ind w:firstLine="643" w:firstLineChars="200"/>
        <w:outlineLvl w:val="2"/>
        <w:rPr>
          <w:rFonts w:ascii="仿宋" w:hAnsi="仿宋" w:eastAsia="仿宋"/>
          <w:b/>
          <w:sz w:val="32"/>
          <w:szCs w:val="32"/>
        </w:rPr>
      </w:pPr>
      <w:bookmarkStart w:id="44" w:name="_Toc15377211"/>
      <w:r>
        <w:rPr>
          <w:rFonts w:hint="eastAsia" w:ascii="仿宋" w:hAnsi="仿宋" w:eastAsia="仿宋"/>
          <w:b/>
          <w:sz w:val="32"/>
          <w:szCs w:val="32"/>
        </w:rPr>
        <w:t>（二）一般公共预算财政拨款支出决算结构情况</w:t>
      </w:r>
      <w:bookmarkEnd w:id="44"/>
    </w:p>
    <w:p w14:paraId="37ED9797">
      <w:pPr>
        <w:tabs>
          <w:tab w:val="right" w:pos="8306"/>
        </w:tabs>
        <w:spacing w:line="600" w:lineRule="exact"/>
        <w:ind w:firstLine="640"/>
        <w:outlineLvl w:val="1"/>
        <w:rPr>
          <w:rFonts w:hint="eastAsia" w:ascii="仿宋" w:hAnsi="仿宋" w:eastAsia="仿宋"/>
          <w:sz w:val="32"/>
          <w:szCs w:val="32"/>
        </w:rPr>
      </w:pPr>
      <w:bookmarkStart w:id="45" w:name="_Toc22930"/>
      <w:bookmarkStart w:id="46" w:name="_Toc15377214"/>
      <w:bookmarkStart w:id="47" w:name="_Toc15396608"/>
      <w:r>
        <w:rPr>
          <w:rFonts w:hint="eastAsia" w:ascii="仿宋" w:hAnsi="仿宋" w:eastAsia="仿宋"/>
          <w:sz w:val="32"/>
          <w:szCs w:val="32"/>
        </w:rPr>
        <w:t>2023年一般公共预算财政拨款支出552.39万元，主要用于以下方面:一般公共服务支出0万元，占0%；教育支出0万元，占0%；科学技术支出0万元，占0%；文化旅游体育与传媒支出0万元，占0%；社会保障和就业支出134.88万元，占24.41%；卫生健康支出14.15万元，占2.56%；住房保障支出20.09万元，占3.63%；农林水支出383.28万元，占69.39%。</w:t>
      </w:r>
      <w:bookmarkEnd w:id="45"/>
    </w:p>
    <w:p w14:paraId="6EBBC8AA">
      <w:pPr>
        <w:tabs>
          <w:tab w:val="right" w:pos="8306"/>
        </w:tabs>
        <w:spacing w:line="600" w:lineRule="exact"/>
        <w:ind w:firstLine="640"/>
        <w:outlineLvl w:val="1"/>
        <w:rPr>
          <w:rFonts w:hint="eastAsia" w:ascii="仿宋" w:hAnsi="仿宋" w:eastAsia="仿宋"/>
          <w:sz w:val="32"/>
          <w:szCs w:val="32"/>
        </w:rPr>
      </w:pPr>
    </w:p>
    <w:p w14:paraId="3CF97EEF">
      <w:pPr>
        <w:tabs>
          <w:tab w:val="right" w:pos="8306"/>
        </w:tabs>
        <w:spacing w:line="600" w:lineRule="exact"/>
        <w:ind w:firstLine="640"/>
        <w:outlineLvl w:val="1"/>
        <w:rPr>
          <w:rFonts w:hint="eastAsia" w:ascii="仿宋" w:hAnsi="仿宋" w:eastAsia="仿宋"/>
          <w:sz w:val="32"/>
          <w:szCs w:val="32"/>
        </w:rPr>
      </w:pPr>
    </w:p>
    <w:p w14:paraId="79C25AFB">
      <w:pPr>
        <w:tabs>
          <w:tab w:val="right" w:pos="8306"/>
        </w:tabs>
        <w:spacing w:line="600" w:lineRule="exact"/>
        <w:ind w:firstLine="640"/>
        <w:outlineLvl w:val="1"/>
        <w:rPr>
          <w:rFonts w:hint="eastAsia" w:ascii="仿宋" w:hAnsi="仿宋" w:eastAsia="仿宋"/>
          <w:sz w:val="32"/>
          <w:szCs w:val="32"/>
        </w:rPr>
      </w:pPr>
    </w:p>
    <w:p w14:paraId="6C0EF693">
      <w:pPr>
        <w:tabs>
          <w:tab w:val="right" w:pos="8306"/>
        </w:tabs>
        <w:spacing w:line="600" w:lineRule="exact"/>
        <w:ind w:firstLine="640"/>
        <w:outlineLvl w:val="1"/>
        <w:rPr>
          <w:rFonts w:hint="eastAsia" w:ascii="仿宋" w:hAnsi="仿宋" w:eastAsia="仿宋"/>
          <w:sz w:val="32"/>
          <w:szCs w:val="32"/>
        </w:rPr>
      </w:pPr>
    </w:p>
    <w:p w14:paraId="2273BC32">
      <w:pPr>
        <w:tabs>
          <w:tab w:val="right" w:pos="8306"/>
        </w:tabs>
        <w:spacing w:line="600" w:lineRule="exact"/>
        <w:ind w:firstLine="640"/>
        <w:outlineLvl w:val="1"/>
        <w:rPr>
          <w:rFonts w:hint="eastAsia" w:ascii="仿宋" w:hAnsi="仿宋" w:eastAsia="仿宋"/>
          <w:sz w:val="32"/>
          <w:szCs w:val="32"/>
        </w:rPr>
      </w:pPr>
      <w:bookmarkStart w:id="48" w:name="_Toc15523"/>
      <w:r>
        <w:rPr>
          <w:rFonts w:hint="eastAsia" w:ascii="仿宋" w:hAnsi="仿宋" w:eastAsia="仿宋"/>
          <w:sz w:val="32"/>
          <w:szCs w:val="32"/>
        </w:rPr>
        <w:t>（三）一般公共预算财政拨款支出决算具体情况</w:t>
      </w:r>
      <w:bookmarkEnd w:id="48"/>
    </w:p>
    <w:p w14:paraId="4D57B7FA">
      <w:pPr>
        <w:tabs>
          <w:tab w:val="right" w:pos="8306"/>
        </w:tabs>
        <w:spacing w:line="600" w:lineRule="exact"/>
        <w:ind w:firstLine="640"/>
        <w:outlineLvl w:val="1"/>
        <w:rPr>
          <w:rFonts w:hint="eastAsia" w:ascii="仿宋" w:hAnsi="仿宋" w:eastAsia="仿宋"/>
          <w:sz w:val="32"/>
          <w:szCs w:val="32"/>
        </w:rPr>
      </w:pPr>
      <w:bookmarkStart w:id="49" w:name="_Toc7781"/>
      <w:r>
        <w:rPr>
          <w:rFonts w:hint="eastAsia" w:ascii="仿宋" w:hAnsi="仿宋" w:eastAsia="仿宋"/>
          <w:sz w:val="32"/>
          <w:szCs w:val="32"/>
        </w:rPr>
        <w:t>2023年一般公共预算支出决算数为552.39万元，完成预算100%。其中：</w:t>
      </w:r>
      <w:bookmarkEnd w:id="49"/>
    </w:p>
    <w:p w14:paraId="1FCFDD4F">
      <w:pPr>
        <w:tabs>
          <w:tab w:val="right" w:pos="8306"/>
        </w:tabs>
        <w:spacing w:line="600" w:lineRule="exact"/>
        <w:ind w:firstLine="640"/>
        <w:outlineLvl w:val="1"/>
        <w:rPr>
          <w:rFonts w:hint="eastAsia" w:ascii="仿宋" w:hAnsi="仿宋" w:eastAsia="仿宋"/>
          <w:sz w:val="30"/>
          <w:szCs w:val="30"/>
        </w:rPr>
      </w:pPr>
      <w:bookmarkStart w:id="50" w:name="_Toc15666"/>
      <w:r>
        <w:rPr>
          <w:rFonts w:hint="eastAsia" w:ascii="仿宋" w:hAnsi="仿宋" w:eastAsia="仿宋"/>
          <w:sz w:val="32"/>
          <w:szCs w:val="32"/>
        </w:rPr>
        <w:t>1、社会保障和就业（208）行政事业单位养老支出（05）事业单位离退休（02）: 支出决算为1.84万元，完成预算100%。</w:t>
      </w:r>
      <w:bookmarkEnd w:id="50"/>
    </w:p>
    <w:p w14:paraId="679B6A23">
      <w:pPr>
        <w:tabs>
          <w:tab w:val="right" w:pos="8306"/>
        </w:tabs>
        <w:spacing w:line="600" w:lineRule="exact"/>
        <w:ind w:firstLine="640"/>
        <w:outlineLvl w:val="1"/>
        <w:rPr>
          <w:rFonts w:hint="eastAsia" w:ascii="仿宋" w:hAnsi="仿宋" w:eastAsia="仿宋"/>
          <w:sz w:val="30"/>
          <w:szCs w:val="30"/>
        </w:rPr>
      </w:pPr>
      <w:bookmarkStart w:id="51" w:name="_Toc9668"/>
      <w:r>
        <w:rPr>
          <w:rFonts w:hint="eastAsia" w:ascii="仿宋" w:hAnsi="仿宋" w:eastAsia="仿宋"/>
          <w:sz w:val="30"/>
          <w:szCs w:val="30"/>
        </w:rPr>
        <w:t>2、社会保障和就业（208）行政事业单位养老支出（05）其他行政事业单位养老支出（99）: 支出决算为85.11万元，完成预算100%。</w:t>
      </w:r>
      <w:bookmarkEnd w:id="51"/>
    </w:p>
    <w:p w14:paraId="59DA000D">
      <w:pPr>
        <w:tabs>
          <w:tab w:val="right" w:pos="8306"/>
        </w:tabs>
        <w:spacing w:line="600" w:lineRule="exact"/>
        <w:ind w:firstLine="640"/>
        <w:outlineLvl w:val="1"/>
        <w:rPr>
          <w:rFonts w:hint="eastAsia" w:ascii="仿宋" w:hAnsi="仿宋" w:eastAsia="仿宋"/>
          <w:sz w:val="30"/>
          <w:szCs w:val="30"/>
        </w:rPr>
      </w:pPr>
      <w:bookmarkStart w:id="52" w:name="_Toc10644"/>
      <w:r>
        <w:rPr>
          <w:rFonts w:hint="eastAsia" w:ascii="仿宋" w:hAnsi="仿宋" w:eastAsia="仿宋"/>
          <w:sz w:val="30"/>
          <w:szCs w:val="30"/>
        </w:rPr>
        <w:t>3、社会保障和就业（208）行政事业单位养老支出（05）机关事业单位基本养老保险缴费支出（05）: 支出决算为28.18万元，完成预算100%。</w:t>
      </w:r>
      <w:bookmarkEnd w:id="52"/>
    </w:p>
    <w:p w14:paraId="22D537B4">
      <w:pPr>
        <w:tabs>
          <w:tab w:val="right" w:pos="8306"/>
        </w:tabs>
        <w:spacing w:line="600" w:lineRule="exact"/>
        <w:ind w:firstLine="640"/>
        <w:outlineLvl w:val="1"/>
        <w:rPr>
          <w:rFonts w:hint="eastAsia" w:ascii="仿宋" w:hAnsi="仿宋" w:eastAsia="仿宋"/>
          <w:sz w:val="30"/>
          <w:szCs w:val="30"/>
        </w:rPr>
      </w:pPr>
      <w:bookmarkStart w:id="53" w:name="_Toc61"/>
      <w:r>
        <w:rPr>
          <w:rFonts w:hint="eastAsia" w:ascii="仿宋" w:hAnsi="仿宋" w:eastAsia="仿宋"/>
          <w:sz w:val="30"/>
          <w:szCs w:val="30"/>
        </w:rPr>
        <w:t>4、社会保障和就业（208）行政事业单位养老支出（05）机关事业单位职业年金缴费支出（06）: 支出决算为5.26万元，完成预算100%。</w:t>
      </w:r>
      <w:bookmarkEnd w:id="53"/>
    </w:p>
    <w:p w14:paraId="4B126B95">
      <w:pPr>
        <w:tabs>
          <w:tab w:val="right" w:pos="8306"/>
        </w:tabs>
        <w:spacing w:line="600" w:lineRule="exact"/>
        <w:ind w:firstLine="640"/>
        <w:outlineLvl w:val="1"/>
        <w:rPr>
          <w:rFonts w:hint="eastAsia" w:ascii="仿宋" w:hAnsi="仿宋" w:eastAsia="仿宋"/>
          <w:sz w:val="30"/>
          <w:szCs w:val="30"/>
        </w:rPr>
      </w:pPr>
      <w:bookmarkStart w:id="54" w:name="_Toc17890"/>
      <w:r>
        <w:rPr>
          <w:rFonts w:hint="eastAsia" w:ascii="仿宋" w:hAnsi="仿宋" w:eastAsia="仿宋"/>
          <w:sz w:val="30"/>
          <w:szCs w:val="30"/>
        </w:rPr>
        <w:t>5、社会保障和就业（208）抚恤（08）死亡抚恤（01）: 支出决算为14.49万元，完成预算100%。</w:t>
      </w:r>
      <w:bookmarkEnd w:id="54"/>
    </w:p>
    <w:p w14:paraId="20678EBC">
      <w:pPr>
        <w:tabs>
          <w:tab w:val="right" w:pos="8306"/>
        </w:tabs>
        <w:spacing w:line="600" w:lineRule="exact"/>
        <w:ind w:firstLine="640"/>
        <w:outlineLvl w:val="1"/>
        <w:rPr>
          <w:rFonts w:hint="eastAsia" w:ascii="仿宋" w:hAnsi="仿宋" w:eastAsia="仿宋"/>
          <w:sz w:val="30"/>
          <w:szCs w:val="30"/>
        </w:rPr>
      </w:pPr>
      <w:bookmarkStart w:id="55" w:name="_Toc2119"/>
      <w:r>
        <w:rPr>
          <w:rFonts w:hint="eastAsia" w:ascii="仿宋" w:hAnsi="仿宋" w:eastAsia="仿宋"/>
          <w:sz w:val="30"/>
          <w:szCs w:val="30"/>
        </w:rPr>
        <w:t>6、卫生健康（210）行政事业单位医疗（11）事业单位医疗（02）: 支出决算为14.15万元，完成预算100%。</w:t>
      </w:r>
      <w:bookmarkEnd w:id="55"/>
    </w:p>
    <w:p w14:paraId="1EC4F254">
      <w:pPr>
        <w:tabs>
          <w:tab w:val="right" w:pos="8306"/>
        </w:tabs>
        <w:spacing w:line="600" w:lineRule="exact"/>
        <w:ind w:firstLine="640"/>
        <w:outlineLvl w:val="1"/>
        <w:rPr>
          <w:rFonts w:hint="eastAsia" w:ascii="仿宋" w:hAnsi="仿宋" w:eastAsia="仿宋"/>
          <w:sz w:val="30"/>
          <w:szCs w:val="30"/>
        </w:rPr>
      </w:pPr>
      <w:bookmarkStart w:id="56" w:name="_Toc30344"/>
      <w:r>
        <w:rPr>
          <w:rFonts w:hint="eastAsia" w:ascii="仿宋" w:hAnsi="仿宋" w:eastAsia="仿宋"/>
          <w:sz w:val="30"/>
          <w:szCs w:val="30"/>
        </w:rPr>
        <w:t>7. 农林水支出（213）林业和草原（02）事业机构（04）: 支出决算为290.97万元，完成预算100%。</w:t>
      </w:r>
      <w:bookmarkEnd w:id="56"/>
    </w:p>
    <w:p w14:paraId="41160A22">
      <w:pPr>
        <w:tabs>
          <w:tab w:val="right" w:pos="8306"/>
        </w:tabs>
        <w:spacing w:line="600" w:lineRule="exact"/>
        <w:ind w:firstLine="640"/>
        <w:outlineLvl w:val="1"/>
        <w:rPr>
          <w:rFonts w:hint="eastAsia" w:ascii="仿宋" w:hAnsi="仿宋" w:eastAsia="仿宋"/>
          <w:sz w:val="30"/>
          <w:szCs w:val="30"/>
        </w:rPr>
      </w:pPr>
      <w:bookmarkStart w:id="57" w:name="_Toc32037"/>
      <w:r>
        <w:rPr>
          <w:rFonts w:hint="eastAsia" w:ascii="仿宋" w:hAnsi="仿宋" w:eastAsia="仿宋"/>
          <w:sz w:val="30"/>
          <w:szCs w:val="30"/>
        </w:rPr>
        <w:t>8. 农林水支出（213）林业和草原（02）森林资源管理（07）: 支出决算为61.5万元，完成预算100%。</w:t>
      </w:r>
      <w:bookmarkEnd w:id="57"/>
    </w:p>
    <w:p w14:paraId="389A0F51">
      <w:pPr>
        <w:tabs>
          <w:tab w:val="right" w:pos="8306"/>
        </w:tabs>
        <w:spacing w:line="600" w:lineRule="exact"/>
        <w:ind w:firstLine="640"/>
        <w:outlineLvl w:val="1"/>
        <w:rPr>
          <w:rFonts w:hint="eastAsia" w:ascii="仿宋" w:hAnsi="仿宋" w:eastAsia="仿宋"/>
          <w:sz w:val="30"/>
          <w:szCs w:val="30"/>
        </w:rPr>
      </w:pPr>
      <w:bookmarkStart w:id="58" w:name="_Toc24612"/>
      <w:r>
        <w:rPr>
          <w:rFonts w:hint="eastAsia" w:ascii="仿宋" w:hAnsi="仿宋" w:eastAsia="仿宋"/>
          <w:sz w:val="30"/>
          <w:szCs w:val="30"/>
        </w:rPr>
        <w:t>9. 农林水支出（213）林业和草原（02）其他林业和草原支出（99）: 支出决算为30万元，完成预算100%。</w:t>
      </w:r>
      <w:bookmarkEnd w:id="58"/>
    </w:p>
    <w:p w14:paraId="6C8805AC">
      <w:pPr>
        <w:tabs>
          <w:tab w:val="right" w:pos="8306"/>
        </w:tabs>
        <w:spacing w:line="600" w:lineRule="exact"/>
        <w:ind w:firstLine="640"/>
        <w:outlineLvl w:val="1"/>
        <w:rPr>
          <w:rFonts w:hint="eastAsia" w:ascii="仿宋" w:hAnsi="仿宋" w:eastAsia="仿宋"/>
          <w:sz w:val="30"/>
          <w:szCs w:val="30"/>
        </w:rPr>
      </w:pPr>
      <w:bookmarkStart w:id="59" w:name="_Toc20947"/>
      <w:r>
        <w:rPr>
          <w:rFonts w:hint="eastAsia" w:ascii="仿宋" w:hAnsi="仿宋" w:eastAsia="仿宋"/>
          <w:sz w:val="30"/>
          <w:szCs w:val="30"/>
        </w:rPr>
        <w:t>10. 农林水支出（213）其他农林水支出（99）其他农林水支出（99）: 支出决算为0.81万元，完成预算100%。</w:t>
      </w:r>
      <w:bookmarkEnd w:id="59"/>
    </w:p>
    <w:p w14:paraId="47FBB09D">
      <w:pPr>
        <w:tabs>
          <w:tab w:val="right" w:pos="8306"/>
        </w:tabs>
        <w:spacing w:line="600" w:lineRule="exact"/>
        <w:ind w:firstLine="640"/>
        <w:outlineLvl w:val="1"/>
        <w:rPr>
          <w:rFonts w:hint="eastAsia" w:ascii="仿宋" w:hAnsi="仿宋" w:eastAsia="仿宋"/>
          <w:sz w:val="30"/>
          <w:szCs w:val="30"/>
        </w:rPr>
      </w:pPr>
      <w:bookmarkStart w:id="60" w:name="_Toc28461"/>
      <w:r>
        <w:rPr>
          <w:rFonts w:hint="eastAsia" w:ascii="仿宋" w:hAnsi="仿宋" w:eastAsia="仿宋"/>
          <w:sz w:val="30"/>
          <w:szCs w:val="30"/>
        </w:rPr>
        <w:t>11. 住房保障支出（221）住房改革支出（02）住房公积金（01）:支出决算为20.09万元，完成预算100%.</w:t>
      </w:r>
      <w:bookmarkEnd w:id="60"/>
    </w:p>
    <w:p w14:paraId="068AFE1E">
      <w:pPr>
        <w:tabs>
          <w:tab w:val="right" w:pos="8306"/>
        </w:tabs>
        <w:spacing w:line="600" w:lineRule="exact"/>
        <w:ind w:firstLine="640"/>
        <w:outlineLvl w:val="1"/>
        <w:rPr>
          <w:rStyle w:val="28"/>
          <w:sz w:val="30"/>
          <w:szCs w:val="30"/>
        </w:rPr>
      </w:pPr>
      <w:bookmarkStart w:id="61" w:name="_Toc14491"/>
      <w:r>
        <w:rPr>
          <w:rFonts w:hint="eastAsia" w:ascii="黑体" w:eastAsia="黑体"/>
          <w:sz w:val="30"/>
          <w:szCs w:val="30"/>
        </w:rPr>
        <w:t>六</w:t>
      </w:r>
      <w:r>
        <w:rPr>
          <w:rFonts w:hint="eastAsia" w:ascii="黑体" w:eastAsia="黑体"/>
          <w:b/>
          <w:sz w:val="30"/>
          <w:szCs w:val="30"/>
        </w:rPr>
        <w:t>、</w:t>
      </w:r>
      <w:r>
        <w:rPr>
          <w:rFonts w:hint="eastAsia" w:ascii="黑体" w:hAnsi="黑体" w:eastAsia="黑体"/>
          <w:b/>
          <w:sz w:val="30"/>
          <w:szCs w:val="30"/>
        </w:rPr>
        <w:t>一</w:t>
      </w:r>
      <w:r>
        <w:rPr>
          <w:rStyle w:val="28"/>
          <w:rFonts w:hint="eastAsia" w:ascii="黑体" w:hAnsi="黑体" w:eastAsia="黑体"/>
          <w:b w:val="0"/>
          <w:sz w:val="30"/>
          <w:szCs w:val="30"/>
        </w:rPr>
        <w:t>般公共预算财政拨款基本支出决算情况说明</w:t>
      </w:r>
      <w:bookmarkEnd w:id="46"/>
      <w:bookmarkEnd w:id="47"/>
      <w:bookmarkEnd w:id="61"/>
      <w:r>
        <w:rPr>
          <w:rStyle w:val="28"/>
          <w:rFonts w:ascii="黑体" w:hAnsi="黑体" w:eastAsia="黑体"/>
          <w:b w:val="0"/>
          <w:sz w:val="30"/>
          <w:szCs w:val="30"/>
        </w:rPr>
        <w:tab/>
      </w:r>
    </w:p>
    <w:p w14:paraId="10319BD3">
      <w:pPr>
        <w:spacing w:line="600" w:lineRule="exact"/>
        <w:ind w:firstLine="645"/>
        <w:rPr>
          <w:rFonts w:ascii="仿宋" w:hAnsi="仿宋" w:eastAsia="仿宋"/>
          <w:sz w:val="30"/>
          <w:szCs w:val="30"/>
        </w:rPr>
      </w:pPr>
      <w:r>
        <w:rPr>
          <w:rFonts w:hint="eastAsia" w:ascii="仿宋" w:hAnsi="仿宋" w:eastAsia="仿宋"/>
          <w:sz w:val="30"/>
          <w:szCs w:val="30"/>
        </w:rPr>
        <w:t>2023年度一般公共预算财政拨款基本支出</w:t>
      </w:r>
      <w:r>
        <w:rPr>
          <w:rFonts w:ascii="仿宋" w:hAnsi="仿宋" w:eastAsia="仿宋"/>
          <w:b/>
          <w:sz w:val="30"/>
          <w:szCs w:val="30"/>
        </w:rPr>
        <w:t>460.08</w:t>
      </w:r>
      <w:r>
        <w:rPr>
          <w:rFonts w:hint="eastAsia" w:ascii="仿宋" w:hAnsi="仿宋" w:eastAsia="仿宋"/>
          <w:sz w:val="30"/>
          <w:szCs w:val="30"/>
        </w:rPr>
        <w:t>万元，其中：</w:t>
      </w:r>
    </w:p>
    <w:p w14:paraId="1B64C579">
      <w:pPr>
        <w:spacing w:line="600" w:lineRule="exact"/>
        <w:ind w:firstLine="640"/>
        <w:rPr>
          <w:rFonts w:hint="eastAsia" w:ascii="仿宋" w:hAnsi="仿宋" w:eastAsia="仿宋"/>
          <w:sz w:val="32"/>
          <w:szCs w:val="32"/>
        </w:rPr>
      </w:pPr>
      <w:r>
        <w:rPr>
          <w:rFonts w:hint="eastAsia" w:ascii="仿宋" w:hAnsi="仿宋" w:eastAsia="仿宋"/>
          <w:sz w:val="32"/>
          <w:szCs w:val="32"/>
        </w:rPr>
        <w:t>人员经费437.95万元，主要包括：基本工资113.45万元、津贴补贴8.13万元、绩效工资60.08、机关事业单位基本养老保险缴费28.18、职业年金缴费5.26万元、职工基本医疗保险缴费14.15万元、住房公积金20.09万元、其他福利支出86.49万元、生活补助87.63万元、抚恤金14.49万元、奖励金0.01万元。</w:t>
      </w:r>
    </w:p>
    <w:p w14:paraId="330976FB">
      <w:pPr>
        <w:spacing w:line="600" w:lineRule="exact"/>
        <w:ind w:firstLine="640"/>
        <w:rPr>
          <w:rFonts w:ascii="仿宋" w:hAnsi="仿宋" w:eastAsia="仿宋"/>
          <w:b/>
          <w:sz w:val="32"/>
          <w:szCs w:val="32"/>
        </w:rPr>
      </w:pPr>
      <w:r>
        <w:rPr>
          <w:rFonts w:hint="eastAsia" w:ascii="仿宋" w:hAnsi="仿宋" w:eastAsia="仿宋"/>
          <w:sz w:val="32"/>
          <w:szCs w:val="32"/>
        </w:rPr>
        <w:t>公用经费22.13万元，主要包括：办公费2万元、水费0.5万元、电费0.46万元、邮电费0.66万元、差旅费6.8万元、工会经费1.4万元、福利费7.49万元、其他商品和服务支出2.83万元。</w:t>
      </w:r>
    </w:p>
    <w:p w14:paraId="5D27696E">
      <w:pPr>
        <w:spacing w:line="600" w:lineRule="exact"/>
        <w:ind w:firstLine="640"/>
        <w:outlineLvl w:val="1"/>
        <w:rPr>
          <w:rStyle w:val="28"/>
          <w:rFonts w:ascii="黑体" w:hAnsi="黑体" w:eastAsia="黑体"/>
          <w:b w:val="0"/>
        </w:rPr>
      </w:pPr>
      <w:bookmarkStart w:id="62" w:name="_Toc15377215"/>
      <w:bookmarkStart w:id="63" w:name="_Toc15396609"/>
      <w:bookmarkStart w:id="64" w:name="_Toc19916"/>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62"/>
      <w:bookmarkEnd w:id="63"/>
      <w:bookmarkEnd w:id="64"/>
    </w:p>
    <w:p w14:paraId="77A1C1D5">
      <w:pPr>
        <w:spacing w:line="600" w:lineRule="exact"/>
        <w:ind w:firstLine="640"/>
        <w:outlineLvl w:val="2"/>
        <w:rPr>
          <w:rFonts w:ascii="仿宋" w:hAnsi="仿宋" w:eastAsia="仿宋"/>
          <w:b/>
          <w:sz w:val="32"/>
          <w:szCs w:val="32"/>
        </w:rPr>
      </w:pPr>
      <w:bookmarkStart w:id="65" w:name="_Toc15377216"/>
      <w:r>
        <w:rPr>
          <w:rFonts w:hint="eastAsia" w:ascii="仿宋" w:hAnsi="仿宋" w:eastAsia="仿宋"/>
          <w:b/>
          <w:sz w:val="32"/>
          <w:szCs w:val="32"/>
        </w:rPr>
        <w:t>（一）“三公”经费财政拨款支出决算总体情况说明</w:t>
      </w:r>
      <w:bookmarkEnd w:id="65"/>
    </w:p>
    <w:p w14:paraId="598343A3">
      <w:pPr>
        <w:spacing w:line="600" w:lineRule="exact"/>
        <w:ind w:firstLine="640"/>
        <w:rPr>
          <w:rFonts w:ascii="仿宋" w:hAnsi="仿宋" w:eastAsia="仿宋"/>
          <w:b/>
          <w:sz w:val="32"/>
          <w:szCs w:val="32"/>
        </w:rPr>
      </w:pPr>
      <w:r>
        <w:rPr>
          <w:rFonts w:hint="eastAsia" w:ascii="仿宋" w:hAnsi="仿宋" w:eastAsia="仿宋"/>
          <w:sz w:val="32"/>
          <w:szCs w:val="32"/>
        </w:rPr>
        <w:t>2023年“三公”经费财政拨款支出决算为0万元，完成预算0%，较上年减少0.52万元，下降100%。决算数与预算数相等的主要原因是综合办公室未及时将发票送至财务室。</w:t>
      </w:r>
    </w:p>
    <w:p w14:paraId="1CB394F5">
      <w:pPr>
        <w:spacing w:line="600" w:lineRule="exact"/>
        <w:ind w:firstLine="640"/>
        <w:outlineLvl w:val="2"/>
        <w:rPr>
          <w:rFonts w:ascii="仿宋" w:hAnsi="仿宋" w:eastAsia="仿宋"/>
          <w:b/>
          <w:sz w:val="32"/>
          <w:szCs w:val="32"/>
        </w:rPr>
      </w:pPr>
      <w:bookmarkStart w:id="66" w:name="_Toc15377217"/>
      <w:r>
        <w:rPr>
          <w:rFonts w:hint="eastAsia" w:ascii="仿宋" w:hAnsi="仿宋" w:eastAsia="仿宋"/>
          <w:b/>
          <w:sz w:val="32"/>
          <w:szCs w:val="32"/>
        </w:rPr>
        <w:t>（二）“三公”经费财政拨款支出决算具体情况说明</w:t>
      </w:r>
      <w:bookmarkEnd w:id="66"/>
    </w:p>
    <w:p w14:paraId="5E425C4F">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1847BBBC">
      <w:pPr>
        <w:numPr>
          <w:ilvl w:val="0"/>
          <w:numId w:val="3"/>
        </w:numPr>
        <w:spacing w:line="600" w:lineRule="exact"/>
        <w:ind w:firstLine="640"/>
        <w:rPr>
          <w:rFonts w:hint="eastAsia" w:ascii="仿宋_GB2312" w:eastAsia="仿宋_GB2312"/>
          <w:sz w:val="32"/>
          <w:szCs w:val="32"/>
        </w:rPr>
      </w:pPr>
      <w:bookmarkStart w:id="67" w:name="_Toc15377218"/>
      <w:bookmarkStart w:id="68" w:name="_Toc15396610"/>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全年安排因公出国（境）团组0次，出国（境）0人。因公出国（境）支出决算比2021年增加/减少0万元，增长/下降0%。主要原因是与往年一样无因公出国（境）。</w:t>
      </w:r>
    </w:p>
    <w:p w14:paraId="3CB13CD8">
      <w:pPr>
        <w:numPr>
          <w:ilvl w:val="0"/>
          <w:numId w:val="0"/>
        </w:numPr>
        <w:spacing w:line="60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p>
    <w:p w14:paraId="741269F2">
      <w:pPr>
        <w:spacing w:line="600" w:lineRule="exact"/>
        <w:ind w:firstLine="643" w:firstLineChars="200"/>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p>
    <w:p w14:paraId="233A5D5C">
      <w:pPr>
        <w:spacing w:line="600" w:lineRule="exact"/>
        <w:ind w:firstLine="640"/>
        <w:outlineLvl w:val="1"/>
        <w:rPr>
          <w:rStyle w:val="28"/>
          <w:rFonts w:ascii="黑体" w:hAnsi="黑体" w:eastAsia="黑体"/>
        </w:rPr>
      </w:pPr>
      <w:bookmarkStart w:id="69" w:name="_Toc30716"/>
      <w:r>
        <w:rPr>
          <w:rFonts w:hint="eastAsia" w:ascii="黑体" w:eastAsia="黑体"/>
          <w:sz w:val="32"/>
          <w:szCs w:val="32"/>
        </w:rPr>
        <w:t>八、</w:t>
      </w:r>
      <w:r>
        <w:rPr>
          <w:rStyle w:val="28"/>
          <w:rFonts w:hint="eastAsia" w:ascii="黑体" w:hAnsi="黑体" w:eastAsia="黑体"/>
          <w:b w:val="0"/>
        </w:rPr>
        <w:t>政府性基金预算支出决算情况说明</w:t>
      </w:r>
      <w:bookmarkEnd w:id="67"/>
      <w:bookmarkEnd w:id="68"/>
      <w:bookmarkEnd w:id="69"/>
    </w:p>
    <w:p w14:paraId="3307CD05">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616B1D50">
      <w:pPr>
        <w:numPr>
          <w:ilvl w:val="0"/>
          <w:numId w:val="4"/>
        </w:numPr>
        <w:spacing w:line="600" w:lineRule="exact"/>
        <w:ind w:firstLine="640"/>
        <w:outlineLvl w:val="1"/>
        <w:rPr>
          <w:rStyle w:val="28"/>
          <w:rFonts w:ascii="黑体" w:hAnsi="黑体" w:eastAsia="黑体"/>
          <w:b w:val="0"/>
        </w:rPr>
      </w:pPr>
      <w:bookmarkStart w:id="70" w:name="_Toc16789"/>
      <w:bookmarkStart w:id="71" w:name="_Toc15377219"/>
      <w:bookmarkStart w:id="72" w:name="_Toc15396611"/>
      <w:r>
        <w:rPr>
          <w:rStyle w:val="28"/>
          <w:rFonts w:hint="eastAsia" w:ascii="黑体" w:hAnsi="黑体" w:eastAsia="黑体"/>
          <w:b w:val="0"/>
        </w:rPr>
        <w:t>国有资本经营预算支出决算情况说明</w:t>
      </w:r>
      <w:bookmarkEnd w:id="70"/>
      <w:bookmarkEnd w:id="71"/>
      <w:bookmarkEnd w:id="72"/>
    </w:p>
    <w:p w14:paraId="2E83A8A9">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6D9179CF">
      <w:pPr>
        <w:numPr>
          <w:ilvl w:val="0"/>
          <w:numId w:val="4"/>
        </w:numPr>
        <w:spacing w:line="600" w:lineRule="exact"/>
        <w:ind w:firstLine="640"/>
        <w:outlineLvl w:val="1"/>
        <w:rPr>
          <w:rStyle w:val="28"/>
          <w:rFonts w:ascii="黑体" w:hAnsi="黑体" w:eastAsia="黑体"/>
          <w:b w:val="0"/>
        </w:rPr>
      </w:pPr>
      <w:bookmarkStart w:id="73" w:name="_Toc15396612"/>
      <w:bookmarkStart w:id="74" w:name="_Toc15377221"/>
      <w:bookmarkStart w:id="75" w:name="_Toc15361"/>
      <w:r>
        <w:rPr>
          <w:rStyle w:val="28"/>
          <w:rFonts w:hint="eastAsia" w:ascii="黑体" w:hAnsi="黑体" w:eastAsia="黑体"/>
          <w:b w:val="0"/>
        </w:rPr>
        <w:t>其他重要事项的情况说明</w:t>
      </w:r>
      <w:bookmarkEnd w:id="73"/>
      <w:bookmarkEnd w:id="74"/>
      <w:bookmarkEnd w:id="75"/>
    </w:p>
    <w:p w14:paraId="556F5920">
      <w:pPr>
        <w:spacing w:line="600" w:lineRule="exact"/>
        <w:ind w:firstLine="643" w:firstLineChars="200"/>
        <w:outlineLvl w:val="2"/>
        <w:rPr>
          <w:rFonts w:ascii="仿宋" w:hAnsi="仿宋" w:eastAsia="仿宋"/>
          <w:sz w:val="32"/>
          <w:szCs w:val="32"/>
        </w:rPr>
      </w:pPr>
      <w:bookmarkStart w:id="76" w:name="_Toc15377222"/>
      <w:r>
        <w:rPr>
          <w:rFonts w:hint="eastAsia" w:ascii="仿宋" w:hAnsi="仿宋" w:eastAsia="仿宋"/>
          <w:b/>
          <w:sz w:val="32"/>
          <w:szCs w:val="32"/>
        </w:rPr>
        <w:t>（一）机关运行经费支出情况</w:t>
      </w:r>
      <w:bookmarkEnd w:id="76"/>
    </w:p>
    <w:p w14:paraId="7EA370B8">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大竹县峰顶山国有林场</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p>
    <w:p w14:paraId="0B156131">
      <w:pPr>
        <w:autoSpaceDE w:val="0"/>
        <w:autoSpaceDN w:val="0"/>
        <w:adjustRightInd w:val="0"/>
        <w:spacing w:line="600" w:lineRule="exact"/>
        <w:ind w:firstLine="643" w:firstLineChars="200"/>
        <w:jc w:val="left"/>
        <w:outlineLvl w:val="2"/>
        <w:rPr>
          <w:rFonts w:ascii="仿宋" w:hAnsi="仿宋" w:eastAsia="仿宋"/>
          <w:b/>
          <w:sz w:val="32"/>
          <w:szCs w:val="32"/>
        </w:rPr>
      </w:pPr>
      <w:bookmarkStart w:id="77" w:name="_Toc15377223"/>
      <w:r>
        <w:rPr>
          <w:rFonts w:hint="eastAsia" w:ascii="仿宋" w:hAnsi="仿宋" w:eastAsia="仿宋"/>
          <w:b/>
          <w:sz w:val="32"/>
          <w:szCs w:val="32"/>
        </w:rPr>
        <w:t>（二）政府采购支出情况</w:t>
      </w:r>
      <w:bookmarkEnd w:id="77"/>
    </w:p>
    <w:p w14:paraId="589BB25E">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大竹县峰顶山国有林场</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w:t>
      </w:r>
    </w:p>
    <w:p w14:paraId="2FECECB8">
      <w:pPr>
        <w:autoSpaceDE w:val="0"/>
        <w:autoSpaceDN w:val="0"/>
        <w:adjustRightInd w:val="0"/>
        <w:spacing w:line="600" w:lineRule="exact"/>
        <w:ind w:firstLine="643" w:firstLineChars="200"/>
        <w:jc w:val="left"/>
        <w:outlineLvl w:val="2"/>
        <w:rPr>
          <w:rFonts w:ascii="仿宋" w:hAnsi="仿宋" w:eastAsia="仿宋"/>
          <w:b/>
          <w:sz w:val="32"/>
          <w:szCs w:val="32"/>
        </w:rPr>
      </w:pPr>
      <w:bookmarkStart w:id="78" w:name="_Toc15377224"/>
      <w:r>
        <w:rPr>
          <w:rFonts w:hint="eastAsia" w:ascii="仿宋" w:hAnsi="仿宋" w:eastAsia="仿宋"/>
          <w:b/>
          <w:sz w:val="32"/>
          <w:szCs w:val="32"/>
        </w:rPr>
        <w:t>（三）国有资产占有使用情况</w:t>
      </w:r>
      <w:bookmarkEnd w:id="78"/>
    </w:p>
    <w:p w14:paraId="6395EE83">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大竹县峰顶山国有林场</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w:t>
      </w:r>
    </w:p>
    <w:p w14:paraId="4ACEC913">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6F71F24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预算绩效管理要求，本单位在年初预算编制阶段，组织对0项目开展了预算事前绩效评估，对0个项目编制了绩效目标，预算执行过程中，选取0个项目开展绩效监控，年终执行完毕后，对0个项目开展了绩效目标完成情况梳理填报。</w:t>
      </w:r>
    </w:p>
    <w:p w14:paraId="6203A9E3">
      <w:pPr>
        <w:spacing w:line="600" w:lineRule="exact"/>
        <w:ind w:firstLine="640" w:firstLineChars="200"/>
        <w:rPr>
          <w:rFonts w:ascii="仿宋_GB2312" w:eastAsia="仿宋_GB2312"/>
          <w:sz w:val="32"/>
          <w:szCs w:val="32"/>
        </w:rPr>
      </w:pPr>
      <w:r>
        <w:rPr>
          <w:rFonts w:hint="eastAsia" w:ascii="仿宋_GB2312" w:eastAsia="仿宋_GB2312"/>
          <w:sz w:val="32"/>
          <w:szCs w:val="32"/>
        </w:rPr>
        <w:t>本部门按要求对2023年部门整体支出开展绩效自评，从评价情况来看基本实现任务目标，年度绩效指标为良。</w:t>
      </w:r>
    </w:p>
    <w:p w14:paraId="7DB55D1B">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40512A1B">
      <w:pPr>
        <w:pStyle w:val="3"/>
        <w:bidi w:val="0"/>
        <w:jc w:val="center"/>
      </w:pPr>
      <w:bookmarkStart w:id="79" w:name="_Toc15396613"/>
      <w:bookmarkStart w:id="80" w:name="_Toc15377225"/>
      <w:bookmarkStart w:id="81" w:name="_Toc30726"/>
      <w:r>
        <w:rPr>
          <w:rFonts w:hint="eastAsia"/>
          <w:lang w:val="en-US" w:eastAsia="zh-CN"/>
        </w:rPr>
        <w:t xml:space="preserve">第三部分 </w:t>
      </w:r>
      <w:r>
        <w:rPr>
          <w:rFonts w:hint="eastAsia"/>
        </w:rPr>
        <w:t>名词解释</w:t>
      </w:r>
      <w:bookmarkEnd w:id="79"/>
      <w:bookmarkEnd w:id="80"/>
      <w:bookmarkEnd w:id="81"/>
    </w:p>
    <w:p w14:paraId="14C262C3">
      <w:pPr>
        <w:spacing w:line="600" w:lineRule="exact"/>
        <w:jc w:val="left"/>
        <w:rPr>
          <w:rFonts w:ascii="宋体"/>
          <w:b/>
          <w:sz w:val="44"/>
          <w:szCs w:val="44"/>
        </w:rPr>
      </w:pPr>
    </w:p>
    <w:p w14:paraId="5DF373E7">
      <w:pPr>
        <w:spacing w:line="600" w:lineRule="exact"/>
        <w:jc w:val="left"/>
        <w:outlineLvl w:val="0"/>
        <w:rPr>
          <w:rFonts w:hint="eastAsia" w:ascii="仿宋_GB2312" w:eastAsia="仿宋_GB2312"/>
          <w:color w:val="auto"/>
          <w:sz w:val="32"/>
          <w:szCs w:val="32"/>
        </w:rPr>
      </w:pPr>
      <w:bookmarkStart w:id="82" w:name="_Toc28491"/>
      <w:bookmarkStart w:id="83" w:name="_Toc15396614"/>
      <w:bookmarkStart w:id="84" w:name="_Toc15377226"/>
      <w:r>
        <w:rPr>
          <w:rFonts w:hint="eastAsia" w:ascii="仿宋_GB2312" w:eastAsia="仿宋_GB2312"/>
          <w:color w:val="auto"/>
          <w:sz w:val="32"/>
          <w:szCs w:val="32"/>
        </w:rPr>
        <w:t>1.财政拨款收入：指单位从同级财政部门取得的财政预算资金。</w:t>
      </w:r>
      <w:bookmarkEnd w:id="82"/>
    </w:p>
    <w:p w14:paraId="2AFFC075">
      <w:pPr>
        <w:spacing w:line="600" w:lineRule="exact"/>
        <w:jc w:val="left"/>
        <w:outlineLvl w:val="0"/>
        <w:rPr>
          <w:rFonts w:hint="eastAsia" w:ascii="仿宋_GB2312" w:eastAsia="仿宋_GB2312"/>
          <w:color w:val="auto"/>
          <w:sz w:val="32"/>
          <w:szCs w:val="32"/>
        </w:rPr>
      </w:pPr>
      <w:bookmarkStart w:id="85" w:name="_Toc16369"/>
      <w:r>
        <w:rPr>
          <w:rFonts w:hint="eastAsia" w:ascii="仿宋_GB2312" w:eastAsia="仿宋_GB2312"/>
          <w:color w:val="auto"/>
          <w:sz w:val="32"/>
          <w:szCs w:val="32"/>
        </w:rPr>
        <w:t>2.事业收入：指事业单位开展专业业务活动及辅助活动取得的收入。</w:t>
      </w:r>
      <w:bookmarkEnd w:id="85"/>
    </w:p>
    <w:p w14:paraId="11AA93D3">
      <w:pPr>
        <w:spacing w:line="600" w:lineRule="exact"/>
        <w:jc w:val="left"/>
        <w:outlineLvl w:val="0"/>
        <w:rPr>
          <w:rFonts w:hint="eastAsia" w:ascii="仿宋_GB2312" w:eastAsia="仿宋_GB2312"/>
          <w:color w:val="auto"/>
          <w:sz w:val="32"/>
          <w:szCs w:val="32"/>
        </w:rPr>
      </w:pPr>
      <w:bookmarkStart w:id="86" w:name="_Toc16718"/>
      <w:r>
        <w:rPr>
          <w:rFonts w:hint="eastAsia" w:ascii="仿宋_GB2312" w:eastAsia="仿宋_GB2312"/>
          <w:color w:val="auto"/>
          <w:sz w:val="32"/>
          <w:szCs w:val="32"/>
        </w:rPr>
        <w:t>3.经营收入：指事业单位在专业业务活动及其辅助活动之外开展非独立核算经营活动取得的收入。</w:t>
      </w:r>
      <w:bookmarkEnd w:id="86"/>
    </w:p>
    <w:p w14:paraId="19305294">
      <w:pPr>
        <w:spacing w:line="600" w:lineRule="exact"/>
        <w:jc w:val="center"/>
        <w:outlineLvl w:val="0"/>
        <w:rPr>
          <w:rFonts w:hint="eastAsia" w:ascii="仿宋_GB2312" w:eastAsia="仿宋_GB2312"/>
          <w:color w:val="auto"/>
          <w:sz w:val="32"/>
          <w:szCs w:val="32"/>
        </w:rPr>
      </w:pPr>
      <w:bookmarkStart w:id="87" w:name="_Toc24380"/>
      <w:r>
        <w:rPr>
          <w:rFonts w:hint="eastAsia" w:ascii="仿宋_GB2312" w:eastAsia="仿宋_GB2312"/>
          <w:color w:val="auto"/>
          <w:sz w:val="32"/>
          <w:szCs w:val="32"/>
        </w:rPr>
        <w:t>4.其他收入：指单位取得的除上述收入以外的各项收入。</w:t>
      </w:r>
      <w:bookmarkEnd w:id="87"/>
    </w:p>
    <w:p w14:paraId="5D5CD52E">
      <w:pPr>
        <w:spacing w:line="600" w:lineRule="exact"/>
        <w:jc w:val="left"/>
        <w:outlineLvl w:val="0"/>
        <w:rPr>
          <w:rFonts w:hint="eastAsia" w:ascii="仿宋_GB2312" w:eastAsia="仿宋_GB2312"/>
          <w:color w:val="auto"/>
          <w:sz w:val="32"/>
          <w:szCs w:val="32"/>
        </w:rPr>
      </w:pPr>
      <w:bookmarkStart w:id="88" w:name="_Toc27539"/>
      <w:r>
        <w:rPr>
          <w:rFonts w:hint="eastAsia" w:ascii="仿宋_GB2312" w:eastAsia="仿宋_GB2312"/>
          <w:color w:val="auto"/>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bookmarkEnd w:id="88"/>
      <w:r>
        <w:rPr>
          <w:rFonts w:hint="eastAsia" w:ascii="仿宋_GB2312" w:eastAsia="仿宋_GB2312"/>
          <w:color w:val="auto"/>
          <w:sz w:val="32"/>
          <w:szCs w:val="32"/>
        </w:rPr>
        <w:t xml:space="preserve"> </w:t>
      </w:r>
    </w:p>
    <w:p w14:paraId="4BA001A5">
      <w:pPr>
        <w:spacing w:line="600" w:lineRule="exact"/>
        <w:jc w:val="left"/>
        <w:outlineLvl w:val="0"/>
        <w:rPr>
          <w:rFonts w:hint="eastAsia" w:ascii="仿宋_GB2312" w:eastAsia="仿宋_GB2312"/>
          <w:color w:val="auto"/>
          <w:sz w:val="32"/>
          <w:szCs w:val="32"/>
        </w:rPr>
      </w:pPr>
      <w:bookmarkStart w:id="89" w:name="_Toc28572"/>
      <w:r>
        <w:rPr>
          <w:rFonts w:hint="eastAsia" w:ascii="仿宋_GB2312" w:eastAsia="仿宋_GB2312"/>
          <w:color w:val="auto"/>
          <w:sz w:val="32"/>
          <w:szCs w:val="32"/>
        </w:rPr>
        <w:t>6.年初结转和结余：指以前年度尚未完成、结转到本年按有关规定继续使用的资金。</w:t>
      </w:r>
      <w:bookmarkEnd w:id="89"/>
      <w:r>
        <w:rPr>
          <w:rFonts w:hint="eastAsia" w:ascii="仿宋_GB2312" w:eastAsia="仿宋_GB2312"/>
          <w:color w:val="auto"/>
          <w:sz w:val="32"/>
          <w:szCs w:val="32"/>
        </w:rPr>
        <w:t xml:space="preserve"> </w:t>
      </w:r>
    </w:p>
    <w:p w14:paraId="0ECD6206">
      <w:pPr>
        <w:spacing w:line="600" w:lineRule="exact"/>
        <w:jc w:val="left"/>
        <w:outlineLvl w:val="0"/>
        <w:rPr>
          <w:rFonts w:hint="eastAsia" w:ascii="仿宋_GB2312" w:eastAsia="仿宋_GB2312"/>
          <w:color w:val="auto"/>
          <w:sz w:val="32"/>
          <w:szCs w:val="32"/>
        </w:rPr>
      </w:pPr>
      <w:bookmarkStart w:id="90" w:name="_Toc5636"/>
      <w:r>
        <w:rPr>
          <w:rFonts w:hint="eastAsia" w:ascii="仿宋_GB2312" w:eastAsia="仿宋_GB2312"/>
          <w:color w:val="auto"/>
          <w:sz w:val="32"/>
          <w:szCs w:val="32"/>
        </w:rPr>
        <w:t>7.结余分配：指事业单位按照事业单位会计制度的规定从非财政补助结余中分配的事业基金和职工福利基金等。</w:t>
      </w:r>
      <w:bookmarkEnd w:id="90"/>
    </w:p>
    <w:p w14:paraId="642ECBC0">
      <w:pPr>
        <w:spacing w:line="600" w:lineRule="exact"/>
        <w:jc w:val="left"/>
        <w:outlineLvl w:val="0"/>
        <w:rPr>
          <w:rFonts w:hint="eastAsia" w:ascii="仿宋_GB2312" w:eastAsia="仿宋_GB2312"/>
          <w:color w:val="auto"/>
          <w:sz w:val="32"/>
          <w:szCs w:val="32"/>
        </w:rPr>
      </w:pPr>
      <w:bookmarkStart w:id="91" w:name="_Toc16953"/>
      <w:r>
        <w:rPr>
          <w:rFonts w:hint="eastAsia" w:ascii="仿宋_GB2312" w:eastAsia="仿宋_GB2312"/>
          <w:color w:val="auto"/>
          <w:sz w:val="32"/>
          <w:szCs w:val="32"/>
        </w:rPr>
        <w:t>8、年末结转和结余：指单位按有关规定结转到下年或以后年度继续使用的资金。</w:t>
      </w:r>
      <w:bookmarkEnd w:id="91"/>
    </w:p>
    <w:p w14:paraId="703F6B00">
      <w:pPr>
        <w:spacing w:line="600" w:lineRule="exact"/>
        <w:jc w:val="left"/>
        <w:outlineLvl w:val="0"/>
        <w:rPr>
          <w:rFonts w:hint="eastAsia" w:ascii="仿宋_GB2312" w:eastAsia="仿宋_GB2312"/>
          <w:color w:val="auto"/>
          <w:sz w:val="32"/>
          <w:szCs w:val="32"/>
        </w:rPr>
      </w:pPr>
      <w:bookmarkStart w:id="92" w:name="_Toc31362"/>
      <w:r>
        <w:rPr>
          <w:rFonts w:hint="eastAsia" w:ascii="仿宋_GB2312" w:eastAsia="仿宋_GB2312"/>
          <w:color w:val="auto"/>
          <w:sz w:val="32"/>
          <w:szCs w:val="32"/>
        </w:rPr>
        <w:t>9. 社会保障和就业（类）行政事业单位养老（款）事关事业单位基本养老保险支出（项）：指机关事业单位实施养老保险制度由单位缴纳的基本养老保险费支出。</w:t>
      </w:r>
      <w:bookmarkEnd w:id="92"/>
    </w:p>
    <w:p w14:paraId="1F73BB76">
      <w:pPr>
        <w:spacing w:line="600" w:lineRule="exact"/>
        <w:jc w:val="left"/>
        <w:outlineLvl w:val="0"/>
        <w:rPr>
          <w:rFonts w:hint="eastAsia" w:ascii="仿宋_GB2312" w:eastAsia="仿宋_GB2312"/>
          <w:color w:val="auto"/>
          <w:sz w:val="32"/>
          <w:szCs w:val="32"/>
        </w:rPr>
      </w:pPr>
      <w:bookmarkStart w:id="93" w:name="_Toc2395"/>
      <w:r>
        <w:rPr>
          <w:rFonts w:hint="eastAsia" w:ascii="仿宋_GB2312" w:eastAsia="仿宋_GB2312"/>
          <w:color w:val="auto"/>
          <w:sz w:val="32"/>
          <w:szCs w:val="32"/>
        </w:rPr>
        <w:t>10.  社会保障和就业（类）行政事业单位养老（款）其他行政事业单位养老支出（项）：指其他用于行政事业单位养老方面的支出。</w:t>
      </w:r>
      <w:bookmarkEnd w:id="93"/>
    </w:p>
    <w:p w14:paraId="6AD6E8DF">
      <w:pPr>
        <w:spacing w:line="600" w:lineRule="exact"/>
        <w:jc w:val="left"/>
        <w:outlineLvl w:val="0"/>
        <w:rPr>
          <w:rFonts w:hint="eastAsia" w:ascii="仿宋_GB2312" w:eastAsia="仿宋_GB2312"/>
          <w:color w:val="auto"/>
          <w:sz w:val="32"/>
          <w:szCs w:val="32"/>
        </w:rPr>
      </w:pPr>
      <w:bookmarkStart w:id="94" w:name="_Toc10850"/>
      <w:r>
        <w:rPr>
          <w:rFonts w:hint="eastAsia" w:ascii="仿宋_GB2312" w:eastAsia="仿宋_GB2312"/>
          <w:color w:val="auto"/>
          <w:sz w:val="32"/>
          <w:szCs w:val="32"/>
        </w:rPr>
        <w:t>11、社会保障和就业（类）抚恤（款）死亡抚恤（项）：反映按规定用于烈士和牺牲、病故人员家属的一次性和定期抚恤金以及丧葬补助费。</w:t>
      </w:r>
      <w:bookmarkEnd w:id="94"/>
    </w:p>
    <w:p w14:paraId="7EA78980">
      <w:pPr>
        <w:spacing w:line="600" w:lineRule="exact"/>
        <w:jc w:val="left"/>
        <w:outlineLvl w:val="0"/>
        <w:rPr>
          <w:rFonts w:hint="eastAsia" w:ascii="仿宋_GB2312" w:eastAsia="仿宋_GB2312"/>
          <w:color w:val="auto"/>
          <w:sz w:val="32"/>
          <w:szCs w:val="32"/>
        </w:rPr>
      </w:pPr>
      <w:bookmarkStart w:id="95" w:name="_Toc16526"/>
      <w:r>
        <w:rPr>
          <w:rFonts w:hint="eastAsia" w:ascii="仿宋_GB2312" w:eastAsia="仿宋_GB2312"/>
          <w:color w:val="auto"/>
          <w:sz w:val="32"/>
          <w:szCs w:val="32"/>
        </w:rPr>
        <w:t>12、卫生健康（类）行政事业单位医疗（款）事业单位医疗（项）：反映财政部门安排的事业单位基本医疗保险缴纳经费，末参加医疗保险的事业单位的公费医疗经费，按国家规定享受离休人员待遇的医疗经费。</w:t>
      </w:r>
      <w:bookmarkEnd w:id="95"/>
    </w:p>
    <w:p w14:paraId="67F5C492">
      <w:pPr>
        <w:spacing w:line="600" w:lineRule="exact"/>
        <w:jc w:val="left"/>
        <w:outlineLvl w:val="0"/>
        <w:rPr>
          <w:rFonts w:hint="eastAsia" w:ascii="仿宋_GB2312" w:eastAsia="仿宋_GB2312"/>
          <w:color w:val="auto"/>
          <w:sz w:val="32"/>
          <w:szCs w:val="32"/>
        </w:rPr>
      </w:pPr>
      <w:bookmarkStart w:id="96" w:name="_Toc11383"/>
      <w:r>
        <w:rPr>
          <w:rFonts w:hint="eastAsia" w:ascii="仿宋_GB2312" w:eastAsia="仿宋_GB2312"/>
          <w:color w:val="auto"/>
          <w:sz w:val="32"/>
          <w:szCs w:val="32"/>
        </w:rPr>
        <w:t>13、农林水（类）林业与草原（款）事业机构（项）：反映事业单位基本支出，不包括行政单位（含实行公务员管理的事业单位）后勤服务中心等附属事业单位的支出。</w:t>
      </w:r>
      <w:bookmarkEnd w:id="96"/>
    </w:p>
    <w:p w14:paraId="45120139">
      <w:pPr>
        <w:spacing w:line="600" w:lineRule="exact"/>
        <w:jc w:val="left"/>
        <w:outlineLvl w:val="0"/>
        <w:rPr>
          <w:rFonts w:hint="eastAsia" w:ascii="仿宋_GB2312" w:eastAsia="仿宋_GB2312"/>
          <w:color w:val="auto"/>
          <w:sz w:val="32"/>
          <w:szCs w:val="32"/>
        </w:rPr>
      </w:pPr>
      <w:bookmarkStart w:id="97" w:name="_Toc20195"/>
      <w:r>
        <w:rPr>
          <w:rFonts w:hint="eastAsia" w:ascii="仿宋_GB2312" w:eastAsia="仿宋_GB2312"/>
          <w:color w:val="auto"/>
          <w:sz w:val="32"/>
          <w:szCs w:val="32"/>
        </w:rPr>
        <w:t>14、农林水（类）林业与草原（款）森林资源管理（项）：反映森林资源核查、监测、评估、经营利用、林地保护等方面的支出。</w:t>
      </w:r>
      <w:bookmarkEnd w:id="97"/>
    </w:p>
    <w:p w14:paraId="7B21CEF7">
      <w:pPr>
        <w:spacing w:line="600" w:lineRule="exact"/>
        <w:jc w:val="left"/>
        <w:outlineLvl w:val="0"/>
        <w:rPr>
          <w:rFonts w:hint="eastAsia" w:ascii="仿宋_GB2312" w:eastAsia="仿宋_GB2312"/>
          <w:color w:val="auto"/>
          <w:sz w:val="32"/>
          <w:szCs w:val="32"/>
        </w:rPr>
      </w:pPr>
      <w:bookmarkStart w:id="98" w:name="_Toc8410"/>
      <w:r>
        <w:rPr>
          <w:rFonts w:hint="eastAsia" w:ascii="仿宋_GB2312" w:eastAsia="仿宋_GB2312"/>
          <w:color w:val="auto"/>
          <w:sz w:val="32"/>
          <w:szCs w:val="32"/>
        </w:rPr>
        <w:t>15、农林水（类）林业和草原（款）其他林业和草原支出（项）：反映其他用于林业和草原方面的支出。</w:t>
      </w:r>
      <w:bookmarkEnd w:id="98"/>
    </w:p>
    <w:p w14:paraId="7C238A5D">
      <w:pPr>
        <w:spacing w:line="600" w:lineRule="exact"/>
        <w:jc w:val="left"/>
        <w:outlineLvl w:val="0"/>
        <w:rPr>
          <w:rFonts w:hint="eastAsia" w:ascii="仿宋_GB2312" w:eastAsia="仿宋_GB2312"/>
          <w:color w:val="auto"/>
          <w:sz w:val="32"/>
          <w:szCs w:val="32"/>
        </w:rPr>
      </w:pPr>
      <w:bookmarkStart w:id="99" w:name="_Toc31796"/>
      <w:r>
        <w:rPr>
          <w:rFonts w:hint="eastAsia" w:ascii="仿宋_GB2312" w:eastAsia="仿宋_GB2312"/>
          <w:color w:val="auto"/>
          <w:sz w:val="32"/>
          <w:szCs w:val="32"/>
        </w:rPr>
        <w:t>16、住房保障支出（类）住房改革支出（款）住房公积金（项）：反映行政事业单位按人力资源和社会保障部、财政部规定的基本工资和津贴补贴以及规定比例为职工缴纳的住房公积金。</w:t>
      </w:r>
      <w:bookmarkEnd w:id="99"/>
    </w:p>
    <w:p w14:paraId="54183E6A">
      <w:pPr>
        <w:spacing w:line="600" w:lineRule="exact"/>
        <w:jc w:val="left"/>
        <w:outlineLvl w:val="0"/>
        <w:rPr>
          <w:rFonts w:hint="eastAsia" w:ascii="仿宋_GB2312" w:eastAsia="仿宋_GB2312"/>
          <w:color w:val="auto"/>
          <w:sz w:val="32"/>
          <w:szCs w:val="32"/>
        </w:rPr>
      </w:pPr>
      <w:bookmarkStart w:id="100" w:name="_Toc16275"/>
      <w:r>
        <w:rPr>
          <w:rFonts w:hint="eastAsia" w:ascii="仿宋_GB2312" w:eastAsia="仿宋_GB2312"/>
          <w:color w:val="auto"/>
          <w:sz w:val="32"/>
          <w:szCs w:val="32"/>
        </w:rPr>
        <w:t>17.基本支出：指为保障机构正常运转、完成日常工作任务而发生的人员支出和公用支出。</w:t>
      </w:r>
      <w:bookmarkEnd w:id="100"/>
    </w:p>
    <w:p w14:paraId="79E68D0F">
      <w:pPr>
        <w:spacing w:line="600" w:lineRule="exact"/>
        <w:jc w:val="left"/>
        <w:outlineLvl w:val="0"/>
        <w:rPr>
          <w:rFonts w:hint="eastAsia" w:ascii="仿宋_GB2312" w:eastAsia="仿宋_GB2312"/>
          <w:color w:val="auto"/>
          <w:sz w:val="32"/>
          <w:szCs w:val="32"/>
        </w:rPr>
      </w:pPr>
      <w:bookmarkStart w:id="101" w:name="_Toc22939"/>
      <w:r>
        <w:rPr>
          <w:rFonts w:hint="eastAsia" w:ascii="仿宋_GB2312" w:eastAsia="仿宋_GB2312"/>
          <w:color w:val="auto"/>
          <w:sz w:val="32"/>
          <w:szCs w:val="32"/>
        </w:rPr>
        <w:t>18.项目支出：指在基本支出之外为完成特定行政任务和事业发展目标所发生的支出。</w:t>
      </w:r>
      <w:bookmarkEnd w:id="101"/>
      <w:r>
        <w:rPr>
          <w:rFonts w:hint="eastAsia" w:ascii="仿宋_GB2312" w:eastAsia="仿宋_GB2312"/>
          <w:color w:val="auto"/>
          <w:sz w:val="32"/>
          <w:szCs w:val="32"/>
        </w:rPr>
        <w:t xml:space="preserve"> </w:t>
      </w:r>
    </w:p>
    <w:p w14:paraId="0EC0AE33">
      <w:pPr>
        <w:spacing w:line="600" w:lineRule="exact"/>
        <w:jc w:val="left"/>
        <w:outlineLvl w:val="0"/>
        <w:rPr>
          <w:rFonts w:hint="eastAsia" w:ascii="仿宋_GB2312" w:eastAsia="仿宋_GB2312"/>
          <w:color w:val="auto"/>
          <w:sz w:val="32"/>
          <w:szCs w:val="32"/>
        </w:rPr>
      </w:pPr>
      <w:bookmarkStart w:id="102" w:name="_Toc29125"/>
      <w:r>
        <w:rPr>
          <w:rFonts w:hint="eastAsia" w:ascii="仿宋_GB2312" w:eastAsia="仿宋_GB2312"/>
          <w:color w:val="auto"/>
          <w:sz w:val="32"/>
          <w:szCs w:val="32"/>
        </w:rPr>
        <w:t>19.经营支出：指事业单位在专业业务活动及其辅助活动之外开展非独立核算经营活动发生的支出。</w:t>
      </w:r>
      <w:bookmarkEnd w:id="102"/>
    </w:p>
    <w:p w14:paraId="74BA869D">
      <w:pPr>
        <w:spacing w:line="600" w:lineRule="exact"/>
        <w:jc w:val="left"/>
        <w:outlineLvl w:val="0"/>
        <w:rPr>
          <w:rFonts w:hint="eastAsia" w:ascii="仿宋_GB2312" w:eastAsia="仿宋_GB2312"/>
          <w:color w:val="auto"/>
          <w:sz w:val="32"/>
          <w:szCs w:val="32"/>
        </w:rPr>
      </w:pPr>
      <w:bookmarkStart w:id="103" w:name="_Toc32372"/>
      <w:r>
        <w:rPr>
          <w:rFonts w:hint="eastAsia" w:ascii="仿宋_GB2312" w:eastAsia="仿宋_GB2312"/>
          <w:color w:val="auto"/>
          <w:sz w:val="32"/>
          <w:szCs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End w:id="103"/>
    </w:p>
    <w:p w14:paraId="0AAF815F">
      <w:pPr>
        <w:spacing w:line="600" w:lineRule="exact"/>
        <w:jc w:val="left"/>
        <w:outlineLvl w:val="0"/>
        <w:rPr>
          <w:sz w:val="32"/>
        </w:rPr>
      </w:pPr>
      <w:bookmarkStart w:id="104" w:name="_Toc275"/>
      <w:r>
        <w:rPr>
          <w:rFonts w:hint="eastAsia" w:ascii="仿宋_GB2312" w:eastAsia="仿宋_GB2312"/>
          <w:color w:val="auto"/>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83"/>
      <w:bookmarkEnd w:id="104"/>
      <w:bookmarkStart w:id="105" w:name="_Toc15396618"/>
    </w:p>
    <w:tbl>
      <w:tblPr>
        <w:tblStyle w:val="15"/>
        <w:tblpPr w:leftFromText="180" w:rightFromText="180" w:vertAnchor="text" w:horzAnchor="page" w:tblpX="1371" w:tblpY="-7600"/>
        <w:tblOverlap w:val="never"/>
        <w:tblW w:w="9780" w:type="dxa"/>
        <w:tblInd w:w="0" w:type="dxa"/>
        <w:tblLayout w:type="fixed"/>
        <w:tblCellMar>
          <w:top w:w="0" w:type="dxa"/>
          <w:left w:w="108" w:type="dxa"/>
          <w:bottom w:w="0" w:type="dxa"/>
          <w:right w:w="108" w:type="dxa"/>
        </w:tblCellMar>
      </w:tblPr>
      <w:tblGrid>
        <w:gridCol w:w="2018"/>
        <w:gridCol w:w="1166"/>
        <w:gridCol w:w="1670"/>
        <w:gridCol w:w="1214"/>
        <w:gridCol w:w="1250"/>
        <w:gridCol w:w="2462"/>
      </w:tblGrid>
      <w:tr w14:paraId="49E3CBEE">
        <w:tblPrEx>
          <w:tblCellMar>
            <w:top w:w="0" w:type="dxa"/>
            <w:left w:w="108" w:type="dxa"/>
            <w:bottom w:w="0" w:type="dxa"/>
            <w:right w:w="108" w:type="dxa"/>
          </w:tblCellMar>
        </w:tblPrEx>
        <w:trPr>
          <w:trHeight w:val="3180" w:hRule="atLeast"/>
        </w:trPr>
        <w:tc>
          <w:tcPr>
            <w:tcW w:w="9780" w:type="dxa"/>
            <w:gridSpan w:val="6"/>
            <w:tcBorders>
              <w:top w:val="nil"/>
              <w:left w:val="nil"/>
              <w:bottom w:val="nil"/>
              <w:right w:val="nil"/>
            </w:tcBorders>
            <w:shd w:val="clear" w:color="auto" w:fill="auto"/>
            <w:vAlign w:val="center"/>
          </w:tcPr>
          <w:p w14:paraId="7AED9172">
            <w:pPr>
              <w:pStyle w:val="2"/>
              <w:rPr>
                <w:rFonts w:ascii="宋体" w:hAnsi="宋体" w:cs="宋体"/>
                <w:b/>
                <w:sz w:val="32"/>
                <w:szCs w:val="32"/>
              </w:rPr>
            </w:pPr>
          </w:p>
          <w:p w14:paraId="17F2CFB5">
            <w:pPr>
              <w:pStyle w:val="3"/>
              <w:bidi w:val="0"/>
              <w:jc w:val="center"/>
              <w:rPr>
                <w:rFonts w:ascii="仿宋_GB2312" w:hAnsi="仿宋_GB2312" w:eastAsia="仿宋_GB2312" w:cs="仿宋_GB2312"/>
                <w:sz w:val="32"/>
                <w:szCs w:val="32"/>
              </w:rPr>
            </w:pPr>
            <w:bookmarkStart w:id="106" w:name="_Toc18084"/>
            <w:r>
              <w:rPr>
                <w:rFonts w:hint="eastAsia"/>
              </w:rPr>
              <w:t>第四部分 附件</w:t>
            </w:r>
            <w:bookmarkEnd w:id="106"/>
          </w:p>
          <w:p w14:paraId="0179D2B1">
            <w:pPr>
              <w:spacing w:line="600" w:lineRule="exact"/>
              <w:jc w:val="center"/>
              <w:outlineLvl w:val="0"/>
            </w:pPr>
            <w:bookmarkStart w:id="107" w:name="_Toc30550"/>
            <w:r>
              <w:rPr>
                <w:rFonts w:hint="eastAsia"/>
                <w:sz w:val="32"/>
                <w:szCs w:val="32"/>
              </w:rPr>
              <w:t>部门预算项目支出绩效自评表（2023年度）</w:t>
            </w:r>
            <w:bookmarkEnd w:id="107"/>
          </w:p>
          <w:p w14:paraId="35B96D81">
            <w:pPr>
              <w:pStyle w:val="4"/>
              <w:rPr>
                <w:rFonts w:ascii="宋体" w:hAnsi="宋体" w:cs="宋体"/>
                <w:b/>
                <w:sz w:val="32"/>
                <w:szCs w:val="32"/>
              </w:rPr>
            </w:pPr>
            <w:bookmarkStart w:id="108" w:name="_Toc25604"/>
            <w:bookmarkStart w:id="109" w:name="_Toc12553"/>
            <w:r>
              <w:rPr>
                <w:rFonts w:hint="eastAsia"/>
              </w:rPr>
              <w:t>附件1</w:t>
            </w:r>
            <w:bookmarkEnd w:id="108"/>
            <w:bookmarkEnd w:id="109"/>
          </w:p>
          <w:p w14:paraId="2F010C48">
            <w:pPr>
              <w:widowControl/>
              <w:textAlignment w:val="center"/>
              <w:rPr>
                <w:rFonts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3</w:t>
            </w:r>
            <w:r>
              <w:rPr>
                <w:rFonts w:hint="eastAsia" w:ascii="宋体" w:hAnsi="宋体" w:cs="宋体"/>
                <w:b/>
                <w:sz w:val="32"/>
                <w:szCs w:val="32"/>
              </w:rPr>
              <w:t>年100万元以上（含）特定目标类部门预算项目绩效目标自评</w:t>
            </w:r>
          </w:p>
        </w:tc>
      </w:tr>
      <w:tr w14:paraId="4F53E029">
        <w:tblPrEx>
          <w:tblCellMar>
            <w:top w:w="0" w:type="dxa"/>
            <w:left w:w="108" w:type="dxa"/>
            <w:bottom w:w="0" w:type="dxa"/>
            <w:right w:w="108" w:type="dxa"/>
          </w:tblCellMar>
        </w:tblPrEx>
        <w:trPr>
          <w:trHeight w:val="342" w:hRule="atLeast"/>
        </w:trPr>
        <w:tc>
          <w:tcPr>
            <w:tcW w:w="3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C6252">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5446F">
            <w:pPr>
              <w:widowControl/>
              <w:spacing w:line="320" w:lineRule="exact"/>
              <w:textAlignment w:val="center"/>
              <w:rPr>
                <w:rFonts w:ascii="宋体" w:hAnsi="宋体" w:cs="宋体"/>
                <w:sz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65D7">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D1C6">
            <w:pPr>
              <w:widowControl/>
              <w:spacing w:line="320" w:lineRule="exact"/>
              <w:jc w:val="center"/>
              <w:textAlignment w:val="center"/>
              <w:rPr>
                <w:rFonts w:ascii="宋体" w:hAnsi="宋体" w:cs="宋体"/>
                <w:sz w:val="24"/>
              </w:rPr>
            </w:pPr>
          </w:p>
        </w:tc>
      </w:tr>
      <w:tr w14:paraId="0BE0DE19">
        <w:tblPrEx>
          <w:tblCellMar>
            <w:top w:w="0" w:type="dxa"/>
            <w:left w:w="108" w:type="dxa"/>
            <w:bottom w:w="0" w:type="dxa"/>
            <w:right w:w="108" w:type="dxa"/>
          </w:tblCellMar>
        </w:tblPrEx>
        <w:trPr>
          <w:trHeight w:val="363" w:hRule="atLeast"/>
        </w:trPr>
        <w:tc>
          <w:tcPr>
            <w:tcW w:w="31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66A74">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18E1">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7C8A">
            <w:pPr>
              <w:widowControl/>
              <w:spacing w:line="320" w:lineRule="exact"/>
              <w:jc w:val="left"/>
              <w:textAlignment w:val="center"/>
              <w:rPr>
                <w:rFonts w:ascii="宋体" w:hAnsi="宋体" w:cs="宋体"/>
                <w:sz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5D18">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877A">
            <w:pPr>
              <w:widowControl/>
              <w:spacing w:line="320" w:lineRule="exact"/>
              <w:jc w:val="right"/>
              <w:textAlignment w:val="center"/>
              <w:rPr>
                <w:rFonts w:ascii="宋体" w:hAnsi="宋体" w:cs="宋体"/>
                <w:sz w:val="24"/>
              </w:rPr>
            </w:pPr>
          </w:p>
        </w:tc>
      </w:tr>
      <w:tr w14:paraId="5AE20394">
        <w:tblPrEx>
          <w:tblCellMar>
            <w:top w:w="0" w:type="dxa"/>
            <w:left w:w="108" w:type="dxa"/>
            <w:bottom w:w="0" w:type="dxa"/>
            <w:right w:w="108" w:type="dxa"/>
          </w:tblCellMar>
        </w:tblPrEx>
        <w:trPr>
          <w:trHeight w:val="673" w:hRule="atLeast"/>
        </w:trPr>
        <w:tc>
          <w:tcPr>
            <w:tcW w:w="31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C74AB">
            <w:pPr>
              <w:spacing w:line="320" w:lineRule="exact"/>
              <w:jc w:val="center"/>
              <w:rPr>
                <w:rFonts w:ascii="宋体" w:hAnsi="宋体" w:cs="宋体"/>
                <w:sz w:val="24"/>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F946">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3D5C0070">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C12B">
            <w:pPr>
              <w:widowControl/>
              <w:spacing w:line="320" w:lineRule="exact"/>
              <w:jc w:val="left"/>
              <w:textAlignment w:val="center"/>
              <w:rPr>
                <w:rFonts w:ascii="宋体" w:hAnsi="宋体" w:cs="宋体"/>
                <w:sz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9CA5">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12708700">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60F6">
            <w:pPr>
              <w:widowControl/>
              <w:spacing w:line="320" w:lineRule="exact"/>
              <w:textAlignment w:val="center"/>
              <w:rPr>
                <w:rFonts w:ascii="宋体" w:hAnsi="宋体" w:cs="宋体"/>
                <w:sz w:val="24"/>
              </w:rPr>
            </w:pPr>
          </w:p>
        </w:tc>
      </w:tr>
      <w:tr w14:paraId="1601D3F2">
        <w:tblPrEx>
          <w:tblCellMar>
            <w:top w:w="0" w:type="dxa"/>
            <w:left w:w="108" w:type="dxa"/>
            <w:bottom w:w="0" w:type="dxa"/>
            <w:right w:w="108" w:type="dxa"/>
          </w:tblCellMar>
        </w:tblPrEx>
        <w:trPr>
          <w:trHeight w:val="363" w:hRule="atLeast"/>
        </w:trPr>
        <w:tc>
          <w:tcPr>
            <w:tcW w:w="31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880E0">
            <w:pPr>
              <w:spacing w:line="320" w:lineRule="exact"/>
              <w:jc w:val="center"/>
              <w:rPr>
                <w:rFonts w:ascii="宋体" w:hAnsi="宋体" w:cs="宋体"/>
                <w:sz w:val="24"/>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8C43">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C029">
            <w:pPr>
              <w:widowControl/>
              <w:spacing w:line="320" w:lineRule="exact"/>
              <w:jc w:val="left"/>
              <w:textAlignment w:val="center"/>
              <w:rPr>
                <w:rFonts w:ascii="宋体" w:hAnsi="宋体" w:cs="宋体"/>
                <w:sz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9DB5">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206E">
            <w:pPr>
              <w:widowControl/>
              <w:spacing w:line="320" w:lineRule="exact"/>
              <w:jc w:val="center"/>
              <w:textAlignment w:val="center"/>
              <w:rPr>
                <w:rFonts w:ascii="宋体" w:hAnsi="宋体" w:cs="宋体"/>
                <w:sz w:val="24"/>
              </w:rPr>
            </w:pPr>
          </w:p>
        </w:tc>
      </w:tr>
      <w:tr w14:paraId="5245A30D">
        <w:tblPrEx>
          <w:tblCellMar>
            <w:top w:w="0" w:type="dxa"/>
            <w:left w:w="108" w:type="dxa"/>
            <w:bottom w:w="0" w:type="dxa"/>
            <w:right w:w="108" w:type="dxa"/>
          </w:tblCellMar>
        </w:tblPrEx>
        <w:trPr>
          <w:trHeight w:val="342" w:hRule="atLeast"/>
        </w:trPr>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DF61D">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6F37D2C0">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752D7">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F09CC">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64996C7A">
        <w:tblPrEx>
          <w:tblCellMar>
            <w:top w:w="0" w:type="dxa"/>
            <w:left w:w="108" w:type="dxa"/>
            <w:bottom w:w="0" w:type="dxa"/>
            <w:right w:w="108" w:type="dxa"/>
          </w:tblCellMar>
        </w:tblPrEx>
        <w:trPr>
          <w:trHeight w:val="836" w:hRule="atLeast"/>
        </w:trPr>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2AC49">
            <w:pPr>
              <w:spacing w:line="320" w:lineRule="exact"/>
              <w:jc w:val="center"/>
              <w:rPr>
                <w:rFonts w:ascii="宋体" w:hAnsi="宋体" w:cs="宋体"/>
                <w:sz w:val="24"/>
              </w:rPr>
            </w:pPr>
          </w:p>
        </w:tc>
        <w:tc>
          <w:tcPr>
            <w:tcW w:w="4050" w:type="dxa"/>
            <w:gridSpan w:val="3"/>
            <w:tcBorders>
              <w:top w:val="single" w:color="000000" w:sz="4" w:space="0"/>
              <w:left w:val="single" w:color="000000" w:sz="4" w:space="0"/>
              <w:bottom w:val="single" w:color="000000" w:sz="4" w:space="0"/>
              <w:right w:val="single" w:color="000000" w:sz="4" w:space="0"/>
            </w:tcBorders>
            <w:shd w:val="clear" w:color="auto" w:fill="auto"/>
          </w:tcPr>
          <w:p w14:paraId="33C5A542">
            <w:pPr>
              <w:widowControl/>
              <w:spacing w:line="320" w:lineRule="exact"/>
              <w:jc w:val="left"/>
              <w:textAlignment w:val="top"/>
              <w:rPr>
                <w:rFonts w:ascii="宋体" w:hAnsi="宋体" w:cs="宋体"/>
                <w:sz w:val="24"/>
              </w:rPr>
            </w:pPr>
          </w:p>
        </w:tc>
        <w:tc>
          <w:tcPr>
            <w:tcW w:w="3712" w:type="dxa"/>
            <w:gridSpan w:val="2"/>
            <w:tcBorders>
              <w:top w:val="single" w:color="000000" w:sz="4" w:space="0"/>
              <w:left w:val="single" w:color="000000" w:sz="4" w:space="0"/>
              <w:bottom w:val="single" w:color="000000" w:sz="4" w:space="0"/>
              <w:right w:val="single" w:color="000000" w:sz="4" w:space="0"/>
            </w:tcBorders>
            <w:shd w:val="clear" w:color="auto" w:fill="auto"/>
          </w:tcPr>
          <w:p w14:paraId="64BC6EC3">
            <w:pPr>
              <w:widowControl/>
              <w:spacing w:line="320" w:lineRule="exact"/>
              <w:jc w:val="left"/>
              <w:textAlignment w:val="top"/>
              <w:rPr>
                <w:rFonts w:ascii="宋体" w:hAnsi="宋体" w:cs="宋体"/>
                <w:sz w:val="24"/>
              </w:rPr>
            </w:pPr>
          </w:p>
        </w:tc>
      </w:tr>
      <w:tr w14:paraId="0F9D7947">
        <w:tblPrEx>
          <w:tblCellMar>
            <w:top w:w="0" w:type="dxa"/>
            <w:left w:w="108" w:type="dxa"/>
            <w:bottom w:w="0" w:type="dxa"/>
            <w:right w:w="108" w:type="dxa"/>
          </w:tblCellMar>
        </w:tblPrEx>
        <w:trPr>
          <w:trHeight w:val="728" w:hRule="atLeast"/>
        </w:trPr>
        <w:tc>
          <w:tcPr>
            <w:tcW w:w="2018" w:type="dxa"/>
            <w:vMerge w:val="restart"/>
            <w:tcBorders>
              <w:top w:val="single" w:color="000000" w:sz="4" w:space="0"/>
              <w:left w:val="single" w:color="000000" w:sz="4" w:space="0"/>
              <w:right w:val="single" w:color="000000" w:sz="4" w:space="0"/>
            </w:tcBorders>
            <w:shd w:val="clear" w:color="auto" w:fill="auto"/>
            <w:vAlign w:val="center"/>
          </w:tcPr>
          <w:p w14:paraId="11BE1352">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66" w:type="dxa"/>
            <w:tcBorders>
              <w:top w:val="single" w:color="000000" w:sz="4" w:space="0"/>
              <w:left w:val="nil"/>
              <w:bottom w:val="single" w:color="000000" w:sz="4" w:space="0"/>
              <w:right w:val="single" w:color="000000" w:sz="4" w:space="0"/>
            </w:tcBorders>
            <w:shd w:val="clear" w:color="auto" w:fill="auto"/>
            <w:vAlign w:val="center"/>
          </w:tcPr>
          <w:p w14:paraId="3B44C011">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5D76DBE4">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08E5">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44D0550F">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0A3A">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44ABA990">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018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9290">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34EBB7AE">
        <w:tblPrEx>
          <w:tblCellMar>
            <w:top w:w="0" w:type="dxa"/>
            <w:left w:w="108" w:type="dxa"/>
            <w:bottom w:w="0" w:type="dxa"/>
            <w:right w:w="108" w:type="dxa"/>
          </w:tblCellMar>
        </w:tblPrEx>
        <w:trPr>
          <w:trHeight w:val="440" w:hRule="atLeast"/>
        </w:trPr>
        <w:tc>
          <w:tcPr>
            <w:tcW w:w="2018" w:type="dxa"/>
            <w:vMerge w:val="continue"/>
            <w:tcBorders>
              <w:left w:val="single" w:color="000000" w:sz="4" w:space="0"/>
              <w:right w:val="single" w:color="000000" w:sz="4" w:space="0"/>
            </w:tcBorders>
            <w:shd w:val="clear" w:color="auto" w:fill="auto"/>
            <w:vAlign w:val="center"/>
          </w:tcPr>
          <w:p w14:paraId="42F6D559">
            <w:pPr>
              <w:spacing w:line="320" w:lineRule="exact"/>
              <w:jc w:val="center"/>
              <w:rPr>
                <w:rFonts w:ascii="仿宋_GB2312" w:hAnsi="仿宋_GB2312" w:eastAsia="仿宋_GB2312" w:cs="仿宋_GB2312"/>
                <w:sz w:val="28"/>
                <w:szCs w:val="28"/>
              </w:rPr>
            </w:pP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67A62">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4FD095A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4CD34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FBED81">
            <w:pPr>
              <w:widowControl/>
              <w:spacing w:line="320" w:lineRule="exact"/>
              <w:jc w:val="center"/>
              <w:textAlignment w:val="bottom"/>
              <w:rPr>
                <w:rFonts w:ascii="仿宋_GB2312" w:hAnsi="仿宋_GB2312" w:eastAsia="仿宋_GB2312" w:cs="仿宋_GB2312"/>
                <w:sz w:val="28"/>
                <w:szCs w:val="28"/>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78B905">
            <w:pPr>
              <w:widowControl/>
              <w:spacing w:line="320" w:lineRule="exact"/>
              <w:jc w:val="center"/>
              <w:textAlignment w:val="bottom"/>
              <w:rPr>
                <w:rFonts w:ascii="仿宋_GB2312" w:hAnsi="仿宋_GB2312" w:eastAsia="仿宋_GB2312" w:cs="仿宋_GB2312"/>
                <w:sz w:val="28"/>
                <w:szCs w:val="28"/>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3EA24B">
            <w:pPr>
              <w:widowControl/>
              <w:spacing w:line="320" w:lineRule="exact"/>
              <w:jc w:val="center"/>
              <w:textAlignment w:val="bottom"/>
              <w:rPr>
                <w:rFonts w:ascii="仿宋_GB2312" w:hAnsi="仿宋_GB2312" w:eastAsia="仿宋_GB2312" w:cs="仿宋_GB2312"/>
                <w:sz w:val="28"/>
                <w:szCs w:val="28"/>
              </w:rPr>
            </w:pPr>
          </w:p>
        </w:tc>
      </w:tr>
      <w:tr w14:paraId="7B93E1F0">
        <w:tblPrEx>
          <w:tblCellMar>
            <w:top w:w="0" w:type="dxa"/>
            <w:left w:w="108" w:type="dxa"/>
            <w:bottom w:w="0" w:type="dxa"/>
            <w:right w:w="108" w:type="dxa"/>
          </w:tblCellMar>
        </w:tblPrEx>
        <w:trPr>
          <w:trHeight w:val="440" w:hRule="atLeast"/>
        </w:trPr>
        <w:tc>
          <w:tcPr>
            <w:tcW w:w="2018" w:type="dxa"/>
            <w:vMerge w:val="continue"/>
            <w:tcBorders>
              <w:left w:val="single" w:color="000000" w:sz="4" w:space="0"/>
              <w:right w:val="single" w:color="000000" w:sz="4" w:space="0"/>
            </w:tcBorders>
            <w:shd w:val="clear" w:color="auto" w:fill="auto"/>
            <w:vAlign w:val="center"/>
          </w:tcPr>
          <w:p w14:paraId="64B866B1">
            <w:pPr>
              <w:spacing w:line="320" w:lineRule="exact"/>
              <w:jc w:val="center"/>
              <w:rPr>
                <w:rFonts w:ascii="仿宋_GB2312" w:hAnsi="仿宋_GB2312" w:eastAsia="仿宋_GB2312" w:cs="仿宋_GB2312"/>
                <w:sz w:val="28"/>
                <w:szCs w:val="28"/>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4AFA425">
            <w:pPr>
              <w:spacing w:line="320" w:lineRule="exact"/>
              <w:jc w:val="center"/>
              <w:rPr>
                <w:rFonts w:ascii="仿宋_GB2312" w:hAnsi="仿宋_GB2312" w:eastAsia="仿宋_GB2312" w:cs="仿宋_GB2312"/>
                <w:sz w:val="28"/>
                <w:szCs w:val="28"/>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61B49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694C0C">
            <w:pPr>
              <w:widowControl/>
              <w:spacing w:line="320" w:lineRule="exact"/>
              <w:jc w:val="center"/>
              <w:textAlignment w:val="bottom"/>
              <w:rPr>
                <w:rFonts w:ascii="仿宋_GB2312" w:hAnsi="仿宋_GB2312" w:eastAsia="仿宋_GB2312" w:cs="仿宋_GB2312"/>
                <w:sz w:val="28"/>
                <w:szCs w:val="28"/>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4A4FDF">
            <w:pPr>
              <w:widowControl/>
              <w:spacing w:line="320" w:lineRule="exact"/>
              <w:jc w:val="center"/>
              <w:textAlignment w:val="bottom"/>
              <w:rPr>
                <w:rFonts w:ascii="仿宋_GB2312" w:hAnsi="仿宋_GB2312" w:eastAsia="仿宋_GB2312" w:cs="仿宋_GB2312"/>
                <w:sz w:val="28"/>
                <w:szCs w:val="28"/>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75C863">
            <w:pPr>
              <w:widowControl/>
              <w:spacing w:line="320" w:lineRule="exact"/>
              <w:jc w:val="center"/>
              <w:textAlignment w:val="bottom"/>
              <w:rPr>
                <w:rFonts w:ascii="仿宋_GB2312" w:hAnsi="仿宋_GB2312" w:eastAsia="仿宋_GB2312" w:cs="仿宋_GB2312"/>
                <w:sz w:val="28"/>
                <w:szCs w:val="28"/>
              </w:rPr>
            </w:pPr>
          </w:p>
        </w:tc>
      </w:tr>
      <w:tr w14:paraId="34EFE1DC">
        <w:tblPrEx>
          <w:tblCellMar>
            <w:top w:w="0" w:type="dxa"/>
            <w:left w:w="108" w:type="dxa"/>
            <w:bottom w:w="0" w:type="dxa"/>
            <w:right w:w="108" w:type="dxa"/>
          </w:tblCellMar>
        </w:tblPrEx>
        <w:trPr>
          <w:trHeight w:val="440" w:hRule="atLeast"/>
        </w:trPr>
        <w:tc>
          <w:tcPr>
            <w:tcW w:w="2018" w:type="dxa"/>
            <w:vMerge w:val="continue"/>
            <w:tcBorders>
              <w:left w:val="single" w:color="000000" w:sz="4" w:space="0"/>
              <w:right w:val="single" w:color="000000" w:sz="4" w:space="0"/>
            </w:tcBorders>
            <w:shd w:val="clear" w:color="auto" w:fill="auto"/>
            <w:vAlign w:val="center"/>
          </w:tcPr>
          <w:p w14:paraId="7F2332F7">
            <w:pPr>
              <w:spacing w:line="320" w:lineRule="exact"/>
              <w:jc w:val="center"/>
              <w:rPr>
                <w:rFonts w:ascii="仿宋_GB2312" w:hAnsi="仿宋_GB2312" w:eastAsia="仿宋_GB2312" w:cs="仿宋_GB2312"/>
                <w:sz w:val="28"/>
                <w:szCs w:val="28"/>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88983F8">
            <w:pPr>
              <w:spacing w:line="320" w:lineRule="exact"/>
              <w:jc w:val="center"/>
              <w:rPr>
                <w:rFonts w:ascii="仿宋_GB2312" w:hAnsi="仿宋_GB2312" w:eastAsia="仿宋_GB2312" w:cs="仿宋_GB2312"/>
                <w:sz w:val="28"/>
                <w:szCs w:val="28"/>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5E8A5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CA777">
            <w:pPr>
              <w:widowControl/>
              <w:spacing w:line="320" w:lineRule="exact"/>
              <w:jc w:val="center"/>
              <w:textAlignment w:val="bottom"/>
              <w:rPr>
                <w:rFonts w:ascii="仿宋_GB2312" w:hAnsi="仿宋_GB2312" w:eastAsia="仿宋_GB2312" w:cs="仿宋_GB2312"/>
                <w:sz w:val="28"/>
                <w:szCs w:val="28"/>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35F79F">
            <w:pPr>
              <w:widowControl/>
              <w:spacing w:line="320" w:lineRule="exact"/>
              <w:jc w:val="center"/>
              <w:textAlignment w:val="bottom"/>
              <w:rPr>
                <w:rFonts w:ascii="仿宋_GB2312" w:hAnsi="仿宋_GB2312" w:eastAsia="仿宋_GB2312" w:cs="仿宋_GB2312"/>
                <w:sz w:val="28"/>
                <w:szCs w:val="28"/>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0724BE">
            <w:pPr>
              <w:widowControl/>
              <w:spacing w:line="320" w:lineRule="exact"/>
              <w:jc w:val="center"/>
              <w:textAlignment w:val="bottom"/>
              <w:rPr>
                <w:rFonts w:ascii="仿宋_GB2312" w:hAnsi="仿宋_GB2312" w:eastAsia="仿宋_GB2312" w:cs="仿宋_GB2312"/>
                <w:sz w:val="28"/>
                <w:szCs w:val="28"/>
              </w:rPr>
            </w:pPr>
          </w:p>
        </w:tc>
      </w:tr>
      <w:tr w14:paraId="26CD8139">
        <w:tblPrEx>
          <w:tblCellMar>
            <w:top w:w="0" w:type="dxa"/>
            <w:left w:w="108" w:type="dxa"/>
            <w:bottom w:w="0" w:type="dxa"/>
            <w:right w:w="108" w:type="dxa"/>
          </w:tblCellMar>
        </w:tblPrEx>
        <w:trPr>
          <w:trHeight w:val="507" w:hRule="atLeast"/>
        </w:trPr>
        <w:tc>
          <w:tcPr>
            <w:tcW w:w="2018" w:type="dxa"/>
            <w:vMerge w:val="continue"/>
            <w:tcBorders>
              <w:left w:val="single" w:color="000000" w:sz="4" w:space="0"/>
              <w:right w:val="single" w:color="000000" w:sz="4" w:space="0"/>
            </w:tcBorders>
            <w:shd w:val="clear" w:color="auto" w:fill="auto"/>
            <w:vAlign w:val="center"/>
          </w:tcPr>
          <w:p w14:paraId="6DC46652">
            <w:pPr>
              <w:spacing w:line="320" w:lineRule="exact"/>
              <w:jc w:val="center"/>
              <w:rPr>
                <w:rFonts w:ascii="仿宋_GB2312" w:hAnsi="仿宋_GB2312" w:eastAsia="仿宋_GB2312" w:cs="仿宋_GB2312"/>
                <w:sz w:val="28"/>
                <w:szCs w:val="28"/>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AEA442B">
            <w:pPr>
              <w:spacing w:line="320" w:lineRule="exact"/>
              <w:jc w:val="center"/>
              <w:rPr>
                <w:rFonts w:ascii="仿宋_GB2312" w:hAnsi="仿宋_GB2312" w:eastAsia="仿宋_GB2312" w:cs="仿宋_GB2312"/>
                <w:sz w:val="28"/>
                <w:szCs w:val="28"/>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EFF8B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871B28">
            <w:pPr>
              <w:widowControl/>
              <w:spacing w:line="320" w:lineRule="exact"/>
              <w:jc w:val="center"/>
              <w:textAlignment w:val="bottom"/>
              <w:rPr>
                <w:rFonts w:ascii="仿宋_GB2312" w:hAnsi="仿宋_GB2312" w:eastAsia="仿宋_GB2312" w:cs="仿宋_GB2312"/>
                <w:sz w:val="28"/>
                <w:szCs w:val="28"/>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839749">
            <w:pPr>
              <w:widowControl/>
              <w:spacing w:line="320" w:lineRule="exact"/>
              <w:jc w:val="center"/>
              <w:textAlignment w:val="bottom"/>
              <w:rPr>
                <w:rFonts w:ascii="仿宋_GB2312" w:hAnsi="仿宋_GB2312" w:eastAsia="仿宋_GB2312" w:cs="仿宋_GB2312"/>
                <w:sz w:val="28"/>
                <w:szCs w:val="28"/>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7C4EFA">
            <w:pPr>
              <w:widowControl/>
              <w:spacing w:line="320" w:lineRule="exact"/>
              <w:jc w:val="center"/>
              <w:textAlignment w:val="bottom"/>
              <w:rPr>
                <w:rFonts w:ascii="仿宋_GB2312" w:hAnsi="仿宋_GB2312" w:eastAsia="仿宋_GB2312" w:cs="仿宋_GB2312"/>
                <w:sz w:val="28"/>
                <w:szCs w:val="28"/>
              </w:rPr>
            </w:pPr>
          </w:p>
        </w:tc>
      </w:tr>
      <w:tr w14:paraId="1E002667">
        <w:tblPrEx>
          <w:tblCellMar>
            <w:top w:w="0" w:type="dxa"/>
            <w:left w:w="108" w:type="dxa"/>
            <w:bottom w:w="0" w:type="dxa"/>
            <w:right w:w="108" w:type="dxa"/>
          </w:tblCellMar>
        </w:tblPrEx>
        <w:trPr>
          <w:trHeight w:val="673" w:hRule="atLeast"/>
        </w:trPr>
        <w:tc>
          <w:tcPr>
            <w:tcW w:w="2018" w:type="dxa"/>
            <w:vMerge w:val="continue"/>
            <w:tcBorders>
              <w:left w:val="single" w:color="000000" w:sz="4" w:space="0"/>
              <w:right w:val="single" w:color="000000" w:sz="4" w:space="0"/>
            </w:tcBorders>
            <w:shd w:val="clear" w:color="auto" w:fill="auto"/>
            <w:vAlign w:val="center"/>
          </w:tcPr>
          <w:p w14:paraId="7D320FF7">
            <w:pPr>
              <w:spacing w:line="320" w:lineRule="exact"/>
              <w:jc w:val="center"/>
              <w:rPr>
                <w:rFonts w:ascii="仿宋_GB2312" w:hAnsi="仿宋_GB2312" w:eastAsia="仿宋_GB2312" w:cs="仿宋_GB2312"/>
                <w:sz w:val="28"/>
                <w:szCs w:val="28"/>
              </w:rPr>
            </w:pP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0E87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82BBC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2B0B3D">
            <w:pPr>
              <w:widowControl/>
              <w:spacing w:line="320" w:lineRule="exact"/>
              <w:jc w:val="center"/>
              <w:textAlignment w:val="bottom"/>
              <w:rPr>
                <w:rFonts w:ascii="仿宋_GB2312" w:hAnsi="仿宋_GB2312" w:eastAsia="仿宋_GB2312" w:cs="仿宋_GB2312"/>
                <w:sz w:val="28"/>
                <w:szCs w:val="28"/>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1AD905">
            <w:pPr>
              <w:widowControl/>
              <w:spacing w:line="320" w:lineRule="exact"/>
              <w:jc w:val="center"/>
              <w:textAlignment w:val="bottom"/>
              <w:rPr>
                <w:rFonts w:ascii="仿宋_GB2312" w:hAnsi="仿宋_GB2312" w:eastAsia="仿宋_GB2312" w:cs="仿宋_GB2312"/>
                <w:sz w:val="28"/>
                <w:szCs w:val="28"/>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F8AC91">
            <w:pPr>
              <w:widowControl/>
              <w:spacing w:line="320" w:lineRule="exact"/>
              <w:jc w:val="center"/>
              <w:textAlignment w:val="bottom"/>
              <w:rPr>
                <w:rFonts w:ascii="仿宋_GB2312" w:hAnsi="仿宋_GB2312" w:eastAsia="仿宋_GB2312" w:cs="仿宋_GB2312"/>
                <w:sz w:val="28"/>
                <w:szCs w:val="28"/>
              </w:rPr>
            </w:pPr>
          </w:p>
        </w:tc>
      </w:tr>
      <w:tr w14:paraId="1A658B90">
        <w:tblPrEx>
          <w:tblCellMar>
            <w:top w:w="0" w:type="dxa"/>
            <w:left w:w="108" w:type="dxa"/>
            <w:bottom w:w="0" w:type="dxa"/>
            <w:right w:w="108" w:type="dxa"/>
          </w:tblCellMar>
        </w:tblPrEx>
        <w:trPr>
          <w:trHeight w:val="673" w:hRule="atLeast"/>
        </w:trPr>
        <w:tc>
          <w:tcPr>
            <w:tcW w:w="2018" w:type="dxa"/>
            <w:vMerge w:val="continue"/>
            <w:tcBorders>
              <w:left w:val="single" w:color="000000" w:sz="4" w:space="0"/>
              <w:right w:val="single" w:color="000000" w:sz="4" w:space="0"/>
            </w:tcBorders>
            <w:shd w:val="clear" w:color="auto" w:fill="auto"/>
            <w:vAlign w:val="center"/>
          </w:tcPr>
          <w:p w14:paraId="3494FC9D">
            <w:pPr>
              <w:spacing w:line="320" w:lineRule="exact"/>
              <w:jc w:val="center"/>
              <w:rPr>
                <w:rFonts w:ascii="仿宋_GB2312" w:hAnsi="仿宋_GB2312" w:eastAsia="仿宋_GB2312" w:cs="仿宋_GB2312"/>
                <w:sz w:val="28"/>
                <w:szCs w:val="28"/>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C0D8EAD">
            <w:pPr>
              <w:spacing w:line="320" w:lineRule="exact"/>
              <w:jc w:val="center"/>
              <w:rPr>
                <w:rFonts w:ascii="仿宋_GB2312" w:hAnsi="仿宋_GB2312" w:eastAsia="仿宋_GB2312" w:cs="仿宋_GB2312"/>
                <w:sz w:val="28"/>
                <w:szCs w:val="28"/>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F6DC1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8D305E">
            <w:pPr>
              <w:widowControl/>
              <w:spacing w:line="320" w:lineRule="exact"/>
              <w:jc w:val="center"/>
              <w:textAlignment w:val="bottom"/>
              <w:rPr>
                <w:rFonts w:ascii="仿宋_GB2312" w:hAnsi="仿宋_GB2312" w:eastAsia="仿宋_GB2312" w:cs="仿宋_GB2312"/>
                <w:sz w:val="28"/>
                <w:szCs w:val="28"/>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B1AE46">
            <w:pPr>
              <w:widowControl/>
              <w:spacing w:line="320" w:lineRule="exact"/>
              <w:jc w:val="center"/>
              <w:textAlignment w:val="bottom"/>
              <w:rPr>
                <w:rFonts w:ascii="仿宋_GB2312" w:hAnsi="仿宋_GB2312" w:eastAsia="仿宋_GB2312" w:cs="仿宋_GB2312"/>
                <w:sz w:val="28"/>
                <w:szCs w:val="28"/>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8EFE0D">
            <w:pPr>
              <w:widowControl/>
              <w:spacing w:line="320" w:lineRule="exact"/>
              <w:jc w:val="center"/>
              <w:textAlignment w:val="bottom"/>
              <w:rPr>
                <w:rFonts w:ascii="仿宋_GB2312" w:hAnsi="仿宋_GB2312" w:eastAsia="仿宋_GB2312" w:cs="仿宋_GB2312"/>
                <w:sz w:val="28"/>
                <w:szCs w:val="28"/>
              </w:rPr>
            </w:pPr>
          </w:p>
        </w:tc>
      </w:tr>
      <w:tr w14:paraId="193AB54E">
        <w:tblPrEx>
          <w:tblCellMar>
            <w:top w:w="0" w:type="dxa"/>
            <w:left w:w="108" w:type="dxa"/>
            <w:bottom w:w="0" w:type="dxa"/>
            <w:right w:w="108" w:type="dxa"/>
          </w:tblCellMar>
        </w:tblPrEx>
        <w:trPr>
          <w:trHeight w:val="673" w:hRule="atLeast"/>
        </w:trPr>
        <w:tc>
          <w:tcPr>
            <w:tcW w:w="2018" w:type="dxa"/>
            <w:vMerge w:val="continue"/>
            <w:tcBorders>
              <w:left w:val="single" w:color="000000" w:sz="4" w:space="0"/>
              <w:right w:val="single" w:color="000000" w:sz="4" w:space="0"/>
            </w:tcBorders>
            <w:shd w:val="clear" w:color="auto" w:fill="auto"/>
            <w:vAlign w:val="center"/>
          </w:tcPr>
          <w:p w14:paraId="3A4423FC">
            <w:pPr>
              <w:spacing w:line="320" w:lineRule="exact"/>
              <w:jc w:val="center"/>
              <w:rPr>
                <w:rFonts w:ascii="仿宋_GB2312" w:hAnsi="仿宋_GB2312" w:eastAsia="仿宋_GB2312" w:cs="仿宋_GB2312"/>
                <w:sz w:val="28"/>
                <w:szCs w:val="28"/>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33D548F">
            <w:pPr>
              <w:spacing w:line="320" w:lineRule="exact"/>
              <w:jc w:val="center"/>
              <w:rPr>
                <w:rFonts w:ascii="仿宋_GB2312" w:hAnsi="仿宋_GB2312" w:eastAsia="仿宋_GB2312" w:cs="仿宋_GB2312"/>
                <w:sz w:val="28"/>
                <w:szCs w:val="28"/>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755732">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F3C8B2">
            <w:pPr>
              <w:widowControl/>
              <w:spacing w:line="320" w:lineRule="exact"/>
              <w:jc w:val="center"/>
              <w:textAlignment w:val="bottom"/>
              <w:rPr>
                <w:rFonts w:ascii="仿宋_GB2312" w:hAnsi="仿宋_GB2312" w:eastAsia="仿宋_GB2312" w:cs="仿宋_GB2312"/>
                <w:sz w:val="28"/>
                <w:szCs w:val="28"/>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60644C">
            <w:pPr>
              <w:widowControl/>
              <w:spacing w:line="320" w:lineRule="exact"/>
              <w:jc w:val="center"/>
              <w:textAlignment w:val="bottom"/>
              <w:rPr>
                <w:rFonts w:ascii="仿宋_GB2312" w:hAnsi="仿宋_GB2312" w:eastAsia="仿宋_GB2312" w:cs="仿宋_GB2312"/>
                <w:sz w:val="28"/>
                <w:szCs w:val="28"/>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9DE230">
            <w:pPr>
              <w:widowControl/>
              <w:spacing w:line="320" w:lineRule="exact"/>
              <w:jc w:val="center"/>
              <w:textAlignment w:val="bottom"/>
              <w:rPr>
                <w:rFonts w:ascii="仿宋_GB2312" w:hAnsi="仿宋_GB2312" w:eastAsia="仿宋_GB2312" w:cs="仿宋_GB2312"/>
                <w:sz w:val="28"/>
                <w:szCs w:val="28"/>
              </w:rPr>
            </w:pPr>
          </w:p>
        </w:tc>
      </w:tr>
      <w:tr w14:paraId="011CAD36">
        <w:tblPrEx>
          <w:tblCellMar>
            <w:top w:w="0" w:type="dxa"/>
            <w:left w:w="108" w:type="dxa"/>
            <w:bottom w:w="0" w:type="dxa"/>
            <w:right w:w="108" w:type="dxa"/>
          </w:tblCellMar>
        </w:tblPrEx>
        <w:trPr>
          <w:trHeight w:val="673" w:hRule="atLeast"/>
        </w:trPr>
        <w:tc>
          <w:tcPr>
            <w:tcW w:w="2018" w:type="dxa"/>
            <w:vMerge w:val="continue"/>
            <w:tcBorders>
              <w:left w:val="single" w:color="000000" w:sz="4" w:space="0"/>
              <w:right w:val="single" w:color="000000" w:sz="4" w:space="0"/>
            </w:tcBorders>
            <w:shd w:val="clear" w:color="auto" w:fill="auto"/>
            <w:vAlign w:val="center"/>
          </w:tcPr>
          <w:p w14:paraId="513CD32D">
            <w:pPr>
              <w:spacing w:line="320" w:lineRule="exact"/>
              <w:jc w:val="center"/>
              <w:rPr>
                <w:rFonts w:ascii="仿宋_GB2312" w:hAnsi="仿宋_GB2312" w:eastAsia="仿宋_GB2312" w:cs="仿宋_GB2312"/>
                <w:sz w:val="28"/>
                <w:szCs w:val="28"/>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5D1F855">
            <w:pPr>
              <w:spacing w:line="320" w:lineRule="exact"/>
              <w:jc w:val="center"/>
              <w:rPr>
                <w:rFonts w:ascii="仿宋_GB2312" w:hAnsi="仿宋_GB2312" w:eastAsia="仿宋_GB2312" w:cs="仿宋_GB2312"/>
                <w:sz w:val="28"/>
                <w:szCs w:val="28"/>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6518B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77B620">
            <w:pPr>
              <w:widowControl/>
              <w:spacing w:line="320" w:lineRule="exact"/>
              <w:jc w:val="center"/>
              <w:textAlignment w:val="bottom"/>
              <w:rPr>
                <w:rFonts w:ascii="仿宋_GB2312" w:hAnsi="仿宋_GB2312" w:eastAsia="仿宋_GB2312" w:cs="仿宋_GB2312"/>
                <w:sz w:val="28"/>
                <w:szCs w:val="28"/>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5193F7">
            <w:pPr>
              <w:widowControl/>
              <w:spacing w:line="320" w:lineRule="exact"/>
              <w:jc w:val="center"/>
              <w:textAlignment w:val="bottom"/>
              <w:rPr>
                <w:rFonts w:ascii="仿宋_GB2312" w:hAnsi="仿宋_GB2312" w:eastAsia="仿宋_GB2312" w:cs="仿宋_GB2312"/>
                <w:sz w:val="28"/>
                <w:szCs w:val="28"/>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2E0DDA">
            <w:pPr>
              <w:widowControl/>
              <w:spacing w:line="320" w:lineRule="exact"/>
              <w:jc w:val="center"/>
              <w:textAlignment w:val="bottom"/>
              <w:rPr>
                <w:rFonts w:ascii="仿宋_GB2312" w:hAnsi="仿宋_GB2312" w:eastAsia="仿宋_GB2312" w:cs="仿宋_GB2312"/>
                <w:sz w:val="28"/>
                <w:szCs w:val="28"/>
              </w:rPr>
            </w:pPr>
          </w:p>
        </w:tc>
      </w:tr>
      <w:tr w14:paraId="2349B35C">
        <w:tblPrEx>
          <w:tblCellMar>
            <w:top w:w="0" w:type="dxa"/>
            <w:left w:w="108" w:type="dxa"/>
            <w:bottom w:w="0" w:type="dxa"/>
            <w:right w:w="108" w:type="dxa"/>
          </w:tblCellMar>
        </w:tblPrEx>
        <w:trPr>
          <w:trHeight w:val="684" w:hRule="atLeast"/>
        </w:trPr>
        <w:tc>
          <w:tcPr>
            <w:tcW w:w="2018" w:type="dxa"/>
            <w:vMerge w:val="continue"/>
            <w:tcBorders>
              <w:left w:val="single" w:color="000000" w:sz="4" w:space="0"/>
              <w:bottom w:val="single" w:color="000000" w:sz="4" w:space="0"/>
              <w:right w:val="single" w:color="000000" w:sz="4" w:space="0"/>
            </w:tcBorders>
            <w:shd w:val="clear" w:color="auto" w:fill="auto"/>
            <w:vAlign w:val="center"/>
          </w:tcPr>
          <w:p w14:paraId="2EB0352A">
            <w:pPr>
              <w:spacing w:line="320" w:lineRule="exact"/>
              <w:jc w:val="center"/>
              <w:rPr>
                <w:rFonts w:ascii="仿宋_GB2312" w:hAnsi="仿宋_GB2312" w:eastAsia="仿宋_GB2312" w:cs="仿宋_GB2312"/>
                <w:sz w:val="28"/>
                <w:szCs w:val="28"/>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D06F6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282FBC">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1D2E808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A91245">
            <w:pPr>
              <w:widowControl/>
              <w:spacing w:line="320" w:lineRule="exact"/>
              <w:jc w:val="center"/>
              <w:textAlignment w:val="bottom"/>
              <w:rPr>
                <w:rFonts w:ascii="仿宋_GB2312" w:hAnsi="仿宋_GB2312" w:eastAsia="仿宋_GB2312" w:cs="仿宋_GB2312"/>
                <w:sz w:val="28"/>
                <w:szCs w:val="28"/>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2E6458">
            <w:pPr>
              <w:widowControl/>
              <w:spacing w:line="320" w:lineRule="exact"/>
              <w:jc w:val="center"/>
              <w:textAlignment w:val="bottom"/>
              <w:rPr>
                <w:rFonts w:ascii="仿宋_GB2312" w:hAnsi="仿宋_GB2312" w:eastAsia="仿宋_GB2312" w:cs="仿宋_GB2312"/>
                <w:sz w:val="28"/>
                <w:szCs w:val="28"/>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AD2256">
            <w:pPr>
              <w:widowControl/>
              <w:spacing w:line="320" w:lineRule="exact"/>
              <w:jc w:val="center"/>
              <w:textAlignment w:val="bottom"/>
              <w:rPr>
                <w:rFonts w:ascii="仿宋_GB2312" w:hAnsi="仿宋_GB2312" w:eastAsia="仿宋_GB2312" w:cs="仿宋_GB2312"/>
                <w:sz w:val="28"/>
                <w:szCs w:val="28"/>
              </w:rPr>
            </w:pPr>
          </w:p>
        </w:tc>
      </w:tr>
    </w:tbl>
    <w:p w14:paraId="509BEAE0">
      <w:pPr>
        <w:pStyle w:val="6"/>
        <w:spacing w:before="93"/>
        <w:rPr>
          <w:rFonts w:hAnsi="Calibri" w:cs="仿宋"/>
          <w:sz w:val="32"/>
          <w:szCs w:val="32"/>
        </w:rPr>
      </w:pPr>
    </w:p>
    <w:p w14:paraId="1723F9DC">
      <w:pPr>
        <w:pStyle w:val="6"/>
        <w:spacing w:before="93"/>
        <w:rPr>
          <w:rFonts w:hAnsi="Calibri" w:cs="仿宋"/>
          <w:sz w:val="32"/>
          <w:szCs w:val="32"/>
        </w:rPr>
      </w:pPr>
    </w:p>
    <w:p w14:paraId="0C09DBB9">
      <w:pPr>
        <w:pStyle w:val="2"/>
        <w:rPr>
          <w:rFonts w:hint="eastAsia"/>
        </w:rPr>
      </w:pPr>
    </w:p>
    <w:p w14:paraId="0D8BB227">
      <w:pPr>
        <w:spacing w:line="600" w:lineRule="exact"/>
        <w:jc w:val="center"/>
        <w:outlineLvl w:val="0"/>
        <w:rPr>
          <w:rFonts w:ascii="仿宋" w:hAnsi="仿宋" w:eastAsia="仿宋"/>
        </w:rPr>
      </w:pPr>
      <w:bookmarkStart w:id="110" w:name="_Toc22749"/>
      <w:r>
        <w:rPr>
          <w:rStyle w:val="27"/>
          <w:rFonts w:hint="eastAsia"/>
        </w:rPr>
        <w:t xml:space="preserve">第五部分 </w:t>
      </w:r>
      <w:r>
        <w:rPr>
          <w:rStyle w:val="27"/>
          <w:rFonts w:hint="eastAsia" w:ascii="黑体" w:hAnsi="黑体" w:eastAsia="黑体"/>
          <w:b w:val="0"/>
        </w:rPr>
        <w:t>附表</w:t>
      </w:r>
      <w:bookmarkEnd w:id="84"/>
      <w:bookmarkEnd w:id="105"/>
      <w:bookmarkEnd w:id="110"/>
      <w:bookmarkStart w:id="111" w:name="_Toc15396619"/>
    </w:p>
    <w:p w14:paraId="301F12D9">
      <w:pPr>
        <w:pStyle w:val="4"/>
        <w:rPr>
          <w:rFonts w:hint="eastAsia" w:ascii="仿宋" w:hAnsi="仿宋" w:eastAsia="仿宋"/>
          <w:b w:val="0"/>
        </w:rPr>
      </w:pPr>
      <w:bookmarkStart w:id="112" w:name="_Toc25623"/>
    </w:p>
    <w:p w14:paraId="3C18122D">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111"/>
      <w:bookmarkEnd w:id="112"/>
    </w:p>
    <w:p w14:paraId="2ADF9C97">
      <w:pPr>
        <w:pStyle w:val="4"/>
        <w:rPr>
          <w:rFonts w:ascii="仿宋" w:hAnsi="仿宋" w:eastAsia="仿宋"/>
        </w:rPr>
      </w:pPr>
      <w:bookmarkStart w:id="113" w:name="_Toc15396620"/>
      <w:bookmarkStart w:id="114" w:name="_Toc30156"/>
      <w:r>
        <w:rPr>
          <w:rFonts w:hint="eastAsia" w:ascii="仿宋" w:hAnsi="仿宋" w:eastAsia="仿宋"/>
          <w:b w:val="0"/>
        </w:rPr>
        <w:t>二、收</w:t>
      </w:r>
      <w:r>
        <w:rPr>
          <w:rStyle w:val="28"/>
          <w:rFonts w:hint="eastAsia" w:ascii="仿宋" w:hAnsi="仿宋" w:eastAsia="仿宋"/>
          <w:b w:val="0"/>
          <w:bCs w:val="0"/>
        </w:rPr>
        <w:t>入决算表</w:t>
      </w:r>
      <w:bookmarkEnd w:id="113"/>
      <w:bookmarkEnd w:id="114"/>
    </w:p>
    <w:p w14:paraId="78C5C496">
      <w:pPr>
        <w:pStyle w:val="4"/>
        <w:rPr>
          <w:rFonts w:ascii="仿宋" w:hAnsi="仿宋" w:eastAsia="仿宋"/>
        </w:rPr>
      </w:pPr>
      <w:bookmarkStart w:id="115" w:name="_Toc15396621"/>
      <w:bookmarkStart w:id="116" w:name="_Toc5235"/>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115"/>
      <w:bookmarkEnd w:id="116"/>
    </w:p>
    <w:p w14:paraId="31F74DF5">
      <w:pPr>
        <w:pStyle w:val="4"/>
        <w:rPr>
          <w:rFonts w:ascii="仿宋" w:hAnsi="仿宋" w:eastAsia="仿宋"/>
          <w:b w:val="0"/>
        </w:rPr>
      </w:pPr>
      <w:bookmarkStart w:id="117" w:name="_Toc13144"/>
      <w:bookmarkStart w:id="118"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117"/>
      <w:bookmarkEnd w:id="118"/>
    </w:p>
    <w:p w14:paraId="7B606A8B">
      <w:pPr>
        <w:pStyle w:val="4"/>
        <w:rPr>
          <w:rStyle w:val="28"/>
          <w:rFonts w:ascii="仿宋" w:hAnsi="仿宋" w:eastAsia="仿宋"/>
          <w:b w:val="0"/>
          <w:bCs w:val="0"/>
        </w:rPr>
      </w:pPr>
      <w:bookmarkStart w:id="119" w:name="_Toc17293"/>
      <w:bookmarkStart w:id="120"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119"/>
      <w:bookmarkEnd w:id="120"/>
      <w:bookmarkStart w:id="121" w:name="_Toc15396624"/>
    </w:p>
    <w:p w14:paraId="4A167F9A">
      <w:pPr>
        <w:pStyle w:val="4"/>
        <w:rPr>
          <w:rFonts w:ascii="仿宋" w:hAnsi="仿宋" w:eastAsia="仿宋"/>
        </w:rPr>
      </w:pPr>
      <w:bookmarkStart w:id="122" w:name="_Toc29676"/>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121"/>
      <w:bookmarkEnd w:id="122"/>
    </w:p>
    <w:p w14:paraId="697A4C66">
      <w:pPr>
        <w:pStyle w:val="4"/>
        <w:rPr>
          <w:rFonts w:ascii="仿宋" w:hAnsi="仿宋" w:eastAsia="仿宋"/>
        </w:rPr>
      </w:pPr>
      <w:bookmarkStart w:id="123" w:name="_Toc15396625"/>
      <w:bookmarkStart w:id="124" w:name="_Toc2246"/>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123"/>
      <w:bookmarkEnd w:id="124"/>
    </w:p>
    <w:p w14:paraId="4BA2CDF6">
      <w:pPr>
        <w:pStyle w:val="4"/>
        <w:rPr>
          <w:rFonts w:ascii="仿宋" w:hAnsi="仿宋" w:eastAsia="仿宋"/>
        </w:rPr>
      </w:pPr>
      <w:bookmarkStart w:id="125" w:name="_Toc15396626"/>
      <w:bookmarkStart w:id="126" w:name="_Toc15745"/>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125"/>
      <w:bookmarkEnd w:id="126"/>
    </w:p>
    <w:p w14:paraId="261B8E66">
      <w:pPr>
        <w:pStyle w:val="4"/>
        <w:rPr>
          <w:rFonts w:ascii="仿宋" w:hAnsi="仿宋" w:eastAsia="仿宋"/>
        </w:rPr>
      </w:pPr>
      <w:bookmarkStart w:id="127" w:name="_Toc21989"/>
      <w:bookmarkStart w:id="128"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127"/>
      <w:bookmarkEnd w:id="128"/>
    </w:p>
    <w:p w14:paraId="2E3CF7C8">
      <w:pPr>
        <w:pStyle w:val="4"/>
        <w:rPr>
          <w:rFonts w:ascii="仿宋" w:hAnsi="仿宋" w:eastAsia="仿宋"/>
        </w:rPr>
      </w:pPr>
      <w:bookmarkStart w:id="129" w:name="_Toc15396628"/>
      <w:bookmarkStart w:id="130" w:name="_Toc30639"/>
      <w:r>
        <w:rPr>
          <w:rStyle w:val="28"/>
          <w:rFonts w:hint="eastAsia" w:ascii="仿宋" w:hAnsi="仿宋" w:eastAsia="仿宋"/>
          <w:b w:val="0"/>
          <w:bCs w:val="0"/>
        </w:rPr>
        <w:t>十、</w:t>
      </w:r>
      <w:bookmarkEnd w:id="129"/>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130"/>
    </w:p>
    <w:p w14:paraId="5E44EC86">
      <w:pPr>
        <w:pStyle w:val="4"/>
        <w:rPr>
          <w:rFonts w:ascii="仿宋" w:hAnsi="仿宋" w:eastAsia="仿宋"/>
        </w:rPr>
      </w:pPr>
      <w:bookmarkStart w:id="131" w:name="_Toc15396629"/>
      <w:bookmarkStart w:id="132" w:name="_Toc25956"/>
      <w:r>
        <w:rPr>
          <w:rStyle w:val="28"/>
          <w:rFonts w:hint="eastAsia" w:ascii="仿宋" w:hAnsi="仿宋" w:eastAsia="仿宋"/>
          <w:b w:val="0"/>
          <w:bCs w:val="0"/>
        </w:rPr>
        <w:t>十一、</w:t>
      </w:r>
      <w:bookmarkEnd w:id="131"/>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32"/>
    </w:p>
    <w:p w14:paraId="05E5FD96">
      <w:pPr>
        <w:pStyle w:val="4"/>
        <w:rPr>
          <w:rFonts w:ascii="仿宋" w:hAnsi="仿宋" w:eastAsia="仿宋"/>
        </w:rPr>
      </w:pPr>
      <w:bookmarkStart w:id="133" w:name="_Toc15396630"/>
      <w:bookmarkStart w:id="134" w:name="_Toc10044"/>
      <w:r>
        <w:rPr>
          <w:rStyle w:val="28"/>
          <w:rFonts w:hint="eastAsia" w:ascii="仿宋" w:hAnsi="仿宋" w:eastAsia="仿宋"/>
          <w:b w:val="0"/>
          <w:bCs w:val="0"/>
        </w:rPr>
        <w:t>十二、</w:t>
      </w:r>
      <w:bookmarkEnd w:id="133"/>
      <w:r>
        <w:rPr>
          <w:rStyle w:val="28"/>
          <w:rFonts w:hint="eastAsia" w:ascii="仿宋" w:hAnsi="仿宋" w:eastAsia="仿宋"/>
          <w:b w:val="0"/>
          <w:bCs w:val="0"/>
        </w:rPr>
        <w:t>国有资本经营预算财政拨款支出决算表</w:t>
      </w:r>
      <w:bookmarkEnd w:id="134"/>
    </w:p>
    <w:p w14:paraId="2A8B9B58">
      <w:pPr>
        <w:pStyle w:val="4"/>
        <w:rPr>
          <w:rFonts w:eastAsia="仿宋"/>
        </w:rPr>
      </w:pPr>
      <w:bookmarkStart w:id="135" w:name="_Toc15396631"/>
      <w:bookmarkStart w:id="136" w:name="_Toc29761"/>
      <w:r>
        <w:rPr>
          <w:rStyle w:val="28"/>
          <w:rFonts w:hint="eastAsia" w:ascii="仿宋" w:hAnsi="仿宋" w:eastAsia="仿宋"/>
          <w:b w:val="0"/>
          <w:bCs w:val="0"/>
        </w:rPr>
        <w:t>十三、</w:t>
      </w:r>
      <w:bookmarkEnd w:id="135"/>
      <w:r>
        <w:rPr>
          <w:rStyle w:val="28"/>
          <w:rFonts w:hint="eastAsia" w:ascii="仿宋" w:hAnsi="仿宋" w:eastAsia="仿宋"/>
          <w:b w:val="0"/>
          <w:bCs w:val="0"/>
        </w:rPr>
        <w:t>财政拨款“三公”经费支出决算表</w:t>
      </w:r>
      <w:bookmarkEnd w:id="13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51C22E83">
        <w:pPr>
          <w:pStyle w:val="10"/>
          <w:jc w:val="center"/>
        </w:pPr>
        <w:r>
          <w:fldChar w:fldCharType="begin"/>
        </w:r>
        <w:r>
          <w:instrText xml:space="preserve">PAGE   \* MERGEFORMAT</w:instrText>
        </w:r>
        <w:r>
          <w:fldChar w:fldCharType="separate"/>
        </w:r>
        <w:r>
          <w:rPr>
            <w:lang w:val="zh-CN"/>
          </w:rPr>
          <w:t>15</w:t>
        </w:r>
        <w:r>
          <w:fldChar w:fldCharType="end"/>
        </w:r>
      </w:p>
    </w:sdtContent>
  </w:sdt>
  <w:p w14:paraId="0FEA7A1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2750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B36CE"/>
    <w:multiLevelType w:val="singleLevel"/>
    <w:tmpl w:val="9A3B36CE"/>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jA0NDZhNzJjZmM5NmYyNTY5ZjYwNGFjYmY2Mj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24D34"/>
    <w:rsid w:val="01A766FD"/>
    <w:rsid w:val="030331ED"/>
    <w:rsid w:val="03D22EE7"/>
    <w:rsid w:val="03DC2831"/>
    <w:rsid w:val="0693639D"/>
    <w:rsid w:val="081B5E94"/>
    <w:rsid w:val="0A2032A3"/>
    <w:rsid w:val="0A443A53"/>
    <w:rsid w:val="0B8A37D8"/>
    <w:rsid w:val="0F5FFB2F"/>
    <w:rsid w:val="0FFFCF60"/>
    <w:rsid w:val="10C055FF"/>
    <w:rsid w:val="118107EC"/>
    <w:rsid w:val="11DD6519"/>
    <w:rsid w:val="11FD6908"/>
    <w:rsid w:val="139F0D86"/>
    <w:rsid w:val="16BB723D"/>
    <w:rsid w:val="18015F3F"/>
    <w:rsid w:val="1BE8440E"/>
    <w:rsid w:val="1D155CEE"/>
    <w:rsid w:val="1FDBBF84"/>
    <w:rsid w:val="20F57F95"/>
    <w:rsid w:val="22E83DA8"/>
    <w:rsid w:val="240371BF"/>
    <w:rsid w:val="25711CC6"/>
    <w:rsid w:val="25C741E6"/>
    <w:rsid w:val="26D27388"/>
    <w:rsid w:val="276F80C0"/>
    <w:rsid w:val="27842671"/>
    <w:rsid w:val="29FD04D3"/>
    <w:rsid w:val="2ABE7A3E"/>
    <w:rsid w:val="2AFF09B6"/>
    <w:rsid w:val="2C5B4EA4"/>
    <w:rsid w:val="2CA234A8"/>
    <w:rsid w:val="2EFA178C"/>
    <w:rsid w:val="2EFDF86C"/>
    <w:rsid w:val="2F9D17E1"/>
    <w:rsid w:val="30B46D73"/>
    <w:rsid w:val="319F7F4E"/>
    <w:rsid w:val="339C5E11"/>
    <w:rsid w:val="356A28F1"/>
    <w:rsid w:val="357C035A"/>
    <w:rsid w:val="368E000D"/>
    <w:rsid w:val="383D272C"/>
    <w:rsid w:val="39AE70AB"/>
    <w:rsid w:val="3A4DCE41"/>
    <w:rsid w:val="3B771BAA"/>
    <w:rsid w:val="3BCB56FA"/>
    <w:rsid w:val="3BCC59DB"/>
    <w:rsid w:val="3C0C0783"/>
    <w:rsid w:val="3EE7C2F4"/>
    <w:rsid w:val="3F371B56"/>
    <w:rsid w:val="3F792ED8"/>
    <w:rsid w:val="3F9F3A96"/>
    <w:rsid w:val="3FECA4B2"/>
    <w:rsid w:val="3FF58C48"/>
    <w:rsid w:val="42407B97"/>
    <w:rsid w:val="42FF6694"/>
    <w:rsid w:val="44DE75E0"/>
    <w:rsid w:val="47A37566"/>
    <w:rsid w:val="48BF60AB"/>
    <w:rsid w:val="493C27E9"/>
    <w:rsid w:val="496F39ED"/>
    <w:rsid w:val="49FF41D3"/>
    <w:rsid w:val="4BE068DB"/>
    <w:rsid w:val="4BF6002B"/>
    <w:rsid w:val="4BFFC6BE"/>
    <w:rsid w:val="4E1875F1"/>
    <w:rsid w:val="4ECE2238"/>
    <w:rsid w:val="4F3B36AC"/>
    <w:rsid w:val="51DB4B86"/>
    <w:rsid w:val="51F64DB0"/>
    <w:rsid w:val="55333C3E"/>
    <w:rsid w:val="5A6E263F"/>
    <w:rsid w:val="5B307ABF"/>
    <w:rsid w:val="5F67802D"/>
    <w:rsid w:val="5F7DC4F2"/>
    <w:rsid w:val="5FB36814"/>
    <w:rsid w:val="5FBB8E56"/>
    <w:rsid w:val="5FFB5535"/>
    <w:rsid w:val="62E824CA"/>
    <w:rsid w:val="63B212A3"/>
    <w:rsid w:val="64846EDD"/>
    <w:rsid w:val="64CA39A1"/>
    <w:rsid w:val="69630ADE"/>
    <w:rsid w:val="69BD5F13"/>
    <w:rsid w:val="69FB0B4B"/>
    <w:rsid w:val="6BFFE1FB"/>
    <w:rsid w:val="6C4A05C8"/>
    <w:rsid w:val="6D3B1A89"/>
    <w:rsid w:val="6DB7D8A3"/>
    <w:rsid w:val="6E4F6056"/>
    <w:rsid w:val="6EC78701"/>
    <w:rsid w:val="6F7A5481"/>
    <w:rsid w:val="6FF53178"/>
    <w:rsid w:val="6FFE07A9"/>
    <w:rsid w:val="71BF4EC2"/>
    <w:rsid w:val="72734D90"/>
    <w:rsid w:val="73E75B71"/>
    <w:rsid w:val="7412278C"/>
    <w:rsid w:val="75DDCDA9"/>
    <w:rsid w:val="75FF44B1"/>
    <w:rsid w:val="77670518"/>
    <w:rsid w:val="777FA627"/>
    <w:rsid w:val="77DF1B5F"/>
    <w:rsid w:val="77EF2D9D"/>
    <w:rsid w:val="78E75038"/>
    <w:rsid w:val="79E7B28D"/>
    <w:rsid w:val="7ACFF0C2"/>
    <w:rsid w:val="7AFB9108"/>
    <w:rsid w:val="7BD5340C"/>
    <w:rsid w:val="7BFB19D2"/>
    <w:rsid w:val="7BFD1750"/>
    <w:rsid w:val="7BFDAA1B"/>
    <w:rsid w:val="7CDF9A82"/>
    <w:rsid w:val="7CFFA1BD"/>
    <w:rsid w:val="7D2E3F7A"/>
    <w:rsid w:val="7DED9490"/>
    <w:rsid w:val="7DFF4872"/>
    <w:rsid w:val="7E7487E6"/>
    <w:rsid w:val="7E7C2A54"/>
    <w:rsid w:val="7E936672"/>
    <w:rsid w:val="7EEEFD72"/>
    <w:rsid w:val="7F1D517C"/>
    <w:rsid w:val="7F5DA057"/>
    <w:rsid w:val="7F6C2237"/>
    <w:rsid w:val="7F7F319B"/>
    <w:rsid w:val="7F9F20EE"/>
    <w:rsid w:val="7FA22D5A"/>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3.xml"/><Relationship Id="rId1" Type="http://schemas.openxmlformats.org/officeDocument/2006/relationships/oleObject" Target="file:///G:\2024&#24037;&#36164;\2023&#24180;&#20915;&#31639;&#20844;&#24320;\&#26032;&#24314;%20XLS%20&#24037;&#20316;&#34920;.xls"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H:\2023&#24037;&#36164;\2022&#24180;&#20915;&#31639;&#20844;&#24320;\&#26032;&#24314;%20XLS%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2023&#24037;&#36164;\2022&#24180;&#20915;&#31639;&#20844;&#24320;\&#26032;&#24314;%20XLS%20&#24037;&#20316;&#34920;.xls" TargetMode="External"/></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G:\2024&#24037;&#36164;\2023&#24180;&#20915;&#31639;&#20844;&#24320;\&#26032;&#24314;%20XLS%20&#24037;&#20316;&#34920;.xls"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4.xml"/><Relationship Id="rId1" Type="http://schemas.openxmlformats.org/officeDocument/2006/relationships/oleObject" Target="file:///G:\2024&#24037;&#36164;\2023&#24180;&#20915;&#31639;&#20844;&#24320;\&#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ysClr val="windowText" lastClr="000000"/>
              </a:solidFill>
              <a:effectLst>
                <a:outerShdw blurRad="50800" dist="38100" dir="2700000" algn="tl" rotWithShape="0">
                  <a:prstClr val="black">
                    <a:alpha val="40000"/>
                  </a:prstClr>
                </a:outerShdw>
              </a:effectLst>
              <a:latin typeface="+mn-lt"/>
              <a:ea typeface="+mn-ea"/>
              <a:cs typeface="+mn-cs"/>
            </a:defRPr>
          </a:pPr>
        </a:p>
      </c:txPr>
    </c:title>
    <c:autoTitleDeleted val="0"/>
    <c:plotArea>
      <c:layout/>
      <c:barChart>
        <c:barDir val="col"/>
        <c:grouping val="clustered"/>
        <c:varyColors val="0"/>
        <c:ser>
          <c:idx val="0"/>
          <c:order val="0"/>
          <c:tx>
            <c:strRef>
              <c:f>'[新建 XLS 工作表.xls]Sheet1'!$G$5:$H$5</c:f>
              <c:strCache>
                <c:ptCount val="1"/>
                <c:pt idx="0">
                  <c:v>财政收支决算总计（万元）</c:v>
                </c:pt>
              </c:strCache>
            </c:strRef>
          </c:tx>
          <c:spPr>
            <a:solidFill>
              <a:srgbClr val="4874CB"/>
            </a:solidFill>
            <a:ln>
              <a:noFill/>
            </a:ln>
            <a:effectLst/>
          </c:spPr>
          <c:invertIfNegative val="0"/>
          <c:dLbls>
            <c:delete val="1"/>
          </c:dLbls>
          <c:cat>
            <c:strRef>
              <c:f>'[新建 XLS 工作表.xls]Sheet1'!$I$4:$J$4</c:f>
              <c:strCache>
                <c:ptCount val="2"/>
                <c:pt idx="0">
                  <c:v>2022年</c:v>
                </c:pt>
                <c:pt idx="1">
                  <c:v>2023年</c:v>
                </c:pt>
              </c:strCache>
            </c:strRef>
          </c:cat>
          <c:val>
            <c:numRef>
              <c:f>'[新建 XLS 工作表.xls]Sheet1'!$I$5:$J$5</c:f>
              <c:numCache>
                <c:formatCode>General</c:formatCode>
                <c:ptCount val="2"/>
                <c:pt idx="0">
                  <c:v>829.18</c:v>
                </c:pt>
                <c:pt idx="1">
                  <c:v>1104.78</c:v>
                </c:pt>
              </c:numCache>
            </c:numRef>
          </c:val>
        </c:ser>
        <c:dLbls>
          <c:showLegendKey val="0"/>
          <c:showVal val="0"/>
          <c:showCatName val="0"/>
          <c:showSerName val="0"/>
          <c:showPercent val="0"/>
          <c:showBubbleSize val="0"/>
        </c:dLbls>
        <c:gapWidth val="246"/>
        <c:overlap val="-28"/>
        <c:axId val="473041543"/>
        <c:axId val="93949812"/>
      </c:barChart>
      <c:catAx>
        <c:axId val="473041543"/>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effectLst>
                  <a:outerShdw blurRad="50800" dist="38100" dir="2700000" algn="tl" rotWithShape="0">
                    <a:prstClr val="black">
                      <a:alpha val="40000"/>
                    </a:prstClr>
                  </a:outerShdw>
                </a:effectLst>
                <a:latin typeface="+mn-lt"/>
                <a:ea typeface="+mn-ea"/>
                <a:cs typeface="+mn-cs"/>
              </a:defRPr>
            </a:pPr>
          </a:p>
        </c:txPr>
        <c:crossAx val="93949812"/>
        <c:crosses val="autoZero"/>
        <c:auto val="1"/>
        <c:lblAlgn val="ctr"/>
        <c:lblOffset val="100"/>
        <c:noMultiLvlLbl val="0"/>
      </c:catAx>
      <c:valAx>
        <c:axId val="93949812"/>
        <c:scaling>
          <c:orientation val="minMax"/>
        </c:scaling>
        <c:delete val="0"/>
        <c:axPos val="l"/>
        <c:majorGridlines>
          <c:spPr>
            <a:ln w="9525" cap="flat" cmpd="sng" algn="ctr">
              <a:solidFill>
                <a:sysClr val="window" lastClr="FFFFFF">
                  <a:lumMod val="90200"/>
                </a:sys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effectLst>
                  <a:outerShdw blurRad="50800" dist="38100" dir="2700000" algn="tl" rotWithShape="0">
                    <a:prstClr val="black">
                      <a:alpha val="40000"/>
                    </a:prstClr>
                  </a:outerShdw>
                </a:effectLst>
                <a:latin typeface="+mn-lt"/>
                <a:ea typeface="+mn-ea"/>
                <a:cs typeface="+mn-cs"/>
              </a:defRPr>
            </a:pPr>
          </a:p>
        </c:txPr>
        <c:crossAx val="473041543"/>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effectLst>
                  <a:outerShdw blurRad="50800" dist="38100" dir="2700000" algn="tl" rotWithShape="0">
                    <a:prstClr val="black">
                      <a:alpha val="40000"/>
                    </a:prstClr>
                  </a:outerShdw>
                </a:effectLst>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effectLst>
                <a:outerShdw blurRad="50800" dist="38100" dir="2700000" algn="tl" rotWithShape="0">
                  <a:prstClr val="black">
                    <a:alpha val="40000"/>
                  </a:prstClr>
                </a:outerShdw>
              </a:effectLst>
              <a:latin typeface="+mn-lt"/>
              <a:ea typeface="+mn-ea"/>
              <a:cs typeface="+mn-cs"/>
            </a:defRPr>
          </a:pPr>
        </a:p>
      </c:txPr>
    </c:legend>
    <c:plotVisOnly val="1"/>
    <c:dispBlanksAs val="gap"/>
    <c:showDLblsOverMax val="0"/>
    <c:extLst>
      <c:ext uri="{0b15fc19-7d7d-44ad-8c2d-2c3a37ce22c3}">
        <chartProps xmlns="https://web.wps.cn/et/2018/main" chartId="{a47ae710-3e6c-4c08-a9cc-900d61004972}"/>
      </c:ext>
    </c:extLst>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solidFill>
            <a:sysClr val="windowText" lastClr="000000"/>
          </a:solidFill>
          <a:effectLst>
            <a:outerShdw blurRad="50800" dist="38100" dir="2700000" algn="tl" rotWithShape="0">
              <a:prstClr val="black">
                <a:alpha val="40000"/>
              </a:prstClr>
            </a:outerShdw>
          </a:effectLst>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t>本年收入</a:t>
            </a:r>
            <a:r>
              <a:rPr lang="en-US" altLang="zh-CN"/>
              <a:t>521.71</a:t>
            </a:r>
            <a:r>
              <a:t>（万元）</a:t>
            </a:r>
          </a:p>
        </c:rich>
      </c:tx>
      <c:layout>
        <c:manualLayout>
          <c:xMode val="edge"/>
          <c:yMode val="edge"/>
          <c:x val="0.34"/>
          <c:y val="0.025"/>
        </c:manualLayout>
      </c:layout>
      <c:overlay val="0"/>
      <c:spPr>
        <a:noFill/>
        <a:ln>
          <a:noFill/>
        </a:ln>
        <a:effectLst/>
      </c:spPr>
    </c:title>
    <c:autoTitleDeleted val="0"/>
    <c:plotArea>
      <c:layout/>
      <c:pieChart>
        <c:varyColors val="1"/>
        <c:ser>
          <c:idx val="0"/>
          <c:order val="0"/>
          <c:tx>
            <c:strRef>
              <c:f>'[新建 XLS 工作表.xls]Sheet1'!$G$25</c:f>
              <c:strCache>
                <c:ptCount val="1"/>
                <c:pt idx="0">
                  <c:v>本年收入（万元）</c:v>
                </c:pt>
              </c:strCache>
            </c:strRef>
          </c:tx>
          <c:explosion val="0"/>
          <c:dPt>
            <c:idx val="0"/>
            <c:bubble3D val="0"/>
            <c:spPr>
              <a:solidFill>
                <a:srgbClr val="4F81BD"/>
              </a:solidFill>
              <a:ln w="19050">
                <a:solidFill>
                  <a:sysClr val="window" lastClr="FFFFFF"/>
                </a:solidFill>
              </a:ln>
              <a:effectLst/>
            </c:spPr>
          </c:dPt>
          <c:dPt>
            <c:idx val="1"/>
            <c:bubble3D val="0"/>
            <c:spPr>
              <a:solidFill>
                <a:srgbClr val="C0504D"/>
              </a:solidFill>
              <a:ln w="19050">
                <a:solidFill>
                  <a:sysClr val="window" lastClr="FFFFFF"/>
                </a:solidFill>
              </a:ln>
              <a:effectLst/>
            </c:spPr>
          </c:dPt>
          <c:dPt>
            <c:idx val="2"/>
            <c:bubble3D val="0"/>
            <c:spPr>
              <a:solidFill>
                <a:srgbClr val="9BBB59"/>
              </a:solidFill>
              <a:ln w="19050">
                <a:solidFill>
                  <a:sysClr val="window" lastClr="FFFFFF"/>
                </a:solidFill>
              </a:ln>
              <a:effectLst/>
            </c:spPr>
          </c:dPt>
          <c:dPt>
            <c:idx val="3"/>
            <c:bubble3D val="0"/>
            <c:spPr>
              <a:solidFill>
                <a:srgbClr val="8064A2"/>
              </a:solidFill>
              <a:ln w="19050">
                <a:solidFill>
                  <a:sysClr val="window" lastClr="FFFFFF"/>
                </a:solidFill>
              </a:ln>
              <a:effectLst/>
            </c:spPr>
          </c:dPt>
          <c:dPt>
            <c:idx val="4"/>
            <c:bubble3D val="0"/>
            <c:spPr>
              <a:solidFill>
                <a:srgbClr val="4BACC6"/>
              </a:solidFill>
              <a:ln w="19050">
                <a:solidFill>
                  <a:sysClr val="window" lastClr="FFFFFF"/>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lumMod val="75000"/>
                            <a:lumOff val="25000"/>
                          </a:sysClr>
                        </a:solidFill>
                        <a:latin typeface="+mn-lt"/>
                        <a:ea typeface="+mn-ea"/>
                        <a:cs typeface="+mn-cs"/>
                      </a:defRPr>
                    </a:pPr>
                    <a:r>
                      <a:rPr lang="en-US" altLang="zh-CN"/>
                      <a:t>552.39</a:t>
                    </a:r>
                    <a:r>
                      <a:t>, 100%</a:t>
                    </a:r>
                  </a:p>
                </c:rich>
              </c:tx>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multiLvlStrRef>
              <c:f>'[新建 XLS 工作表.xls]Sheet1'!$E$26:$F$30</c:f>
              <c:multiLvlStrCache>
                <c:ptCount val="5"/>
                <c:lvl/>
                <c:lvl>
                  <c:pt idx="0">
                    <c:v>财政拨款收入</c:v>
                  </c:pt>
                  <c:pt idx="1">
                    <c:v>事业收入</c:v>
                  </c:pt>
                  <c:pt idx="2">
                    <c:v>经营收入</c:v>
                  </c:pt>
                  <c:pt idx="3">
                    <c:v>附属单位上缴收入</c:v>
                  </c:pt>
                  <c:pt idx="4">
                    <c:v>其他收入</c:v>
                  </c:pt>
                </c:lvl>
              </c:multiLvlStrCache>
            </c:multiLvlStrRef>
          </c:cat>
          <c:val>
            <c:numRef>
              <c:f>'[新建 XLS 工作表.xls]Sheet1'!$G$26:$G$30</c:f>
              <c:numCache>
                <c:formatCode>General</c:formatCode>
                <c:ptCount val="5"/>
                <c:pt idx="0">
                  <c:v>401.91</c:v>
                </c:pt>
                <c:pt idx="1">
                  <c:v>0</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zero"/>
    <c:showDLblsOverMax val="0"/>
    <c:extLst>
      <c:ext uri="{0b15fc19-7d7d-44ad-8c2d-2c3a37ce22c3}">
        <chartProps xmlns="https://web.wps.cn/et/2018/main" chartId="{d26b99dd-2493-4ad9-b4ef-7fdc45026f00}"/>
      </c:ext>
    </c:extLst>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本年支出</a:t>
            </a:r>
            <a:r>
              <a:rPr lang="en-US" altLang="zh-CN"/>
              <a:t>552.39</a:t>
            </a:r>
            <a:r>
              <a:t>（万元）</a:t>
            </a:r>
          </a:p>
        </c:rich>
      </c:tx>
      <c:layout/>
      <c:overlay val="0"/>
      <c:spPr>
        <a:noFill/>
        <a:ln>
          <a:noFill/>
        </a:ln>
        <a:effectLst/>
      </c:spPr>
    </c:title>
    <c:autoTitleDeleted val="0"/>
    <c:plotArea>
      <c:layout/>
      <c:pieChart>
        <c:varyColors val="1"/>
        <c:ser>
          <c:idx val="0"/>
          <c:order val="0"/>
          <c:tx>
            <c:strRef>
              <c:f>'[新建 XLS 工作表.xls]Sheet1'!$G$25</c:f>
              <c:strCache>
                <c:ptCount val="1"/>
                <c:pt idx="0">
                  <c:v>本年支出414.59（万元）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460.08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150343685870984"/>
                  <c:y val="0.079899892159675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92.31</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83333333333333"/>
                  <c:y val="0.011111111111111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multiLvlStrRef>
              <c:f>'[新建 XLS 工作表.xls]Sheet1'!$E$26:$F$30</c:f>
              <c:multiLvlStrCache>
                <c:ptCount val="5"/>
                <c:lvl/>
                <c:lvl>
                  <c:pt idx="0">
                    <c:v>基本支出</c:v>
                  </c:pt>
                  <c:pt idx="1">
                    <c:v>项目支出</c:v>
                  </c:pt>
                  <c:pt idx="2">
                    <c:v>上缴上级支出</c:v>
                  </c:pt>
                  <c:pt idx="3">
                    <c:v>经营支出</c:v>
                  </c:pt>
                  <c:pt idx="4">
                    <c:v>对附属单位补助支出</c:v>
                  </c:pt>
                </c:lvl>
              </c:multiLvlStrCache>
            </c:multiLvlStrRef>
          </c:cat>
          <c:val>
            <c:numRef>
              <c:f>'[新建 XLS 工作表.xls]Sheet1'!$G$26:$G$30</c:f>
              <c:numCache>
                <c:formatCode>General</c:formatCode>
                <c:ptCount val="5"/>
                <c:pt idx="0">
                  <c:v>389.09</c:v>
                </c:pt>
                <c:pt idx="1">
                  <c:v>25.5</c:v>
                </c:pt>
                <c:pt idx="2">
                  <c:v>0</c:v>
                </c:pt>
                <c:pt idx="3">
                  <c:v>0</c:v>
                </c:pt>
                <c:pt idx="4">
                  <c:v>0</c:v>
                </c:pt>
              </c:numCache>
            </c:numRef>
          </c:val>
        </c:ser>
        <c:ser>
          <c:idx val="1"/>
          <c:order val="1"/>
          <c:tx>
            <c:strRef>
              <c:f>'[新建 XLS 工作表.xls]Sheet1'!$H$25</c:f>
              <c:strCache>
                <c:ptCount val="1"/>
                <c:pt idx="0">
                  <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multiLvlStrRef>
              <c:f>'[新建 XLS 工作表.xls]Sheet1'!$E$26:$F$30</c:f>
              <c:multiLvlStrCache>
                <c:ptCount val="5"/>
                <c:lvl/>
                <c:lvl>
                  <c:pt idx="0">
                    <c:v>基本支出</c:v>
                  </c:pt>
                  <c:pt idx="1">
                    <c:v>项目支出</c:v>
                  </c:pt>
                  <c:pt idx="2">
                    <c:v>上缴上级支出</c:v>
                  </c:pt>
                  <c:pt idx="3">
                    <c:v>经营支出</c:v>
                  </c:pt>
                  <c:pt idx="4">
                    <c:v>对附属单位补助支出</c:v>
                  </c:pt>
                </c:lvl>
              </c:multiLvlStrCache>
            </c:multiLvlStrRef>
          </c:cat>
          <c:val>
            <c:numRef>
              <c:f>'[新建 XLS 工作表.xls]Sheet1'!$H$26:$H$30</c:f>
              <c:numCache>
                <c:formatCode>General</c:formatCode>
                <c:ptCount val="5"/>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c08fc2bc-fb2d-4af8-a90b-5734e4ed3b7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ysClr val="windowText" lastClr="000000"/>
              </a:solidFill>
              <a:effectLst>
                <a:outerShdw blurRad="50800" dist="38100" dir="2700000" algn="tl" rotWithShape="0">
                  <a:prstClr val="black">
                    <a:alpha val="40000"/>
                  </a:prstClr>
                </a:outerShdw>
              </a:effectLst>
              <a:latin typeface="+mn-lt"/>
              <a:ea typeface="+mn-ea"/>
              <a:cs typeface="+mn-cs"/>
            </a:defRPr>
          </a:pPr>
        </a:p>
      </c:txPr>
    </c:title>
    <c:autoTitleDeleted val="0"/>
    <c:plotArea>
      <c:layout/>
      <c:barChart>
        <c:barDir val="col"/>
        <c:grouping val="clustered"/>
        <c:varyColors val="0"/>
        <c:ser>
          <c:idx val="0"/>
          <c:order val="0"/>
          <c:tx>
            <c:strRef>
              <c:f>'[新建 XLS 工作表.xls]Sheet1'!$G$5:$H$5</c:f>
              <c:strCache>
                <c:ptCount val="1"/>
                <c:pt idx="0">
                  <c:v>财政收支决算总计（万元）</c:v>
                </c:pt>
              </c:strCache>
            </c:strRef>
          </c:tx>
          <c:spPr>
            <a:solidFill>
              <a:srgbClr val="4874CB"/>
            </a:solidFill>
            <a:ln>
              <a:noFill/>
            </a:ln>
            <a:effectLst/>
          </c:spPr>
          <c:invertIfNegative val="0"/>
          <c:dLbls>
            <c:delete val="1"/>
          </c:dLbls>
          <c:cat>
            <c:strRef>
              <c:f>'[新建 XLS 工作表.xls]Sheet1'!$I$4:$J$4</c:f>
              <c:strCache>
                <c:ptCount val="2"/>
                <c:pt idx="0">
                  <c:v>2022年</c:v>
                </c:pt>
                <c:pt idx="1">
                  <c:v>2023年</c:v>
                </c:pt>
              </c:strCache>
            </c:strRef>
          </c:cat>
          <c:val>
            <c:numRef>
              <c:f>'[新建 XLS 工作表.xls]Sheet1'!$I$5:$J$5</c:f>
              <c:numCache>
                <c:formatCode>General</c:formatCode>
                <c:ptCount val="2"/>
                <c:pt idx="0">
                  <c:v>829.18</c:v>
                </c:pt>
                <c:pt idx="1">
                  <c:v>1104.78</c:v>
                </c:pt>
              </c:numCache>
            </c:numRef>
          </c:val>
        </c:ser>
        <c:dLbls>
          <c:showLegendKey val="0"/>
          <c:showVal val="0"/>
          <c:showCatName val="0"/>
          <c:showSerName val="0"/>
          <c:showPercent val="0"/>
          <c:showBubbleSize val="0"/>
        </c:dLbls>
        <c:gapWidth val="246"/>
        <c:overlap val="-28"/>
        <c:axId val="993671136"/>
        <c:axId val="746318262"/>
      </c:barChart>
      <c:catAx>
        <c:axId val="993671136"/>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effectLst>
                  <a:outerShdw blurRad="50800" dist="38100" dir="2700000" algn="tl" rotWithShape="0">
                    <a:prstClr val="black">
                      <a:alpha val="40000"/>
                    </a:prstClr>
                  </a:outerShdw>
                </a:effectLst>
                <a:latin typeface="+mn-lt"/>
                <a:ea typeface="+mn-ea"/>
                <a:cs typeface="+mn-cs"/>
              </a:defRPr>
            </a:pPr>
          </a:p>
        </c:txPr>
        <c:crossAx val="746318262"/>
        <c:crosses val="autoZero"/>
        <c:auto val="1"/>
        <c:lblAlgn val="ctr"/>
        <c:lblOffset val="100"/>
        <c:noMultiLvlLbl val="0"/>
      </c:catAx>
      <c:valAx>
        <c:axId val="746318262"/>
        <c:scaling>
          <c:orientation val="minMax"/>
        </c:scaling>
        <c:delete val="0"/>
        <c:axPos val="l"/>
        <c:majorGridlines>
          <c:spPr>
            <a:ln w="9525" cap="flat" cmpd="sng" algn="ctr">
              <a:solidFill>
                <a:sysClr val="window" lastClr="FFFFFF">
                  <a:lumMod val="90200"/>
                </a:sys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effectLst>
                  <a:outerShdw blurRad="50800" dist="38100" dir="2700000" algn="tl" rotWithShape="0">
                    <a:prstClr val="black">
                      <a:alpha val="40000"/>
                    </a:prstClr>
                  </a:outerShdw>
                </a:effectLst>
                <a:latin typeface="+mn-lt"/>
                <a:ea typeface="+mn-ea"/>
                <a:cs typeface="+mn-cs"/>
              </a:defRPr>
            </a:pPr>
          </a:p>
        </c:txPr>
        <c:crossAx val="99367113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effectLst>
                  <a:outerShdw blurRad="50800" dist="38100" dir="2700000" algn="tl" rotWithShape="0">
                    <a:prstClr val="black">
                      <a:alpha val="40000"/>
                    </a:prstClr>
                  </a:outerShdw>
                </a:effectLst>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effectLst>
                <a:outerShdw blurRad="50800" dist="38100" dir="2700000" algn="tl" rotWithShape="0">
                  <a:prstClr val="black">
                    <a:alpha val="40000"/>
                  </a:prstClr>
                </a:outerShdw>
              </a:effectLst>
              <a:latin typeface="+mn-lt"/>
              <a:ea typeface="+mn-ea"/>
              <a:cs typeface="+mn-cs"/>
            </a:defRPr>
          </a:pPr>
        </a:p>
      </c:txPr>
    </c:legend>
    <c:plotVisOnly val="1"/>
    <c:dispBlanksAs val="gap"/>
    <c:showDLblsOverMax val="0"/>
    <c:extLst>
      <c:ext uri="{0b15fc19-7d7d-44ad-8c2d-2c3a37ce22c3}">
        <chartProps xmlns="https://web.wps.cn/et/2018/main" chartId="{34895ed6-8e27-4a68-b0a3-8a0e23eb2ea1}"/>
      </c:ext>
    </c:extLst>
  </c:chart>
  <c:spPr>
    <a:solidFill>
      <a:sysClr val="window" lastClr="FFFFFF"/>
    </a:solidFill>
    <a:ln w="9525" cap="flat" cmpd="sng" algn="ctr">
      <a:solidFill>
        <a:sysClr val="windowText" lastClr="000000">
          <a:lumMod val="15000"/>
          <a:lumOff val="85000"/>
        </a:sysClr>
      </a:solidFill>
      <a:prstDash val="solid"/>
      <a:round/>
    </a:ln>
    <a:effectLst/>
  </c:spPr>
  <c:txPr>
    <a:bodyPr wrap="square"/>
    <a:lstStyle/>
    <a:p>
      <a:pPr>
        <a:defRPr lang="zh-CN">
          <a:solidFill>
            <a:sysClr val="windowText" lastClr="000000"/>
          </a:solidFill>
          <a:effectLst>
            <a:outerShdw blurRad="50800" dist="38100" dir="2700000" algn="tl" rotWithShape="0">
              <a:prstClr val="black">
                <a:alpha val="40000"/>
              </a:prstClr>
            </a:outerShdw>
          </a:effectLst>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ysClr val="windowText" lastClr="000000">
                  <a:lumMod val="75000"/>
                  <a:lumOff val="25000"/>
                </a:sysClr>
              </a:solidFill>
              <a:latin typeface="+mn-lt"/>
              <a:ea typeface="+mn-ea"/>
              <a:cs typeface="+mn-cs"/>
            </a:defRPr>
          </a:pPr>
        </a:p>
      </c:txPr>
    </c:title>
    <c:autoTitleDeleted val="0"/>
    <c:plotArea>
      <c:layout/>
      <c:barChart>
        <c:barDir val="col"/>
        <c:grouping val="clustered"/>
        <c:varyColors val="0"/>
        <c:ser>
          <c:idx val="0"/>
          <c:order val="0"/>
          <c:tx>
            <c:strRef>
              <c:f>'[新建 XLS 工作表.xls]Sheet1'!$F$36:$I$36</c:f>
              <c:strCache>
                <c:ptCount val="1"/>
                <c:pt idx="0">
                  <c:v>一般公共预算财政拨款支出决算（万元）</c:v>
                </c:pt>
              </c:strCache>
            </c:strRef>
          </c:tx>
          <c:spPr>
            <a:solidFill>
              <a:srgbClr val="4F81BD"/>
            </a:solidFill>
            <a:ln>
              <a:noFill/>
            </a:ln>
            <a:effectLst/>
          </c:spPr>
          <c:invertIfNegative val="0"/>
          <c:dLbls>
            <c:delete val="1"/>
          </c:dLbls>
          <c:cat>
            <c:strRef>
              <c:f>'[新建 XLS 工作表.xls]Sheet1'!$J$35:$K$35</c:f>
              <c:strCache>
                <c:ptCount val="2"/>
                <c:pt idx="0">
                  <c:v>2022年</c:v>
                </c:pt>
                <c:pt idx="1">
                  <c:v>2023年</c:v>
                </c:pt>
              </c:strCache>
            </c:strRef>
          </c:cat>
          <c:val>
            <c:numRef>
              <c:f>'[新建 XLS 工作表.xls]Sheet1'!$J$36:$K$36</c:f>
              <c:numCache>
                <c:formatCode>General</c:formatCode>
                <c:ptCount val="2"/>
                <c:pt idx="0">
                  <c:v>414.59</c:v>
                </c:pt>
                <c:pt idx="1">
                  <c:v>552.39</c:v>
                </c:pt>
              </c:numCache>
            </c:numRef>
          </c:val>
        </c:ser>
        <c:dLbls>
          <c:showLegendKey val="0"/>
          <c:showVal val="0"/>
          <c:showCatName val="0"/>
          <c:showSerName val="0"/>
          <c:showPercent val="0"/>
          <c:showBubbleSize val="0"/>
        </c:dLbls>
        <c:gapWidth val="246"/>
        <c:overlap val="-28"/>
        <c:axId val="643998260"/>
        <c:axId val="561624973"/>
      </c:barChart>
      <c:catAx>
        <c:axId val="643998260"/>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61624973"/>
        <c:crosses val="autoZero"/>
        <c:auto val="1"/>
        <c:lblAlgn val="ctr"/>
        <c:lblOffset val="100"/>
        <c:noMultiLvlLbl val="0"/>
      </c:catAx>
      <c:valAx>
        <c:axId val="561624973"/>
        <c:scaling>
          <c:orientation val="minMax"/>
        </c:scaling>
        <c:delete val="0"/>
        <c:axPos val="l"/>
        <c:majorGridlines>
          <c:spPr>
            <a:ln w="9525" cap="flat" cmpd="sng" algn="ctr">
              <a:solidFill>
                <a:sysClr val="window" lastClr="FFFFFF">
                  <a:lumMod val="90200"/>
                </a:sys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439982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extLst>
      <c:ext uri="{0b15fc19-7d7d-44ad-8c2d-2c3a37ce22c3}">
        <chartProps xmlns="https://web.wps.cn/et/2018/main" chartId="{e6830df1-8b4e-42b0-ac29-ffec61eb40bc}"/>
      </c:ext>
    </c:extLst>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10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ysClr val="windowText" lastClr="000000"/>
    </cs:fontRef>
    <cs:spPr>
      <a:ln>
        <a:noFill/>
      </a:ln>
      <a:effectLst/>
    </cs:spPr>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 lastClr="FFFFFF">
            <a:lumMod val="902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75000"/>
        <a:lumOff val="25000"/>
      </a:sysClr>
    </cs:fontRef>
    <cs:defRPr sz="1400" b="1" kern="120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10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ysClr val="windowText" lastClr="000000"/>
    </cs:fontRef>
    <cs:spPr>
      <a:ln>
        <a:noFill/>
      </a:ln>
      <a:effectLst/>
    </cs:spPr>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 lastClr="FFFFFF">
            <a:lumMod val="902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75000"/>
        <a:lumOff val="25000"/>
      </a:sysClr>
    </cs:fontRef>
    <cs:defRPr sz="1400" b="1" kern="120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4477</Words>
  <Characters>4964</Characters>
  <Lines>54</Lines>
  <Paragraphs>15</Paragraphs>
  <TotalTime>2</TotalTime>
  <ScaleCrop>false</ScaleCrop>
  <LinksUpToDate>false</LinksUpToDate>
  <CharactersWithSpaces>5042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cp:lastModifiedBy>
  <cp:lastPrinted>2023-08-03T02:35:00Z</cp:lastPrinted>
  <dcterms:modified xsi:type="dcterms:W3CDTF">2024-10-24T06:58:02Z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24F9EF598E184E9BBDD0BD15BEA6DE03_12</vt:lpwstr>
  </property>
</Properties>
</file>