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41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《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大竹县集体土地上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房屋未经登记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面积</w:t>
      </w:r>
    </w:p>
    <w:p w14:paraId="18650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认定办法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》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起草说明</w:t>
      </w:r>
    </w:p>
    <w:p w14:paraId="41E86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</w:t>
      </w:r>
    </w:p>
    <w:p w14:paraId="2A2FE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一、基本情况</w:t>
      </w:r>
    </w:p>
    <w:p w14:paraId="09AD9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为规范大竹县县域内集体土地上房屋拆迁补偿安置工作，维护农村集体经济组织、村民和其他权利人的合法权益，根据《中华人民共和国土地管理法》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《中华人民共和国土地管理法实施条例》和《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达州市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集体土地征收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补偿安置办法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》等法律法规的规定，结合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实际，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县房屋征补中心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草拟形成《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大竹县集体土地上房屋未经登记面积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认定办法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（征求意见稿）》。</w:t>
      </w:r>
    </w:p>
    <w:p w14:paraId="119D2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二、制定文件的必要性</w:t>
      </w:r>
    </w:p>
    <w:p w14:paraId="221603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（一）适应法律法规。国有土地上的房屋征收以《国有土地上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"https://www.66law.cn/tiaoli/24.aspx" \o "房屋征收与补偿条例" \t "https://www.66law.cn/laws/_blank"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房屋征收与补偿条例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》为法律依据，但至今关于集体土地上的房屋征收补偿国家还没有统一的立法。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达州市政府出台了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达州市集体土地征收补偿安置办法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》，并指出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zh-CN"/>
        </w:rPr>
        <w:t>各县（市、区）可以根据本办法，结合本地实际，制定具体的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zh-CN"/>
        </w:rPr>
        <w:t>认定办法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zh-CN"/>
        </w:rPr>
        <w:t>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zh-CN"/>
        </w:rPr>
        <w:t>认定办法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zh-CN"/>
        </w:rPr>
        <w:t>的出台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进一步规范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了大竹县县城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集体土地房屋征收补偿安置工作，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充分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保障集体土地房屋当事人的合法权益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2686C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（二）顺应社会发展。随着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社会经济发展，近些年实施的征地拆迁项目较多，现行政策暴露出不足之处。同时，审计、司法部门也对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县城周边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集体土地房屋征收补偿安置政策进行专项研究，指出了政策执行中存在的问题，给出了完善政策的工作建议。</w:t>
      </w:r>
    </w:p>
    <w:p w14:paraId="3B0F1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三、需要解决的问题</w:t>
      </w:r>
    </w:p>
    <w:p w14:paraId="5F799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达州市集体土地征收补偿安置办法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的有关规定，和审计、司法部门指出现行政策执行中存在的问题，需对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现行集体土地房屋征收补偿安置政策中，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合法房屋和建（构）筑物面积的认定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室内装潢补偿标准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等方面的政策进行修改和完善。</w:t>
      </w:r>
    </w:p>
    <w:p w14:paraId="2FB3F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认定办法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主要内容</w:t>
      </w:r>
    </w:p>
    <w:p w14:paraId="669B8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认定办法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》共由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十八条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组成。第一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至五条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为总则，主要是阐述政策适用范围和征收实施主体等内容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六至十五条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为房屋建（构）筑物拆迁补偿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面积认定、标准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，主要是阐述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合法房屋建（构）筑物面积的认定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不予认定为合法房屋建（构）筑物情形、室内装潢补偿标准、其它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规定等方面内容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十六条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为法律责任，主要是阐述实施征收的法律责任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十七至十八条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为附则，主要是阐述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认定办法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具体执行方面内容。</w:t>
      </w:r>
    </w:p>
    <w:p w14:paraId="2FD14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五、评估论证、征求意见及协调处理等情况</w:t>
      </w:r>
    </w:p>
    <w:p w14:paraId="546CFF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（一）工作开展情况。</w:t>
      </w:r>
    </w:p>
    <w:p w14:paraId="5DFF28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日，县房屋征收与补偿中心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分别向县财政局、司法局、自然资源局、综合执法局去函，征求了意见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 w14:paraId="37C989DE">
      <w:pPr>
        <w:pStyle w:val="2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13日，副县长杨柳召集政府办、财政局、司法局、住建局、综合执法局、自然资源局、农业农村局、房征中心、竹阳街道、白塔街道、东柳街道等部门的分管领导就《大竹县集体土地上房屋未经登记面积认定办法（草案）》进行专题讨论，参会各方提出具体意见建议。</w:t>
      </w:r>
    </w:p>
    <w:p w14:paraId="0CE1A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2025年5月16日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我中心组织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财政局、司法局、住建局、自然资源局、农业农村局、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房屋征补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中心、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城乡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规划编制中心、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综合执法局、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竹阳街道、白塔街道、东柳街道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等部门的相关专家，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对该《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大竹县集体土地上房屋未经登记面积认定办法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》进行了论证，参会各方对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认定办法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提出了意见建议。</w:t>
      </w:r>
    </w:p>
    <w:p w14:paraId="7EEEA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）协调处理情况。</w:t>
      </w:r>
    </w:p>
    <w:p w14:paraId="14FA9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县房屋征收与补偿中心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相关部门，对照收集的意见建议，对政策进行逐条修改。</w:t>
      </w:r>
    </w:p>
    <w:p w14:paraId="6A915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、其他需要说明的情况</w:t>
      </w:r>
    </w:p>
    <w:p w14:paraId="55ACC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无。</w:t>
      </w:r>
    </w:p>
    <w:p w14:paraId="33A87D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A3A07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3D00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364" w:firstLineChars="1364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大竹县房屋征收与补偿中心</w:t>
      </w:r>
    </w:p>
    <w:p w14:paraId="5655B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日</w:t>
      </w:r>
    </w:p>
    <w:p w14:paraId="57FA8020"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8E21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-371475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FB7D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9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MsnKP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DFB7D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zMWUzODJiNzMwNzkzYTVhOTQ2OTUxN2UzZjI0YWQifQ=="/>
  </w:docVars>
  <w:rsids>
    <w:rsidRoot w:val="3DFE6A5F"/>
    <w:rsid w:val="0E8D603A"/>
    <w:rsid w:val="200308CB"/>
    <w:rsid w:val="21D42AC4"/>
    <w:rsid w:val="2F106599"/>
    <w:rsid w:val="3DFE6A5F"/>
    <w:rsid w:val="567B61FF"/>
    <w:rsid w:val="57260145"/>
    <w:rsid w:val="58CE2BF5"/>
    <w:rsid w:val="5D7A1E4E"/>
    <w:rsid w:val="67160468"/>
    <w:rsid w:val="672507D6"/>
    <w:rsid w:val="70522953"/>
    <w:rsid w:val="7C9F0A83"/>
    <w:rsid w:val="7CC5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1222</Words>
  <Characters>1240</Characters>
  <Lines>0</Lines>
  <Paragraphs>0</Paragraphs>
  <TotalTime>0</TotalTime>
  <ScaleCrop>false</ScaleCrop>
  <LinksUpToDate>false</LinksUpToDate>
  <CharactersWithSpaces>1241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2023-01-10T09:05:00Z</dcterms:created>
  <dc:creator>程</dc:creator>
  <cp:lastModifiedBy>一生推</cp:lastModifiedBy>
  <dcterms:modified xsi:type="dcterms:W3CDTF">2025-06-05T08:30:03Z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26484A7DC7D44D7DA2CE06385092E028</vt:lpwstr>
  </property>
  <property fmtid="{D5CDD505-2E9C-101B-9397-08002B2CF9AE}" pid="4" name="KSOTemplateDocerSaveRecord">
    <vt:lpwstr>eyJoZGlkIjoiM2NhMTRmMDM0ZWUyMjVhZGYwOTJiMTgzMWNjNGRhNTEiLCJ1c2VySWQiOiI1NzUyNTY4NjIifQ==</vt:lpwstr>
  </property>
</Properties>
</file>