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adjustRightInd w:val="0"/>
        <w:snapToGrid w:val="0"/>
        <w:jc w:val="center"/>
        <w:outlineLvl w:val="0"/>
        <w:rPr>
          <w:rFonts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pPr>
        <w:adjustRightInd w:val="0"/>
        <w:snapToGrid w:val="0"/>
        <w:spacing w:before="192" w:beforeLines="80"/>
        <w:jc w:val="center"/>
        <w:rPr>
          <w:rFonts w:ascii="楷体_GB2312" w:eastAsia="楷体_GB2312"/>
          <w:bCs/>
          <w:color w:val="auto"/>
          <w:sz w:val="36"/>
          <w:szCs w:val="36"/>
        </w:rPr>
      </w:pPr>
      <w:r>
        <w:rPr>
          <w:rFonts w:hint="eastAsia" w:ascii="楷体_GB2312" w:eastAsia="楷体_GB2312"/>
          <w:bCs/>
          <w:color w:val="auto"/>
          <w:sz w:val="36"/>
          <w:szCs w:val="36"/>
        </w:rPr>
        <w:t>（</w:t>
      </w:r>
      <w:r>
        <w:rPr>
          <w:rFonts w:hint="eastAsia" w:ascii="楷体_GB2312" w:eastAsia="楷体_GB2312"/>
          <w:bCs/>
          <w:color w:val="auto"/>
          <w:sz w:val="36"/>
          <w:szCs w:val="36"/>
          <w:lang w:val="en-US" w:eastAsia="zh-CN"/>
        </w:rPr>
        <w:t>送审本</w:t>
      </w:r>
      <w:r>
        <w:rPr>
          <w:rFonts w:hint="eastAsia" w:ascii="楷体_GB2312" w:eastAsia="楷体_GB2312"/>
          <w:bCs/>
          <w:color w:val="auto"/>
          <w:sz w:val="36"/>
          <w:szCs w:val="36"/>
        </w:rPr>
        <w:t>）</w:t>
      </w:r>
    </w:p>
    <w:p>
      <w:pPr>
        <w:adjustRightInd w:val="0"/>
        <w:snapToGrid w:val="0"/>
        <w:spacing w:line="288" w:lineRule="auto"/>
        <w:jc w:val="center"/>
        <w:rPr>
          <w:rFonts w:ascii="华文仿宋" w:hAnsi="华文仿宋" w:eastAsia="华文仿宋" w:cs="华文仿宋"/>
          <w:color w:val="auto"/>
          <w:kern w:val="44"/>
          <w:sz w:val="44"/>
          <w:szCs w:val="44"/>
        </w:rPr>
      </w:pPr>
    </w:p>
    <w:p>
      <w:pPr>
        <w:bidi w:val="0"/>
        <w:rPr>
          <w:color w:val="auto"/>
        </w:rPr>
      </w:pPr>
    </w:p>
    <w:p>
      <w:pPr>
        <w:rPr>
          <w:color w:val="auto"/>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tbl>
      <w:tblPr>
        <w:tblStyle w:val="14"/>
        <w:tblW w:w="7746" w:type="dxa"/>
        <w:jc w:val="center"/>
        <w:tblInd w:w="0" w:type="dxa"/>
        <w:tblLayout w:type="fixed"/>
        <w:tblCellMar>
          <w:top w:w="0" w:type="dxa"/>
          <w:left w:w="108" w:type="dxa"/>
          <w:bottom w:w="0" w:type="dxa"/>
          <w:right w:w="108" w:type="dxa"/>
        </w:tblCellMar>
      </w:tblPr>
      <w:tblGrid>
        <w:gridCol w:w="1990"/>
        <w:gridCol w:w="5756"/>
      </w:tblGrid>
      <w:tr>
        <w:tblPrEx>
          <w:tblLayout w:type="fixed"/>
          <w:tblCellMar>
            <w:top w:w="0" w:type="dxa"/>
            <w:left w:w="108" w:type="dxa"/>
            <w:bottom w:w="0" w:type="dxa"/>
            <w:right w:w="108" w:type="dxa"/>
          </w:tblCellMar>
        </w:tblPrEx>
        <w:trPr>
          <w:trHeight w:val="179" w:hRule="atLeast"/>
          <w:jc w:val="center"/>
        </w:trPr>
        <w:tc>
          <w:tcPr>
            <w:tcW w:w="1990" w:type="dxa"/>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eastAsia="仿宋_GB2312"/>
                <w:color w:val="auto"/>
                <w:spacing w:val="30"/>
                <w:sz w:val="32"/>
                <w:szCs w:val="32"/>
              </w:rPr>
            </w:pPr>
            <w:r>
              <w:rPr>
                <w:rFonts w:hint="default" w:eastAsia="仿宋_GB2312"/>
                <w:color w:val="auto"/>
                <w:spacing w:val="30"/>
                <w:sz w:val="32"/>
                <w:szCs w:val="32"/>
              </w:rPr>
              <w:t>项目名称</w:t>
            </w:r>
            <w:r>
              <w:rPr>
                <w:rFonts w:hint="eastAsia" w:eastAsia="仿宋_GB2312"/>
                <w:color w:val="auto"/>
                <w:spacing w:val="30"/>
                <w:sz w:val="32"/>
                <w:szCs w:val="32"/>
              </w:rPr>
              <w:t>：</w:t>
            </w:r>
          </w:p>
        </w:tc>
        <w:tc>
          <w:tcPr>
            <w:tcW w:w="5756" w:type="dxa"/>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eastAsia="仿宋_GB2312"/>
                <w:color w:val="auto"/>
                <w:spacing w:val="12"/>
                <w:sz w:val="32"/>
                <w:szCs w:val="32"/>
                <w:u w:val="single"/>
              </w:rPr>
            </w:pPr>
            <w:r>
              <w:rPr>
                <w:rFonts w:hint="eastAsia" w:eastAsia="仿宋_GB2312"/>
                <w:color w:val="auto"/>
                <w:spacing w:val="-14"/>
                <w:sz w:val="32"/>
                <w:szCs w:val="32"/>
                <w:u w:val="single"/>
                <w:lang w:val="en-US" w:eastAsia="zh-CN"/>
              </w:rPr>
              <w:t>大竹县莲印乡高品质砂石产品生产加工</w:t>
            </w:r>
            <w:r>
              <w:rPr>
                <w:rFonts w:hint="default" w:eastAsia="仿宋_GB2312"/>
                <w:color w:val="auto"/>
                <w:spacing w:val="-20"/>
                <w:sz w:val="32"/>
                <w:szCs w:val="32"/>
                <w:u w:val="single"/>
              </w:rPr>
              <w:t>项目</w:t>
            </w:r>
          </w:p>
        </w:tc>
      </w:tr>
      <w:tr>
        <w:tblPrEx>
          <w:tblLayout w:type="fixed"/>
          <w:tblCellMar>
            <w:top w:w="0" w:type="dxa"/>
            <w:left w:w="108" w:type="dxa"/>
            <w:bottom w:w="0" w:type="dxa"/>
            <w:right w:w="108" w:type="dxa"/>
          </w:tblCellMar>
        </w:tblPrEx>
        <w:trPr>
          <w:trHeight w:val="185" w:hRule="atLeast"/>
          <w:jc w:val="center"/>
        </w:trPr>
        <w:tc>
          <w:tcPr>
            <w:tcW w:w="1990" w:type="dxa"/>
            <w:vAlign w:val="center"/>
          </w:tcPr>
          <w:p>
            <w:pPr>
              <w:keepNext w:val="0"/>
              <w:keepLines w:val="0"/>
              <w:suppressLineNumbers w:val="0"/>
              <w:adjustRightInd w:val="0"/>
              <w:spacing w:before="0" w:beforeAutospacing="0" w:after="0" w:afterAutospacing="0" w:line="288" w:lineRule="auto"/>
              <w:ind w:left="0" w:right="0"/>
              <w:jc w:val="center"/>
              <w:rPr>
                <w:rFonts w:hint="default" w:eastAsia="黑体"/>
                <w:bCs/>
                <w:color w:val="auto"/>
                <w:sz w:val="32"/>
                <w:szCs w:val="32"/>
              </w:rPr>
            </w:pPr>
          </w:p>
        </w:tc>
        <w:tc>
          <w:tcPr>
            <w:tcW w:w="5756" w:type="dxa"/>
            <w:vAlign w:val="center"/>
          </w:tcPr>
          <w:p>
            <w:pPr>
              <w:keepNext w:val="0"/>
              <w:keepLines w:val="0"/>
              <w:suppressLineNumbers w:val="0"/>
              <w:adjustRightInd w:val="0"/>
              <w:spacing w:before="0" w:beforeAutospacing="0" w:after="0" w:afterAutospacing="0" w:line="288" w:lineRule="auto"/>
              <w:ind w:left="0" w:right="0"/>
              <w:rPr>
                <w:rFonts w:hint="default" w:eastAsia="黑体"/>
                <w:bCs/>
                <w:color w:val="auto"/>
                <w:sz w:val="32"/>
                <w:szCs w:val="32"/>
              </w:rPr>
            </w:pPr>
          </w:p>
        </w:tc>
      </w:tr>
      <w:tr>
        <w:tblPrEx>
          <w:tblLayout w:type="fixed"/>
          <w:tblCellMar>
            <w:top w:w="0" w:type="dxa"/>
            <w:left w:w="108" w:type="dxa"/>
            <w:bottom w:w="0" w:type="dxa"/>
            <w:right w:w="108" w:type="dxa"/>
          </w:tblCellMar>
        </w:tblPrEx>
        <w:trPr>
          <w:trHeight w:val="185" w:hRule="atLeast"/>
          <w:jc w:val="center"/>
        </w:trPr>
        <w:tc>
          <w:tcPr>
            <w:tcW w:w="1990" w:type="dxa"/>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eastAsia="仿宋_GB2312"/>
                <w:color w:val="auto"/>
                <w:spacing w:val="-30"/>
                <w:sz w:val="32"/>
                <w:szCs w:val="32"/>
              </w:rPr>
            </w:pPr>
            <w:r>
              <w:rPr>
                <w:rFonts w:hint="default" w:eastAsia="仿宋_GB2312"/>
                <w:color w:val="auto"/>
                <w:spacing w:val="-30"/>
                <w:sz w:val="32"/>
                <w:szCs w:val="32"/>
              </w:rPr>
              <w:t>建设单位(盖章):</w:t>
            </w:r>
          </w:p>
        </w:tc>
        <w:tc>
          <w:tcPr>
            <w:tcW w:w="5756" w:type="dxa"/>
            <w:vAlign w:val="center"/>
          </w:tcPr>
          <w:p>
            <w:pPr>
              <w:keepNext w:val="0"/>
              <w:keepLines w:val="0"/>
              <w:suppressLineNumbers w:val="0"/>
              <w:adjustRightInd w:val="0"/>
              <w:snapToGrid w:val="0"/>
              <w:spacing w:before="0" w:beforeAutospacing="0" w:after="0" w:afterAutospacing="0" w:line="288" w:lineRule="auto"/>
              <w:ind w:left="0" w:right="0"/>
              <w:jc w:val="left"/>
              <w:rPr>
                <w:rFonts w:hint="default" w:eastAsia="仿宋_GB2312"/>
                <w:color w:val="auto"/>
                <w:spacing w:val="-14"/>
                <w:sz w:val="32"/>
                <w:szCs w:val="32"/>
                <w:u w:val="single"/>
              </w:rPr>
            </w:pPr>
            <w:r>
              <w:rPr>
                <w:rFonts w:hint="eastAsia" w:eastAsia="仿宋_GB2312"/>
                <w:color w:val="auto"/>
                <w:spacing w:val="-14"/>
                <w:sz w:val="32"/>
                <w:szCs w:val="32"/>
                <w:u w:val="single"/>
              </w:rPr>
              <w:t xml:space="preserve"> </w:t>
            </w:r>
            <w:r>
              <w:rPr>
                <w:rFonts w:hint="default" w:eastAsia="仿宋_GB2312"/>
                <w:color w:val="auto"/>
                <w:spacing w:val="-14"/>
                <w:sz w:val="32"/>
                <w:szCs w:val="32"/>
                <w:u w:val="single"/>
              </w:rPr>
              <w:t xml:space="preserve">    </w:t>
            </w:r>
            <w:r>
              <w:rPr>
                <w:rFonts w:hint="eastAsia" w:eastAsia="仿宋_GB2312"/>
                <w:color w:val="auto"/>
                <w:spacing w:val="-14"/>
                <w:sz w:val="32"/>
                <w:szCs w:val="32"/>
                <w:u w:val="single"/>
                <w:lang w:val="en-US" w:eastAsia="zh-CN"/>
              </w:rPr>
              <w:t xml:space="preserve">    大竹县生财页岩砖厂</w:t>
            </w:r>
            <w:r>
              <w:rPr>
                <w:rFonts w:hint="eastAsia" w:eastAsia="仿宋_GB2312"/>
                <w:color w:val="auto"/>
                <w:spacing w:val="-14"/>
                <w:sz w:val="32"/>
                <w:szCs w:val="32"/>
                <w:u w:val="single"/>
              </w:rPr>
              <w:t xml:space="preserve">                 </w:t>
            </w:r>
          </w:p>
        </w:tc>
      </w:tr>
      <w:tr>
        <w:tblPrEx>
          <w:tblLayout w:type="fixed"/>
          <w:tblCellMar>
            <w:top w:w="0" w:type="dxa"/>
            <w:left w:w="108" w:type="dxa"/>
            <w:bottom w:w="0" w:type="dxa"/>
            <w:right w:w="108" w:type="dxa"/>
          </w:tblCellMar>
        </w:tblPrEx>
        <w:trPr>
          <w:trHeight w:val="185" w:hRule="atLeast"/>
          <w:jc w:val="center"/>
        </w:trPr>
        <w:tc>
          <w:tcPr>
            <w:tcW w:w="1990" w:type="dxa"/>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eastAsia="仿宋_GB2312"/>
                <w:color w:val="auto"/>
                <w:sz w:val="32"/>
                <w:szCs w:val="32"/>
              </w:rPr>
            </w:pPr>
          </w:p>
        </w:tc>
        <w:tc>
          <w:tcPr>
            <w:tcW w:w="5756" w:type="dxa"/>
            <w:vAlign w:val="center"/>
          </w:tcPr>
          <w:p>
            <w:pPr>
              <w:keepNext w:val="0"/>
              <w:keepLines w:val="0"/>
              <w:suppressLineNumbers w:val="0"/>
              <w:adjustRightInd w:val="0"/>
              <w:snapToGrid w:val="0"/>
              <w:spacing w:before="0" w:beforeAutospacing="0" w:after="0" w:afterAutospacing="0" w:line="288" w:lineRule="auto"/>
              <w:ind w:left="0" w:right="0" w:firstLine="1040"/>
              <w:jc w:val="center"/>
              <w:rPr>
                <w:rFonts w:hint="default" w:eastAsia="仿宋_GB2312"/>
                <w:color w:val="auto"/>
                <w:sz w:val="32"/>
                <w:szCs w:val="32"/>
              </w:rPr>
            </w:pPr>
          </w:p>
        </w:tc>
      </w:tr>
      <w:tr>
        <w:tblPrEx>
          <w:tblLayout w:type="fixed"/>
          <w:tblCellMar>
            <w:top w:w="0" w:type="dxa"/>
            <w:left w:w="108" w:type="dxa"/>
            <w:bottom w:w="0" w:type="dxa"/>
            <w:right w:w="108" w:type="dxa"/>
          </w:tblCellMar>
        </w:tblPrEx>
        <w:trPr>
          <w:trHeight w:val="185" w:hRule="atLeast"/>
          <w:jc w:val="center"/>
        </w:trPr>
        <w:tc>
          <w:tcPr>
            <w:tcW w:w="1990" w:type="dxa"/>
            <w:vAlign w:val="center"/>
          </w:tcPr>
          <w:p>
            <w:pPr>
              <w:keepNext w:val="0"/>
              <w:keepLines w:val="0"/>
              <w:suppressLineNumbers w:val="0"/>
              <w:adjustRightInd w:val="0"/>
              <w:snapToGrid w:val="0"/>
              <w:spacing w:before="0" w:beforeAutospacing="0" w:after="0" w:afterAutospacing="0" w:line="288" w:lineRule="auto"/>
              <w:ind w:left="0" w:right="0"/>
              <w:jc w:val="center"/>
              <w:rPr>
                <w:rFonts w:hint="default" w:eastAsia="仿宋_GB2312"/>
                <w:color w:val="auto"/>
                <w:spacing w:val="30"/>
                <w:sz w:val="32"/>
                <w:szCs w:val="32"/>
              </w:rPr>
            </w:pPr>
            <w:r>
              <w:rPr>
                <w:rFonts w:hint="default" w:eastAsia="仿宋_GB2312"/>
                <w:color w:val="auto"/>
                <w:spacing w:val="30"/>
                <w:sz w:val="32"/>
                <w:szCs w:val="32"/>
              </w:rPr>
              <w:t>编制日期：</w:t>
            </w:r>
          </w:p>
        </w:tc>
        <w:tc>
          <w:tcPr>
            <w:tcW w:w="5756" w:type="dxa"/>
            <w:vAlign w:val="center"/>
          </w:tcPr>
          <w:p>
            <w:pPr>
              <w:keepNext w:val="0"/>
              <w:keepLines w:val="0"/>
              <w:suppressLineNumbers w:val="0"/>
              <w:adjustRightInd w:val="0"/>
              <w:snapToGrid w:val="0"/>
              <w:spacing w:before="0" w:beforeAutospacing="0" w:after="0" w:afterAutospacing="0" w:line="288" w:lineRule="auto"/>
              <w:ind w:left="0" w:right="0"/>
              <w:rPr>
                <w:rFonts w:hint="default" w:eastAsia="仿宋_GB2312"/>
                <w:color w:val="auto"/>
                <w:sz w:val="32"/>
                <w:szCs w:val="32"/>
                <w:u w:val="single"/>
              </w:rPr>
            </w:pPr>
            <w:r>
              <w:rPr>
                <w:rFonts w:hint="default" w:eastAsia="仿宋_GB2312"/>
                <w:color w:val="auto"/>
                <w:sz w:val="32"/>
                <w:szCs w:val="32"/>
                <w:u w:val="single"/>
              </w:rPr>
              <w:t xml:space="preserve">     </w:t>
            </w:r>
            <w:r>
              <w:rPr>
                <w:rFonts w:hint="eastAsia" w:eastAsia="仿宋_GB2312"/>
                <w:color w:val="auto"/>
                <w:sz w:val="32"/>
                <w:szCs w:val="32"/>
                <w:u w:val="single"/>
                <w:lang w:val="en-US" w:eastAsia="zh-CN"/>
              </w:rPr>
              <w:t xml:space="preserve">    </w:t>
            </w:r>
            <w:r>
              <w:rPr>
                <w:rFonts w:hint="eastAsia" w:eastAsia="仿宋_GB2312"/>
                <w:color w:val="auto"/>
                <w:sz w:val="32"/>
                <w:szCs w:val="32"/>
                <w:u w:val="single"/>
              </w:rPr>
              <w:t>二</w:t>
            </w:r>
            <w:r>
              <w:rPr>
                <w:rFonts w:hint="eastAsia" w:eastAsia="仿宋_GB2312"/>
                <w:color w:val="auto"/>
                <w:sz w:val="32"/>
                <w:szCs w:val="32"/>
                <w:u w:val="single"/>
                <w:lang w:val="en-US" w:eastAsia="zh-CN"/>
              </w:rPr>
              <w:t>〇</w:t>
            </w:r>
            <w:r>
              <w:rPr>
                <w:rFonts w:hint="eastAsia" w:eastAsia="仿宋_GB2312"/>
                <w:color w:val="auto"/>
                <w:sz w:val="32"/>
                <w:szCs w:val="32"/>
                <w:u w:val="single"/>
              </w:rPr>
              <w:t>二四</w:t>
            </w:r>
            <w:r>
              <w:rPr>
                <w:rFonts w:hint="default" w:eastAsia="仿宋_GB2312"/>
                <w:color w:val="auto"/>
                <w:sz w:val="32"/>
                <w:szCs w:val="32"/>
                <w:u w:val="single"/>
              </w:rPr>
              <w:t>年</w:t>
            </w:r>
            <w:r>
              <w:rPr>
                <w:rFonts w:hint="eastAsia" w:eastAsia="仿宋_GB2312"/>
                <w:color w:val="auto"/>
                <w:sz w:val="32"/>
                <w:szCs w:val="32"/>
                <w:u w:val="single"/>
                <w:lang w:val="en-US" w:eastAsia="zh-CN"/>
              </w:rPr>
              <w:t>六</w:t>
            </w:r>
            <w:r>
              <w:rPr>
                <w:rFonts w:hint="default" w:eastAsia="仿宋_GB2312"/>
                <w:color w:val="auto"/>
                <w:sz w:val="32"/>
                <w:szCs w:val="32"/>
                <w:u w:val="single"/>
              </w:rPr>
              <w:t>月</w:t>
            </w:r>
            <w:r>
              <w:rPr>
                <w:rFonts w:hint="eastAsia" w:eastAsia="仿宋_GB2312"/>
                <w:color w:val="auto"/>
                <w:sz w:val="32"/>
                <w:szCs w:val="32"/>
                <w:u w:val="single"/>
              </w:rPr>
              <w:t xml:space="preserve"> </w:t>
            </w:r>
            <w:r>
              <w:rPr>
                <w:rFonts w:hint="default" w:eastAsia="仿宋_GB2312"/>
                <w:color w:val="auto"/>
                <w:sz w:val="32"/>
                <w:szCs w:val="32"/>
                <w:u w:val="single"/>
              </w:rPr>
              <w:t xml:space="preserve">        </w:t>
            </w:r>
            <w:r>
              <w:rPr>
                <w:rFonts w:hint="eastAsia" w:eastAsia="仿宋_GB2312"/>
                <w:color w:val="auto"/>
                <w:sz w:val="32"/>
                <w:szCs w:val="32"/>
                <w:u w:val="single"/>
              </w:rPr>
              <w:t xml:space="preserve"> </w:t>
            </w:r>
            <w:r>
              <w:rPr>
                <w:rFonts w:hint="default" w:eastAsia="仿宋_GB2312"/>
                <w:color w:val="auto"/>
                <w:sz w:val="32"/>
                <w:szCs w:val="32"/>
                <w:u w:val="single"/>
              </w:rPr>
              <w:t xml:space="preserve">   </w:t>
            </w:r>
          </w:p>
        </w:tc>
      </w:tr>
    </w:tbl>
    <w:p>
      <w:pPr>
        <w:ind w:firstLine="1040"/>
        <w:rPr>
          <w:rFonts w:eastAsia="仿宋"/>
          <w:color w:val="auto"/>
          <w:sz w:val="44"/>
          <w:szCs w:val="44"/>
        </w:rPr>
      </w:pPr>
    </w:p>
    <w:p>
      <w:pPr>
        <w:adjustRightInd w:val="0"/>
        <w:snapToGrid w:val="0"/>
        <w:spacing w:line="288" w:lineRule="auto"/>
        <w:ind w:firstLine="1040"/>
        <w:rPr>
          <w:rFonts w:ascii="仿宋_GB2312" w:eastAsia="仿宋_GB2312"/>
          <w:color w:val="auto"/>
          <w:sz w:val="36"/>
          <w:szCs w:val="36"/>
        </w:rPr>
      </w:pPr>
      <w:bookmarkStart w:id="0" w:name="_Hlk57884087"/>
    </w:p>
    <w:p>
      <w:pPr>
        <w:adjustRightInd w:val="0"/>
        <w:snapToGrid w:val="0"/>
        <w:spacing w:line="288" w:lineRule="auto"/>
        <w:ind w:firstLine="1040"/>
        <w:rPr>
          <w:rFonts w:ascii="仿宋_GB2312" w:eastAsia="仿宋_GB2312"/>
          <w:color w:val="auto"/>
          <w:sz w:val="36"/>
          <w:szCs w:val="36"/>
        </w:rPr>
      </w:pPr>
    </w:p>
    <w:bookmarkEnd w:id="0"/>
    <w:p>
      <w:pPr>
        <w:adjustRightInd w:val="0"/>
        <w:snapToGrid w:val="0"/>
        <w:spacing w:line="288" w:lineRule="auto"/>
        <w:jc w:val="center"/>
        <w:rPr>
          <w:rFonts w:ascii="楷体_GB2312" w:eastAsia="楷体_GB2312"/>
          <w:color w:val="auto"/>
          <w:sz w:val="36"/>
          <w:szCs w:val="36"/>
        </w:rPr>
        <w:sectPr>
          <w:headerReference r:id="rId3" w:type="default"/>
          <w:footerReference r:id="rId5" w:type="default"/>
          <w:headerReference r:id="rId4" w:type="even"/>
          <w:footerReference r:id="rId6" w:type="even"/>
          <w:pgSz w:w="11906" w:h="16838"/>
          <w:pgMar w:top="1701" w:right="1531" w:bottom="1701" w:left="1531" w:header="851" w:footer="1077" w:gutter="0"/>
          <w:pgNumType w:start="3"/>
          <w:cols w:space="720" w:num="1"/>
        </w:sectPr>
      </w:pPr>
      <w:r>
        <w:rPr>
          <w:rFonts w:hint="eastAsia" w:ascii="楷体_GB2312" w:eastAsia="楷体_GB2312"/>
          <w:color w:val="auto"/>
          <w:sz w:val="36"/>
          <w:szCs w:val="36"/>
        </w:rPr>
        <w:t>中华人民共和国生态环境部  制</w:t>
      </w:r>
    </w:p>
    <w:p>
      <w:pPr>
        <w:adjustRightInd w:val="0"/>
        <w:snapToGrid w:val="0"/>
        <w:spacing w:line="288" w:lineRule="auto"/>
        <w:jc w:val="center"/>
        <w:rPr>
          <w:rFonts w:ascii="楷体_GB2312" w:eastAsia="楷体_GB2312"/>
          <w:color w:val="auto"/>
          <w:sz w:val="36"/>
          <w:szCs w:val="36"/>
        </w:rPr>
      </w:pPr>
    </w:p>
    <w:p>
      <w:pPr>
        <w:widowControl/>
        <w:spacing w:line="288" w:lineRule="auto"/>
        <w:jc w:val="left"/>
        <w:rPr>
          <w:rFonts w:ascii="仿宋_GB2312" w:eastAsia="仿宋_GB2312"/>
          <w:color w:val="auto"/>
          <w:sz w:val="36"/>
          <w:szCs w:val="36"/>
        </w:rPr>
        <w:sectPr>
          <w:pgSz w:w="11906" w:h="16838"/>
          <w:pgMar w:top="1701" w:right="1531" w:bottom="1701" w:left="1531" w:header="851" w:footer="1077" w:gutter="0"/>
          <w:pgNumType w:start="3"/>
          <w:cols w:space="720" w:num="1"/>
        </w:sectPr>
      </w:pPr>
    </w:p>
    <w:p>
      <w:pPr>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14"/>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40"/>
        <w:gridCol w:w="2126"/>
        <w:gridCol w:w="1725"/>
        <w:gridCol w:w="28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140" w:type="dxa"/>
            <w:tcBorders>
              <w:top w:val="single" w:color="auto" w:sz="8"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建设项目名称</w:t>
            </w:r>
          </w:p>
        </w:tc>
        <w:tc>
          <w:tcPr>
            <w:tcW w:w="6730" w:type="dxa"/>
            <w:gridSpan w:val="3"/>
            <w:tcBorders>
              <w:top w:val="single" w:color="auto" w:sz="8"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大竹县</w:t>
            </w:r>
            <w:r>
              <w:rPr>
                <w:rFonts w:hint="eastAsia" w:cs="宋体"/>
                <w:color w:val="auto"/>
                <w:szCs w:val="21"/>
                <w:lang w:val="en-US" w:eastAsia="zh-CN"/>
              </w:rPr>
              <w:t>莲印乡</w:t>
            </w:r>
            <w:r>
              <w:rPr>
                <w:rFonts w:hint="eastAsia" w:cs="宋体"/>
                <w:color w:val="auto"/>
                <w:szCs w:val="21"/>
              </w:rPr>
              <w:t>高品质砂石产品生产加工项目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项目代码</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w:t>
            </w:r>
            <w:r>
              <w:rPr>
                <w:rFonts w:hint="eastAsia" w:cs="宋体"/>
                <w:color w:val="auto"/>
                <w:szCs w:val="21"/>
                <w:lang w:val="en-US" w:eastAsia="zh-CN"/>
              </w:rPr>
              <w:t>2405-511724-04-01-188835</w:t>
            </w:r>
            <w:r>
              <w:rPr>
                <w:rFonts w:hint="eastAsia" w:cs="宋体"/>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建设单位联系人</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李行才</w:t>
            </w:r>
          </w:p>
        </w:tc>
        <w:tc>
          <w:tcPr>
            <w:tcW w:w="17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联系方式</w:t>
            </w:r>
          </w:p>
        </w:tc>
        <w:tc>
          <w:tcPr>
            <w:tcW w:w="2879"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auto"/>
                <w:szCs w:val="21"/>
                <w:lang w:val="en-US" w:eastAsia="zh-CN"/>
              </w:rPr>
            </w:pPr>
            <w:r>
              <w:rPr>
                <w:rFonts w:hint="eastAsia"/>
                <w:color w:val="auto"/>
                <w:szCs w:val="21"/>
                <w:lang w:val="en-US" w:eastAsia="zh-CN"/>
              </w:rPr>
              <w:t>13808243939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建设地点</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u w:val="single"/>
              </w:rPr>
              <w:t xml:space="preserve">  四川 </w:t>
            </w:r>
            <w:r>
              <w:rPr>
                <w:rFonts w:hint="eastAsia" w:cs="宋体"/>
                <w:color w:val="auto"/>
                <w:szCs w:val="21"/>
              </w:rPr>
              <w:t>省</w:t>
            </w:r>
            <w:r>
              <w:rPr>
                <w:rFonts w:hint="eastAsia" w:cs="宋体"/>
                <w:color w:val="auto"/>
                <w:szCs w:val="21"/>
                <w:u w:val="single"/>
              </w:rPr>
              <w:t xml:space="preserve"> 达州</w:t>
            </w:r>
            <w:r>
              <w:rPr>
                <w:rFonts w:hint="eastAsia" w:cs="宋体"/>
                <w:color w:val="auto"/>
                <w:szCs w:val="21"/>
              </w:rPr>
              <w:t>市</w:t>
            </w:r>
            <w:r>
              <w:rPr>
                <w:rFonts w:hint="eastAsia" w:cs="宋体"/>
                <w:color w:val="auto"/>
                <w:szCs w:val="21"/>
                <w:u w:val="single"/>
              </w:rPr>
              <w:t xml:space="preserve"> </w:t>
            </w:r>
            <w:r>
              <w:rPr>
                <w:rFonts w:hint="eastAsia" w:cs="宋体"/>
                <w:color w:val="auto"/>
                <w:szCs w:val="21"/>
                <w:u w:val="single"/>
                <w:lang w:val="en-US" w:eastAsia="zh-CN"/>
              </w:rPr>
              <w:t>大竹</w:t>
            </w:r>
            <w:r>
              <w:rPr>
                <w:rFonts w:hint="eastAsia" w:cs="宋体"/>
                <w:color w:val="auto"/>
                <w:szCs w:val="21"/>
                <w:u w:val="single"/>
              </w:rPr>
              <w:t xml:space="preserve"> </w:t>
            </w:r>
            <w:r>
              <w:rPr>
                <w:rFonts w:hint="eastAsia" w:cs="宋体"/>
                <w:color w:val="auto"/>
                <w:szCs w:val="21"/>
                <w:lang w:val="en-US" w:eastAsia="zh-CN"/>
              </w:rPr>
              <w:t>县</w:t>
            </w:r>
            <w:r>
              <w:rPr>
                <w:rFonts w:hint="eastAsia" w:cs="宋体"/>
                <w:color w:val="auto"/>
                <w:szCs w:val="21"/>
              </w:rPr>
              <w:t xml:space="preserve"> </w:t>
            </w:r>
            <w:r>
              <w:rPr>
                <w:rFonts w:hint="eastAsia" w:cs="宋体"/>
                <w:color w:val="auto"/>
                <w:szCs w:val="21"/>
                <w:u w:val="single"/>
              </w:rPr>
              <w:t xml:space="preserve"> </w:t>
            </w:r>
            <w:r>
              <w:rPr>
                <w:rFonts w:hint="eastAsia" w:cs="宋体"/>
                <w:color w:val="auto"/>
                <w:szCs w:val="21"/>
                <w:u w:val="single"/>
                <w:lang w:val="en-US" w:eastAsia="zh-CN"/>
              </w:rPr>
              <w:t xml:space="preserve">莲印 </w:t>
            </w:r>
            <w:r>
              <w:rPr>
                <w:rFonts w:hint="eastAsia" w:cs="宋体"/>
                <w:color w:val="auto"/>
                <w:szCs w:val="21"/>
                <w:u w:val="none"/>
                <w:lang w:val="en-US" w:eastAsia="zh-CN"/>
              </w:rPr>
              <w:t>乡</w:t>
            </w:r>
            <w:r>
              <w:rPr>
                <w:rFonts w:hint="eastAsia" w:cs="宋体"/>
                <w:color w:val="auto"/>
                <w:szCs w:val="21"/>
              </w:rPr>
              <w:t xml:space="preserve"> </w:t>
            </w:r>
            <w:r>
              <w:rPr>
                <w:rFonts w:hint="eastAsia" w:cs="宋体"/>
                <w:color w:val="auto"/>
                <w:szCs w:val="21"/>
                <w:u w:val="single"/>
                <w:lang w:val="en-US" w:eastAsia="zh-CN"/>
              </w:rPr>
              <w:t>天生</w:t>
            </w:r>
            <w:r>
              <w:rPr>
                <w:rFonts w:hint="eastAsia" w:cs="宋体"/>
                <w:color w:val="auto"/>
                <w:szCs w:val="21"/>
                <w:u w:val="none"/>
                <w:lang w:val="en-US" w:eastAsia="zh-CN"/>
              </w:rPr>
              <w:t>村</w:t>
            </w:r>
            <w:r>
              <w:rPr>
                <w:rFonts w:hint="eastAsia" w:cs="宋体"/>
                <w:color w:val="auto"/>
                <w:szCs w:val="21"/>
                <w:u w:val="single"/>
                <w:lang w:val="en-US" w:eastAsia="zh-CN"/>
              </w:rPr>
              <w:t>11</w:t>
            </w:r>
            <w:r>
              <w:rPr>
                <w:rFonts w:hint="eastAsia" w:cs="宋体"/>
                <w:color w:val="auto"/>
                <w:szCs w:val="21"/>
                <w:u w:val="none"/>
              </w:rPr>
              <w:t>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地理坐标</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cs="宋体"/>
                <w:color w:val="auto"/>
                <w:szCs w:val="21"/>
              </w:rPr>
            </w:pPr>
            <w:r>
              <w:rPr>
                <w:rFonts w:hint="eastAsia" w:cs="宋体"/>
                <w:color w:val="auto"/>
                <w:szCs w:val="21"/>
              </w:rPr>
              <w:t>（</w:t>
            </w:r>
            <w:r>
              <w:rPr>
                <w:rFonts w:hint="eastAsia" w:cs="宋体"/>
                <w:color w:val="auto"/>
                <w:szCs w:val="21"/>
                <w:u w:val="single"/>
              </w:rPr>
              <w:t xml:space="preserve">  107 </w:t>
            </w:r>
            <w:r>
              <w:rPr>
                <w:rFonts w:hint="eastAsia" w:cs="宋体"/>
                <w:color w:val="auto"/>
                <w:szCs w:val="21"/>
              </w:rPr>
              <w:t>度</w:t>
            </w:r>
            <w:r>
              <w:rPr>
                <w:rFonts w:hint="eastAsia" w:cs="宋体"/>
                <w:color w:val="auto"/>
                <w:szCs w:val="21"/>
                <w:u w:val="single"/>
              </w:rPr>
              <w:t xml:space="preserve"> </w:t>
            </w:r>
            <w:r>
              <w:rPr>
                <w:rFonts w:hint="eastAsia" w:cs="宋体"/>
                <w:color w:val="auto"/>
                <w:szCs w:val="21"/>
                <w:u w:val="single"/>
                <w:lang w:val="en-US" w:eastAsia="zh-CN"/>
              </w:rPr>
              <w:t>12</w:t>
            </w:r>
            <w:r>
              <w:rPr>
                <w:rFonts w:hint="eastAsia" w:cs="宋体"/>
                <w:color w:val="auto"/>
                <w:szCs w:val="21"/>
                <w:u w:val="single"/>
              </w:rPr>
              <w:t xml:space="preserve"> </w:t>
            </w:r>
            <w:r>
              <w:rPr>
                <w:rFonts w:hint="eastAsia" w:cs="宋体"/>
                <w:color w:val="auto"/>
                <w:szCs w:val="21"/>
              </w:rPr>
              <w:t>分</w:t>
            </w:r>
            <w:r>
              <w:rPr>
                <w:rFonts w:hint="eastAsia" w:cs="宋体"/>
                <w:color w:val="auto"/>
                <w:szCs w:val="21"/>
                <w:u w:val="single"/>
              </w:rPr>
              <w:t xml:space="preserve"> 2.890 </w:t>
            </w:r>
            <w:r>
              <w:rPr>
                <w:rFonts w:hint="eastAsia" w:cs="宋体"/>
                <w:color w:val="auto"/>
                <w:szCs w:val="21"/>
              </w:rPr>
              <w:t>秒，</w:t>
            </w:r>
            <w:r>
              <w:rPr>
                <w:rFonts w:hint="eastAsia" w:cs="宋体"/>
                <w:color w:val="auto"/>
                <w:szCs w:val="21"/>
                <w:u w:val="single"/>
              </w:rPr>
              <w:t xml:space="preserve"> 3</w:t>
            </w:r>
            <w:r>
              <w:rPr>
                <w:rFonts w:hint="eastAsia" w:cs="宋体"/>
                <w:color w:val="auto"/>
                <w:szCs w:val="21"/>
                <w:u w:val="single"/>
                <w:lang w:val="en-US" w:eastAsia="zh-CN"/>
              </w:rPr>
              <w:t>0</w:t>
            </w:r>
            <w:r>
              <w:rPr>
                <w:rFonts w:hint="eastAsia" w:cs="宋体"/>
                <w:color w:val="auto"/>
                <w:szCs w:val="21"/>
                <w:u w:val="single"/>
              </w:rPr>
              <w:t xml:space="preserve"> </w:t>
            </w:r>
            <w:r>
              <w:rPr>
                <w:rFonts w:hint="eastAsia" w:cs="宋体"/>
                <w:color w:val="auto"/>
                <w:szCs w:val="21"/>
              </w:rPr>
              <w:t>度</w:t>
            </w:r>
            <w:r>
              <w:rPr>
                <w:rFonts w:hint="eastAsia" w:cs="宋体"/>
                <w:color w:val="auto"/>
                <w:szCs w:val="21"/>
                <w:u w:val="single"/>
              </w:rPr>
              <w:t xml:space="preserve"> </w:t>
            </w:r>
            <w:r>
              <w:rPr>
                <w:rFonts w:hint="eastAsia" w:cs="宋体"/>
                <w:color w:val="auto"/>
                <w:szCs w:val="21"/>
                <w:u w:val="single"/>
                <w:lang w:val="en-US" w:eastAsia="zh-CN"/>
              </w:rPr>
              <w:t>4</w:t>
            </w:r>
            <w:r>
              <w:rPr>
                <w:rFonts w:hint="default" w:cs="宋体"/>
                <w:color w:val="auto"/>
                <w:szCs w:val="21"/>
                <w:u w:val="single"/>
              </w:rPr>
              <w:t>1</w:t>
            </w:r>
            <w:r>
              <w:rPr>
                <w:rFonts w:hint="eastAsia" w:cs="宋体"/>
                <w:color w:val="auto"/>
                <w:szCs w:val="21"/>
                <w:u w:val="single"/>
              </w:rPr>
              <w:t xml:space="preserve"> </w:t>
            </w:r>
            <w:r>
              <w:rPr>
                <w:rFonts w:hint="eastAsia" w:cs="宋体"/>
                <w:color w:val="auto"/>
                <w:szCs w:val="21"/>
              </w:rPr>
              <w:t>分</w:t>
            </w:r>
            <w:r>
              <w:rPr>
                <w:rFonts w:hint="eastAsia" w:cs="宋体"/>
                <w:color w:val="auto"/>
                <w:szCs w:val="21"/>
                <w:u w:val="single"/>
              </w:rPr>
              <w:t xml:space="preserve"> 58.413 </w:t>
            </w:r>
            <w:r>
              <w:rPr>
                <w:rFonts w:hint="eastAsia" w:cs="宋体"/>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53"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国民经济</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行业类别</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auto"/>
                <w:szCs w:val="21"/>
                <w:lang w:val="en-US" w:eastAsia="zh-CN"/>
              </w:rPr>
            </w:pPr>
            <w:r>
              <w:rPr>
                <w:rFonts w:hint="eastAsia" w:cs="Arial"/>
                <w:color w:val="auto"/>
                <w:szCs w:val="21"/>
                <w:shd w:val="clear" w:color="auto" w:fill="FFFFFF"/>
              </w:rPr>
              <w:t>C3039 其他建筑材料制造</w:t>
            </w:r>
            <w:r>
              <w:rPr>
                <w:rFonts w:hint="eastAsia" w:cs="Arial"/>
                <w:color w:val="auto"/>
                <w:szCs w:val="21"/>
                <w:shd w:val="clear" w:color="auto" w:fill="FFFFFF"/>
                <w:lang w:eastAsia="zh-CN"/>
              </w:rPr>
              <w:t>、</w:t>
            </w:r>
            <w:r>
              <w:rPr>
                <w:rFonts w:hint="eastAsia" w:cs="Arial"/>
                <w:color w:val="auto"/>
                <w:szCs w:val="21"/>
                <w:shd w:val="clear" w:color="auto" w:fill="FFFFFF"/>
                <w:lang w:val="en-US" w:eastAsia="zh-CN"/>
              </w:rPr>
              <w:t>C3099 其他非金属矿物制品制造</w:t>
            </w:r>
          </w:p>
        </w:tc>
        <w:tc>
          <w:tcPr>
            <w:tcW w:w="17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bookmarkStart w:id="1" w:name="_Hlk49843745"/>
            <w:r>
              <w:rPr>
                <w:rFonts w:hint="eastAsia" w:ascii="宋体" w:hAnsi="宋体" w:cs="宋体"/>
                <w:color w:val="auto"/>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行业类别</w:t>
            </w:r>
            <w:bookmarkEnd w:id="1"/>
          </w:p>
        </w:tc>
        <w:tc>
          <w:tcPr>
            <w:tcW w:w="2879"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left"/>
              <w:textAlignment w:val="auto"/>
              <w:rPr>
                <w:rFonts w:hint="default" w:ascii="宋体" w:hAnsi="宋体" w:eastAsia="宋体" w:cs="宋体"/>
                <w:color w:val="auto"/>
                <w:szCs w:val="21"/>
                <w:lang w:val="en-US" w:eastAsia="zh-CN"/>
              </w:rPr>
            </w:pPr>
            <w:r>
              <w:rPr>
                <w:rFonts w:hint="eastAsia" w:ascii="宋体" w:hAnsi="宋体" w:cs="宋体"/>
                <w:color w:val="auto"/>
                <w:szCs w:val="21"/>
              </w:rPr>
              <w:t>二十七、非金属矿物制品业56 砖瓦、石材等建筑材料制造</w:t>
            </w:r>
            <w:r>
              <w:rPr>
                <w:rFonts w:hint="eastAsia" w:ascii="宋体" w:hAnsi="宋体" w:cs="宋体"/>
                <w:color w:val="auto"/>
                <w:szCs w:val="21"/>
                <w:lang w:val="en-US" w:eastAsia="zh-CN"/>
              </w:rPr>
              <w:t>303；60耐火材料制品制造308;石墨及其他非金属矿物制品制造309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建设性质</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宋体" w:hAnsi="宋体" w:cs="宋体"/>
                <w:color w:val="auto"/>
                <w:szCs w:val="21"/>
              </w:rPr>
            </w:pPr>
            <w:r>
              <w:rPr>
                <w:rFonts w:hint="eastAsia" w:ascii="MS Gothic" w:hAnsi="MS Gothic" w:eastAsia="MS Gothic" w:cs="MS Gothic"/>
                <w:color w:val="auto"/>
                <w:szCs w:val="21"/>
              </w:rPr>
              <w:t>☑</w:t>
            </w:r>
            <w:r>
              <w:rPr>
                <w:rFonts w:hint="eastAsia" w:ascii="宋体" w:hAnsi="宋体" w:cs="宋体"/>
                <w:color w:val="auto"/>
                <w:szCs w:val="21"/>
              </w:rPr>
              <w:t>新建（迁建）</w:t>
            </w:r>
          </w:p>
          <w:p>
            <w:pPr>
              <w:keepNext w:val="0"/>
              <w:keepLines w:val="0"/>
              <w:suppressLineNumbers w:val="0"/>
              <w:spacing w:before="0" w:beforeAutospacing="0" w:after="0" w:afterAutospacing="0"/>
              <w:ind w:left="0" w:right="0"/>
              <w:jc w:val="left"/>
              <w:rPr>
                <w:rFonts w:hint="eastAsia" w:ascii="宋体" w:hAnsi="宋体" w:eastAsia="宋体" w:cs="宋体"/>
                <w:color w:val="auto"/>
                <w:szCs w:val="21"/>
                <w:lang w:val="en-US" w:eastAsia="zh-CN"/>
              </w:rPr>
            </w:pPr>
            <w:r>
              <w:rPr>
                <w:rFonts w:hint="eastAsia" w:ascii="MS Gothic" w:hAnsi="MS Gothic" w:eastAsia="宋体" w:cs="MS Gothic"/>
                <w:color w:val="auto"/>
                <w:szCs w:val="21"/>
                <w:lang w:eastAsia="zh-CN"/>
              </w:rPr>
              <w:t>□</w:t>
            </w:r>
            <w:r>
              <w:rPr>
                <w:rFonts w:hint="eastAsia" w:ascii="宋体" w:hAnsi="宋体" w:cs="宋体"/>
                <w:color w:val="auto"/>
                <w:szCs w:val="21"/>
                <w:lang w:val="en-US" w:eastAsia="zh-CN"/>
              </w:rPr>
              <w:t>改建</w:t>
            </w:r>
          </w:p>
          <w:p>
            <w:pPr>
              <w:keepNext w:val="0"/>
              <w:keepLines w:val="0"/>
              <w:suppressLineNumbers w:val="0"/>
              <w:spacing w:before="0" w:beforeAutospacing="0" w:after="0" w:afterAutospacing="0"/>
              <w:ind w:left="0" w:right="0"/>
              <w:jc w:val="left"/>
              <w:rPr>
                <w:rFonts w:hint="default" w:ascii="宋体" w:hAnsi="宋体" w:cs="宋体"/>
                <w:color w:val="auto"/>
                <w:szCs w:val="21"/>
              </w:rPr>
            </w:pPr>
            <w:sdt>
              <w:sdtPr>
                <w:rPr>
                  <w:rFonts w:hint="eastAsia" w:ascii="宋体" w:hAnsi="宋体" w:cs="宋体"/>
                  <w:color w:val="auto"/>
                  <w:szCs w:val="21"/>
                </w:rPr>
                <w:id w:val="-35431507"/>
                <w14:checkbox>
                  <w14:checked w14:val="0"/>
                  <w14:checkedState w14:val="0052" w14:font="Cambria"/>
                  <w14:uncheckedState w14:val="2610" w14:font="MS Gothic"/>
                </w14:checkbox>
              </w:sdtPr>
              <w:sdtEndPr>
                <w:rPr>
                  <w:rFonts w:hint="eastAsia" w:ascii="宋体" w:hAnsi="宋体" w:cs="宋体"/>
                  <w:color w:val="auto"/>
                  <w:szCs w:val="21"/>
                </w:rPr>
              </w:sdtEndPr>
              <w:sdtContent>
                <w:r>
                  <w:rPr>
                    <w:rFonts w:hint="eastAsia" w:ascii="MS Gothic" w:hAnsi="MS Gothic" w:eastAsia="MS Gothic" w:cs="宋体"/>
                    <w:color w:val="auto"/>
                    <w:kern w:val="2"/>
                    <w:sz w:val="21"/>
                    <w:szCs w:val="21"/>
                    <w:lang w:val="en-US" w:eastAsia="zh-CN" w:bidi="ar-SA"/>
                  </w:rPr>
                  <w:t>☐</w:t>
                </w:r>
              </w:sdtContent>
            </w:sdt>
            <w:r>
              <w:rPr>
                <w:rFonts w:hint="eastAsia" w:ascii="宋体" w:hAnsi="宋体" w:cs="宋体"/>
                <w:color w:val="auto"/>
                <w:szCs w:val="21"/>
              </w:rPr>
              <w:t>扩建</w:t>
            </w:r>
          </w:p>
          <w:p>
            <w:pPr>
              <w:keepNext w:val="0"/>
              <w:keepLines w:val="0"/>
              <w:suppressLineNumbers w:val="0"/>
              <w:spacing w:before="0" w:beforeAutospacing="0" w:after="0" w:afterAutospacing="0"/>
              <w:ind w:left="0" w:right="0"/>
              <w:jc w:val="left"/>
              <w:rPr>
                <w:rFonts w:hint="default" w:ascii="宋体" w:hAnsi="宋体" w:cs="宋体"/>
                <w:color w:val="auto"/>
                <w:szCs w:val="21"/>
              </w:rPr>
            </w:pPr>
            <w:sdt>
              <w:sdtPr>
                <w:rPr>
                  <w:rFonts w:hint="eastAsia" w:ascii="宋体" w:hAnsi="宋体" w:cs="宋体"/>
                  <w:color w:val="auto"/>
                  <w:szCs w:val="21"/>
                </w:rPr>
                <w:id w:val="-1484306231"/>
                <w14:checkbox>
                  <w14:checked w14:val="0"/>
                  <w14:checkedState w14:val="0052" w14:font="Cambria"/>
                  <w14:uncheckedState w14:val="2610" w14:font="MS Gothic"/>
                </w14:checkbox>
              </w:sdtPr>
              <w:sdtEndPr>
                <w:rPr>
                  <w:rFonts w:hint="eastAsia" w:ascii="宋体" w:hAnsi="宋体" w:cs="宋体"/>
                  <w:color w:val="auto"/>
                  <w:szCs w:val="21"/>
                </w:rPr>
              </w:sdtEndPr>
              <w:sdtContent>
                <w:r>
                  <w:rPr>
                    <w:rFonts w:hint="eastAsia" w:ascii="MS Gothic" w:hAnsi="MS Gothic" w:eastAsia="MS Gothic" w:cs="宋体"/>
                    <w:color w:val="auto"/>
                    <w:szCs w:val="21"/>
                  </w:rPr>
                  <w:t>☐</w:t>
                </w:r>
              </w:sdtContent>
            </w:sdt>
            <w:r>
              <w:rPr>
                <w:rFonts w:hint="eastAsia" w:ascii="宋体" w:hAnsi="宋体" w:cs="宋体"/>
                <w:color w:val="auto"/>
                <w:szCs w:val="21"/>
              </w:rPr>
              <w:t>技术改造</w:t>
            </w:r>
          </w:p>
        </w:tc>
        <w:tc>
          <w:tcPr>
            <w:tcW w:w="17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申报情形</w:t>
            </w:r>
          </w:p>
        </w:tc>
        <w:tc>
          <w:tcPr>
            <w:tcW w:w="2879"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spacing w:before="0" w:beforeAutospacing="0" w:after="0" w:afterAutospacing="0"/>
              <w:ind w:left="0" w:right="0"/>
              <w:jc w:val="left"/>
              <w:rPr>
                <w:rFonts w:hint="default" w:ascii="宋体" w:hAnsi="宋体" w:cs="宋体"/>
                <w:color w:val="auto"/>
                <w:szCs w:val="21"/>
              </w:rPr>
            </w:pPr>
            <w:sdt>
              <w:sdtPr>
                <w:rPr>
                  <w:rFonts w:hint="eastAsia" w:ascii="宋体" w:hAnsi="宋体" w:cs="宋体"/>
                  <w:color w:val="auto"/>
                  <w:szCs w:val="21"/>
                </w:rPr>
                <w:id w:val="609859715"/>
                <w14:checkbox>
                  <w14:checked w14:val="1"/>
                  <w14:checkedState w14:val="0052" w14:font="Cambria"/>
                  <w14:uncheckedState w14:val="2610" w14:font="MS Gothic"/>
                </w14:checkbox>
              </w:sdtPr>
              <w:sdtEndPr>
                <w:rPr>
                  <w:rFonts w:hint="eastAsia" w:ascii="宋体" w:hAnsi="宋体" w:cs="宋体"/>
                  <w:color w:val="auto"/>
                  <w:szCs w:val="21"/>
                </w:rPr>
              </w:sdtEndPr>
              <w:sdtContent>
                <w:r>
                  <w:rPr>
                    <w:rFonts w:hint="eastAsia" w:ascii="宋体" w:hAnsi="宋体" w:cs="宋体"/>
                    <w:color w:val="auto"/>
                    <w:szCs w:val="21"/>
                  </w:rPr>
                  <w:sym w:font="Wingdings 2" w:char="F052"/>
                </w:r>
              </w:sdtContent>
            </w:sdt>
            <w:r>
              <w:rPr>
                <w:rFonts w:hint="eastAsia" w:ascii="宋体" w:hAnsi="宋体" w:cs="宋体"/>
                <w:color w:val="auto"/>
                <w:szCs w:val="21"/>
              </w:rPr>
              <w:t xml:space="preserve">首次申报项目             </w:t>
            </w:r>
          </w:p>
          <w:p>
            <w:pPr>
              <w:keepNext w:val="0"/>
              <w:keepLines w:val="0"/>
              <w:suppressLineNumbers w:val="0"/>
              <w:spacing w:before="0" w:beforeAutospacing="0" w:after="0" w:afterAutospacing="0"/>
              <w:ind w:left="0" w:right="0"/>
              <w:jc w:val="left"/>
              <w:rPr>
                <w:rFonts w:hint="default" w:ascii="宋体" w:hAnsi="宋体" w:cs="宋体"/>
                <w:color w:val="auto"/>
                <w:szCs w:val="21"/>
              </w:rPr>
            </w:pPr>
            <w:sdt>
              <w:sdtPr>
                <w:rPr>
                  <w:rFonts w:hint="eastAsia" w:ascii="宋体" w:hAnsi="宋体" w:cs="宋体"/>
                  <w:color w:val="auto"/>
                  <w:szCs w:val="21"/>
                </w:rPr>
                <w:id w:val="2096352931"/>
                <w14:checkbox>
                  <w14:checked w14:val="0"/>
                  <w14:checkedState w14:val="0052" w14:font="Cambria"/>
                  <w14:uncheckedState w14:val="2610" w14:font="MS Gothic"/>
                </w14:checkbox>
              </w:sdtPr>
              <w:sdtEndPr>
                <w:rPr>
                  <w:rFonts w:hint="eastAsia" w:ascii="宋体" w:hAnsi="宋体" w:cs="宋体"/>
                  <w:color w:val="auto"/>
                  <w:szCs w:val="21"/>
                </w:rPr>
              </w:sdtEndPr>
              <w:sdtContent>
                <w:r>
                  <w:rPr>
                    <w:rFonts w:hint="eastAsia" w:ascii="MS Gothic" w:hAnsi="MS Gothic" w:eastAsia="MS Gothic" w:cs="宋体"/>
                    <w:color w:val="auto"/>
                    <w:szCs w:val="21"/>
                  </w:rPr>
                  <w:t>☐</w:t>
                </w:r>
              </w:sdtContent>
            </w:sdt>
            <w:r>
              <w:rPr>
                <w:rFonts w:hint="eastAsia" w:ascii="宋体" w:hAnsi="宋体" w:cs="宋体"/>
                <w:color w:val="auto"/>
                <w:szCs w:val="21"/>
              </w:rPr>
              <w:t>不予批准后再次申报项目</w:t>
            </w:r>
          </w:p>
          <w:p>
            <w:pPr>
              <w:keepNext w:val="0"/>
              <w:keepLines w:val="0"/>
              <w:suppressLineNumbers w:val="0"/>
              <w:spacing w:before="0" w:beforeAutospacing="0" w:after="0" w:afterAutospacing="0"/>
              <w:ind w:left="0" w:right="0"/>
              <w:jc w:val="left"/>
              <w:rPr>
                <w:rFonts w:hint="default" w:ascii="宋体" w:hAnsi="宋体" w:cs="宋体"/>
                <w:color w:val="auto"/>
                <w:szCs w:val="21"/>
              </w:rPr>
            </w:pPr>
            <w:sdt>
              <w:sdtPr>
                <w:rPr>
                  <w:rFonts w:hint="eastAsia" w:ascii="宋体" w:hAnsi="宋体" w:cs="宋体"/>
                  <w:color w:val="auto"/>
                  <w:szCs w:val="21"/>
                </w:rPr>
                <w:id w:val="-1039577924"/>
                <w14:checkbox>
                  <w14:checked w14:val="0"/>
                  <w14:checkedState w14:val="0052" w14:font="Cambria"/>
                  <w14:uncheckedState w14:val="2610" w14:font="MS Gothic"/>
                </w14:checkbox>
              </w:sdtPr>
              <w:sdtEndPr>
                <w:rPr>
                  <w:rFonts w:hint="eastAsia" w:ascii="宋体" w:hAnsi="宋体" w:cs="宋体"/>
                  <w:color w:val="auto"/>
                  <w:szCs w:val="21"/>
                </w:rPr>
              </w:sdtEndPr>
              <w:sdtContent>
                <w:r>
                  <w:rPr>
                    <w:rFonts w:hint="eastAsia" w:ascii="MS Gothic" w:hAnsi="MS Gothic" w:eastAsia="MS Gothic" w:cs="宋体"/>
                    <w:color w:val="auto"/>
                    <w:szCs w:val="21"/>
                  </w:rPr>
                  <w:t>☐</w:t>
                </w:r>
              </w:sdtContent>
            </w:sdt>
            <w:r>
              <w:rPr>
                <w:rFonts w:hint="eastAsia" w:ascii="宋体" w:hAnsi="宋体" w:cs="宋体"/>
                <w:color w:val="auto"/>
                <w:szCs w:val="21"/>
              </w:rPr>
              <w:t xml:space="preserve">超五年重新审核项目     </w:t>
            </w:r>
          </w:p>
          <w:p>
            <w:pPr>
              <w:keepNext w:val="0"/>
              <w:keepLines w:val="0"/>
              <w:suppressLineNumbers w:val="0"/>
              <w:spacing w:before="0" w:beforeAutospacing="0" w:after="0" w:afterAutospacing="0"/>
              <w:ind w:left="0" w:right="0"/>
              <w:jc w:val="left"/>
              <w:rPr>
                <w:rFonts w:hint="default" w:ascii="宋体" w:hAnsi="宋体" w:cs="宋体"/>
                <w:color w:val="auto"/>
                <w:szCs w:val="21"/>
              </w:rPr>
            </w:pPr>
            <w:sdt>
              <w:sdtPr>
                <w:rPr>
                  <w:rFonts w:hint="eastAsia" w:ascii="宋体" w:hAnsi="宋体" w:cs="宋体"/>
                  <w:color w:val="auto"/>
                  <w:szCs w:val="21"/>
                </w:rPr>
                <w:id w:val="-277028319"/>
                <w14:checkbox>
                  <w14:checked w14:val="0"/>
                  <w14:checkedState w14:val="0052" w14:font="Cambria"/>
                  <w14:uncheckedState w14:val="2610" w14:font="MS Gothic"/>
                </w14:checkbox>
              </w:sdtPr>
              <w:sdtEndPr>
                <w:rPr>
                  <w:rFonts w:hint="eastAsia" w:ascii="宋体" w:hAnsi="宋体" w:cs="宋体"/>
                  <w:color w:val="auto"/>
                  <w:szCs w:val="21"/>
                </w:rPr>
              </w:sdtEndPr>
              <w:sdtContent>
                <w:r>
                  <w:rPr>
                    <w:rFonts w:hint="eastAsia" w:ascii="MS Gothic" w:hAnsi="MS Gothic" w:eastAsia="MS Gothic" w:cs="宋体"/>
                    <w:color w:val="auto"/>
                    <w:szCs w:val="21"/>
                  </w:rPr>
                  <w:t>☐</w:t>
                </w:r>
              </w:sdtContent>
            </w:sdt>
            <w:r>
              <w:rPr>
                <w:rFonts w:hint="eastAsia" w:ascii="宋体" w:hAnsi="宋体" w:cs="宋体"/>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64"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备案）部门（选填）</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lang w:val="en-US" w:eastAsia="zh-CN"/>
              </w:rPr>
              <w:t>大竹县</w:t>
            </w:r>
            <w:r>
              <w:rPr>
                <w:rFonts w:hint="eastAsia" w:cs="宋体"/>
                <w:color w:val="auto"/>
                <w:szCs w:val="21"/>
              </w:rPr>
              <w:t>发展和改革局</w:t>
            </w:r>
          </w:p>
        </w:tc>
        <w:tc>
          <w:tcPr>
            <w:tcW w:w="172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备案）文号（选填）</w:t>
            </w:r>
          </w:p>
        </w:tc>
        <w:tc>
          <w:tcPr>
            <w:tcW w:w="2879"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Calibri" w:hAnsi="Calibri" w:cs="Calibri"/>
                <w:color w:val="auto"/>
              </w:rPr>
            </w:pPr>
            <w:r>
              <w:rPr>
                <w:rFonts w:hint="default" w:ascii="宋体" w:hAnsi="宋体"/>
                <w:color w:val="auto"/>
              </w:rPr>
              <w:t>川投资备【</w:t>
            </w:r>
            <w:r>
              <w:rPr>
                <w:rFonts w:hint="eastAsia" w:cs="宋体"/>
                <w:color w:val="auto"/>
                <w:szCs w:val="21"/>
                <w:lang w:val="en-US" w:eastAsia="zh-CN"/>
              </w:rPr>
              <w:t>2405-511724-04-01-188835</w:t>
            </w:r>
            <w:r>
              <w:rPr>
                <w:rFonts w:hint="default" w:ascii="宋体" w:hAnsi="宋体"/>
                <w:color w:val="auto"/>
              </w:rPr>
              <w:t>】</w:t>
            </w:r>
            <w:r>
              <w:rPr>
                <w:rFonts w:hint="default"/>
                <w:color w:val="auto"/>
              </w:rPr>
              <w:t>FGQB-02</w:t>
            </w:r>
            <w:r>
              <w:rPr>
                <w:rFonts w:hint="eastAsia"/>
                <w:color w:val="auto"/>
                <w:lang w:val="en-US" w:eastAsia="zh-CN"/>
              </w:rPr>
              <w:t>69</w:t>
            </w:r>
            <w:r>
              <w:rPr>
                <w:rFonts w:hint="default" w:ascii="宋体" w:hAnsi="宋体"/>
                <w:color w:val="auto"/>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32"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总投资（万元）</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default" w:ascii="宋体" w:hAnsi="宋体" w:cs="宋体"/>
                <w:color w:val="auto"/>
                <w:szCs w:val="21"/>
              </w:rPr>
              <w:t>1</w:t>
            </w:r>
            <w:r>
              <w:rPr>
                <w:rFonts w:hint="eastAsia" w:ascii="宋体" w:hAnsi="宋体" w:cs="宋体"/>
                <w:color w:val="auto"/>
                <w:szCs w:val="21"/>
                <w:lang w:val="en-US" w:eastAsia="zh-CN"/>
              </w:rPr>
              <w:t>5</w:t>
            </w:r>
            <w:r>
              <w:rPr>
                <w:rFonts w:hint="default" w:ascii="宋体" w:hAnsi="宋体" w:cs="宋体"/>
                <w:color w:val="auto"/>
                <w:szCs w:val="21"/>
              </w:rPr>
              <w:t>0</w:t>
            </w:r>
            <w:r>
              <w:rPr>
                <w:rFonts w:hint="eastAsia" w:ascii="宋体" w:hAnsi="宋体" w:cs="宋体"/>
                <w:color w:val="auto"/>
                <w:szCs w:val="21"/>
              </w:rPr>
              <w:t>.00</w:t>
            </w:r>
          </w:p>
        </w:tc>
        <w:tc>
          <w:tcPr>
            <w:tcW w:w="172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环保投资（万元）</w:t>
            </w:r>
          </w:p>
        </w:tc>
        <w:tc>
          <w:tcPr>
            <w:tcW w:w="2879"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56.00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1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环保投资占比（%）</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37.33</w:t>
            </w:r>
          </w:p>
        </w:tc>
        <w:tc>
          <w:tcPr>
            <w:tcW w:w="172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施工工期</w:t>
            </w:r>
          </w:p>
        </w:tc>
        <w:tc>
          <w:tcPr>
            <w:tcW w:w="2879"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default" w:ascii="宋体" w:hAnsi="宋体" w:cs="宋体"/>
                <w:color w:val="auto"/>
                <w:szCs w:val="21"/>
              </w:rPr>
              <w:t>2</w:t>
            </w:r>
            <w:r>
              <w:rPr>
                <w:rFonts w:hint="eastAsia" w:ascii="宋体" w:hAnsi="宋体" w:cs="宋体"/>
                <w:color w:val="auto"/>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0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是否开工建设</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default" w:ascii="宋体" w:hAnsi="宋体" w:cs="宋体"/>
                <w:color w:val="auto"/>
                <w:szCs w:val="21"/>
              </w:rPr>
              <w:sym w:font="Wingdings 2" w:char="0052"/>
            </w:r>
            <w:r>
              <w:rPr>
                <w:rFonts w:hint="eastAsia" w:ascii="宋体" w:hAnsi="宋体" w:cs="宋体"/>
                <w:color w:val="auto"/>
                <w:szCs w:val="21"/>
              </w:rPr>
              <w:t xml:space="preserve"> 否</w:t>
            </w:r>
          </w:p>
          <w:p>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default" w:ascii="宋体" w:hAnsi="宋体" w:cs="宋体"/>
                <w:color w:val="auto"/>
                <w:szCs w:val="21"/>
              </w:rPr>
              <w:sym w:font="Wingdings 2" w:char="F0A3"/>
            </w:r>
            <w:r>
              <w:rPr>
                <w:rFonts w:hint="eastAsia" w:ascii="宋体" w:hAnsi="宋体" w:cs="宋体"/>
                <w:color w:val="auto"/>
                <w:szCs w:val="21"/>
              </w:rPr>
              <w:t xml:space="preserve"> 是：</w:t>
            </w:r>
          </w:p>
        </w:tc>
        <w:tc>
          <w:tcPr>
            <w:tcW w:w="1725"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pacing w:val="-6"/>
                <w:szCs w:val="21"/>
              </w:rPr>
            </w:pPr>
            <w:r>
              <w:rPr>
                <w:rFonts w:hint="eastAsia" w:cs="宋体"/>
                <w:color w:val="auto"/>
                <w:spacing w:val="-6"/>
                <w:szCs w:val="21"/>
              </w:rPr>
              <w:t>用地（用海）</w:t>
            </w:r>
          </w:p>
          <w:p>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pacing w:val="-6"/>
                <w:szCs w:val="21"/>
              </w:rPr>
              <w:t>面积（m</w:t>
            </w:r>
            <w:r>
              <w:rPr>
                <w:rFonts w:hint="eastAsia" w:cs="宋体"/>
                <w:color w:val="auto"/>
                <w:spacing w:val="-6"/>
                <w:szCs w:val="21"/>
                <w:vertAlign w:val="superscript"/>
              </w:rPr>
              <w:t>2</w:t>
            </w:r>
            <w:r>
              <w:rPr>
                <w:rFonts w:hint="eastAsia" w:cs="宋体"/>
                <w:color w:val="auto"/>
                <w:spacing w:val="-6"/>
                <w:szCs w:val="21"/>
              </w:rPr>
              <w:t>）</w:t>
            </w:r>
          </w:p>
        </w:tc>
        <w:tc>
          <w:tcPr>
            <w:tcW w:w="2879"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宋体" w:cs="宋体"/>
                <w:color w:val="auto"/>
                <w:szCs w:val="21"/>
                <w:lang w:val="en-US" w:eastAsia="zh-CN"/>
              </w:rPr>
            </w:pPr>
            <w:r>
              <w:rPr>
                <w:rFonts w:hint="eastAsia" w:cs="宋体"/>
                <w:color w:val="auto"/>
                <w:szCs w:val="21"/>
                <w:lang w:val="en-US" w:eastAsia="zh-CN"/>
              </w:rPr>
              <w:t>9852（原用地范围）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542"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宋体" w:hAnsi="宋体" w:cs="宋体"/>
                <w:color w:val="auto"/>
                <w:kern w:val="0"/>
                <w:szCs w:val="21"/>
              </w:rPr>
            </w:pPr>
            <w:r>
              <w:rPr>
                <w:rFonts w:hint="eastAsia" w:ascii="宋体" w:hAnsi="宋体" w:cs="宋体"/>
                <w:color w:val="auto"/>
                <w:kern w:val="0"/>
                <w:szCs w:val="21"/>
              </w:rPr>
              <w:t>专项评价设置情况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rPr>
            </w:pPr>
            <w:r>
              <w:rPr>
                <w:rFonts w:hint="eastAsia" w:ascii="宋体" w:hAnsi="宋体"/>
                <w:color w:val="auto"/>
                <w:kern w:val="0"/>
              </w:rPr>
              <w:t>根据建设项目环境影响报告表编制技术指南（污染影响类）（试行），本项目专项评价对照情况见下表。</w:t>
            </w:r>
          </w:p>
          <w:p>
            <w:pPr>
              <w:keepNext w:val="0"/>
              <w:keepLines w:val="0"/>
              <w:suppressLineNumbers w:val="0"/>
              <w:autoSpaceDE w:val="0"/>
              <w:autoSpaceDN w:val="0"/>
              <w:adjustRightInd w:val="0"/>
              <w:spacing w:before="0" w:beforeAutospacing="0" w:after="0" w:afterAutospacing="0" w:line="400" w:lineRule="exact"/>
              <w:ind w:left="0" w:right="0" w:firstLine="360" w:firstLineChars="200"/>
              <w:jc w:val="center"/>
              <w:rPr>
                <w:rFonts w:hint="default" w:eastAsia="黑体"/>
                <w:color w:val="auto"/>
                <w:kern w:val="0"/>
                <w:sz w:val="18"/>
                <w:szCs w:val="18"/>
              </w:rPr>
            </w:pPr>
            <w:r>
              <w:rPr>
                <w:rFonts w:hint="eastAsia" w:ascii="黑体" w:hAnsi="黑体" w:eastAsia="黑体"/>
                <w:color w:val="auto"/>
                <w:kern w:val="0"/>
                <w:sz w:val="18"/>
                <w:szCs w:val="18"/>
              </w:rPr>
              <w:t>表</w:t>
            </w:r>
            <w:r>
              <w:rPr>
                <w:rFonts w:hint="default" w:eastAsia="黑体"/>
                <w:color w:val="auto"/>
                <w:kern w:val="0"/>
                <w:sz w:val="18"/>
                <w:szCs w:val="18"/>
              </w:rPr>
              <w:t xml:space="preserve">1-1 </w:t>
            </w:r>
            <w:r>
              <w:rPr>
                <w:rFonts w:hint="eastAsia" w:ascii="黑体" w:hAnsi="黑体" w:eastAsia="黑体"/>
                <w:color w:val="auto"/>
                <w:kern w:val="0"/>
                <w:sz w:val="18"/>
                <w:szCs w:val="18"/>
              </w:rPr>
              <w:t>专项评价设置原则对照表</w:t>
            </w:r>
          </w:p>
          <w:tbl>
            <w:tblPr>
              <w:tblStyle w:val="14"/>
              <w:tblW w:w="64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244"/>
              <w:gridCol w:w="2765"/>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734"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b/>
                      <w:bCs/>
                      <w:color w:val="auto"/>
                      <w:sz w:val="18"/>
                      <w:szCs w:val="18"/>
                    </w:rPr>
                  </w:pPr>
                  <w:r>
                    <w:rPr>
                      <w:rFonts w:hint="eastAsia" w:ascii="宋体" w:hAnsi="宋体"/>
                      <w:b/>
                      <w:bCs/>
                      <w:color w:val="auto"/>
                      <w:sz w:val="18"/>
                      <w:szCs w:val="18"/>
                    </w:rPr>
                    <w:t>专项评价类别</w:t>
                  </w:r>
                </w:p>
              </w:tc>
              <w:tc>
                <w:tcPr>
                  <w:tcW w:w="2244"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b/>
                      <w:bCs/>
                      <w:color w:val="auto"/>
                      <w:sz w:val="18"/>
                      <w:szCs w:val="18"/>
                    </w:rPr>
                  </w:pPr>
                  <w:r>
                    <w:rPr>
                      <w:rFonts w:hint="eastAsia" w:ascii="宋体" w:hAnsi="宋体"/>
                      <w:b/>
                      <w:bCs/>
                      <w:color w:val="auto"/>
                      <w:sz w:val="18"/>
                      <w:szCs w:val="18"/>
                    </w:rPr>
                    <w:t>设置原则</w:t>
                  </w:r>
                </w:p>
              </w:tc>
              <w:tc>
                <w:tcPr>
                  <w:tcW w:w="2765"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b/>
                      <w:bCs/>
                      <w:color w:val="auto"/>
                      <w:sz w:val="18"/>
                      <w:szCs w:val="18"/>
                    </w:rPr>
                  </w:pPr>
                  <w:r>
                    <w:rPr>
                      <w:rFonts w:hint="eastAsia" w:ascii="宋体" w:hAnsi="宋体"/>
                      <w:b/>
                      <w:bCs/>
                      <w:color w:val="auto"/>
                      <w:sz w:val="18"/>
                      <w:szCs w:val="18"/>
                    </w:rPr>
                    <w:t>本项目情况</w:t>
                  </w:r>
                </w:p>
              </w:tc>
              <w:tc>
                <w:tcPr>
                  <w:tcW w:w="742"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ascii="宋体" w:hAnsi="宋体"/>
                      <w:b/>
                      <w:bCs/>
                      <w:color w:val="auto"/>
                      <w:sz w:val="18"/>
                      <w:szCs w:val="18"/>
                    </w:rPr>
                  </w:pPr>
                  <w:r>
                    <w:rPr>
                      <w:rFonts w:hint="eastAsia" w:ascii="宋体" w:hAnsi="宋体"/>
                      <w:b/>
                      <w:bCs/>
                      <w:color w:val="auto"/>
                      <w:sz w:val="18"/>
                      <w:szCs w:val="18"/>
                    </w:rPr>
                    <w:t>设置</w:t>
                  </w:r>
                </w:p>
                <w:p>
                  <w:pPr>
                    <w:keepNext w:val="0"/>
                    <w:keepLines w:val="0"/>
                    <w:suppressLineNumbers w:val="0"/>
                    <w:adjustRightInd w:val="0"/>
                    <w:snapToGrid w:val="0"/>
                    <w:spacing w:before="0" w:beforeAutospacing="0" w:after="0" w:afterAutospacing="0"/>
                    <w:ind w:left="-21" w:leftChars="-10" w:right="-21" w:rightChars="-10"/>
                    <w:jc w:val="center"/>
                    <w:rPr>
                      <w:rFonts w:hint="default" w:ascii="宋体" w:hAnsi="宋体"/>
                      <w:b/>
                      <w:bCs/>
                      <w:color w:val="auto"/>
                      <w:sz w:val="18"/>
                      <w:szCs w:val="18"/>
                    </w:rPr>
                  </w:pPr>
                  <w:r>
                    <w:rPr>
                      <w:rFonts w:hint="eastAsia" w:ascii="宋体" w:hAnsi="宋体"/>
                      <w:b/>
                      <w:bCs/>
                      <w:color w:val="auto"/>
                      <w:sz w:val="18"/>
                      <w:szCs w:val="18"/>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734"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color w:val="auto"/>
                      <w:sz w:val="18"/>
                      <w:szCs w:val="18"/>
                    </w:rPr>
                  </w:pPr>
                  <w:r>
                    <w:rPr>
                      <w:rFonts w:hint="eastAsia" w:ascii="宋体" w:hAnsi="宋体"/>
                      <w:color w:val="auto"/>
                      <w:sz w:val="18"/>
                      <w:szCs w:val="18"/>
                    </w:rPr>
                    <w:t>大气</w:t>
                  </w:r>
                </w:p>
              </w:tc>
              <w:tc>
                <w:tcPr>
                  <w:tcW w:w="2244" w:type="dxa"/>
                  <w:vAlign w:val="center"/>
                </w:tcPr>
                <w:p>
                  <w:pPr>
                    <w:keepNext w:val="0"/>
                    <w:keepLines w:val="0"/>
                    <w:suppressLineNumbers w:val="0"/>
                    <w:adjustRightInd w:val="0"/>
                    <w:snapToGrid w:val="0"/>
                    <w:spacing w:before="0" w:beforeAutospacing="0" w:after="0" w:afterAutospacing="0"/>
                    <w:ind w:left="-21" w:leftChars="-10" w:right="-21" w:rightChars="-10"/>
                    <w:jc w:val="left"/>
                    <w:rPr>
                      <w:rFonts w:hint="default"/>
                      <w:color w:val="auto"/>
                      <w:spacing w:val="-2"/>
                      <w:sz w:val="18"/>
                      <w:szCs w:val="18"/>
                    </w:rPr>
                  </w:pPr>
                  <w:r>
                    <w:rPr>
                      <w:rFonts w:hint="eastAsia" w:ascii="宋体" w:hAnsi="宋体"/>
                      <w:color w:val="auto"/>
                      <w:spacing w:val="-2"/>
                      <w:sz w:val="18"/>
                      <w:szCs w:val="18"/>
                    </w:rPr>
                    <w:t>排放废气含有毒有害污染物</w:t>
                  </w:r>
                  <w:r>
                    <w:rPr>
                      <w:rFonts w:hint="default"/>
                      <w:color w:val="auto"/>
                      <w:spacing w:val="-2"/>
                      <w:sz w:val="18"/>
                      <w:szCs w:val="18"/>
                      <w:vertAlign w:val="superscript"/>
                    </w:rPr>
                    <w:t>1</w:t>
                  </w:r>
                  <w:r>
                    <w:rPr>
                      <w:rFonts w:hint="eastAsia" w:ascii="宋体" w:hAnsi="宋体"/>
                      <w:color w:val="auto"/>
                      <w:spacing w:val="-2"/>
                      <w:sz w:val="18"/>
                      <w:szCs w:val="18"/>
                    </w:rPr>
                    <w:t>、二噁英、苯并</w:t>
                  </w:r>
                  <w:r>
                    <w:rPr>
                      <w:rFonts w:hint="default"/>
                      <w:color w:val="auto"/>
                      <w:spacing w:val="-2"/>
                      <w:sz w:val="18"/>
                      <w:szCs w:val="18"/>
                    </w:rPr>
                    <w:t>[a]</w:t>
                  </w:r>
                  <w:r>
                    <w:rPr>
                      <w:rFonts w:hint="eastAsia" w:ascii="宋体" w:hAnsi="宋体"/>
                      <w:color w:val="auto"/>
                      <w:spacing w:val="-2"/>
                      <w:sz w:val="18"/>
                      <w:szCs w:val="18"/>
                    </w:rPr>
                    <w:t>芘、氰化物、氯气且厂界外</w:t>
                  </w:r>
                  <w:r>
                    <w:rPr>
                      <w:rFonts w:hint="default"/>
                      <w:color w:val="auto"/>
                      <w:spacing w:val="-2"/>
                      <w:sz w:val="18"/>
                      <w:szCs w:val="18"/>
                    </w:rPr>
                    <w:t>500</w:t>
                  </w:r>
                  <w:r>
                    <w:rPr>
                      <w:rFonts w:hint="eastAsia" w:ascii="宋体" w:hAnsi="宋体"/>
                      <w:color w:val="auto"/>
                      <w:spacing w:val="-2"/>
                      <w:sz w:val="18"/>
                      <w:szCs w:val="18"/>
                    </w:rPr>
                    <w:t>米范围内有环境空气保护目标</w:t>
                  </w:r>
                  <w:r>
                    <w:rPr>
                      <w:rFonts w:hint="default"/>
                      <w:color w:val="auto"/>
                      <w:spacing w:val="-2"/>
                      <w:sz w:val="18"/>
                      <w:szCs w:val="18"/>
                      <w:vertAlign w:val="superscript"/>
                    </w:rPr>
                    <w:t>2</w:t>
                  </w:r>
                  <w:r>
                    <w:rPr>
                      <w:rFonts w:hint="eastAsia" w:ascii="宋体" w:hAnsi="宋体"/>
                      <w:color w:val="auto"/>
                      <w:spacing w:val="-2"/>
                      <w:sz w:val="18"/>
                      <w:szCs w:val="18"/>
                    </w:rPr>
                    <w:t>的建设项目</w:t>
                  </w:r>
                </w:p>
              </w:tc>
              <w:tc>
                <w:tcPr>
                  <w:tcW w:w="2765" w:type="dxa"/>
                  <w:vAlign w:val="center"/>
                </w:tcPr>
                <w:p>
                  <w:pPr>
                    <w:keepNext w:val="0"/>
                    <w:keepLines w:val="0"/>
                    <w:suppressLineNumbers w:val="0"/>
                    <w:adjustRightInd w:val="0"/>
                    <w:snapToGrid w:val="0"/>
                    <w:spacing w:before="0" w:beforeAutospacing="0" w:after="0" w:afterAutospacing="0"/>
                    <w:ind w:left="-21" w:leftChars="-10" w:right="-21" w:rightChars="-10"/>
                    <w:jc w:val="left"/>
                    <w:rPr>
                      <w:rFonts w:hint="default"/>
                      <w:color w:val="auto"/>
                      <w:sz w:val="18"/>
                      <w:szCs w:val="18"/>
                    </w:rPr>
                  </w:pPr>
                  <w:r>
                    <w:rPr>
                      <w:rFonts w:hint="eastAsia" w:ascii="宋体" w:hAnsi="宋体"/>
                      <w:color w:val="auto"/>
                      <w:sz w:val="18"/>
                      <w:szCs w:val="18"/>
                    </w:rPr>
                    <w:t>项目营运期废气污染物因子为颗粒物，不属于有毒有害污染物等，</w:t>
                  </w:r>
                  <w:r>
                    <w:rPr>
                      <w:rFonts w:hint="eastAsia" w:ascii="宋体" w:hAnsi="宋体"/>
                      <w:bCs/>
                      <w:color w:val="auto"/>
                      <w:sz w:val="18"/>
                      <w:szCs w:val="18"/>
                    </w:rPr>
                    <w:t>不需设置大气专项评价。</w:t>
                  </w:r>
                </w:p>
              </w:tc>
              <w:tc>
                <w:tcPr>
                  <w:tcW w:w="742"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ascii="宋体" w:hAnsi="宋体"/>
                      <w:color w:val="auto"/>
                      <w:sz w:val="18"/>
                      <w:szCs w:val="18"/>
                    </w:rPr>
                  </w:pPr>
                  <w:r>
                    <w:rPr>
                      <w:rFonts w:hint="eastAsia" w:ascii="宋体" w:hAnsi="宋体"/>
                      <w:color w:val="auto"/>
                      <w:sz w:val="18"/>
                      <w:szCs w:val="18"/>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734"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color w:val="auto"/>
                      <w:sz w:val="18"/>
                      <w:szCs w:val="18"/>
                    </w:rPr>
                  </w:pPr>
                  <w:r>
                    <w:rPr>
                      <w:rFonts w:hint="eastAsia" w:ascii="宋体" w:hAnsi="宋体"/>
                      <w:color w:val="auto"/>
                      <w:sz w:val="18"/>
                      <w:szCs w:val="18"/>
                    </w:rPr>
                    <w:t>地表水</w:t>
                  </w:r>
                </w:p>
              </w:tc>
              <w:tc>
                <w:tcPr>
                  <w:tcW w:w="2244" w:type="dxa"/>
                  <w:vAlign w:val="center"/>
                </w:tcPr>
                <w:p>
                  <w:pPr>
                    <w:keepNext w:val="0"/>
                    <w:keepLines w:val="0"/>
                    <w:suppressLineNumbers w:val="0"/>
                    <w:adjustRightInd w:val="0"/>
                    <w:snapToGrid w:val="0"/>
                    <w:spacing w:before="0" w:beforeAutospacing="0" w:after="0" w:afterAutospacing="0"/>
                    <w:ind w:left="-21" w:leftChars="-10" w:right="-21" w:rightChars="-10"/>
                    <w:jc w:val="left"/>
                    <w:rPr>
                      <w:rFonts w:hint="default"/>
                      <w:color w:val="auto"/>
                      <w:sz w:val="18"/>
                      <w:szCs w:val="18"/>
                    </w:rPr>
                  </w:pPr>
                  <w:r>
                    <w:rPr>
                      <w:rFonts w:hint="eastAsia" w:ascii="宋体" w:hAnsi="宋体"/>
                      <w:color w:val="auto"/>
                      <w:sz w:val="18"/>
                      <w:szCs w:val="18"/>
                    </w:rPr>
                    <w:t>新增工业废水直排建设项目（槽罐车外送污水处理厂的除外）；新增废水直排的污水集中处理厂</w:t>
                  </w:r>
                </w:p>
              </w:tc>
              <w:tc>
                <w:tcPr>
                  <w:tcW w:w="2765" w:type="dxa"/>
                  <w:vAlign w:val="center"/>
                </w:tcPr>
                <w:p>
                  <w:pPr>
                    <w:keepNext w:val="0"/>
                    <w:keepLines w:val="0"/>
                    <w:suppressLineNumbers w:val="0"/>
                    <w:adjustRightInd w:val="0"/>
                    <w:snapToGrid w:val="0"/>
                    <w:spacing w:before="0" w:beforeAutospacing="0" w:after="0" w:afterAutospacing="0"/>
                    <w:ind w:left="-21" w:leftChars="-10" w:right="-21" w:rightChars="-10"/>
                    <w:jc w:val="left"/>
                    <w:rPr>
                      <w:rFonts w:hint="default"/>
                      <w:color w:val="auto"/>
                      <w:sz w:val="18"/>
                      <w:szCs w:val="18"/>
                    </w:rPr>
                  </w:pPr>
                  <w:r>
                    <w:rPr>
                      <w:rFonts w:hint="eastAsia" w:ascii="宋体" w:hAnsi="宋体"/>
                      <w:color w:val="auto"/>
                      <w:sz w:val="18"/>
                      <w:szCs w:val="18"/>
                    </w:rPr>
                    <w:t>项目不新增工业废水直排，生产废水全部回用、生活污水设化粪池处理后</w:t>
                  </w:r>
                  <w:r>
                    <w:rPr>
                      <w:rFonts w:hint="eastAsia" w:ascii="宋体" w:hAnsi="宋体"/>
                      <w:color w:val="auto"/>
                      <w:sz w:val="18"/>
                      <w:szCs w:val="18"/>
                      <w:lang w:val="en-US" w:eastAsia="zh-CN"/>
                    </w:rPr>
                    <w:t>定期清掏做农肥</w:t>
                  </w:r>
                  <w:r>
                    <w:rPr>
                      <w:rFonts w:hint="eastAsia" w:ascii="宋体" w:hAnsi="宋体"/>
                      <w:color w:val="auto"/>
                      <w:sz w:val="18"/>
                      <w:szCs w:val="18"/>
                    </w:rPr>
                    <w:t>，</w:t>
                  </w:r>
                  <w:r>
                    <w:rPr>
                      <w:rFonts w:hint="eastAsia" w:ascii="宋体" w:hAnsi="宋体"/>
                      <w:bCs/>
                      <w:color w:val="auto"/>
                      <w:sz w:val="18"/>
                      <w:szCs w:val="18"/>
                    </w:rPr>
                    <w:t>无需开展地表水专项评价。</w:t>
                  </w:r>
                </w:p>
              </w:tc>
              <w:tc>
                <w:tcPr>
                  <w:tcW w:w="742"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ascii="宋体" w:hAnsi="宋体"/>
                      <w:color w:val="auto"/>
                      <w:sz w:val="18"/>
                      <w:szCs w:val="18"/>
                    </w:rPr>
                  </w:pPr>
                  <w:r>
                    <w:rPr>
                      <w:rFonts w:hint="eastAsia" w:ascii="宋体" w:hAnsi="宋体"/>
                      <w:color w:val="auto"/>
                      <w:sz w:val="18"/>
                      <w:szCs w:val="18"/>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4"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eastAsia" w:ascii="宋体" w:hAnsi="宋体"/>
                      <w:color w:val="auto"/>
                      <w:sz w:val="18"/>
                      <w:szCs w:val="18"/>
                    </w:rPr>
                  </w:pPr>
                  <w:r>
                    <w:rPr>
                      <w:rFonts w:hint="eastAsia" w:ascii="宋体" w:hAnsi="宋体"/>
                      <w:color w:val="auto"/>
                      <w:sz w:val="18"/>
                      <w:szCs w:val="18"/>
                    </w:rPr>
                    <w:t>环境</w:t>
                  </w:r>
                </w:p>
                <w:p>
                  <w:pPr>
                    <w:keepNext w:val="0"/>
                    <w:keepLines w:val="0"/>
                    <w:suppressLineNumbers w:val="0"/>
                    <w:adjustRightInd w:val="0"/>
                    <w:snapToGrid w:val="0"/>
                    <w:spacing w:before="0" w:beforeAutospacing="0" w:after="0" w:afterAutospacing="0"/>
                    <w:ind w:left="-21" w:leftChars="-10" w:right="-21" w:rightChars="-10"/>
                    <w:jc w:val="center"/>
                    <w:rPr>
                      <w:rFonts w:hint="default"/>
                      <w:color w:val="auto"/>
                      <w:sz w:val="18"/>
                      <w:szCs w:val="18"/>
                    </w:rPr>
                  </w:pPr>
                  <w:r>
                    <w:rPr>
                      <w:rFonts w:hint="eastAsia" w:ascii="宋体" w:hAnsi="宋体"/>
                      <w:color w:val="auto"/>
                      <w:sz w:val="18"/>
                      <w:szCs w:val="18"/>
                    </w:rPr>
                    <w:t>风险</w:t>
                  </w:r>
                </w:p>
              </w:tc>
              <w:tc>
                <w:tcPr>
                  <w:tcW w:w="2244" w:type="dxa"/>
                  <w:vAlign w:val="center"/>
                </w:tcPr>
                <w:p>
                  <w:pPr>
                    <w:keepNext w:val="0"/>
                    <w:keepLines w:val="0"/>
                    <w:suppressLineNumbers w:val="0"/>
                    <w:adjustRightInd w:val="0"/>
                    <w:snapToGrid w:val="0"/>
                    <w:spacing w:before="0" w:beforeAutospacing="0" w:after="0" w:afterAutospacing="0"/>
                    <w:ind w:left="-21" w:leftChars="-10" w:right="-21" w:rightChars="-10"/>
                    <w:jc w:val="left"/>
                    <w:rPr>
                      <w:rFonts w:hint="default"/>
                      <w:color w:val="auto"/>
                      <w:sz w:val="18"/>
                      <w:szCs w:val="18"/>
                    </w:rPr>
                  </w:pPr>
                  <w:r>
                    <w:rPr>
                      <w:rFonts w:hint="eastAsia" w:ascii="宋体" w:hAnsi="宋体"/>
                      <w:color w:val="auto"/>
                      <w:sz w:val="18"/>
                      <w:szCs w:val="18"/>
                    </w:rPr>
                    <w:t>有毒有害和易燃易爆危险物质存储量超过临界量</w:t>
                  </w:r>
                  <w:r>
                    <w:rPr>
                      <w:rFonts w:hint="default"/>
                      <w:color w:val="auto"/>
                      <w:sz w:val="18"/>
                      <w:szCs w:val="18"/>
                      <w:vertAlign w:val="superscript"/>
                    </w:rPr>
                    <w:t>3</w:t>
                  </w:r>
                  <w:r>
                    <w:rPr>
                      <w:rFonts w:hint="eastAsia" w:ascii="宋体" w:hAnsi="宋体"/>
                      <w:color w:val="auto"/>
                      <w:sz w:val="18"/>
                      <w:szCs w:val="18"/>
                    </w:rPr>
                    <w:t>的建设项目</w:t>
                  </w:r>
                </w:p>
              </w:tc>
              <w:tc>
                <w:tcPr>
                  <w:tcW w:w="2765" w:type="dxa"/>
                  <w:vAlign w:val="center"/>
                </w:tcPr>
                <w:p>
                  <w:pPr>
                    <w:keepNext w:val="0"/>
                    <w:keepLines w:val="0"/>
                    <w:suppressLineNumbers w:val="0"/>
                    <w:adjustRightInd w:val="0"/>
                    <w:snapToGrid w:val="0"/>
                    <w:spacing w:before="0" w:beforeAutospacing="0" w:after="0" w:afterAutospacing="0"/>
                    <w:ind w:left="-21" w:leftChars="-10" w:right="-21" w:rightChars="-10"/>
                    <w:jc w:val="left"/>
                    <w:rPr>
                      <w:rFonts w:hint="default"/>
                      <w:color w:val="auto"/>
                      <w:sz w:val="18"/>
                      <w:szCs w:val="18"/>
                    </w:rPr>
                  </w:pPr>
                  <w:r>
                    <w:rPr>
                      <w:rFonts w:hint="eastAsia" w:ascii="宋体" w:hAnsi="宋体"/>
                      <w:color w:val="auto"/>
                      <w:sz w:val="18"/>
                      <w:szCs w:val="18"/>
                    </w:rPr>
                    <w:t>项目</w:t>
                  </w:r>
                  <w:r>
                    <w:rPr>
                      <w:rFonts w:hint="eastAsia" w:ascii="宋体" w:hAnsi="宋体"/>
                      <w:color w:val="auto"/>
                      <w:sz w:val="18"/>
                      <w:szCs w:val="18"/>
                      <w:lang w:val="en-US" w:eastAsia="zh-CN"/>
                    </w:rPr>
                    <w:t>危废间暂存的废机油属于</w:t>
                  </w:r>
                  <w:r>
                    <w:rPr>
                      <w:rFonts w:hint="eastAsia" w:ascii="宋体" w:hAnsi="宋体"/>
                      <w:color w:val="auto"/>
                      <w:sz w:val="18"/>
                      <w:szCs w:val="18"/>
                    </w:rPr>
                    <w:t>有毒有害和易燃易爆危险物质，</w:t>
                  </w:r>
                  <w:r>
                    <w:rPr>
                      <w:rFonts w:hint="eastAsia" w:ascii="宋体" w:hAnsi="宋体"/>
                      <w:color w:val="auto"/>
                      <w:sz w:val="18"/>
                      <w:szCs w:val="18"/>
                      <w:lang w:val="en-US" w:eastAsia="zh-CN"/>
                    </w:rPr>
                    <w:t>但其贮存量未超过物质临界量，</w:t>
                  </w:r>
                  <w:r>
                    <w:rPr>
                      <w:rFonts w:hint="eastAsia" w:ascii="宋体" w:hAnsi="宋体"/>
                      <w:bCs/>
                      <w:color w:val="auto"/>
                      <w:sz w:val="18"/>
                      <w:szCs w:val="18"/>
                    </w:rPr>
                    <w:t>无需开展环境风险专项评价。</w:t>
                  </w:r>
                </w:p>
              </w:tc>
              <w:tc>
                <w:tcPr>
                  <w:tcW w:w="742"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ascii="宋体" w:hAnsi="宋体"/>
                      <w:color w:val="auto"/>
                      <w:sz w:val="18"/>
                      <w:szCs w:val="18"/>
                    </w:rPr>
                  </w:pPr>
                  <w:r>
                    <w:rPr>
                      <w:rFonts w:hint="eastAsia" w:ascii="宋体" w:hAnsi="宋体"/>
                      <w:color w:val="auto"/>
                      <w:sz w:val="18"/>
                      <w:szCs w:val="18"/>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734"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color w:val="auto"/>
                      <w:sz w:val="18"/>
                      <w:szCs w:val="18"/>
                    </w:rPr>
                  </w:pPr>
                  <w:r>
                    <w:rPr>
                      <w:rFonts w:hint="eastAsia" w:ascii="宋体" w:hAnsi="宋体"/>
                      <w:color w:val="auto"/>
                      <w:sz w:val="18"/>
                      <w:szCs w:val="18"/>
                    </w:rPr>
                    <w:t>生态</w:t>
                  </w:r>
                </w:p>
              </w:tc>
              <w:tc>
                <w:tcPr>
                  <w:tcW w:w="2244" w:type="dxa"/>
                  <w:vAlign w:val="center"/>
                </w:tcPr>
                <w:p>
                  <w:pPr>
                    <w:keepNext w:val="0"/>
                    <w:keepLines w:val="0"/>
                    <w:suppressLineNumbers w:val="0"/>
                    <w:adjustRightInd w:val="0"/>
                    <w:snapToGrid w:val="0"/>
                    <w:spacing w:before="0" w:beforeAutospacing="0" w:after="0" w:afterAutospacing="0"/>
                    <w:ind w:left="-21" w:leftChars="-10" w:right="-21" w:rightChars="-10"/>
                    <w:jc w:val="left"/>
                    <w:rPr>
                      <w:rFonts w:hint="default"/>
                      <w:color w:val="auto"/>
                      <w:sz w:val="18"/>
                      <w:szCs w:val="18"/>
                    </w:rPr>
                  </w:pPr>
                  <w:r>
                    <w:rPr>
                      <w:rFonts w:hint="eastAsia" w:ascii="宋体" w:hAnsi="宋体"/>
                      <w:color w:val="auto"/>
                      <w:sz w:val="18"/>
                      <w:szCs w:val="18"/>
                    </w:rPr>
                    <w:t>取水口下游</w:t>
                  </w:r>
                  <w:r>
                    <w:rPr>
                      <w:rFonts w:hint="default"/>
                      <w:color w:val="auto"/>
                      <w:sz w:val="18"/>
                      <w:szCs w:val="18"/>
                    </w:rPr>
                    <w:t>500</w:t>
                  </w:r>
                  <w:r>
                    <w:rPr>
                      <w:rFonts w:hint="eastAsia" w:ascii="宋体" w:hAnsi="宋体"/>
                      <w:color w:val="auto"/>
                      <w:sz w:val="18"/>
                      <w:szCs w:val="18"/>
                    </w:rPr>
                    <w:t>米范围内有重要水生生物的自然产卵场、索饵场、越冬场和洄游通道的新增河道取水的污染类建设项目</w:t>
                  </w:r>
                </w:p>
              </w:tc>
              <w:tc>
                <w:tcPr>
                  <w:tcW w:w="2765" w:type="dxa"/>
                  <w:vAlign w:val="center"/>
                </w:tcPr>
                <w:p>
                  <w:pPr>
                    <w:keepNext w:val="0"/>
                    <w:keepLines w:val="0"/>
                    <w:suppressLineNumbers w:val="0"/>
                    <w:adjustRightInd w:val="0"/>
                    <w:snapToGrid w:val="0"/>
                    <w:spacing w:before="0" w:beforeAutospacing="0" w:after="0" w:afterAutospacing="0"/>
                    <w:ind w:left="-21" w:leftChars="-10" w:right="-21" w:rightChars="-10"/>
                    <w:jc w:val="left"/>
                    <w:rPr>
                      <w:rFonts w:hint="default"/>
                      <w:color w:val="auto"/>
                      <w:sz w:val="18"/>
                      <w:szCs w:val="18"/>
                    </w:rPr>
                  </w:pPr>
                  <w:r>
                    <w:rPr>
                      <w:rFonts w:hint="eastAsia" w:ascii="宋体" w:hAnsi="宋体"/>
                      <w:color w:val="auto"/>
                      <w:sz w:val="18"/>
                      <w:szCs w:val="18"/>
                    </w:rPr>
                    <w:t>项目生产用水来自收集的降雨和</w:t>
                  </w:r>
                  <w:r>
                    <w:rPr>
                      <w:rFonts w:hint="eastAsia" w:ascii="宋体" w:hAnsi="宋体"/>
                      <w:color w:val="auto"/>
                      <w:sz w:val="18"/>
                      <w:szCs w:val="18"/>
                      <w:lang w:val="en-US" w:eastAsia="zh-CN"/>
                    </w:rPr>
                    <w:t>循环回用水</w:t>
                  </w:r>
                  <w:r>
                    <w:rPr>
                      <w:rFonts w:hint="eastAsia" w:ascii="宋体" w:hAnsi="宋体"/>
                      <w:color w:val="auto"/>
                      <w:sz w:val="18"/>
                      <w:szCs w:val="18"/>
                    </w:rPr>
                    <w:t>，不涉及河道取水。</w:t>
                  </w:r>
                  <w:r>
                    <w:rPr>
                      <w:rFonts w:hint="eastAsia" w:ascii="宋体" w:hAnsi="宋体"/>
                      <w:bCs/>
                      <w:color w:val="auto"/>
                      <w:sz w:val="18"/>
                      <w:szCs w:val="18"/>
                    </w:rPr>
                    <w:t>故无需开展生态专项评价。</w:t>
                  </w:r>
                </w:p>
              </w:tc>
              <w:tc>
                <w:tcPr>
                  <w:tcW w:w="742"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ascii="宋体" w:hAnsi="宋体"/>
                      <w:color w:val="auto"/>
                      <w:sz w:val="18"/>
                      <w:szCs w:val="18"/>
                    </w:rPr>
                  </w:pPr>
                  <w:r>
                    <w:rPr>
                      <w:rFonts w:hint="eastAsia" w:ascii="宋体" w:hAnsi="宋体"/>
                      <w:color w:val="auto"/>
                      <w:sz w:val="18"/>
                      <w:szCs w:val="18"/>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734"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color w:val="auto"/>
                      <w:sz w:val="18"/>
                      <w:szCs w:val="18"/>
                    </w:rPr>
                  </w:pPr>
                  <w:r>
                    <w:rPr>
                      <w:rFonts w:hint="eastAsia" w:ascii="宋体" w:hAnsi="宋体"/>
                      <w:color w:val="auto"/>
                      <w:sz w:val="18"/>
                      <w:szCs w:val="18"/>
                    </w:rPr>
                    <w:t>海洋</w:t>
                  </w:r>
                </w:p>
              </w:tc>
              <w:tc>
                <w:tcPr>
                  <w:tcW w:w="2244" w:type="dxa"/>
                  <w:vAlign w:val="center"/>
                </w:tcPr>
                <w:p>
                  <w:pPr>
                    <w:keepNext w:val="0"/>
                    <w:keepLines w:val="0"/>
                    <w:suppressLineNumbers w:val="0"/>
                    <w:adjustRightInd w:val="0"/>
                    <w:snapToGrid w:val="0"/>
                    <w:spacing w:before="0" w:beforeAutospacing="0" w:after="0" w:afterAutospacing="0"/>
                    <w:ind w:left="-21" w:leftChars="-10" w:right="-21" w:rightChars="-10"/>
                    <w:jc w:val="left"/>
                    <w:rPr>
                      <w:rFonts w:hint="default"/>
                      <w:color w:val="auto"/>
                      <w:sz w:val="18"/>
                      <w:szCs w:val="18"/>
                    </w:rPr>
                  </w:pPr>
                  <w:r>
                    <w:rPr>
                      <w:rFonts w:hint="eastAsia" w:ascii="宋体" w:hAnsi="宋体"/>
                      <w:color w:val="auto"/>
                      <w:sz w:val="18"/>
                      <w:szCs w:val="18"/>
                    </w:rPr>
                    <w:t>直接向海排放污染物的海洋工程建设项目</w:t>
                  </w:r>
                </w:p>
              </w:tc>
              <w:tc>
                <w:tcPr>
                  <w:tcW w:w="2765" w:type="dxa"/>
                  <w:vAlign w:val="center"/>
                </w:tcPr>
                <w:p>
                  <w:pPr>
                    <w:keepNext w:val="0"/>
                    <w:keepLines w:val="0"/>
                    <w:suppressLineNumbers w:val="0"/>
                    <w:adjustRightInd w:val="0"/>
                    <w:snapToGrid w:val="0"/>
                    <w:spacing w:before="0" w:beforeAutospacing="0" w:after="0" w:afterAutospacing="0"/>
                    <w:ind w:left="-21" w:leftChars="-10" w:right="-21" w:rightChars="-10"/>
                    <w:jc w:val="left"/>
                    <w:rPr>
                      <w:rFonts w:hint="default"/>
                      <w:color w:val="auto"/>
                      <w:sz w:val="18"/>
                      <w:szCs w:val="18"/>
                    </w:rPr>
                  </w:pPr>
                  <w:r>
                    <w:rPr>
                      <w:rFonts w:hint="eastAsia" w:ascii="宋体" w:hAnsi="宋体"/>
                      <w:color w:val="auto"/>
                      <w:sz w:val="18"/>
                      <w:szCs w:val="18"/>
                    </w:rPr>
                    <w:t>项目不属于海洋工程建设项目，</w:t>
                  </w:r>
                  <w:r>
                    <w:rPr>
                      <w:rFonts w:hint="eastAsia" w:ascii="宋体" w:hAnsi="宋体"/>
                      <w:bCs/>
                      <w:color w:val="auto"/>
                      <w:sz w:val="18"/>
                      <w:szCs w:val="18"/>
                    </w:rPr>
                    <w:t>故无需开展海洋专项评价。</w:t>
                  </w:r>
                </w:p>
              </w:tc>
              <w:tc>
                <w:tcPr>
                  <w:tcW w:w="742"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ascii="宋体" w:hAnsi="宋体"/>
                      <w:color w:val="auto"/>
                      <w:sz w:val="18"/>
                      <w:szCs w:val="18"/>
                    </w:rPr>
                  </w:pPr>
                  <w:r>
                    <w:rPr>
                      <w:rFonts w:hint="eastAsia" w:ascii="宋体" w:hAnsi="宋体"/>
                      <w:color w:val="auto"/>
                      <w:sz w:val="18"/>
                      <w:szCs w:val="18"/>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 w:hRule="atLeast"/>
                <w:jc w:val="center"/>
              </w:trPr>
              <w:tc>
                <w:tcPr>
                  <w:tcW w:w="734"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color w:val="auto"/>
                      <w:sz w:val="18"/>
                      <w:szCs w:val="18"/>
                    </w:rPr>
                  </w:pPr>
                  <w:r>
                    <w:rPr>
                      <w:rFonts w:hint="eastAsia" w:ascii="宋体" w:hAnsi="宋体"/>
                      <w:color w:val="auto"/>
                      <w:sz w:val="18"/>
                      <w:szCs w:val="18"/>
                    </w:rPr>
                    <w:t>地下水</w:t>
                  </w:r>
                </w:p>
              </w:tc>
              <w:tc>
                <w:tcPr>
                  <w:tcW w:w="2244" w:type="dxa"/>
                  <w:vAlign w:val="center"/>
                </w:tcPr>
                <w:p>
                  <w:pPr>
                    <w:keepNext w:val="0"/>
                    <w:keepLines w:val="0"/>
                    <w:suppressLineNumbers w:val="0"/>
                    <w:adjustRightInd w:val="0"/>
                    <w:snapToGrid w:val="0"/>
                    <w:spacing w:before="0" w:beforeAutospacing="0" w:after="0" w:afterAutospacing="0"/>
                    <w:ind w:left="-21" w:leftChars="-10" w:right="-21" w:rightChars="-10"/>
                    <w:jc w:val="left"/>
                    <w:rPr>
                      <w:rFonts w:hint="default"/>
                      <w:color w:val="auto"/>
                      <w:sz w:val="18"/>
                      <w:szCs w:val="18"/>
                    </w:rPr>
                  </w:pPr>
                  <w:r>
                    <w:rPr>
                      <w:rFonts w:hint="eastAsia" w:ascii="宋体" w:hAnsi="宋体"/>
                      <w:color w:val="auto"/>
                      <w:sz w:val="18"/>
                      <w:szCs w:val="18"/>
                    </w:rPr>
                    <w:t>涉及集中式饮用水水源和热水、矿泉水、温泉等特殊地下水资源保护区</w:t>
                  </w:r>
                </w:p>
              </w:tc>
              <w:tc>
                <w:tcPr>
                  <w:tcW w:w="2765" w:type="dxa"/>
                  <w:vAlign w:val="center"/>
                </w:tcPr>
                <w:p>
                  <w:pPr>
                    <w:keepNext w:val="0"/>
                    <w:keepLines w:val="0"/>
                    <w:suppressLineNumbers w:val="0"/>
                    <w:adjustRightInd w:val="0"/>
                    <w:snapToGrid w:val="0"/>
                    <w:spacing w:before="0" w:beforeAutospacing="0" w:after="0" w:afterAutospacing="0"/>
                    <w:ind w:left="-21" w:leftChars="-10" w:right="-21" w:rightChars="-10"/>
                    <w:jc w:val="left"/>
                    <w:rPr>
                      <w:rFonts w:hint="default"/>
                      <w:color w:val="auto"/>
                      <w:sz w:val="18"/>
                      <w:szCs w:val="18"/>
                    </w:rPr>
                  </w:pPr>
                  <w:r>
                    <w:rPr>
                      <w:rFonts w:hint="eastAsia" w:ascii="宋体" w:hAnsi="宋体"/>
                      <w:color w:val="auto"/>
                      <w:sz w:val="18"/>
                      <w:szCs w:val="18"/>
                    </w:rPr>
                    <w:t>项目不涉及集中式饮用水水源和热水、矿泉水、温泉等特殊地下水资源保护区，</w:t>
                  </w:r>
                  <w:r>
                    <w:rPr>
                      <w:rFonts w:hint="eastAsia" w:ascii="宋体" w:hAnsi="宋体"/>
                      <w:bCs/>
                      <w:color w:val="auto"/>
                      <w:sz w:val="18"/>
                      <w:szCs w:val="18"/>
                    </w:rPr>
                    <w:t>故无需开展地下水专项评价。</w:t>
                  </w:r>
                </w:p>
              </w:tc>
              <w:tc>
                <w:tcPr>
                  <w:tcW w:w="742" w:type="dxa"/>
                  <w:vAlign w:val="center"/>
                </w:tcPr>
                <w:p>
                  <w:pPr>
                    <w:keepNext w:val="0"/>
                    <w:keepLines w:val="0"/>
                    <w:suppressLineNumbers w:val="0"/>
                    <w:adjustRightInd w:val="0"/>
                    <w:snapToGrid w:val="0"/>
                    <w:spacing w:before="0" w:beforeAutospacing="0" w:after="0" w:afterAutospacing="0"/>
                    <w:ind w:left="-21" w:leftChars="-10" w:right="-21" w:rightChars="-10"/>
                    <w:jc w:val="center"/>
                    <w:rPr>
                      <w:rFonts w:hint="default" w:ascii="宋体" w:hAnsi="宋体"/>
                      <w:color w:val="auto"/>
                      <w:sz w:val="18"/>
                      <w:szCs w:val="18"/>
                    </w:rPr>
                  </w:pPr>
                  <w:r>
                    <w:rPr>
                      <w:rFonts w:hint="eastAsia" w:ascii="宋体" w:hAnsi="宋体"/>
                      <w:color w:val="auto"/>
                      <w:sz w:val="18"/>
                      <w:szCs w:val="18"/>
                    </w:rPr>
                    <w:t>不设置</w:t>
                  </w:r>
                </w:p>
              </w:tc>
            </w:tr>
          </w:tbl>
          <w:p>
            <w:pPr>
              <w:keepNext w:val="0"/>
              <w:keepLines w:val="0"/>
              <w:suppressLineNumbers w:val="0"/>
              <w:spacing w:before="0" w:beforeAutospacing="0" w:after="0" w:afterAutospacing="0"/>
              <w:ind w:left="0" w:right="0"/>
              <w:rPr>
                <w:rFonts w:hint="default"/>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83"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default" w:ascii="宋体" w:hAnsi="宋体" w:cs="宋体"/>
                <w:color w:val="auto"/>
                <w:kern w:val="0"/>
                <w:szCs w:val="21"/>
              </w:rPr>
            </w:pPr>
            <w:r>
              <w:rPr>
                <w:rFonts w:hint="eastAsia" w:ascii="宋体" w:hAnsi="宋体" w:cs="宋体"/>
                <w:color w:val="auto"/>
                <w:szCs w:val="21"/>
              </w:rPr>
              <w:t>规划情况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line="240" w:lineRule="exact"/>
              <w:ind w:left="0" w:right="0"/>
              <w:jc w:val="center"/>
              <w:rPr>
                <w:rFonts w:hint="default"/>
                <w:color w:val="auto"/>
                <w:szCs w:val="21"/>
                <w:shd w:val="clear" w:color="auto" w:fill="FFFFFF"/>
              </w:rPr>
            </w:pPr>
            <w:r>
              <w:rPr>
                <w:rFonts w:hint="default"/>
                <w:color w:val="auto"/>
                <w:szCs w:val="21"/>
                <w:shd w:val="clear" w:color="auto" w:fill="FFFFFF"/>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51"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规划环境影响</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szCs w:val="21"/>
              </w:rPr>
              <w:t>评价情况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default" w:ascii="宋体" w:hAnsi="宋体" w:cs="宋体"/>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30"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规划及规划环境</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影响评价符合性分析</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default"/>
                <w:color w:val="auto"/>
              </w:rPr>
            </w:pPr>
            <w:r>
              <w:rPr>
                <w:rFonts w:hint="default"/>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16" w:hRule="atLeast"/>
          <w:jc w:val="center"/>
        </w:trPr>
        <w:tc>
          <w:tcPr>
            <w:tcW w:w="2140" w:type="dxa"/>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其他符合性分析</w:t>
            </w:r>
          </w:p>
        </w:tc>
        <w:tc>
          <w:tcPr>
            <w:tcW w:w="6730" w:type="dxa"/>
            <w:gridSpan w:val="3"/>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keepNext w:val="0"/>
              <w:keepLines w:val="0"/>
              <w:suppressLineNumbers w:val="0"/>
              <w:autoSpaceDE w:val="0"/>
              <w:autoSpaceDN w:val="0"/>
              <w:adjustRightInd w:val="0"/>
              <w:spacing w:before="0" w:beforeAutospacing="0" w:after="0" w:afterAutospacing="0" w:line="400" w:lineRule="exact"/>
              <w:ind w:left="-31" w:leftChars="-15" w:right="-31" w:rightChars="-15"/>
              <w:jc w:val="left"/>
              <w:rPr>
                <w:rFonts w:hint="default" w:eastAsia="黑体"/>
                <w:color w:val="auto"/>
              </w:rPr>
            </w:pPr>
            <w:r>
              <w:rPr>
                <w:rFonts w:hint="default" w:eastAsia="黑体"/>
                <w:bCs/>
                <w:color w:val="auto"/>
                <w:sz w:val="22"/>
                <w:szCs w:val="22"/>
              </w:rPr>
              <w:t>1</w:t>
            </w:r>
            <w:r>
              <w:rPr>
                <w:rFonts w:hint="default" w:ascii="黑体" w:hAnsi="黑体" w:eastAsia="黑体"/>
                <w:bCs/>
                <w:color w:val="auto"/>
                <w:sz w:val="22"/>
                <w:szCs w:val="22"/>
              </w:rPr>
              <w:t>、</w:t>
            </w:r>
            <w:r>
              <w:rPr>
                <w:rFonts w:hint="default" w:ascii="黑体" w:hAnsi="黑体" w:eastAsia="黑体"/>
                <w:color w:val="auto"/>
              </w:rPr>
              <w:t>产业政策符合性分析</w:t>
            </w: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rPr>
                <w:rFonts w:hint="default"/>
                <w:color w:val="auto"/>
              </w:rPr>
            </w:pPr>
            <w:r>
              <w:rPr>
                <w:rFonts w:hint="default" w:ascii="宋体" w:hAnsi="宋体"/>
                <w:color w:val="auto"/>
              </w:rPr>
              <w:t>本项目为砂石加工建设项目，</w:t>
            </w:r>
            <w:r>
              <w:rPr>
                <w:rFonts w:hint="eastAsia"/>
                <w:color w:val="auto"/>
                <w:szCs w:val="21"/>
              </w:rPr>
              <w:t>根据《国民经济行业分类》（GB/T4754-2017）（2019 修改版），项目属于“C303</w:t>
            </w:r>
            <w:r>
              <w:rPr>
                <w:rFonts w:hint="default"/>
                <w:color w:val="auto"/>
                <w:szCs w:val="21"/>
              </w:rPr>
              <w:t>9 其他建筑材料制造</w:t>
            </w:r>
            <w:r>
              <w:rPr>
                <w:rFonts w:hint="eastAsia"/>
                <w:color w:val="auto"/>
                <w:szCs w:val="21"/>
              </w:rPr>
              <w:t>”</w:t>
            </w:r>
            <w:r>
              <w:rPr>
                <w:rFonts w:hint="eastAsia"/>
                <w:color w:val="auto"/>
                <w:szCs w:val="21"/>
                <w:lang w:eastAsia="zh-CN"/>
              </w:rPr>
              <w:t>、“</w:t>
            </w:r>
            <w:r>
              <w:rPr>
                <w:rFonts w:hint="eastAsia"/>
                <w:color w:val="auto"/>
                <w:szCs w:val="21"/>
                <w:lang w:val="en-US" w:eastAsia="zh-CN"/>
              </w:rPr>
              <w:t>3099 其他非金属矿物制品制造</w:t>
            </w:r>
            <w:r>
              <w:rPr>
                <w:rFonts w:hint="eastAsia"/>
                <w:color w:val="auto"/>
                <w:szCs w:val="21"/>
                <w:lang w:eastAsia="zh-CN"/>
              </w:rPr>
              <w:t>”</w:t>
            </w:r>
            <w:r>
              <w:rPr>
                <w:rFonts w:hint="eastAsia"/>
                <w:color w:val="auto"/>
                <w:szCs w:val="21"/>
              </w:rPr>
              <w:t>。根据《产业结构调整指导目录（20</w:t>
            </w:r>
            <w:r>
              <w:rPr>
                <w:rFonts w:hint="eastAsia"/>
                <w:color w:val="auto"/>
                <w:szCs w:val="21"/>
                <w:lang w:val="en-US" w:eastAsia="zh-CN"/>
              </w:rPr>
              <w:t>24年</w:t>
            </w:r>
            <w:r>
              <w:rPr>
                <w:rFonts w:hint="eastAsia"/>
                <w:color w:val="auto"/>
                <w:szCs w:val="21"/>
              </w:rPr>
              <w:t>）》，本项目不属于鼓励类、限制类或禁止类。根据《促进产业结构调整暂行规定》（国发［2005］40号，本项目应属于允许类项目。项目生产过程中不使用国家明令禁止的淘汰类和限制类的设备和工艺。</w:t>
            </w:r>
            <w:r>
              <w:rPr>
                <w:rFonts w:hint="eastAsia" w:ascii="宋体" w:hAnsi="宋体"/>
                <w:color w:val="auto"/>
              </w:rPr>
              <w:t>建设单位已在全国投资项目在线审批监管平台填报了《四川省</w:t>
            </w:r>
            <w:r>
              <w:rPr>
                <w:rFonts w:hint="eastAsia" w:ascii="宋体" w:hAnsi="宋体"/>
                <w:color w:val="auto"/>
                <w:lang w:val="en-US" w:eastAsia="zh-CN"/>
              </w:rPr>
              <w:t>固定资产</w:t>
            </w:r>
            <w:r>
              <w:rPr>
                <w:rFonts w:hint="eastAsia" w:ascii="宋体" w:hAnsi="宋体"/>
                <w:color w:val="auto"/>
              </w:rPr>
              <w:t>投资项目备案表》，完成了备案，备案号：</w:t>
            </w:r>
            <w:r>
              <w:rPr>
                <w:rFonts w:hint="default" w:ascii="宋体" w:hAnsi="宋体"/>
                <w:color w:val="auto"/>
              </w:rPr>
              <w:t>川投资备【</w:t>
            </w:r>
            <w:r>
              <w:rPr>
                <w:rFonts w:hint="eastAsia" w:cs="宋体"/>
                <w:color w:val="auto"/>
                <w:szCs w:val="21"/>
                <w:lang w:val="en-US" w:eastAsia="zh-CN"/>
              </w:rPr>
              <w:t>2405-511724-04-01-188835</w:t>
            </w:r>
            <w:r>
              <w:rPr>
                <w:rFonts w:hint="default" w:ascii="宋体" w:hAnsi="宋体"/>
                <w:color w:val="auto"/>
              </w:rPr>
              <w:t>】</w:t>
            </w:r>
            <w:r>
              <w:rPr>
                <w:rFonts w:hint="default"/>
                <w:color w:val="auto"/>
              </w:rPr>
              <w:t>FGQB-02</w:t>
            </w:r>
            <w:r>
              <w:rPr>
                <w:rFonts w:hint="eastAsia"/>
                <w:color w:val="auto"/>
                <w:lang w:val="en-US" w:eastAsia="zh-CN"/>
              </w:rPr>
              <w:t>69</w:t>
            </w:r>
            <w:r>
              <w:rPr>
                <w:rFonts w:hint="default" w:ascii="宋体" w:hAnsi="宋体"/>
                <w:color w:val="auto"/>
              </w:rPr>
              <w:t>号。</w:t>
            </w:r>
          </w:p>
          <w:p>
            <w:pPr>
              <w:keepNext w:val="0"/>
              <w:keepLines w:val="0"/>
              <w:suppressLineNumbers w:val="0"/>
              <w:adjustRightInd w:val="0"/>
              <w:snapToGrid w:val="0"/>
              <w:spacing w:before="0" w:beforeAutospacing="0" w:after="0" w:afterAutospacing="0" w:line="400" w:lineRule="exact"/>
              <w:ind w:left="-53" w:leftChars="-25" w:right="-53" w:rightChars="-25" w:firstLine="420" w:firstLineChars="200"/>
              <w:jc w:val="left"/>
              <w:rPr>
                <w:rFonts w:hint="default" w:ascii="黑体" w:hAnsi="黑体" w:eastAsia="黑体" w:cs="宋体"/>
                <w:bCs/>
                <w:color w:val="auto"/>
                <w:szCs w:val="21"/>
              </w:rPr>
            </w:pPr>
            <w:r>
              <w:rPr>
                <w:rFonts w:hint="default" w:ascii="宋体" w:hAnsi="宋体"/>
                <w:color w:val="auto"/>
              </w:rPr>
              <w:t>因此，本项目符合现行相关产业政策</w:t>
            </w:r>
            <w:r>
              <w:rPr>
                <w:rFonts w:hint="default"/>
                <w:color w:val="auto"/>
                <w:szCs w:val="21"/>
              </w:rPr>
              <w:t>。</w:t>
            </w:r>
          </w:p>
          <w:p>
            <w:pPr>
              <w:keepNext w:val="0"/>
              <w:keepLines w:val="0"/>
              <w:suppressLineNumbers w:val="0"/>
              <w:autoSpaceDE w:val="0"/>
              <w:autoSpaceDN w:val="0"/>
              <w:adjustRightInd w:val="0"/>
              <w:snapToGrid w:val="0"/>
              <w:spacing w:before="0" w:beforeAutospacing="0" w:after="0" w:afterAutospacing="0" w:line="404" w:lineRule="exact"/>
              <w:ind w:left="0" w:right="0"/>
              <w:jc w:val="left"/>
              <w:rPr>
                <w:rFonts w:hint="default" w:eastAsia="黑体" w:cs="宋体"/>
                <w:color w:val="auto"/>
                <w:kern w:val="0"/>
                <w:szCs w:val="21"/>
              </w:rPr>
            </w:pPr>
            <w:r>
              <w:rPr>
                <w:rFonts w:hint="eastAsia" w:eastAsia="黑体" w:cs="宋体"/>
                <w:color w:val="auto"/>
                <w:kern w:val="0"/>
                <w:szCs w:val="21"/>
              </w:rPr>
              <w:t>2、“三线一单”符合性分析</w:t>
            </w:r>
          </w:p>
          <w:p>
            <w:pPr>
              <w:keepNext w:val="0"/>
              <w:keepLines w:val="0"/>
              <w:suppressLineNumbers w:val="0"/>
              <w:autoSpaceDE w:val="0"/>
              <w:autoSpaceDN w:val="0"/>
              <w:adjustRightInd w:val="0"/>
              <w:snapToGrid w:val="0"/>
              <w:spacing w:before="0" w:beforeAutospacing="0" w:after="0" w:afterAutospacing="0" w:line="400" w:lineRule="exact"/>
              <w:ind w:left="-53" w:leftChars="-25" w:right="-53" w:rightChars="-25" w:firstLine="422" w:firstLineChars="200"/>
              <w:jc w:val="left"/>
              <w:rPr>
                <w:rFonts w:hint="default"/>
                <w:b/>
                <w:color w:val="auto"/>
                <w:kern w:val="0"/>
                <w:szCs w:val="21"/>
                <w:highlight w:val="none"/>
                <w:lang w:val="zh-CN"/>
              </w:rPr>
            </w:pPr>
            <w:r>
              <w:rPr>
                <w:rFonts w:hint="eastAsia"/>
                <w:b/>
                <w:color w:val="auto"/>
                <w:kern w:val="0"/>
                <w:szCs w:val="21"/>
                <w:highlight w:val="none"/>
                <w:lang w:val="zh-CN"/>
              </w:rPr>
              <w:t>（1）达州市“三线一单”的符合性</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根据《达州市</w:t>
            </w:r>
            <w:r>
              <w:rPr>
                <w:rFonts w:hint="eastAsia" w:ascii="宋体" w:hAnsi="宋体" w:eastAsia="宋体" w:cs="宋体"/>
                <w:color w:val="auto"/>
                <w:kern w:val="0"/>
                <w:highlight w:val="none"/>
                <w:lang w:val="en-US" w:eastAsia="zh-CN"/>
              </w:rPr>
              <w:t>2023</w:t>
            </w:r>
            <w:r>
              <w:rPr>
                <w:rFonts w:hint="eastAsia" w:ascii="宋体" w:hAnsi="宋体" w:eastAsia="宋体" w:cs="宋体"/>
                <w:color w:val="auto"/>
                <w:kern w:val="0"/>
                <w:highlight w:val="none"/>
              </w:rPr>
              <w:t>年生态环境分区管控成果动态更新情况说明》，达州市生态空间管控区分区数量共计85个。其中生态保护红线管控区分区数量34个，生态保护红线面积1202.83km</w:t>
            </w:r>
            <w:r>
              <w:rPr>
                <w:rFonts w:hint="eastAsia" w:ascii="宋体" w:hAnsi="宋体" w:eastAsia="宋体" w:cs="宋体"/>
                <w:color w:val="auto"/>
                <w:kern w:val="0"/>
                <w:highlight w:val="none"/>
                <w:vertAlign w:val="superscript"/>
              </w:rPr>
              <w:t>2</w:t>
            </w:r>
            <w:r>
              <w:rPr>
                <w:rFonts w:hint="eastAsia" w:ascii="宋体" w:hAnsi="宋体" w:eastAsia="宋体" w:cs="宋体"/>
                <w:color w:val="auto"/>
                <w:kern w:val="0"/>
                <w:highlight w:val="none"/>
              </w:rPr>
              <w:t>，占达州市国土面积比例的7.26%；一般生态空间管控区分区数量51个，一般生态空间面积3125.7km</w:t>
            </w:r>
            <w:r>
              <w:rPr>
                <w:rFonts w:hint="eastAsia" w:ascii="宋体" w:hAnsi="宋体" w:eastAsia="宋体" w:cs="宋体"/>
                <w:color w:val="auto"/>
                <w:kern w:val="0"/>
                <w:highlight w:val="none"/>
                <w:vertAlign w:val="superscript"/>
              </w:rPr>
              <w:t>2</w:t>
            </w:r>
            <w:r>
              <w:rPr>
                <w:rFonts w:hint="eastAsia" w:ascii="宋体" w:hAnsi="宋体" w:eastAsia="宋体" w:cs="宋体"/>
                <w:color w:val="auto"/>
                <w:kern w:val="0"/>
                <w:highlight w:val="none"/>
              </w:rPr>
              <w:t>，占达州市国土面积比例的18.87%。</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 w:val="18"/>
                <w:highlight w:val="none"/>
              </w:rPr>
            </w:pPr>
            <w:r>
              <w:rPr>
                <w:rFonts w:hint="default" w:ascii="Times New Roman" w:hAnsi="Times New Roman" w:cs="Times New Roman"/>
                <w:color w:val="auto"/>
                <w:kern w:val="0"/>
                <w:highlight w:val="none"/>
              </w:rPr>
              <w:t>达州市生态保护红线</w:t>
            </w:r>
            <w:r>
              <w:rPr>
                <w:rFonts w:hint="eastAsia" w:ascii="Times New Roman" w:hAnsi="Times New Roman" w:cs="Times New Roman"/>
                <w:color w:val="auto"/>
                <w:kern w:val="0"/>
                <w:highlight w:val="none"/>
                <w:lang w:val="en-US" w:eastAsia="zh-CN"/>
              </w:rPr>
              <w:t>分布情况</w:t>
            </w:r>
            <w:r>
              <w:rPr>
                <w:rFonts w:hint="default" w:ascii="Times New Roman" w:hAnsi="Times New Roman" w:cs="Times New Roman"/>
                <w:color w:val="auto"/>
                <w:kern w:val="0"/>
                <w:highlight w:val="none"/>
              </w:rPr>
              <w:t>如下。</w:t>
            </w:r>
          </w:p>
          <w:p>
            <w:pPr>
              <w:keepNext w:val="0"/>
              <w:keepLines w:val="0"/>
              <w:suppressLineNumbers w:val="0"/>
              <w:autoSpaceDE w:val="0"/>
              <w:autoSpaceDN w:val="0"/>
              <w:adjustRightInd w:val="0"/>
              <w:snapToGrid w:val="0"/>
              <w:spacing w:before="0" w:beforeAutospacing="0" w:after="0" w:afterAutospacing="0" w:line="400" w:lineRule="exact"/>
              <w:ind w:left="0" w:right="0" w:firstLine="360" w:firstLineChars="200"/>
              <w:jc w:val="left"/>
              <w:rPr>
                <w:rFonts w:hint="default" w:ascii="Times New Roman" w:hAnsi="Times New Roman" w:cs="Times New Roman"/>
                <w:color w:val="auto"/>
                <w:kern w:val="0"/>
                <w:sz w:val="18"/>
                <w:highlight w:val="none"/>
              </w:rPr>
            </w:pPr>
          </w:p>
          <w:p>
            <w:pPr>
              <w:keepNext w:val="0"/>
              <w:keepLines w:val="0"/>
              <w:suppressLineNumbers w:val="0"/>
              <w:autoSpaceDE w:val="0"/>
              <w:autoSpaceDN w:val="0"/>
              <w:adjustRightInd w:val="0"/>
              <w:snapToGrid w:val="0"/>
              <w:spacing w:before="0" w:beforeAutospacing="0" w:after="0" w:afterAutospacing="0" w:line="400" w:lineRule="exact"/>
              <w:ind w:left="0" w:right="0" w:firstLine="360" w:firstLineChars="200"/>
              <w:jc w:val="left"/>
              <w:rPr>
                <w:rFonts w:hint="default" w:ascii="Times New Roman" w:hAnsi="Times New Roman" w:cs="Times New Roman"/>
                <w:color w:val="auto"/>
                <w:kern w:val="0"/>
                <w:sz w:val="18"/>
                <w:highlight w:val="none"/>
              </w:rPr>
            </w:pPr>
          </w:p>
          <w:p>
            <w:pPr>
              <w:keepNext w:val="0"/>
              <w:keepLines w:val="0"/>
              <w:suppressLineNumbers w:val="0"/>
              <w:spacing w:before="0" w:beforeAutospacing="0" w:after="0" w:afterAutospacing="0"/>
              <w:ind w:left="0" w:right="0" w:firstLine="0" w:firstLineChars="0"/>
              <w:jc w:val="center"/>
              <w:rPr>
                <w:rFonts w:hint="default"/>
                <w:color w:val="auto"/>
                <w:spacing w:val="-4"/>
                <w:sz w:val="28"/>
                <w:szCs w:val="28"/>
                <w:highlight w:val="none"/>
              </w:rPr>
            </w:pPr>
            <w:r>
              <w:rPr>
                <w:rFonts w:hint="default"/>
                <w:color w:val="auto"/>
                <w:sz w:val="28"/>
                <w:highlight w:val="none"/>
              </w:rPr>
              <mc:AlternateContent>
                <mc:Choice Requires="wpg">
                  <w:drawing>
                    <wp:anchor distT="0" distB="0" distL="114300" distR="114300" simplePos="0" relativeHeight="251668480" behindDoc="0" locked="0" layoutInCell="1" allowOverlap="1">
                      <wp:simplePos x="0" y="0"/>
                      <wp:positionH relativeFrom="column">
                        <wp:posOffset>1318895</wp:posOffset>
                      </wp:positionH>
                      <wp:positionV relativeFrom="paragraph">
                        <wp:posOffset>2434590</wp:posOffset>
                      </wp:positionV>
                      <wp:extent cx="1468755" cy="473710"/>
                      <wp:effectExtent l="12700" t="12700" r="23495" b="8890"/>
                      <wp:wrapNone/>
                      <wp:docPr id="29" name="组合 29"/>
                      <wp:cNvGraphicFramePr/>
                      <a:graphic xmlns:a="http://schemas.openxmlformats.org/drawingml/2006/main">
                        <a:graphicData uri="http://schemas.microsoft.com/office/word/2010/wordprocessingGroup">
                          <wpg:wgp>
                            <wpg:cNvGrpSpPr/>
                            <wpg:grpSpPr>
                              <a:xfrm>
                                <a:off x="0" y="0"/>
                                <a:ext cx="1468755" cy="473710"/>
                                <a:chOff x="6465" y="74914"/>
                                <a:chExt cx="2313" cy="746"/>
                              </a:xfrm>
                            </wpg:grpSpPr>
                            <wps:wsp>
                              <wps:cNvPr id="22" name="矩形标注 22"/>
                              <wps:cNvSpPr/>
                              <wps:spPr>
                                <a:xfrm>
                                  <a:off x="7336" y="75206"/>
                                  <a:ext cx="1443" cy="454"/>
                                </a:xfrm>
                                <a:prstGeom prst="wedgeRectCallout">
                                  <a:avLst>
                                    <a:gd name="adj1" fmla="val -108073"/>
                                    <a:gd name="adj2" fmla="val -102202"/>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项目区位置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椭圆 28"/>
                              <wps:cNvSpPr/>
                              <wps:spPr>
                                <a:xfrm>
                                  <a:off x="6465" y="74914"/>
                                  <a:ext cx="57" cy="57"/>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3.85pt;margin-top:191.7pt;height:37.3pt;width:115.65pt;z-index:251668480;mso-width-relative:page;mso-height-relative:page;" coordorigin="6465,74914" coordsize="2313,746" o:gfxdata="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&#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NOXX/3AAAAAsBAAAPAAAAAAAAAAEAIAAAACIAAABk&#10;cnMvZG93bnJldi54bWxQSwECFAAUAAAACACHTuJAJ9rupVgDAAAPCQAADgAAAAAAAAABACAAAAAr&#10;AQAAZHJzL2Uyb0RvYy54bWxQSwUGAAAAAAYABgBZAQAA9QYAAAAA&#10;">
                      <o:lock v:ext="edit" aspectratio="f"/>
                      <v:shape id="_x0000_s1026" o:spid="_x0000_s1026" o:spt="61" type="#_x0000_t61" style="position:absolute;left:7336;top:75206;height:454;width:1443;v-text-anchor:middle;" filled="f" stroked="t" coordsize="21600,21600" o:gfxdata="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rdTb4A&#10;AADbAAAADwAAAAAAAAABACAAAAAiAAAAZHJzL2Rvd25yZXYueG1sUEsBAhQAFAAAAAgAh07iQDMv&#10;BZ47AAAAOQAAABAAAAAAAAAAAQAgAAAADQEAAGRycy9zaGFwZXhtbC54bWxQSwUGAAAAAAYABgBb&#10;AQAAtwMAAAAA&#10;" adj="-12544,-11276">
                        <v:fill on="f" focussize="0,0"/>
                        <v:stroke weight="1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项目区位置</w:t>
                              </w:r>
                            </w:p>
                          </w:txbxContent>
                        </v:textbox>
                      </v:shape>
                      <v:shape id="_x0000_s1026" o:spid="_x0000_s1026" o:spt="3" type="#_x0000_t3" style="position:absolute;left:6465;top:74914;height:57;width:57;v-text-anchor:middle;" fillcolor="#FF0000" filled="t" stroked="t" coordsize="21600,21600" o:gfxdata="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PIta5AAAA2wAA&#10;AA8AAAAAAAAAAQAgAAAAIgAAAGRycy9kb3ducmV2LnhtbFBLAQIUABQAAAAIAIdO4kAzLwWeOwAA&#10;ADkAAAAQAAAAAAAAAAEAIAAAAAgBAABkcnMvc2hhcGV4bWwueG1sUEsFBgAAAAAGAAYAWwEAALID&#10;AAAAAA==&#10;">
                        <v:fill on="t" focussize="0,0"/>
                        <v:stroke weight="2pt" color="#FF0000 [2404]" joinstyle="round"/>
                        <v:imagedata o:title=""/>
                        <o:lock v:ext="edit" aspectratio="f"/>
                      </v:shape>
                    </v:group>
                  </w:pict>
                </mc:Fallback>
              </mc:AlternateContent>
            </w:r>
            <w:r>
              <w:rPr>
                <w:rFonts w:hint="eastAsia"/>
                <w:color w:val="auto"/>
                <w:spacing w:val="-4"/>
                <w:sz w:val="28"/>
                <w:szCs w:val="28"/>
                <w:highlight w:val="none"/>
              </w:rPr>
              <mc:AlternateContent>
                <mc:Choice Requires="wps">
                  <w:drawing>
                    <wp:anchor distT="0" distB="0" distL="114300" distR="114300" simplePos="0" relativeHeight="251667456" behindDoc="0" locked="0" layoutInCell="1" allowOverlap="1">
                      <wp:simplePos x="0" y="0"/>
                      <wp:positionH relativeFrom="column">
                        <wp:posOffset>85725</wp:posOffset>
                      </wp:positionH>
                      <wp:positionV relativeFrom="paragraph">
                        <wp:posOffset>2989580</wp:posOffset>
                      </wp:positionV>
                      <wp:extent cx="3921125" cy="242570"/>
                      <wp:effectExtent l="0" t="0" r="0" b="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3921125" cy="242887"/>
                              </a:xfrm>
                              <a:prstGeom prst="rect">
                                <a:avLst/>
                              </a:prstGeom>
                              <a:noFill/>
                              <a:ln>
                                <a:noFill/>
                              </a:ln>
                            </wps:spPr>
                            <wps:txbx>
                              <w:txbxContent>
                                <w:p>
                                  <w:pPr>
                                    <w:jc w:val="center"/>
                                    <w:rPr>
                                      <w:rFonts w:eastAsia="黑体"/>
                                      <w:sz w:val="18"/>
                                    </w:rPr>
                                  </w:pPr>
                                  <w:r>
                                    <w:rPr>
                                      <w:rFonts w:hint="eastAsia" w:eastAsia="黑体"/>
                                      <w:sz w:val="18"/>
                                    </w:rPr>
                                    <w:t>图1-1：达州市生态保护红线图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75pt;margin-top:235.4pt;height:19.1pt;width:308.75pt;z-index:251667456;mso-width-relative:page;mso-height-relative:page;" filled="f" stroked="f" coordsize="21600,21600" o:gfxdata="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vGnWdYAAAAKAQAADwAAAAAAAAABACAAAAAiAAAAZHJzL2Rvd25yZXYu&#10;eG1sUEsBAhQAFAAAAAgAh07iQJnhQnf9AQAAyQMAAA4AAAAAAAAAAQAgAAAAJQEAAGRycy9lMm9E&#10;b2MueG1sUEsFBgAAAAAGAAYAWQEAAJQFAAAAAA==&#10;">
                      <v:fill on="f" focussize="0,0"/>
                      <v:stroke on="f"/>
                      <v:imagedata o:title=""/>
                      <o:lock v:ext="edit" aspectratio="f"/>
                      <v:textbox>
                        <w:txbxContent>
                          <w:p>
                            <w:pPr>
                              <w:jc w:val="center"/>
                              <w:rPr>
                                <w:rFonts w:eastAsia="黑体"/>
                                <w:sz w:val="18"/>
                              </w:rPr>
                            </w:pPr>
                            <w:r>
                              <w:rPr>
                                <w:rFonts w:hint="eastAsia" w:eastAsia="黑体"/>
                                <w:sz w:val="18"/>
                              </w:rPr>
                              <w:t>图1-1：达州市生态保护红线图</w:t>
                            </w:r>
                          </w:p>
                        </w:txbxContent>
                      </v:textbox>
                    </v:shape>
                  </w:pict>
                </mc:Fallback>
              </mc:AlternateContent>
            </w:r>
            <w:r>
              <w:rPr>
                <w:rFonts w:hint="eastAsia" w:eastAsia="宋体"/>
                <w:color w:val="auto"/>
                <w:spacing w:val="-4"/>
                <w:sz w:val="28"/>
                <w:szCs w:val="28"/>
                <w:highlight w:val="none"/>
                <w:lang w:eastAsia="zh-CN"/>
              </w:rPr>
              <w:drawing>
                <wp:inline distT="0" distB="0" distL="114300" distR="114300">
                  <wp:extent cx="4178300" cy="2942590"/>
                  <wp:effectExtent l="0" t="0" r="12700" b="10160"/>
                  <wp:docPr id="5" name="图片 5" descr="页面提取自－1、达州市生态环境分区管控成果动态更新专题说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页面提取自－1、达州市生态环境分区管控成果动态更新专题说明(1)"/>
                          <pic:cNvPicPr>
                            <a:picLocks noChangeAspect="1"/>
                          </pic:cNvPicPr>
                        </pic:nvPicPr>
                        <pic:blipFill>
                          <a:blip r:embed="rId9"/>
                          <a:srcRect l="3455" t="1523" r="3793" b="3247"/>
                          <a:stretch>
                            <a:fillRect/>
                          </a:stretch>
                        </pic:blipFill>
                        <pic:spPr>
                          <a:xfrm>
                            <a:off x="0" y="0"/>
                            <a:ext cx="4178300" cy="2942590"/>
                          </a:xfrm>
                          <a:prstGeom prst="rect">
                            <a:avLst/>
                          </a:prstGeom>
                        </pic:spPr>
                      </pic:pic>
                    </a:graphicData>
                  </a:graphic>
                </wp:inline>
              </w:drawing>
            </w:r>
          </w:p>
          <w:p>
            <w:pPr>
              <w:keepNext w:val="0"/>
              <w:keepLines w:val="0"/>
              <w:suppressLineNumbers w:val="0"/>
              <w:spacing w:before="0" w:beforeAutospacing="0" w:after="0" w:afterAutospacing="0"/>
              <w:ind w:left="0" w:right="0" w:firstLine="0" w:firstLineChars="0"/>
              <w:jc w:val="center"/>
              <w:rPr>
                <w:rFonts w:hint="default"/>
                <w:color w:val="auto"/>
                <w:spacing w:val="-4"/>
                <w:sz w:val="28"/>
                <w:szCs w:val="28"/>
                <w:highlight w:val="none"/>
              </w:rPr>
            </w:pPr>
          </w:p>
          <w:p>
            <w:pPr>
              <w:keepNext w:val="0"/>
              <w:keepLines w:val="0"/>
              <w:suppressLineNumbers w:val="0"/>
              <w:autoSpaceDE w:val="0"/>
              <w:autoSpaceDN w:val="0"/>
              <w:adjustRightInd w:val="0"/>
              <w:snapToGrid w:val="0"/>
              <w:spacing w:before="120" w:beforeLines="50" w:beforeAutospacing="0" w:after="0" w:afterAutospacing="0" w:line="420" w:lineRule="exact"/>
              <w:ind w:left="0" w:right="0" w:firstLine="420" w:firstLineChars="200"/>
              <w:jc w:val="left"/>
              <w:rPr>
                <w:rFonts w:hint="default" w:ascii="宋体" w:hAnsi="宋体"/>
                <w:color w:val="auto"/>
                <w:kern w:val="0"/>
                <w:highlight w:val="none"/>
              </w:rPr>
            </w:pPr>
            <w:r>
              <w:rPr>
                <w:rFonts w:hint="eastAsia" w:ascii="宋体" w:hAnsi="宋体"/>
                <w:color w:val="auto"/>
                <w:kern w:val="0"/>
                <w:highlight w:val="none"/>
              </w:rPr>
              <w:t>根据上图分析，本项目位于</w:t>
            </w:r>
            <w:r>
              <w:rPr>
                <w:rFonts w:hint="eastAsia" w:ascii="宋体" w:hAnsi="宋体"/>
                <w:color w:val="auto"/>
                <w:kern w:val="0"/>
                <w:highlight w:val="none"/>
                <w:lang w:val="en-US" w:eastAsia="zh-CN"/>
              </w:rPr>
              <w:t>大竹县莲印乡天生村11组</w:t>
            </w:r>
            <w:r>
              <w:rPr>
                <w:rFonts w:hint="eastAsia" w:ascii="宋体" w:hAnsi="宋体"/>
                <w:color w:val="auto"/>
                <w:kern w:val="0"/>
                <w:highlight w:val="none"/>
              </w:rPr>
              <w:t>，占地不属于达州市生态保护红线范围。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2" w:firstLineChars="200"/>
              <w:jc w:val="left"/>
              <w:textAlignment w:val="auto"/>
              <w:rPr>
                <w:rFonts w:hint="default" w:ascii="宋体" w:hAnsi="宋体"/>
                <w:b/>
                <w:color w:val="auto"/>
                <w:kern w:val="0"/>
                <w:highlight w:val="none"/>
              </w:rPr>
            </w:pPr>
            <w:r>
              <w:rPr>
                <w:rFonts w:hint="eastAsia" w:ascii="宋体" w:hAnsi="宋体"/>
                <w:b/>
                <w:color w:val="auto"/>
                <w:kern w:val="0"/>
                <w:highlight w:val="none"/>
              </w:rPr>
              <w:t>（2）项目所属环境管控单元</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eastAsia" w:ascii="宋体" w:hAnsi="宋体" w:eastAsia="宋体"/>
                <w:color w:val="auto"/>
                <w:kern w:val="0"/>
                <w:highlight w:val="none"/>
                <w:lang w:eastAsia="zh-CN"/>
              </w:rPr>
            </w:pPr>
            <w:r>
              <w:rPr>
                <w:rFonts w:hint="eastAsia" w:ascii="宋体" w:hAnsi="宋体"/>
                <w:color w:val="auto"/>
                <w:kern w:val="0"/>
                <w:highlight w:val="none"/>
              </w:rPr>
              <w:t>根据达州市人民政府《</w:t>
            </w:r>
            <w:r>
              <w:rPr>
                <w:rFonts w:hint="eastAsia" w:ascii="宋体" w:hAnsi="宋体"/>
                <w:color w:val="auto"/>
                <w:kern w:val="0"/>
                <w:highlight w:val="none"/>
                <w:lang w:val="en-US" w:eastAsia="zh-CN"/>
              </w:rPr>
              <w:t>关于加强生态环境分区管控的通知</w:t>
            </w:r>
            <w:r>
              <w:rPr>
                <w:rFonts w:hint="eastAsia" w:ascii="宋体" w:hAnsi="宋体"/>
                <w:color w:val="auto"/>
                <w:kern w:val="0"/>
                <w:highlight w:val="none"/>
              </w:rPr>
              <w:t>》（达市府</w:t>
            </w:r>
            <w:r>
              <w:rPr>
                <w:rFonts w:hint="eastAsia" w:ascii="宋体" w:hAnsi="宋体"/>
                <w:color w:val="auto"/>
                <w:kern w:val="0"/>
                <w:highlight w:val="none"/>
                <w:lang w:val="en-US" w:eastAsia="zh-CN"/>
              </w:rPr>
              <w:t>办函</w:t>
            </w:r>
            <w:r>
              <w:rPr>
                <w:rFonts w:hint="eastAsia" w:ascii="宋体" w:hAnsi="宋体"/>
                <w:color w:val="auto"/>
                <w:kern w:val="0"/>
                <w:highlight w:val="none"/>
              </w:rPr>
              <w:t>〔202</w:t>
            </w:r>
            <w:r>
              <w:rPr>
                <w:rFonts w:hint="eastAsia" w:ascii="宋体" w:hAnsi="宋体"/>
                <w:color w:val="auto"/>
                <w:kern w:val="0"/>
                <w:highlight w:val="none"/>
                <w:lang w:val="en-US" w:eastAsia="zh-CN"/>
              </w:rPr>
              <w:t>4</w:t>
            </w:r>
            <w:r>
              <w:rPr>
                <w:rFonts w:hint="eastAsia" w:ascii="宋体" w:hAnsi="宋体"/>
                <w:color w:val="auto"/>
                <w:kern w:val="0"/>
                <w:highlight w:val="none"/>
              </w:rPr>
              <w:t>〕</w:t>
            </w:r>
            <w:r>
              <w:rPr>
                <w:rFonts w:hint="eastAsia" w:ascii="宋体" w:hAnsi="宋体"/>
                <w:color w:val="auto"/>
                <w:kern w:val="0"/>
                <w:highlight w:val="none"/>
                <w:lang w:val="en-US" w:eastAsia="zh-CN"/>
              </w:rPr>
              <w:t>31</w:t>
            </w:r>
            <w:r>
              <w:rPr>
                <w:rFonts w:hint="eastAsia" w:ascii="宋体" w:hAnsi="宋体"/>
                <w:color w:val="auto"/>
                <w:kern w:val="0"/>
                <w:highlight w:val="none"/>
              </w:rPr>
              <w:t>号），达州市共划定</w:t>
            </w:r>
            <w:r>
              <w:rPr>
                <w:rFonts w:hint="eastAsia" w:ascii="宋体" w:hAnsi="宋体"/>
                <w:color w:val="auto"/>
                <w:kern w:val="0"/>
                <w:highlight w:val="none"/>
                <w:lang w:val="en-US" w:eastAsia="zh-CN"/>
              </w:rPr>
              <w:t>47</w:t>
            </w:r>
            <w:r>
              <w:rPr>
                <w:rFonts w:hint="eastAsia" w:ascii="宋体" w:hAnsi="宋体"/>
                <w:color w:val="auto"/>
                <w:kern w:val="0"/>
                <w:highlight w:val="none"/>
              </w:rPr>
              <w:t>个综合环境管控单元，其中优先保护单元</w:t>
            </w:r>
            <w:r>
              <w:rPr>
                <w:rFonts w:hint="eastAsia" w:ascii="宋体" w:hAnsi="宋体"/>
                <w:color w:val="auto"/>
                <w:kern w:val="0"/>
                <w:highlight w:val="none"/>
                <w:lang w:val="en-US" w:eastAsia="zh-CN"/>
              </w:rPr>
              <w:t>18</w:t>
            </w:r>
            <w:r>
              <w:rPr>
                <w:rFonts w:hint="eastAsia" w:ascii="宋体" w:hAnsi="宋体"/>
                <w:color w:val="auto"/>
                <w:kern w:val="0"/>
                <w:highlight w:val="none"/>
              </w:rPr>
              <w:t>个，</w:t>
            </w:r>
            <w:r>
              <w:rPr>
                <w:rFonts w:hint="eastAsia" w:ascii="宋体" w:hAnsi="宋体"/>
                <w:color w:val="auto"/>
                <w:kern w:val="0"/>
                <w:highlight w:val="none"/>
                <w:lang w:val="en-US" w:eastAsia="zh-CN"/>
              </w:rPr>
              <w:t>单元面积4334.97km</w:t>
            </w:r>
            <w:r>
              <w:rPr>
                <w:rFonts w:hint="eastAsia" w:ascii="宋体" w:hAnsi="宋体"/>
                <w:color w:val="auto"/>
                <w:kern w:val="0"/>
                <w:highlight w:val="none"/>
                <w:vertAlign w:val="superscript"/>
                <w:lang w:val="en-US" w:eastAsia="zh-CN"/>
              </w:rPr>
              <w:t>2</w:t>
            </w:r>
            <w:r>
              <w:rPr>
                <w:rFonts w:hint="eastAsia" w:ascii="宋体" w:hAnsi="宋体"/>
                <w:color w:val="auto"/>
                <w:kern w:val="0"/>
                <w:highlight w:val="none"/>
                <w:lang w:val="en-US" w:eastAsia="zh-CN"/>
              </w:rPr>
              <w:t>，</w:t>
            </w:r>
            <w:r>
              <w:rPr>
                <w:rFonts w:hint="eastAsia" w:ascii="宋体" w:hAnsi="宋体"/>
                <w:color w:val="auto"/>
                <w:kern w:val="0"/>
                <w:highlight w:val="none"/>
              </w:rPr>
              <w:t>占国土面积的26.</w:t>
            </w:r>
            <w:r>
              <w:rPr>
                <w:rFonts w:hint="eastAsia" w:ascii="宋体" w:hAnsi="宋体"/>
                <w:color w:val="auto"/>
                <w:kern w:val="0"/>
                <w:highlight w:val="none"/>
                <w:lang w:val="en-US" w:eastAsia="zh-CN"/>
              </w:rPr>
              <w:t>15</w:t>
            </w:r>
            <w:r>
              <w:rPr>
                <w:rFonts w:hint="eastAsia" w:ascii="宋体" w:hAnsi="宋体"/>
                <w:color w:val="auto"/>
                <w:kern w:val="0"/>
                <w:highlight w:val="none"/>
              </w:rPr>
              <w:t>%；城镇重点管控单元7个(包括达川区中心城区、通川区中心城区宣汉县中心城区、大竹县中心城区、开江县中心城区、渠县中心城区、万源市中心城区)</w:t>
            </w:r>
            <w:r>
              <w:rPr>
                <w:rFonts w:hint="eastAsia" w:ascii="宋体" w:hAnsi="宋体"/>
                <w:color w:val="auto"/>
                <w:kern w:val="0"/>
                <w:highlight w:val="none"/>
                <w:lang w:eastAsia="zh-CN"/>
              </w:rPr>
              <w:t>，</w:t>
            </w:r>
            <w:r>
              <w:rPr>
                <w:rFonts w:hint="eastAsia" w:ascii="宋体" w:hAnsi="宋体"/>
                <w:color w:val="auto"/>
                <w:kern w:val="0"/>
                <w:highlight w:val="none"/>
                <w:lang w:val="en-US" w:eastAsia="zh-CN"/>
              </w:rPr>
              <w:t>单元面积429.53km</w:t>
            </w:r>
            <w:r>
              <w:rPr>
                <w:rFonts w:hint="eastAsia" w:ascii="宋体" w:hAnsi="宋体"/>
                <w:color w:val="auto"/>
                <w:kern w:val="0"/>
                <w:highlight w:val="none"/>
                <w:vertAlign w:val="superscript"/>
                <w:lang w:val="en-US" w:eastAsia="zh-CN"/>
              </w:rPr>
              <w:t>2</w:t>
            </w:r>
            <w:r>
              <w:rPr>
                <w:rFonts w:hint="eastAsia" w:ascii="宋体" w:hAnsi="宋体"/>
                <w:color w:val="auto"/>
                <w:kern w:val="0"/>
                <w:highlight w:val="none"/>
                <w:lang w:val="en-US" w:eastAsia="zh-CN"/>
              </w:rPr>
              <w:t>，</w:t>
            </w:r>
            <w:r>
              <w:rPr>
                <w:rFonts w:hint="eastAsia" w:ascii="宋体" w:hAnsi="宋体"/>
                <w:color w:val="auto"/>
                <w:kern w:val="0"/>
                <w:highlight w:val="none"/>
              </w:rPr>
              <w:t>占国土面积的</w:t>
            </w:r>
            <w:r>
              <w:rPr>
                <w:rFonts w:hint="eastAsia" w:ascii="宋体" w:hAnsi="宋体"/>
                <w:color w:val="auto"/>
                <w:kern w:val="0"/>
                <w:highlight w:val="none"/>
                <w:lang w:val="en-US" w:eastAsia="zh-CN"/>
              </w:rPr>
              <w:t>2.58</w:t>
            </w:r>
            <w:r>
              <w:rPr>
                <w:rFonts w:hint="eastAsia" w:ascii="宋体" w:hAnsi="宋体"/>
                <w:color w:val="auto"/>
                <w:kern w:val="0"/>
                <w:highlight w:val="none"/>
              </w:rPr>
              <w:t>%</w:t>
            </w:r>
            <w:r>
              <w:rPr>
                <w:rFonts w:hint="eastAsia" w:ascii="宋体" w:hAnsi="宋体"/>
                <w:color w:val="auto"/>
                <w:kern w:val="0"/>
                <w:highlight w:val="none"/>
                <w:lang w:eastAsia="zh-CN"/>
              </w:rPr>
              <w:t>；</w:t>
            </w:r>
            <w:r>
              <w:rPr>
                <w:rFonts w:hint="eastAsia" w:ascii="宋体" w:hAnsi="宋体"/>
                <w:color w:val="auto"/>
                <w:kern w:val="0"/>
                <w:highlight w:val="none"/>
                <w:lang w:val="en-US" w:eastAsia="zh-CN"/>
              </w:rPr>
              <w:t>工业重点管控</w:t>
            </w:r>
            <w:r>
              <w:rPr>
                <w:rFonts w:hint="eastAsia" w:ascii="宋体" w:hAnsi="宋体"/>
                <w:color w:val="auto"/>
                <w:kern w:val="0"/>
                <w:highlight w:val="none"/>
              </w:rPr>
              <w:t>单元</w:t>
            </w:r>
            <w:r>
              <w:rPr>
                <w:rFonts w:hint="eastAsia" w:ascii="宋体" w:hAnsi="宋体"/>
                <w:color w:val="auto"/>
                <w:kern w:val="0"/>
                <w:highlight w:val="none"/>
                <w:lang w:val="en-US" w:eastAsia="zh-CN"/>
              </w:rPr>
              <w:t>12</w:t>
            </w:r>
            <w:r>
              <w:rPr>
                <w:rFonts w:hint="eastAsia" w:ascii="宋体" w:hAnsi="宋体"/>
                <w:color w:val="auto"/>
                <w:kern w:val="0"/>
                <w:highlight w:val="none"/>
              </w:rPr>
              <w:t>个，</w:t>
            </w:r>
            <w:r>
              <w:rPr>
                <w:rFonts w:hint="eastAsia" w:ascii="宋体" w:hAnsi="宋体"/>
                <w:color w:val="auto"/>
                <w:kern w:val="0"/>
                <w:highlight w:val="none"/>
                <w:lang w:val="en-US" w:eastAsia="zh-CN"/>
              </w:rPr>
              <w:t>单元面积116.92km</w:t>
            </w:r>
            <w:r>
              <w:rPr>
                <w:rFonts w:hint="eastAsia" w:ascii="宋体" w:hAnsi="宋体"/>
                <w:color w:val="auto"/>
                <w:kern w:val="0"/>
                <w:highlight w:val="none"/>
                <w:vertAlign w:val="superscript"/>
                <w:lang w:val="en-US" w:eastAsia="zh-CN"/>
              </w:rPr>
              <w:t>2</w:t>
            </w:r>
            <w:r>
              <w:rPr>
                <w:rFonts w:hint="eastAsia" w:ascii="宋体" w:hAnsi="宋体"/>
                <w:color w:val="auto"/>
                <w:kern w:val="0"/>
                <w:highlight w:val="none"/>
                <w:lang w:val="en-US" w:eastAsia="zh-CN"/>
              </w:rPr>
              <w:t>，</w:t>
            </w:r>
            <w:r>
              <w:rPr>
                <w:rFonts w:hint="eastAsia" w:ascii="宋体" w:hAnsi="宋体"/>
                <w:color w:val="auto"/>
                <w:kern w:val="0"/>
                <w:highlight w:val="none"/>
              </w:rPr>
              <w:t>占国土面积的</w:t>
            </w:r>
            <w:r>
              <w:rPr>
                <w:rFonts w:hint="eastAsia" w:ascii="宋体" w:hAnsi="宋体"/>
                <w:color w:val="auto"/>
                <w:kern w:val="0"/>
                <w:highlight w:val="none"/>
                <w:lang w:val="en-US" w:eastAsia="zh-CN"/>
              </w:rPr>
              <w:t>0.71</w:t>
            </w:r>
            <w:r>
              <w:rPr>
                <w:rFonts w:hint="eastAsia" w:ascii="宋体" w:hAnsi="宋体"/>
                <w:color w:val="auto"/>
                <w:kern w:val="0"/>
                <w:highlight w:val="none"/>
              </w:rPr>
              <w:t>%；</w:t>
            </w:r>
            <w:r>
              <w:rPr>
                <w:rFonts w:hint="eastAsia" w:ascii="宋体" w:hAnsi="宋体"/>
                <w:color w:val="auto"/>
                <w:kern w:val="0"/>
                <w:highlight w:val="none"/>
                <w:lang w:val="en-US" w:eastAsia="zh-CN"/>
              </w:rPr>
              <w:t>要素重点管控</w:t>
            </w:r>
            <w:r>
              <w:rPr>
                <w:rFonts w:hint="eastAsia" w:ascii="宋体" w:hAnsi="宋体"/>
                <w:color w:val="auto"/>
                <w:kern w:val="0"/>
                <w:highlight w:val="none"/>
              </w:rPr>
              <w:t>单元</w:t>
            </w:r>
            <w:r>
              <w:rPr>
                <w:rFonts w:hint="eastAsia" w:ascii="宋体" w:hAnsi="宋体"/>
                <w:color w:val="auto"/>
                <w:kern w:val="0"/>
                <w:highlight w:val="none"/>
                <w:lang w:val="en-US" w:eastAsia="zh-CN"/>
              </w:rPr>
              <w:t>3</w:t>
            </w:r>
            <w:r>
              <w:rPr>
                <w:rFonts w:hint="eastAsia" w:ascii="宋体" w:hAnsi="宋体"/>
                <w:color w:val="auto"/>
                <w:kern w:val="0"/>
                <w:highlight w:val="none"/>
              </w:rPr>
              <w:t>个，</w:t>
            </w:r>
            <w:r>
              <w:rPr>
                <w:rFonts w:hint="eastAsia" w:ascii="宋体" w:hAnsi="宋体"/>
                <w:color w:val="auto"/>
                <w:kern w:val="0"/>
                <w:highlight w:val="none"/>
                <w:lang w:val="en-US" w:eastAsia="zh-CN"/>
              </w:rPr>
              <w:t>单元面积2829.45km</w:t>
            </w:r>
            <w:r>
              <w:rPr>
                <w:rFonts w:hint="eastAsia" w:ascii="宋体" w:hAnsi="宋体"/>
                <w:color w:val="auto"/>
                <w:kern w:val="0"/>
                <w:highlight w:val="none"/>
                <w:vertAlign w:val="superscript"/>
                <w:lang w:val="en-US" w:eastAsia="zh-CN"/>
              </w:rPr>
              <w:t>2</w:t>
            </w:r>
            <w:r>
              <w:rPr>
                <w:rFonts w:hint="eastAsia" w:ascii="宋体" w:hAnsi="宋体"/>
                <w:color w:val="auto"/>
                <w:kern w:val="0"/>
                <w:highlight w:val="none"/>
                <w:lang w:val="en-US" w:eastAsia="zh-CN"/>
              </w:rPr>
              <w:t>，</w:t>
            </w:r>
            <w:r>
              <w:rPr>
                <w:rFonts w:hint="eastAsia" w:ascii="宋体" w:hAnsi="宋体"/>
                <w:color w:val="auto"/>
                <w:kern w:val="0"/>
                <w:highlight w:val="none"/>
              </w:rPr>
              <w:t>占国土面积</w:t>
            </w:r>
            <w:r>
              <w:rPr>
                <w:rFonts w:hint="eastAsia" w:ascii="宋体" w:hAnsi="宋体"/>
                <w:color w:val="auto"/>
                <w:kern w:val="0"/>
                <w:highlight w:val="none"/>
                <w:lang w:val="en-US" w:eastAsia="zh-CN"/>
              </w:rPr>
              <w:t>的17.06</w:t>
            </w:r>
            <w:r>
              <w:rPr>
                <w:rFonts w:hint="eastAsia" w:ascii="宋体" w:hAnsi="宋体"/>
                <w:color w:val="auto"/>
                <w:kern w:val="0"/>
                <w:highlight w:val="none"/>
              </w:rPr>
              <w:t>%；</w:t>
            </w:r>
            <w:r>
              <w:rPr>
                <w:rFonts w:hint="eastAsia" w:ascii="宋体" w:hAnsi="宋体"/>
                <w:color w:val="auto"/>
                <w:kern w:val="0"/>
                <w:highlight w:val="none"/>
                <w:lang w:val="en-US" w:eastAsia="zh-CN"/>
              </w:rPr>
              <w:t>一般管控</w:t>
            </w:r>
            <w:r>
              <w:rPr>
                <w:rFonts w:hint="eastAsia" w:ascii="宋体" w:hAnsi="宋体"/>
                <w:color w:val="auto"/>
                <w:kern w:val="0"/>
                <w:highlight w:val="none"/>
              </w:rPr>
              <w:t>单元</w:t>
            </w:r>
            <w:r>
              <w:rPr>
                <w:rFonts w:hint="eastAsia" w:ascii="宋体" w:hAnsi="宋体"/>
                <w:color w:val="auto"/>
                <w:kern w:val="0"/>
                <w:highlight w:val="none"/>
                <w:lang w:val="en-US" w:eastAsia="zh-CN"/>
              </w:rPr>
              <w:t>7</w:t>
            </w:r>
            <w:r>
              <w:rPr>
                <w:rFonts w:hint="eastAsia" w:ascii="宋体" w:hAnsi="宋体"/>
                <w:color w:val="auto"/>
                <w:kern w:val="0"/>
                <w:highlight w:val="none"/>
              </w:rPr>
              <w:t>个，</w:t>
            </w:r>
            <w:r>
              <w:rPr>
                <w:rFonts w:hint="eastAsia" w:ascii="宋体" w:hAnsi="宋体"/>
                <w:color w:val="auto"/>
                <w:kern w:val="0"/>
                <w:highlight w:val="none"/>
                <w:lang w:val="en-US" w:eastAsia="zh-CN"/>
              </w:rPr>
              <w:t>单元面积8867.6km</w:t>
            </w:r>
            <w:r>
              <w:rPr>
                <w:rFonts w:hint="eastAsia" w:ascii="宋体" w:hAnsi="宋体"/>
                <w:color w:val="auto"/>
                <w:kern w:val="0"/>
                <w:highlight w:val="none"/>
                <w:vertAlign w:val="superscript"/>
                <w:lang w:val="en-US" w:eastAsia="zh-CN"/>
              </w:rPr>
              <w:t>2</w:t>
            </w:r>
            <w:r>
              <w:rPr>
                <w:rFonts w:hint="eastAsia" w:ascii="宋体" w:hAnsi="宋体"/>
                <w:color w:val="auto"/>
                <w:kern w:val="0"/>
                <w:highlight w:val="none"/>
                <w:lang w:val="en-US" w:eastAsia="zh-CN"/>
              </w:rPr>
              <w:t>，</w:t>
            </w:r>
            <w:r>
              <w:rPr>
                <w:rFonts w:hint="eastAsia" w:ascii="宋体" w:hAnsi="宋体"/>
                <w:color w:val="auto"/>
                <w:kern w:val="0"/>
                <w:highlight w:val="none"/>
              </w:rPr>
              <w:t>占国土面积的</w:t>
            </w:r>
            <w:r>
              <w:rPr>
                <w:rFonts w:hint="eastAsia" w:ascii="宋体" w:hAnsi="宋体"/>
                <w:color w:val="auto"/>
                <w:kern w:val="0"/>
                <w:highlight w:val="none"/>
                <w:lang w:val="en-US" w:eastAsia="zh-CN"/>
              </w:rPr>
              <w:t>53.49</w:t>
            </w:r>
            <w:r>
              <w:rPr>
                <w:rFonts w:hint="eastAsia" w:ascii="宋体" w:hAnsi="宋体"/>
                <w:color w:val="auto"/>
                <w:kern w:val="0"/>
                <w:highlight w:val="none"/>
              </w:rPr>
              <w:t>%</w:t>
            </w:r>
            <w:r>
              <w:rPr>
                <w:rFonts w:hint="eastAsia" w:ascii="宋体" w:hAnsi="宋体"/>
                <w:color w:val="auto"/>
                <w:kern w:val="0"/>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宋体" w:hAnsi="宋体"/>
                <w:color w:val="auto"/>
                <w:kern w:val="0"/>
                <w:highlight w:val="none"/>
              </w:rPr>
            </w:pPr>
            <w:r>
              <w:rPr>
                <w:rFonts w:hint="eastAsia" w:ascii="宋体" w:hAnsi="宋体"/>
                <w:color w:val="auto"/>
                <w:kern w:val="0"/>
                <w:highlight w:val="none"/>
              </w:rPr>
              <w:t>优先保护单元。以生态环境保护为主的区域，全市划分优先保护单元</w:t>
            </w:r>
            <w:r>
              <w:rPr>
                <w:rFonts w:hint="eastAsia" w:ascii="宋体" w:hAnsi="宋体"/>
                <w:color w:val="auto"/>
                <w:kern w:val="0"/>
                <w:highlight w:val="none"/>
                <w:lang w:val="en-US" w:eastAsia="zh-CN"/>
              </w:rPr>
              <w:t>18</w:t>
            </w:r>
            <w:r>
              <w:rPr>
                <w:rFonts w:hint="eastAsia" w:ascii="宋体" w:hAnsi="宋体"/>
                <w:color w:val="auto"/>
                <w:kern w:val="0"/>
                <w:highlight w:val="none"/>
              </w:rPr>
              <w:t>个，主要包括生态保护红线、自然保护地、饮用水水源保护区等。</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宋体" w:hAnsi="宋体"/>
                <w:color w:val="auto"/>
                <w:kern w:val="0"/>
                <w:highlight w:val="none"/>
              </w:rPr>
            </w:pPr>
            <w:r>
              <w:rPr>
                <w:rFonts w:hint="eastAsia" w:ascii="宋体" w:hAnsi="宋体"/>
                <w:color w:val="auto"/>
                <w:kern w:val="0"/>
                <w:highlight w:val="none"/>
              </w:rPr>
              <w:t>重点管控单元。涉及水、大气、土壤、自然资源等资源环境要素重点管控的区域，全市划分重点管控单元22个，主要包括人口密集的城镇规划区和产业集聚的工业园区（工业集聚区）等。</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eastAsia" w:ascii="宋体" w:hAnsi="宋体"/>
                <w:color w:val="auto"/>
                <w:kern w:val="0"/>
                <w:highlight w:val="none"/>
              </w:rPr>
            </w:pPr>
            <w:r>
              <w:rPr>
                <w:rFonts w:hint="eastAsia" w:ascii="宋体" w:hAnsi="宋体"/>
                <w:color w:val="auto"/>
                <w:kern w:val="0"/>
                <w:highlight w:val="none"/>
              </w:rPr>
              <w:t>一般管控单元。除优先保护单元和重点管控单元之外的其他区域，全市共划分一般管控单元7个。</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eastAsia" w:ascii="宋体" w:hAnsi="宋体"/>
                <w:color w:val="auto"/>
                <w:kern w:val="0"/>
                <w:highlight w:val="none"/>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100" w:lineRule="exact"/>
              <w:ind w:left="0" w:right="0" w:firstLine="420" w:firstLineChars="200"/>
              <w:jc w:val="left"/>
              <w:textAlignment w:val="auto"/>
              <w:rPr>
                <w:rFonts w:hint="eastAsia" w:ascii="宋体" w:hAnsi="宋体"/>
                <w:color w:val="auto"/>
                <w:kern w:val="0"/>
                <w:highlight w:val="none"/>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100" w:lineRule="exact"/>
              <w:ind w:left="0" w:right="0" w:firstLine="420" w:firstLineChars="200"/>
              <w:jc w:val="left"/>
              <w:textAlignment w:val="auto"/>
              <w:rPr>
                <w:rFonts w:hint="default" w:ascii="宋体" w:hAnsi="宋体"/>
                <w:color w:val="auto"/>
                <w:kern w:val="0"/>
                <w:highlight w:val="none"/>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olor w:val="auto"/>
                <w:kern w:val="0"/>
                <w:highlight w:val="none"/>
                <w:lang w:eastAsia="zh-CN"/>
              </w:rPr>
            </w:pPr>
            <w:r>
              <w:rPr>
                <w:rFonts w:hint="default"/>
                <w:color w:val="auto"/>
                <w:sz w:val="28"/>
                <w:highlight w:val="none"/>
              </w:rPr>
              <mc:AlternateContent>
                <mc:Choice Requires="wpg">
                  <w:drawing>
                    <wp:anchor distT="0" distB="0" distL="114300" distR="114300" simplePos="0" relativeHeight="251669504" behindDoc="0" locked="0" layoutInCell="1" allowOverlap="1">
                      <wp:simplePos x="0" y="0"/>
                      <wp:positionH relativeFrom="column">
                        <wp:posOffset>1329055</wp:posOffset>
                      </wp:positionH>
                      <wp:positionV relativeFrom="paragraph">
                        <wp:posOffset>2423795</wp:posOffset>
                      </wp:positionV>
                      <wp:extent cx="1468755" cy="473710"/>
                      <wp:effectExtent l="12700" t="12700" r="23495" b="8890"/>
                      <wp:wrapNone/>
                      <wp:docPr id="10" name="组合 10"/>
                      <wp:cNvGraphicFramePr/>
                      <a:graphic xmlns:a="http://schemas.openxmlformats.org/drawingml/2006/main">
                        <a:graphicData uri="http://schemas.microsoft.com/office/word/2010/wordprocessingGroup">
                          <wpg:wgp>
                            <wpg:cNvGrpSpPr/>
                            <wpg:grpSpPr>
                              <a:xfrm>
                                <a:off x="0" y="0"/>
                                <a:ext cx="1468755" cy="473710"/>
                                <a:chOff x="6465" y="74914"/>
                                <a:chExt cx="2313" cy="746"/>
                              </a:xfrm>
                            </wpg:grpSpPr>
                            <wps:wsp>
                              <wps:cNvPr id="11" name="矩形标注 22"/>
                              <wps:cNvSpPr/>
                              <wps:spPr>
                                <a:xfrm>
                                  <a:off x="7336" y="75206"/>
                                  <a:ext cx="1443" cy="454"/>
                                </a:xfrm>
                                <a:prstGeom prst="wedgeRectCallout">
                                  <a:avLst>
                                    <a:gd name="adj1" fmla="val -108073"/>
                                    <a:gd name="adj2" fmla="val -102202"/>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项目区位置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椭圆 28"/>
                              <wps:cNvSpPr/>
                              <wps:spPr>
                                <a:xfrm>
                                  <a:off x="6465" y="74914"/>
                                  <a:ext cx="57" cy="57"/>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4.65pt;margin-top:190.85pt;height:37.3pt;width:115.65pt;z-index:251669504;mso-width-relative:page;mso-height-relative:page;" coordorigin="6465,74914" coordsize="2313,746" o:gfxdata="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7o+F19wAAAALAQAADwAAAAAAAAABACAAAAAiAAAAZHJz&#10;L2Rvd25yZXYueG1sUEsBAhQAFAAAAAgAh07iQO1B9+lWAwAADwkAAA4AAAAAAAAAAQAgAAAAKwEA&#10;AGRycy9lMm9Eb2MueG1sUEsFBgAAAAAGAAYAWQEAAPMGAAAAAA==&#10;">
                      <o:lock v:ext="edit" aspectratio="f"/>
                      <v:shape id="矩形标注 22" o:spid="_x0000_s1026" o:spt="61" type="#_x0000_t61" style="position:absolute;left:7336;top:75206;height:454;width:1443;v-text-anchor:middle;" filled="f" stroked="t" coordsize="21600,21600" o:gfxdata="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0iYe8AAAA&#10;2wAAAA8AAAAAAAAAAQAgAAAAIgAAAGRycy9kb3ducmV2LnhtbFBLAQIUABQAAAAIAIdO4kAzLwWe&#10;OwAAADkAAAAQAAAAAAAAAAEAIAAAAAsBAABkcnMvc2hhcGV4bWwueG1sUEsFBgAAAAAGAAYAWwEA&#10;ALUDAAAAAA==&#10;" adj="-12544,-11276">
                        <v:fill on="f" focussize="0,0"/>
                        <v:stroke weight="1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项目区位置</w:t>
                              </w:r>
                            </w:p>
                          </w:txbxContent>
                        </v:textbox>
                      </v:shape>
                      <v:shape id="椭圆 28" o:spid="_x0000_s1026" o:spt="3" type="#_x0000_t3" style="position:absolute;left:6465;top:74914;height:57;width:57;v-text-anchor:middle;" fillcolor="#FF0000" filled="t" stroked="t" coordsize="21600,21600" o:gfxdata="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l2He8AAAA&#10;2wAAAA8AAAAAAAAAAQAgAAAAIgAAAGRycy9kb3ducmV2LnhtbFBLAQIUABQAAAAIAIdO4kAzLwWe&#10;OwAAADkAAAAQAAAAAAAAAAEAIAAAAAsBAABkcnMvc2hhcGV4bWwueG1sUEsFBgAAAAAGAAYAWwEA&#10;ALUDAAAAAA==&#10;">
                        <v:fill on="t" focussize="0,0"/>
                        <v:stroke weight="2pt" color="#FF0000 [2404]" joinstyle="round"/>
                        <v:imagedata o:title=""/>
                        <o:lock v:ext="edit" aspectratio="f"/>
                      </v:shape>
                    </v:group>
                  </w:pict>
                </mc:Fallback>
              </mc:AlternateContent>
            </w:r>
            <w:r>
              <w:rPr>
                <w:rFonts w:hint="default"/>
                <w:color w:val="auto"/>
                <w:sz w:val="28"/>
                <w:highlight w:val="none"/>
              </w:rPr>
              <mc:AlternateContent>
                <mc:Choice Requires="wps">
                  <w:drawing>
                    <wp:anchor distT="0" distB="0" distL="114300" distR="114300" simplePos="0" relativeHeight="251670528" behindDoc="0" locked="0" layoutInCell="1" allowOverlap="1">
                      <wp:simplePos x="0" y="0"/>
                      <wp:positionH relativeFrom="column">
                        <wp:posOffset>32385</wp:posOffset>
                      </wp:positionH>
                      <wp:positionV relativeFrom="paragraph">
                        <wp:posOffset>2933065</wp:posOffset>
                      </wp:positionV>
                      <wp:extent cx="4134485" cy="217805"/>
                      <wp:effectExtent l="0" t="0" r="0" b="0"/>
                      <wp:wrapNone/>
                      <wp:docPr id="139" name="文本框 139"/>
                      <wp:cNvGraphicFramePr/>
                      <a:graphic xmlns:a="http://schemas.openxmlformats.org/drawingml/2006/main">
                        <a:graphicData uri="http://schemas.microsoft.com/office/word/2010/wordprocessingShape">
                          <wps:wsp>
                            <wps:cNvSpPr txBox="1"/>
                            <wps:spPr>
                              <a:xfrm>
                                <a:off x="2423795" y="4781550"/>
                                <a:ext cx="4134485" cy="217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黑体"/>
                                      <w:sz w:val="18"/>
                                      <w:lang w:val="en-US" w:eastAsia="zh-CN"/>
                                    </w:rPr>
                                  </w:pPr>
                                  <w:r>
                                    <w:rPr>
                                      <w:rFonts w:hint="eastAsia" w:eastAsia="黑体"/>
                                      <w:sz w:val="18"/>
                                      <w:lang w:val="en-US" w:eastAsia="zh-CN"/>
                                    </w:rPr>
                                    <w:t>图1-2：达州市生态环境管控单元分布图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230.95pt;height:17.15pt;width:325.55pt;z-index:251670528;mso-width-relative:page;mso-height-relative:page;" filled="f" stroked="f" coordsize="21600,21600" o:gfxdata="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16lEdoAAAAJAQAADwAAAAAAAAABACAAAAAiAAAAZHJzL2Rvd25yZXYueG1sUEsB&#10;AhQAFAAAAAgAh07iQBW53JUsAgAAKAQAAA4AAAAAAAAAAQAgAAAAKQEAAGRycy9lMm9Eb2MueG1s&#10;UEsFBgAAAAAGAAYAWQEAAMcFAAAAAA==&#10;">
                      <v:fill on="f" focussize="0,0"/>
                      <v:stroke on="f" weight="0.5pt"/>
                      <v:imagedata o:title=""/>
                      <o:lock v:ext="edit" aspectratio="f"/>
                      <v:textbox>
                        <w:txbxContent>
                          <w:p>
                            <w:pPr>
                              <w:jc w:val="center"/>
                              <w:rPr>
                                <w:rFonts w:hint="default" w:eastAsia="黑体"/>
                                <w:sz w:val="18"/>
                                <w:lang w:val="en-US" w:eastAsia="zh-CN"/>
                              </w:rPr>
                            </w:pPr>
                            <w:r>
                              <w:rPr>
                                <w:rFonts w:hint="eastAsia" w:eastAsia="黑体"/>
                                <w:sz w:val="18"/>
                                <w:lang w:val="en-US" w:eastAsia="zh-CN"/>
                              </w:rPr>
                              <w:t>图1-2：达州市生态环境管控单元分布图</w:t>
                            </w:r>
                          </w:p>
                        </w:txbxContent>
                      </v:textbox>
                    </v:shape>
                  </w:pict>
                </mc:Fallback>
              </mc:AlternateContent>
            </w:r>
            <w:r>
              <w:rPr>
                <w:rFonts w:hint="eastAsia" w:ascii="宋体" w:hAnsi="宋体" w:eastAsia="宋体"/>
                <w:color w:val="auto"/>
                <w:kern w:val="0"/>
                <w:highlight w:val="none"/>
                <w:lang w:eastAsia="zh-CN"/>
              </w:rPr>
              <w:drawing>
                <wp:inline distT="0" distB="0" distL="114300" distR="114300">
                  <wp:extent cx="4176395" cy="2973070"/>
                  <wp:effectExtent l="0" t="0" r="14605" b="17780"/>
                  <wp:docPr id="12" name="图片 12" descr="达州市生态环境管控单元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达州市生态环境管控单元分布图"/>
                          <pic:cNvPicPr>
                            <a:picLocks noChangeAspect="1"/>
                          </pic:cNvPicPr>
                        </pic:nvPicPr>
                        <pic:blipFill>
                          <a:blip r:embed="rId10"/>
                          <a:srcRect l="1551" t="1545" r="1459" b="1995"/>
                          <a:stretch>
                            <a:fillRect/>
                          </a:stretch>
                        </pic:blipFill>
                        <pic:spPr>
                          <a:xfrm>
                            <a:off x="0" y="0"/>
                            <a:ext cx="4176395" cy="297307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00" w:lineRule="exact"/>
              <w:ind w:left="0" w:right="0" w:firstLine="420" w:firstLineChars="200"/>
              <w:jc w:val="left"/>
              <w:textAlignment w:val="auto"/>
              <w:rPr>
                <w:rFonts w:hint="eastAsia" w:ascii="宋体" w:hAnsi="宋体"/>
                <w:color w:val="auto"/>
                <w:kern w:val="0"/>
                <w:highlight w:val="none"/>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华文中宋"/>
                <w:color w:val="auto"/>
                <w:kern w:val="0"/>
                <w:szCs w:val="20"/>
              </w:rPr>
            </w:pPr>
            <w:r>
              <w:rPr>
                <w:rFonts w:hint="eastAsia" w:ascii="宋体" w:hAnsi="宋体"/>
                <w:color w:val="auto"/>
                <w:kern w:val="0"/>
                <w:highlight w:val="none"/>
              </w:rPr>
              <w:t>本项目位于</w:t>
            </w:r>
            <w:r>
              <w:rPr>
                <w:rFonts w:hint="eastAsia" w:ascii="宋体" w:hAnsi="宋体"/>
                <w:color w:val="auto"/>
                <w:kern w:val="0"/>
                <w:highlight w:val="none"/>
                <w:lang w:val="en-US" w:eastAsia="zh-CN"/>
              </w:rPr>
              <w:t>大竹县莲印乡天生村11</w:t>
            </w:r>
            <w:r>
              <w:rPr>
                <w:rFonts w:hint="eastAsia" w:ascii="宋体" w:hAnsi="宋体"/>
                <w:color w:val="auto"/>
                <w:kern w:val="0"/>
                <w:highlight w:val="none"/>
                <w:lang w:eastAsia="zh-CN"/>
              </w:rPr>
              <w:t>组</w:t>
            </w:r>
            <w:r>
              <w:rPr>
                <w:rFonts w:hint="eastAsia" w:ascii="宋体" w:hAnsi="宋体"/>
                <w:color w:val="auto"/>
                <w:kern w:val="0"/>
                <w:highlight w:val="none"/>
              </w:rPr>
              <w:t>，查询四川政务服务网—四川省生态环境厅“三线一单”应用平台，“</w:t>
            </w:r>
            <w:r>
              <w:rPr>
                <w:rFonts w:hint="eastAsia" w:cs="宋体"/>
                <w:color w:val="auto"/>
                <w:szCs w:val="21"/>
              </w:rPr>
              <w:t>大竹县生财页岩砖厂高品质砂石产品生产加工项目</w:t>
            </w:r>
            <w:r>
              <w:rPr>
                <w:rFonts w:hint="eastAsia" w:ascii="宋体" w:hAnsi="宋体"/>
                <w:color w:val="auto"/>
                <w:kern w:val="0"/>
                <w:highlight w:val="none"/>
              </w:rPr>
              <w:t>”位于</w:t>
            </w:r>
            <w:r>
              <w:rPr>
                <w:rFonts w:hint="eastAsia" w:ascii="宋体" w:hAnsi="宋体"/>
                <w:color w:val="auto"/>
                <w:kern w:val="0"/>
                <w:highlight w:val="none"/>
                <w:lang w:val="en-US" w:eastAsia="zh-CN"/>
              </w:rPr>
              <w:t>大竹县要素重点</w:t>
            </w:r>
            <w:r>
              <w:rPr>
                <w:rFonts w:hint="eastAsia" w:ascii="宋体" w:hAnsi="宋体"/>
                <w:color w:val="auto"/>
                <w:kern w:val="0"/>
                <w:highlight w:val="none"/>
              </w:rPr>
              <w:t>管控单元。</w:t>
            </w:r>
          </w:p>
          <w:p>
            <w:pPr>
              <w:keepNext w:val="0"/>
              <w:keepLines w:val="0"/>
              <w:suppressLineNumbers w:val="0"/>
              <w:spacing w:before="0" w:beforeAutospacing="0" w:after="0" w:afterAutospacing="0"/>
              <w:ind w:left="0" w:right="0" w:firstLine="0" w:firstLineChars="0"/>
              <w:jc w:val="center"/>
              <w:rPr>
                <w:rFonts w:hint="eastAsia" w:eastAsia="宋体"/>
                <w:color w:val="auto"/>
                <w:kern w:val="0"/>
                <w:szCs w:val="20"/>
                <w:lang w:eastAsia="zh-CN"/>
              </w:rPr>
            </w:pPr>
            <w:r>
              <w:rPr>
                <w:rFonts w:hint="default"/>
                <w:b/>
                <w:bCs/>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121285</wp:posOffset>
                      </wp:positionH>
                      <wp:positionV relativeFrom="paragraph">
                        <wp:posOffset>2941320</wp:posOffset>
                      </wp:positionV>
                      <wp:extent cx="3943350" cy="229870"/>
                      <wp:effectExtent l="0" t="0" r="0" b="0"/>
                      <wp:wrapNone/>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3943701" cy="230003"/>
                              </a:xfrm>
                              <a:prstGeom prst="rect">
                                <a:avLst/>
                              </a:prstGeom>
                              <a:noFill/>
                              <a:ln>
                                <a:noFill/>
                              </a:ln>
                            </wps:spPr>
                            <wps:txbx>
                              <w:txbxContent>
                                <w:p>
                                  <w:pPr>
                                    <w:jc w:val="center"/>
                                    <w:rPr>
                                      <w:rFonts w:eastAsia="黑体"/>
                                      <w:color w:val="000000"/>
                                      <w:sz w:val="18"/>
                                    </w:rPr>
                                  </w:pPr>
                                  <w:r>
                                    <w:rPr>
                                      <w:rFonts w:hint="eastAsia" w:eastAsia="黑体"/>
                                      <w:color w:val="000000"/>
                                      <w:sz w:val="18"/>
                                    </w:rPr>
                                    <w:t>图1-3：项目“三线一单”应用平台分析截图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55pt;margin-top:231.6pt;height:18.1pt;width:310.5pt;z-index:251660288;mso-width-relative:page;mso-height-relative:page;" filled="f" stroked="f" coordsize="21600,21600" o:gfxdata="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ziGxNYAAAAKAQAADwAAAAAAAAABACAAAAAiAAAAZHJzL2Rvd25yZXYu&#10;eG1sUEsBAhQAFAAAAAgAh07iQFgPxfr9AQAAyQMAAA4AAAAAAAAAAQAgAAAAJQEAAGRycy9lMm9E&#10;b2MueG1sUEsFBgAAAAAGAAYAWQEAAJQFAAAAAA==&#10;">
                      <v:fill on="f" focussize="0,0"/>
                      <v:stroke on="f"/>
                      <v:imagedata o:title=""/>
                      <o:lock v:ext="edit" aspectratio="f"/>
                      <v:textbox>
                        <w:txbxContent>
                          <w:p>
                            <w:pPr>
                              <w:jc w:val="center"/>
                              <w:rPr>
                                <w:rFonts w:eastAsia="黑体"/>
                                <w:color w:val="000000"/>
                                <w:sz w:val="18"/>
                              </w:rPr>
                            </w:pPr>
                            <w:r>
                              <w:rPr>
                                <w:rFonts w:hint="eastAsia" w:eastAsia="黑体"/>
                                <w:color w:val="000000"/>
                                <w:sz w:val="18"/>
                              </w:rPr>
                              <w:t>图1-3：项目“三线一单”应用平台分析截图</w:t>
                            </w:r>
                          </w:p>
                        </w:txbxContent>
                      </v:textbox>
                    </v:shape>
                  </w:pict>
                </mc:Fallback>
              </mc:AlternateContent>
            </w:r>
            <w:r>
              <w:rPr>
                <w:rFonts w:hint="default"/>
                <w:color w:val="auto"/>
              </w:rPr>
              <w:drawing>
                <wp:inline distT="0" distB="0" distL="114300" distR="114300">
                  <wp:extent cx="4129405" cy="2968625"/>
                  <wp:effectExtent l="0" t="0" r="0" b="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11"/>
                          <a:srcRect b="3209"/>
                          <a:stretch>
                            <a:fillRect/>
                          </a:stretch>
                        </pic:blipFill>
                        <pic:spPr>
                          <a:xfrm>
                            <a:off x="0" y="0"/>
                            <a:ext cx="4129405" cy="296862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val="0"/>
              <w:autoSpaceDN w:val="0"/>
              <w:bidi w:val="0"/>
              <w:adjustRightInd w:val="0"/>
              <w:snapToGrid w:val="0"/>
              <w:spacing w:before="287" w:beforeLines="100" w:beforeAutospacing="0" w:after="0" w:afterAutospacing="0" w:line="360" w:lineRule="exact"/>
              <w:ind w:left="0" w:right="0"/>
              <w:jc w:val="center"/>
              <w:textAlignment w:val="auto"/>
              <w:rPr>
                <w:rFonts w:hint="default" w:eastAsia="黑体"/>
                <w:color w:val="auto"/>
                <w:kern w:val="0"/>
                <w:sz w:val="18"/>
              </w:rPr>
            </w:pPr>
            <w:r>
              <w:rPr>
                <w:rFonts w:hint="eastAsia" w:ascii="黑体" w:hAnsi="黑体" w:eastAsia="黑体"/>
                <w:color w:val="auto"/>
                <w:kern w:val="0"/>
                <w:sz w:val="18"/>
              </w:rPr>
              <w:t>表</w:t>
            </w:r>
            <w:r>
              <w:rPr>
                <w:rFonts w:hint="eastAsia" w:eastAsia="黑体"/>
                <w:color w:val="auto"/>
                <w:kern w:val="0"/>
                <w:sz w:val="18"/>
              </w:rPr>
              <w:t xml:space="preserve">1-2   </w:t>
            </w:r>
            <w:r>
              <w:rPr>
                <w:rFonts w:hint="default" w:ascii="黑体" w:hAnsi="黑体" w:eastAsia="黑体"/>
                <w:color w:val="auto"/>
                <w:kern w:val="0"/>
                <w:sz w:val="18"/>
              </w:rPr>
              <w:t>项目涉及的环境管控单元一览表</w:t>
            </w:r>
          </w:p>
          <w:tbl>
            <w:tblPr>
              <w:tblStyle w:val="14"/>
              <w:tblW w:w="64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719"/>
              <w:gridCol w:w="755"/>
              <w:gridCol w:w="1194"/>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 w:hRule="atLeast"/>
                <w:jc w:val="center"/>
              </w:trPr>
              <w:tc>
                <w:tcPr>
                  <w:tcW w:w="1492" w:type="dxa"/>
                  <w:tcMar>
                    <w:top w:w="0" w:type="dxa"/>
                    <w:left w:w="0" w:type="dxa"/>
                    <w:bottom w:w="0" w:type="dxa"/>
                    <w:right w:w="0" w:type="dxa"/>
                  </w:tcMar>
                  <w:vAlign w:val="center"/>
                </w:tcPr>
                <w:p>
                  <w:pPr>
                    <w:keepNext w:val="0"/>
                    <w:keepLines w:val="0"/>
                    <w:suppressLineNumbers w:val="0"/>
                    <w:autoSpaceDE w:val="0"/>
                    <w:spacing w:before="0" w:beforeAutospacing="0" w:after="0" w:afterAutospacing="0" w:line="300" w:lineRule="exact"/>
                    <w:ind w:left="0" w:right="0"/>
                    <w:jc w:val="center"/>
                    <w:rPr>
                      <w:rFonts w:hint="default"/>
                      <w:b/>
                      <w:bCs/>
                      <w:color w:val="auto"/>
                      <w:spacing w:val="-1"/>
                      <w:sz w:val="18"/>
                    </w:rPr>
                  </w:pPr>
                  <w:r>
                    <w:rPr>
                      <w:rFonts w:hint="default" w:ascii="宋体" w:hAnsi="宋体"/>
                      <w:b/>
                      <w:bCs/>
                      <w:color w:val="auto"/>
                      <w:spacing w:val="-1"/>
                      <w:sz w:val="18"/>
                    </w:rPr>
                    <w:t>环境管控单元编码</w:t>
                  </w:r>
                </w:p>
              </w:tc>
              <w:tc>
                <w:tcPr>
                  <w:tcW w:w="1719" w:type="dxa"/>
                  <w:tcMar>
                    <w:top w:w="0" w:type="dxa"/>
                    <w:left w:w="0" w:type="dxa"/>
                    <w:bottom w:w="0" w:type="dxa"/>
                    <w:right w:w="0" w:type="dxa"/>
                  </w:tcMar>
                  <w:vAlign w:val="center"/>
                </w:tcPr>
                <w:p>
                  <w:pPr>
                    <w:keepNext w:val="0"/>
                    <w:keepLines w:val="0"/>
                    <w:suppressLineNumbers w:val="0"/>
                    <w:autoSpaceDE w:val="0"/>
                    <w:spacing w:before="0" w:beforeAutospacing="0" w:after="0" w:afterAutospacing="0" w:line="300" w:lineRule="exact"/>
                    <w:ind w:left="0" w:right="0"/>
                    <w:jc w:val="center"/>
                    <w:rPr>
                      <w:rFonts w:hint="default"/>
                      <w:b/>
                      <w:bCs/>
                      <w:color w:val="auto"/>
                      <w:spacing w:val="-1"/>
                      <w:sz w:val="18"/>
                    </w:rPr>
                  </w:pPr>
                  <w:r>
                    <w:rPr>
                      <w:rFonts w:hint="default" w:ascii="宋体" w:hAnsi="宋体"/>
                      <w:b/>
                      <w:bCs/>
                      <w:color w:val="auto"/>
                      <w:spacing w:val="-1"/>
                      <w:sz w:val="18"/>
                    </w:rPr>
                    <w:t>环境管控单元名称</w:t>
                  </w:r>
                </w:p>
              </w:tc>
              <w:tc>
                <w:tcPr>
                  <w:tcW w:w="755" w:type="dxa"/>
                  <w:tcMar>
                    <w:top w:w="0" w:type="dxa"/>
                    <w:left w:w="0" w:type="dxa"/>
                    <w:bottom w:w="0" w:type="dxa"/>
                    <w:right w:w="0" w:type="dxa"/>
                  </w:tcMar>
                  <w:vAlign w:val="center"/>
                </w:tcPr>
                <w:p>
                  <w:pPr>
                    <w:keepNext w:val="0"/>
                    <w:keepLines w:val="0"/>
                    <w:suppressLineNumbers w:val="0"/>
                    <w:autoSpaceDE w:val="0"/>
                    <w:spacing w:before="0" w:beforeAutospacing="0" w:after="0" w:afterAutospacing="0" w:line="300" w:lineRule="exact"/>
                    <w:ind w:left="0" w:right="0"/>
                    <w:jc w:val="center"/>
                    <w:rPr>
                      <w:rFonts w:hint="default"/>
                      <w:b/>
                      <w:bCs/>
                      <w:color w:val="auto"/>
                      <w:spacing w:val="-1"/>
                      <w:sz w:val="18"/>
                    </w:rPr>
                  </w:pPr>
                  <w:r>
                    <w:rPr>
                      <w:rFonts w:hint="default" w:ascii="宋体" w:hAnsi="宋体"/>
                      <w:b/>
                      <w:bCs/>
                      <w:color w:val="auto"/>
                      <w:spacing w:val="-1"/>
                      <w:sz w:val="18"/>
                    </w:rPr>
                    <w:t>所属区县</w:t>
                  </w:r>
                </w:p>
              </w:tc>
              <w:tc>
                <w:tcPr>
                  <w:tcW w:w="1194" w:type="dxa"/>
                  <w:tcMar>
                    <w:top w:w="0" w:type="dxa"/>
                    <w:left w:w="0" w:type="dxa"/>
                    <w:bottom w:w="0" w:type="dxa"/>
                    <w:right w:w="0" w:type="dxa"/>
                  </w:tcMar>
                  <w:vAlign w:val="center"/>
                </w:tcPr>
                <w:p>
                  <w:pPr>
                    <w:keepNext w:val="0"/>
                    <w:keepLines w:val="0"/>
                    <w:suppressLineNumbers w:val="0"/>
                    <w:autoSpaceDE w:val="0"/>
                    <w:spacing w:before="0" w:beforeAutospacing="0" w:after="0" w:afterAutospacing="0" w:line="300" w:lineRule="exact"/>
                    <w:ind w:left="0" w:right="0"/>
                    <w:jc w:val="center"/>
                    <w:rPr>
                      <w:rFonts w:hint="default"/>
                      <w:b/>
                      <w:bCs/>
                      <w:color w:val="auto"/>
                      <w:spacing w:val="-1"/>
                      <w:sz w:val="18"/>
                    </w:rPr>
                  </w:pPr>
                  <w:r>
                    <w:rPr>
                      <w:rFonts w:hint="default" w:ascii="宋体" w:hAnsi="宋体"/>
                      <w:b/>
                      <w:bCs/>
                      <w:color w:val="auto"/>
                      <w:spacing w:val="-1"/>
                      <w:sz w:val="18"/>
                    </w:rPr>
                    <w:t>准入清单类型</w:t>
                  </w:r>
                </w:p>
              </w:tc>
              <w:tc>
                <w:tcPr>
                  <w:tcW w:w="1331" w:type="dxa"/>
                  <w:tcMar>
                    <w:top w:w="0" w:type="dxa"/>
                    <w:left w:w="0" w:type="dxa"/>
                    <w:bottom w:w="0" w:type="dxa"/>
                    <w:right w:w="0" w:type="dxa"/>
                  </w:tcMar>
                  <w:vAlign w:val="center"/>
                </w:tcPr>
                <w:p>
                  <w:pPr>
                    <w:keepNext w:val="0"/>
                    <w:keepLines w:val="0"/>
                    <w:suppressLineNumbers w:val="0"/>
                    <w:autoSpaceDE w:val="0"/>
                    <w:spacing w:before="0" w:beforeAutospacing="0" w:after="0" w:afterAutospacing="0" w:line="300" w:lineRule="exact"/>
                    <w:ind w:left="0" w:right="0"/>
                    <w:jc w:val="center"/>
                    <w:rPr>
                      <w:rFonts w:hint="default"/>
                      <w:b/>
                      <w:bCs/>
                      <w:color w:val="auto"/>
                      <w:spacing w:val="-1"/>
                      <w:sz w:val="18"/>
                    </w:rPr>
                  </w:pPr>
                  <w:r>
                    <w:rPr>
                      <w:rFonts w:hint="default" w:ascii="宋体" w:hAnsi="宋体"/>
                      <w:b/>
                      <w:bCs/>
                      <w:color w:val="auto"/>
                      <w:spacing w:val="-1"/>
                      <w:sz w:val="18"/>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4" w:hRule="atLeast"/>
                <w:jc w:val="center"/>
              </w:trPr>
              <w:tc>
                <w:tcPr>
                  <w:tcW w:w="1492"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s="Times New Roman"/>
                      <w:color w:val="auto"/>
                      <w:sz w:val="18"/>
                      <w:szCs w:val="18"/>
                    </w:rPr>
                  </w:pPr>
                  <w:r>
                    <w:rPr>
                      <w:rFonts w:hint="eastAsia" w:ascii="宋体" w:hAnsi="宋体" w:eastAsia="宋体" w:cs="宋体"/>
                      <w:color w:val="auto"/>
                      <w:kern w:val="2"/>
                      <w:sz w:val="18"/>
                      <w:szCs w:val="18"/>
                      <w:lang w:val="en-US" w:eastAsia="zh-CN" w:bidi="ar"/>
                    </w:rPr>
                    <w:t>YS5117242230001</w:t>
                  </w:r>
                </w:p>
              </w:tc>
              <w:tc>
                <w:tcPr>
                  <w:tcW w:w="1719"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olor w:val="auto"/>
                      <w:sz w:val="18"/>
                      <w:szCs w:val="18"/>
                    </w:rPr>
                  </w:pPr>
                  <w:r>
                    <w:rPr>
                      <w:rFonts w:hint="eastAsia" w:ascii="宋体" w:hAnsi="宋体" w:eastAsia="宋体" w:cs="宋体"/>
                      <w:color w:val="auto"/>
                      <w:kern w:val="2"/>
                      <w:sz w:val="18"/>
                      <w:szCs w:val="18"/>
                      <w:lang w:val="en-US" w:eastAsia="zh-CN" w:bidi="ar"/>
                    </w:rPr>
                    <w:t>东柳河-大竹县-墩子河-控制单元</w:t>
                  </w:r>
                </w:p>
              </w:tc>
              <w:tc>
                <w:tcPr>
                  <w:tcW w:w="755" w:type="dxa"/>
                  <w:tcMar>
                    <w:top w:w="0" w:type="dxa"/>
                    <w:left w:w="0" w:type="dxa"/>
                    <w:bottom w:w="0" w:type="dxa"/>
                    <w:right w:w="0" w:type="dxa"/>
                  </w:tcMar>
                  <w:vAlign w:val="top"/>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olor w:val="auto"/>
                      <w:sz w:val="18"/>
                      <w:szCs w:val="18"/>
                    </w:rPr>
                  </w:pPr>
                  <w:r>
                    <w:rPr>
                      <w:rFonts w:hint="eastAsia" w:ascii="宋体" w:hAnsi="宋体" w:eastAsia="宋体" w:cs="宋体"/>
                      <w:color w:val="auto"/>
                      <w:kern w:val="2"/>
                      <w:sz w:val="18"/>
                      <w:szCs w:val="18"/>
                      <w:lang w:val="en-US" w:eastAsia="zh-CN" w:bidi="ar"/>
                    </w:rPr>
                    <w:t>大竹县</w:t>
                  </w:r>
                </w:p>
              </w:tc>
              <w:tc>
                <w:tcPr>
                  <w:tcW w:w="1194"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olor w:val="auto"/>
                      <w:sz w:val="18"/>
                      <w:szCs w:val="18"/>
                    </w:rPr>
                  </w:pPr>
                  <w:r>
                    <w:rPr>
                      <w:rFonts w:hint="eastAsia" w:ascii="宋体" w:hAnsi="宋体" w:eastAsia="宋体" w:cs="宋体"/>
                      <w:color w:val="auto"/>
                      <w:kern w:val="2"/>
                      <w:sz w:val="18"/>
                      <w:szCs w:val="18"/>
                      <w:lang w:val="en-US" w:eastAsia="zh-CN" w:bidi="ar"/>
                    </w:rPr>
                    <w:t>水环境管控分区</w:t>
                  </w:r>
                </w:p>
              </w:tc>
              <w:tc>
                <w:tcPr>
                  <w:tcW w:w="1331"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olor w:val="auto"/>
                      <w:sz w:val="18"/>
                      <w:szCs w:val="18"/>
                    </w:rPr>
                  </w:pPr>
                  <w:r>
                    <w:rPr>
                      <w:rFonts w:hint="eastAsia" w:ascii="宋体" w:hAnsi="宋体" w:eastAsia="宋体" w:cs="宋体"/>
                      <w:color w:val="auto"/>
                      <w:kern w:val="2"/>
                      <w:sz w:val="18"/>
                      <w:szCs w:val="18"/>
                      <w:lang w:val="en-US" w:eastAsia="zh-CN" w:bidi="ar"/>
                    </w:rPr>
                    <w:t>水环境农业污染重点管控区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 w:hRule="atLeast"/>
                <w:jc w:val="center"/>
              </w:trPr>
              <w:tc>
                <w:tcPr>
                  <w:tcW w:w="1492"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olor w:val="auto"/>
                      <w:sz w:val="18"/>
                      <w:szCs w:val="18"/>
                    </w:rPr>
                  </w:pPr>
                  <w:r>
                    <w:rPr>
                      <w:rFonts w:hint="eastAsia" w:ascii="宋体" w:hAnsi="宋体" w:eastAsia="宋体" w:cs="宋体"/>
                      <w:color w:val="auto"/>
                      <w:kern w:val="2"/>
                      <w:sz w:val="18"/>
                      <w:szCs w:val="18"/>
                      <w:lang w:val="en-US" w:eastAsia="zh-CN" w:bidi="ar"/>
                    </w:rPr>
                    <w:t>YS5117242320001</w:t>
                  </w:r>
                </w:p>
              </w:tc>
              <w:tc>
                <w:tcPr>
                  <w:tcW w:w="1719"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olor w:val="auto"/>
                      <w:sz w:val="18"/>
                      <w:szCs w:val="18"/>
                    </w:rPr>
                  </w:pPr>
                  <w:r>
                    <w:rPr>
                      <w:rFonts w:hint="eastAsia" w:ascii="宋体" w:hAnsi="宋体" w:eastAsia="宋体" w:cs="宋体"/>
                      <w:color w:val="auto"/>
                      <w:kern w:val="2"/>
                      <w:sz w:val="18"/>
                      <w:szCs w:val="18"/>
                      <w:lang w:val="en-US" w:eastAsia="zh-CN" w:bidi="ar"/>
                    </w:rPr>
                    <w:t>大竹县大气环境布局敏感重点管控区</w:t>
                  </w:r>
                </w:p>
              </w:tc>
              <w:tc>
                <w:tcPr>
                  <w:tcW w:w="755" w:type="dxa"/>
                  <w:tcMar>
                    <w:top w:w="0" w:type="dxa"/>
                    <w:left w:w="0" w:type="dxa"/>
                    <w:bottom w:w="0" w:type="dxa"/>
                    <w:right w:w="0" w:type="dxa"/>
                  </w:tcMar>
                  <w:vAlign w:val="top"/>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olor w:val="auto"/>
                      <w:sz w:val="18"/>
                      <w:szCs w:val="18"/>
                    </w:rPr>
                  </w:pPr>
                  <w:r>
                    <w:rPr>
                      <w:rFonts w:hint="eastAsia" w:ascii="宋体" w:hAnsi="宋体" w:eastAsia="宋体" w:cs="宋体"/>
                      <w:color w:val="auto"/>
                      <w:kern w:val="2"/>
                      <w:sz w:val="18"/>
                      <w:szCs w:val="18"/>
                      <w:lang w:val="en-US" w:eastAsia="zh-CN" w:bidi="ar"/>
                    </w:rPr>
                    <w:t>大竹县</w:t>
                  </w:r>
                </w:p>
              </w:tc>
              <w:tc>
                <w:tcPr>
                  <w:tcW w:w="1194"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olor w:val="auto"/>
                      <w:sz w:val="18"/>
                      <w:szCs w:val="18"/>
                    </w:rPr>
                  </w:pPr>
                  <w:r>
                    <w:rPr>
                      <w:rFonts w:hint="eastAsia" w:ascii="宋体" w:hAnsi="宋体" w:eastAsia="宋体" w:cs="宋体"/>
                      <w:color w:val="auto"/>
                      <w:kern w:val="2"/>
                      <w:sz w:val="18"/>
                      <w:szCs w:val="18"/>
                      <w:lang w:val="en-US" w:eastAsia="zh-CN" w:bidi="ar"/>
                    </w:rPr>
                    <w:t>大气环境管控分区</w:t>
                  </w:r>
                </w:p>
              </w:tc>
              <w:tc>
                <w:tcPr>
                  <w:tcW w:w="1331"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olor w:val="auto"/>
                      <w:sz w:val="18"/>
                      <w:szCs w:val="18"/>
                    </w:rPr>
                  </w:pPr>
                  <w:r>
                    <w:rPr>
                      <w:rFonts w:hint="eastAsia" w:ascii="宋体" w:hAnsi="宋体" w:eastAsia="宋体" w:cs="宋体"/>
                      <w:color w:val="auto"/>
                      <w:kern w:val="2"/>
                      <w:sz w:val="18"/>
                      <w:szCs w:val="18"/>
                      <w:lang w:val="en-US" w:eastAsia="zh-CN" w:bidi="ar"/>
                    </w:rPr>
                    <w:t>大气环境布局敏感重点管控区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 w:hRule="atLeast"/>
                <w:jc w:val="center"/>
              </w:trPr>
              <w:tc>
                <w:tcPr>
                  <w:tcW w:w="1492"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olor w:val="auto"/>
                      <w:sz w:val="18"/>
                      <w:szCs w:val="18"/>
                    </w:rPr>
                  </w:pPr>
                  <w:r>
                    <w:rPr>
                      <w:rFonts w:hint="eastAsia" w:ascii="宋体" w:hAnsi="宋体" w:eastAsia="宋体" w:cs="宋体"/>
                      <w:color w:val="auto"/>
                      <w:kern w:val="2"/>
                      <w:sz w:val="18"/>
                      <w:szCs w:val="18"/>
                      <w:lang w:val="en-US" w:eastAsia="zh-CN" w:bidi="ar"/>
                    </w:rPr>
                    <w:t>ZH51172420003</w:t>
                  </w:r>
                </w:p>
              </w:tc>
              <w:tc>
                <w:tcPr>
                  <w:tcW w:w="1719"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olor w:val="auto"/>
                      <w:sz w:val="18"/>
                      <w:szCs w:val="18"/>
                    </w:rPr>
                  </w:pPr>
                  <w:r>
                    <w:rPr>
                      <w:rFonts w:hint="eastAsia" w:ascii="宋体" w:hAnsi="宋体" w:eastAsia="宋体" w:cs="宋体"/>
                      <w:color w:val="auto"/>
                      <w:kern w:val="2"/>
                      <w:sz w:val="18"/>
                      <w:szCs w:val="18"/>
                      <w:lang w:val="en-US" w:eastAsia="zh-CN" w:bidi="ar"/>
                    </w:rPr>
                    <w:t>大竹县要素重点管控单元</w:t>
                  </w:r>
                </w:p>
              </w:tc>
              <w:tc>
                <w:tcPr>
                  <w:tcW w:w="755" w:type="dxa"/>
                  <w:tcMar>
                    <w:top w:w="0" w:type="dxa"/>
                    <w:left w:w="0" w:type="dxa"/>
                    <w:bottom w:w="0" w:type="dxa"/>
                    <w:right w:w="0" w:type="dxa"/>
                  </w:tcMar>
                  <w:vAlign w:val="top"/>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olor w:val="auto"/>
                      <w:sz w:val="18"/>
                      <w:szCs w:val="18"/>
                    </w:rPr>
                  </w:pPr>
                  <w:r>
                    <w:rPr>
                      <w:rFonts w:hint="eastAsia" w:ascii="宋体" w:hAnsi="宋体" w:eastAsia="宋体" w:cs="宋体"/>
                      <w:color w:val="auto"/>
                      <w:kern w:val="2"/>
                      <w:sz w:val="18"/>
                      <w:szCs w:val="18"/>
                      <w:lang w:val="en-US" w:eastAsia="zh-CN" w:bidi="ar"/>
                    </w:rPr>
                    <w:t>大竹县</w:t>
                  </w:r>
                </w:p>
              </w:tc>
              <w:tc>
                <w:tcPr>
                  <w:tcW w:w="1194"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olor w:val="auto"/>
                      <w:sz w:val="18"/>
                      <w:szCs w:val="18"/>
                    </w:rPr>
                  </w:pPr>
                  <w:r>
                    <w:rPr>
                      <w:rFonts w:hint="eastAsia" w:ascii="宋体" w:hAnsi="宋体" w:eastAsia="宋体" w:cs="宋体"/>
                      <w:color w:val="auto"/>
                      <w:kern w:val="2"/>
                      <w:sz w:val="18"/>
                      <w:szCs w:val="18"/>
                      <w:lang w:val="en-US" w:eastAsia="zh-CN" w:bidi="ar"/>
                    </w:rPr>
                    <w:t>环境综合管控单元</w:t>
                  </w:r>
                </w:p>
              </w:tc>
              <w:tc>
                <w:tcPr>
                  <w:tcW w:w="1331"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leftChars="0" w:right="0" w:rightChars="0" w:firstLine="0" w:firstLineChars="0"/>
                    <w:jc w:val="left"/>
                    <w:rPr>
                      <w:rFonts w:hint="default" w:ascii="宋体" w:hAnsi="宋体" w:eastAsia="宋体"/>
                      <w:color w:val="auto"/>
                      <w:sz w:val="18"/>
                      <w:szCs w:val="18"/>
                    </w:rPr>
                  </w:pPr>
                  <w:r>
                    <w:rPr>
                      <w:rFonts w:hint="eastAsia" w:ascii="宋体" w:hAnsi="宋体" w:eastAsia="宋体" w:cs="宋体"/>
                      <w:color w:val="auto"/>
                      <w:kern w:val="2"/>
                      <w:sz w:val="18"/>
                      <w:szCs w:val="18"/>
                      <w:lang w:val="en-US" w:eastAsia="zh-CN" w:bidi="ar"/>
                    </w:rPr>
                    <w:t>环境综合管控单元要素重点管控单元</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color w:val="auto"/>
              </w:rPr>
            </w:pPr>
            <w:r>
              <w:rPr>
                <w:rFonts w:hint="eastAsia"/>
                <w:color w:val="auto"/>
              </w:rPr>
              <w:t>项目与管控单元相对位置如下图所示。</w:t>
            </w:r>
          </w:p>
          <w:p>
            <w:pPr>
              <w:keepNext w:val="0"/>
              <w:keepLines w:val="0"/>
              <w:suppressLineNumbers w:val="0"/>
              <w:spacing w:before="0" w:beforeAutospacing="0" w:after="0" w:afterAutospacing="0"/>
              <w:ind w:left="0" w:right="0"/>
              <w:jc w:val="center"/>
              <w:rPr>
                <w:rFonts w:hint="default"/>
                <w:color w:val="auto"/>
                <w:kern w:val="0"/>
                <w:sz w:val="24"/>
              </w:rPr>
            </w:pPr>
            <w:r>
              <w:rPr>
                <w:rFonts w:hint="default"/>
                <w:b/>
                <w:bCs/>
                <w:color w:val="auto"/>
                <w:sz w:val="24"/>
              </w:rPr>
              <mc:AlternateContent>
                <mc:Choice Requires="wps">
                  <w:drawing>
                    <wp:anchor distT="0" distB="0" distL="114300" distR="114300" simplePos="0" relativeHeight="251661312" behindDoc="0" locked="0" layoutInCell="1" allowOverlap="1">
                      <wp:simplePos x="0" y="0"/>
                      <wp:positionH relativeFrom="column">
                        <wp:posOffset>17145</wp:posOffset>
                      </wp:positionH>
                      <wp:positionV relativeFrom="paragraph">
                        <wp:posOffset>2458720</wp:posOffset>
                      </wp:positionV>
                      <wp:extent cx="3921125" cy="269240"/>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3921125" cy="269240"/>
                              </a:xfrm>
                              <a:prstGeom prst="rect">
                                <a:avLst/>
                              </a:prstGeom>
                              <a:noFill/>
                              <a:ln>
                                <a:noFill/>
                              </a:ln>
                            </wps:spPr>
                            <wps:txbx>
                              <w:txbxContent>
                                <w:p>
                                  <w:pPr>
                                    <w:jc w:val="center"/>
                                    <w:rPr>
                                      <w:rFonts w:eastAsia="黑体"/>
                                      <w:sz w:val="18"/>
                                    </w:rPr>
                                  </w:pPr>
                                  <w:r>
                                    <w:rPr>
                                      <w:rFonts w:hint="eastAsia" w:eastAsia="黑体"/>
                                      <w:sz w:val="18"/>
                                    </w:rPr>
                                    <w:t>图1-5：项目与环境综合管控单元的位置关系图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5pt;margin-top:193.6pt;height:21.2pt;width:308.75pt;z-index:251661312;mso-width-relative:page;mso-height-relative:page;" filled="f" stroked="f" coordsize="21600,21600" o:gfxdata="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G7gOtcAAAAJAQAADwAAAAAAAAABACAAAAAiAAAAZHJzL2Rvd25yZXYu&#10;eG1sUEsBAhQAFAAAAAgAh07iQJxbAlP8AQAAyQMAAA4AAAAAAAAAAQAgAAAAJgEAAGRycy9lMm9E&#10;b2MueG1sUEsFBgAAAAAGAAYAWQEAAJQFAAAAAA==&#10;">
                      <v:fill on="f" focussize="0,0"/>
                      <v:stroke on="f"/>
                      <v:imagedata o:title=""/>
                      <o:lock v:ext="edit" aspectratio="f"/>
                      <v:textbox>
                        <w:txbxContent>
                          <w:p>
                            <w:pPr>
                              <w:jc w:val="center"/>
                              <w:rPr>
                                <w:rFonts w:eastAsia="黑体"/>
                                <w:sz w:val="18"/>
                              </w:rPr>
                            </w:pPr>
                            <w:r>
                              <w:rPr>
                                <w:rFonts w:hint="eastAsia" w:eastAsia="黑体"/>
                                <w:sz w:val="18"/>
                              </w:rPr>
                              <w:t>图1-5：项目与环境综合管控单元的位置关系图</w:t>
                            </w:r>
                          </w:p>
                        </w:txbxContent>
                      </v:textbox>
                    </v:shape>
                  </w:pict>
                </mc:Fallback>
              </mc:AlternateContent>
            </w:r>
            <w:r>
              <w:rPr>
                <w:rFonts w:hint="default"/>
                <w:b/>
                <w:bCs/>
                <w:color w:val="auto"/>
                <w:sz w:val="24"/>
              </w:rPr>
              <mc:AlternateContent>
                <mc:Choice Requires="wps">
                  <w:drawing>
                    <wp:anchor distT="0" distB="0" distL="114300" distR="114300" simplePos="0" relativeHeight="251662336" behindDoc="0" locked="0" layoutInCell="1" allowOverlap="1">
                      <wp:simplePos x="0" y="0"/>
                      <wp:positionH relativeFrom="column">
                        <wp:posOffset>1341120</wp:posOffset>
                      </wp:positionH>
                      <wp:positionV relativeFrom="paragraph">
                        <wp:posOffset>1162685</wp:posOffset>
                      </wp:positionV>
                      <wp:extent cx="1066800" cy="237490"/>
                      <wp:effectExtent l="0" t="0" r="0" b="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1066800" cy="237850"/>
                              </a:xfrm>
                              <a:prstGeom prst="rect">
                                <a:avLst/>
                              </a:prstGeom>
                              <a:noFill/>
                              <a:ln>
                                <a:noFill/>
                              </a:ln>
                            </wps:spPr>
                            <wps:txbx>
                              <w:txbxContent>
                                <w:p>
                                  <w:pPr>
                                    <w:jc w:val="center"/>
                                    <w:rPr>
                                      <w:rFonts w:eastAsia="黑体"/>
                                      <w:color w:val="000000"/>
                                    </w:rPr>
                                  </w:pPr>
                                  <w:r>
                                    <w:rPr>
                                      <w:rFonts w:eastAsia="黑体"/>
                                      <w:color w:val="000000"/>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6pt;margin-top:91.55pt;height:18.7pt;width:84pt;z-index:251662336;mso-width-relative:page;mso-height-relative:page;" filled="f" stroked="f" coordsize="21600,21600" o:gfxdata="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rUevtcAAAALAQAADwAAAAAAAAABACAAAAAiAAAAZHJzL2Rvd25yZXYu&#10;eG1sUEsBAhQAFAAAAAgAh07iQLytjnz8AQAAyQMAAA4AAAAAAAAAAQAgAAAAJgEAAGRycy9lMm9E&#10;b2MueG1sUEsFBgAAAAAGAAYAWQEAAJQFAAAAAA==&#10;">
                      <v:fill on="f" focussize="0,0"/>
                      <v:stroke on="f"/>
                      <v:imagedata o:title=""/>
                      <o:lock v:ext="edit" aspectratio="f"/>
                      <v:textbox>
                        <w:txbxContent>
                          <w:p>
                            <w:pPr>
                              <w:jc w:val="center"/>
                              <w:rPr>
                                <w:rFonts w:eastAsia="黑体"/>
                                <w:color w:val="000000"/>
                              </w:rPr>
                            </w:pPr>
                            <w:r>
                              <w:rPr>
                                <w:rFonts w:eastAsia="黑体"/>
                                <w:color w:val="000000"/>
                              </w:rPr>
                              <w:t>项目所在地</w:t>
                            </w:r>
                          </w:p>
                        </w:txbxContent>
                      </v:textbox>
                    </v:shape>
                  </w:pict>
                </mc:Fallback>
              </mc:AlternateContent>
            </w:r>
            <w:r>
              <w:rPr>
                <w:rFonts w:hint="default" w:ascii="Helvetica" w:hAnsi="Helvetica" w:eastAsia="宋体" w:cs="Helvetica"/>
                <w:color w:val="auto"/>
                <w:kern w:val="0"/>
                <w:sz w:val="28"/>
                <w:szCs w:val="28"/>
                <w:lang w:val="en-US" w:eastAsia="zh-CN" w:bidi="ar"/>
              </w:rPr>
              <w:drawing>
                <wp:inline distT="0" distB="0" distL="114300" distR="114300">
                  <wp:extent cx="4111625" cy="2466340"/>
                  <wp:effectExtent l="0" t="0" r="3175" b="1016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12"/>
                          <a:stretch>
                            <a:fillRect/>
                          </a:stretch>
                        </pic:blipFill>
                        <pic:spPr>
                          <a:xfrm>
                            <a:off x="0" y="0"/>
                            <a:ext cx="4111625" cy="2466340"/>
                          </a:xfrm>
                          <a:prstGeom prst="rect">
                            <a:avLst/>
                          </a:prstGeom>
                          <a:noFill/>
                          <a:ln>
                            <a:noFill/>
                          </a:ln>
                        </pic:spPr>
                      </pic:pic>
                    </a:graphicData>
                  </a:graphic>
                </wp:inline>
              </w:drawing>
            </w:r>
          </w:p>
          <w:p>
            <w:pPr>
              <w:keepNext w:val="0"/>
              <w:keepLines w:val="0"/>
              <w:suppressLineNumbers w:val="0"/>
              <w:spacing w:before="0" w:beforeAutospacing="0" w:after="0" w:afterAutospacing="0" w:line="240" w:lineRule="exact"/>
              <w:ind w:left="0" w:right="0" w:firstLine="480" w:firstLineChars="200"/>
              <w:rPr>
                <w:rFonts w:hint="default"/>
                <w:color w:val="auto"/>
                <w:sz w:val="24"/>
              </w:rPr>
            </w:pPr>
          </w:p>
          <w:p>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ascii="宋体" w:hAnsi="宋体"/>
                <w:color w:val="auto"/>
                <w:kern w:val="0"/>
              </w:rPr>
            </w:pPr>
            <w:r>
              <w:rPr>
                <w:rFonts w:hint="eastAsia" w:ascii="宋体" w:hAnsi="宋体"/>
                <w:color w:val="auto"/>
                <w:kern w:val="0"/>
              </w:rPr>
              <w:t>根据上图分析，</w:t>
            </w:r>
            <w:r>
              <w:rPr>
                <w:rFonts w:hint="eastAsia" w:ascii="宋体" w:hAnsi="宋体"/>
                <w:color w:val="auto"/>
                <w:kern w:val="0"/>
                <w:lang w:val="en-US" w:eastAsia="zh-CN"/>
              </w:rPr>
              <w:t>项目区</w:t>
            </w:r>
            <w:r>
              <w:rPr>
                <w:rFonts w:hint="eastAsia" w:ascii="宋体" w:hAnsi="宋体"/>
                <w:color w:val="auto"/>
                <w:kern w:val="0"/>
              </w:rPr>
              <w:t>属于达州市环境管控单元中的</w:t>
            </w:r>
            <w:r>
              <w:rPr>
                <w:rFonts w:hint="eastAsia" w:ascii="宋体" w:hAnsi="宋体"/>
                <w:color w:val="auto"/>
                <w:kern w:val="0"/>
                <w:lang w:val="en-US" w:eastAsia="zh-CN"/>
              </w:rPr>
              <w:t>要素</w:t>
            </w:r>
            <w:r>
              <w:rPr>
                <w:rFonts w:hint="eastAsia" w:ascii="宋体" w:hAnsi="宋体"/>
                <w:color w:val="auto"/>
                <w:kern w:val="0"/>
              </w:rPr>
              <w:t>重点管控单元。</w:t>
            </w:r>
          </w:p>
          <w:p>
            <w:pPr>
              <w:keepNext w:val="0"/>
              <w:keepLines w:val="0"/>
              <w:suppressLineNumbers w:val="0"/>
              <w:autoSpaceDE w:val="0"/>
              <w:autoSpaceDN w:val="0"/>
              <w:adjustRightInd w:val="0"/>
              <w:snapToGrid w:val="0"/>
              <w:spacing w:before="0" w:beforeAutospacing="0" w:after="0" w:afterAutospacing="0" w:line="360" w:lineRule="exact"/>
              <w:ind w:left="0" w:right="0" w:firstLine="422" w:firstLineChars="200"/>
              <w:jc w:val="left"/>
              <w:rPr>
                <w:rFonts w:hint="default" w:ascii="宋体" w:hAnsi="宋体"/>
                <w:b/>
                <w:color w:val="auto"/>
                <w:kern w:val="0"/>
              </w:rPr>
            </w:pPr>
            <w:r>
              <w:rPr>
                <w:rFonts w:hint="eastAsia" w:ascii="宋体" w:hAnsi="宋体"/>
                <w:b/>
                <w:color w:val="auto"/>
                <w:kern w:val="0"/>
              </w:rPr>
              <w:t>（3）与《川环办函</w:t>
            </w:r>
            <w:r>
              <w:rPr>
                <w:rFonts w:hint="eastAsia" w:ascii="宋体" w:hAnsi="宋体"/>
                <w:color w:val="auto"/>
                <w:kern w:val="0"/>
              </w:rPr>
              <w:t>〔2021〕</w:t>
            </w:r>
            <w:r>
              <w:rPr>
                <w:rFonts w:hint="eastAsia" w:ascii="宋体" w:hAnsi="宋体"/>
                <w:b/>
                <w:color w:val="auto"/>
                <w:kern w:val="0"/>
              </w:rPr>
              <w:t>469号》的符合性分析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宋体" w:hAnsi="宋体"/>
                <w:color w:val="auto"/>
                <w:kern w:val="0"/>
              </w:rPr>
            </w:pPr>
            <w:r>
              <w:rPr>
                <w:rFonts w:hint="eastAsia" w:ascii="宋体" w:hAnsi="宋体"/>
                <w:color w:val="auto"/>
                <w:kern w:val="0"/>
              </w:rPr>
              <w:t>根据四川省生态环境厅办公室《关于印发&lt;产业园区规划环评“三线一单”符合性分析技术要点(试行)&gt;和&lt;项目环评“三线一单”符合性分析技术要点(试行)&gt;的通知》（川环办函〔2021〕469号），本项目属于位于园区外的污染影响类建设项目，“三线一单”分析重点为空间符合性分析和管控要求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2" w:firstLineChars="200"/>
              <w:jc w:val="left"/>
              <w:textAlignment w:val="auto"/>
              <w:rPr>
                <w:rFonts w:hint="default"/>
                <w:b/>
                <w:color w:val="auto"/>
                <w:kern w:val="0"/>
                <w:szCs w:val="21"/>
                <w:lang w:val="zh-CN"/>
              </w:rPr>
            </w:pPr>
            <w:r>
              <w:rPr>
                <w:rFonts w:hint="eastAsia"/>
                <w:b/>
                <w:color w:val="auto"/>
                <w:kern w:val="0"/>
                <w:szCs w:val="21"/>
                <w:lang w:val="zh-CN"/>
              </w:rPr>
              <w:t>（4）生态环境准入清单符合性分析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0" w:firstLineChars="200"/>
              <w:jc w:val="left"/>
              <w:textAlignment w:val="auto"/>
              <w:rPr>
                <w:rFonts w:hint="eastAsia"/>
                <w:color w:val="auto"/>
                <w:kern w:val="0"/>
                <w:szCs w:val="21"/>
                <w:lang w:val="zh-CN"/>
              </w:rPr>
            </w:pPr>
            <w:r>
              <w:rPr>
                <w:rFonts w:hint="eastAsia"/>
                <w:color w:val="auto"/>
                <w:kern w:val="0"/>
                <w:szCs w:val="21"/>
                <w:lang w:val="zh-CN"/>
              </w:rPr>
              <w:t>本项目位于“</w:t>
            </w:r>
            <w:r>
              <w:rPr>
                <w:rFonts w:hint="eastAsia"/>
                <w:color w:val="auto"/>
                <w:kern w:val="0"/>
                <w:szCs w:val="21"/>
                <w:lang w:val="en-US" w:eastAsia="zh-CN"/>
              </w:rPr>
              <w:t>要素</w:t>
            </w:r>
            <w:r>
              <w:rPr>
                <w:rFonts w:hint="eastAsia"/>
                <w:color w:val="auto"/>
                <w:kern w:val="0"/>
                <w:szCs w:val="21"/>
                <w:lang w:val="zh-CN"/>
              </w:rPr>
              <w:t>重点管控单元”，本次评价从空间布局约束、污染物排放管控、环境风险防控、资源开发效率等四个维度对空间符合性分析、生态环境准入清单进行符合性分析，具体如下表：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0" w:firstLineChars="200"/>
              <w:jc w:val="left"/>
              <w:textAlignment w:val="auto"/>
              <w:rPr>
                <w:rFonts w:hint="eastAsia"/>
                <w:color w:val="auto"/>
                <w:kern w:val="0"/>
                <w:szCs w:val="21"/>
                <w:lang w:val="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0" w:firstLineChars="200"/>
              <w:jc w:val="left"/>
              <w:textAlignment w:val="auto"/>
              <w:rPr>
                <w:rFonts w:hint="eastAsia"/>
                <w:color w:val="auto"/>
                <w:kern w:val="0"/>
                <w:szCs w:val="21"/>
                <w:lang w:val="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0" w:firstLineChars="200"/>
              <w:jc w:val="left"/>
              <w:textAlignment w:val="auto"/>
              <w:rPr>
                <w:rFonts w:hint="eastAsia"/>
                <w:color w:val="auto"/>
                <w:kern w:val="0"/>
                <w:szCs w:val="21"/>
                <w:lang w:val="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0" w:firstLineChars="200"/>
              <w:jc w:val="left"/>
              <w:textAlignment w:val="auto"/>
              <w:rPr>
                <w:rFonts w:hint="eastAsia"/>
                <w:color w:val="auto"/>
                <w:kern w:val="0"/>
                <w:szCs w:val="21"/>
                <w:lang w:val="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0" w:firstLineChars="200"/>
              <w:jc w:val="left"/>
              <w:textAlignment w:val="auto"/>
              <w:rPr>
                <w:rFonts w:hint="eastAsia"/>
                <w:color w:val="auto"/>
                <w:kern w:val="0"/>
                <w:szCs w:val="21"/>
                <w:lang w:val="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0" w:firstLineChars="200"/>
              <w:jc w:val="left"/>
              <w:textAlignment w:val="auto"/>
              <w:rPr>
                <w:rFonts w:hint="eastAsia"/>
                <w:color w:val="auto"/>
                <w:kern w:val="0"/>
                <w:szCs w:val="21"/>
                <w:lang w:val="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0" w:firstLineChars="200"/>
              <w:jc w:val="left"/>
              <w:textAlignment w:val="auto"/>
              <w:rPr>
                <w:rFonts w:hint="eastAsia"/>
                <w:color w:val="auto"/>
                <w:kern w:val="0"/>
                <w:szCs w:val="21"/>
                <w:lang w:val="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0" w:firstLineChars="200"/>
              <w:jc w:val="left"/>
              <w:textAlignment w:val="auto"/>
              <w:rPr>
                <w:rFonts w:hint="eastAsia"/>
                <w:color w:val="auto"/>
                <w:kern w:val="0"/>
                <w:szCs w:val="21"/>
                <w:lang w:val="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0" w:firstLineChars="200"/>
              <w:jc w:val="left"/>
              <w:textAlignment w:val="auto"/>
              <w:rPr>
                <w:rFonts w:hint="eastAsia"/>
                <w:color w:val="auto"/>
                <w:kern w:val="0"/>
                <w:szCs w:val="21"/>
                <w:lang w:val="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53" w:leftChars="-25" w:right="-53" w:rightChars="-25" w:firstLine="420" w:firstLineChars="200"/>
              <w:jc w:val="left"/>
              <w:textAlignment w:val="auto"/>
              <w:rPr>
                <w:rFonts w:hint="eastAsia"/>
                <w:color w:val="auto"/>
                <w:kern w:val="0"/>
                <w:szCs w:val="21"/>
                <w:lang w:val="zh-CN"/>
              </w:rPr>
            </w:pPr>
          </w:p>
          <w:p>
            <w:pPr>
              <w:keepNext w:val="0"/>
              <w:keepLines w:val="0"/>
              <w:suppressLineNumbers w:val="0"/>
              <w:spacing w:before="0" w:beforeAutospacing="0" w:after="0" w:afterAutospacing="0" w:line="20" w:lineRule="exact"/>
              <w:ind w:left="0" w:right="0"/>
              <w:rPr>
                <w:rFonts w:hint="default"/>
                <w:color w:val="auto"/>
              </w:rPr>
            </w:pPr>
          </w:p>
        </w:tc>
      </w:tr>
    </w:tbl>
    <w:p>
      <w:pPr>
        <w:widowControl/>
        <w:spacing w:line="360" w:lineRule="auto"/>
        <w:jc w:val="left"/>
        <w:rPr>
          <w:rFonts w:eastAsia="黑体"/>
          <w:color w:val="auto"/>
          <w:sz w:val="30"/>
        </w:rPr>
        <w:sectPr>
          <w:footerReference r:id="rId7" w:type="default"/>
          <w:pgSz w:w="11906" w:h="16838"/>
          <w:pgMar w:top="1701" w:right="1531" w:bottom="1701" w:left="1531" w:header="851" w:footer="964" w:gutter="0"/>
          <w:pgNumType w:fmt="numberInDash" w:start="1"/>
          <w:cols w:space="720" w:num="1"/>
          <w:docGrid w:linePitch="286" w:charSpace="0"/>
        </w:sectPr>
      </w:pPr>
    </w:p>
    <w:tbl>
      <w:tblPr>
        <w:tblStyle w:val="15"/>
        <w:tblW w:w="1346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r>
              <w:rPr>
                <w:rFonts w:hint="eastAsia" w:cs="宋体"/>
                <w:color w:val="auto"/>
                <w:kern w:val="0"/>
                <w:sz w:val="21"/>
                <w:szCs w:val="21"/>
              </w:rPr>
              <w:t>其他符合性分析</w:t>
            </w: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r>
              <w:rPr>
                <w:rFonts w:hint="eastAsia" w:cs="宋体"/>
                <w:color w:val="auto"/>
                <w:kern w:val="0"/>
                <w:sz w:val="21"/>
                <w:szCs w:val="21"/>
              </w:rPr>
              <w:t>其他符合性分析</w:t>
            </w: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r>
              <w:rPr>
                <w:rFonts w:hint="eastAsia" w:cs="宋体"/>
                <w:color w:val="auto"/>
                <w:kern w:val="0"/>
                <w:sz w:val="21"/>
                <w:szCs w:val="21"/>
              </w:rPr>
              <w:t>其他符合性分析</w:t>
            </w: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r>
              <w:rPr>
                <w:rFonts w:hint="eastAsia" w:cs="宋体"/>
                <w:color w:val="auto"/>
                <w:kern w:val="0"/>
                <w:sz w:val="21"/>
                <w:szCs w:val="21"/>
              </w:rPr>
              <w:t>其他符合性分析</w:t>
            </w: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r>
              <w:rPr>
                <w:rFonts w:hint="eastAsia" w:cs="宋体"/>
                <w:color w:val="auto"/>
                <w:kern w:val="0"/>
                <w:sz w:val="21"/>
                <w:szCs w:val="21"/>
              </w:rPr>
              <w:t>其他符合性分析</w:t>
            </w: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olor w:val="auto"/>
              </w:rPr>
            </w:pPr>
          </w:p>
        </w:tc>
        <w:tc>
          <w:tcPr>
            <w:tcW w:w="11766" w:type="dxa"/>
          </w:tcPr>
          <w:p>
            <w:pPr>
              <w:keepNext w:val="0"/>
              <w:keepLines w:val="0"/>
              <w:suppressLineNumbers w:val="0"/>
              <w:bidi w:val="0"/>
              <w:spacing w:before="0" w:beforeAutospacing="0" w:after="0" w:afterAutospacing="0"/>
              <w:ind w:left="0" w:right="0"/>
              <w:jc w:val="center"/>
              <w:rPr>
                <w:rFonts w:hint="default"/>
                <w:b/>
                <w:bCs/>
                <w:color w:val="auto"/>
              </w:rPr>
            </w:pPr>
            <w:r>
              <w:rPr>
                <w:rFonts w:hint="default"/>
                <w:b/>
                <w:bCs/>
                <w:color w:val="auto"/>
              </w:rPr>
              <w:t>表</w:t>
            </w:r>
            <w:r>
              <w:rPr>
                <w:rFonts w:hint="eastAsia"/>
                <w:b/>
                <w:bCs/>
                <w:color w:val="auto"/>
              </w:rPr>
              <w:t>1</w:t>
            </w:r>
            <w:r>
              <w:rPr>
                <w:rFonts w:hint="default"/>
                <w:b/>
                <w:bCs/>
                <w:color w:val="auto"/>
              </w:rPr>
              <w:t xml:space="preserve">-3 </w:t>
            </w:r>
            <w:r>
              <w:rPr>
                <w:rFonts w:hint="eastAsia"/>
                <w:b/>
                <w:bCs/>
                <w:color w:val="auto"/>
              </w:rPr>
              <w:t>项目与“三线一单”生态环境准入清单的符合性分析</w:t>
            </w:r>
          </w:p>
          <w:tbl>
            <w:tblPr>
              <w:tblStyle w:val="15"/>
              <w:tblW w:w="113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50"/>
              <w:gridCol w:w="1134"/>
              <w:gridCol w:w="4347"/>
              <w:gridCol w:w="288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7573" w:type="dxa"/>
                  <w:gridSpan w:val="4"/>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“三线一单”的具体要求</w:t>
                  </w:r>
                </w:p>
              </w:tc>
              <w:tc>
                <w:tcPr>
                  <w:tcW w:w="2882" w:type="dxa"/>
                  <w:vMerge w:val="restart"/>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本项目情况</w:t>
                  </w:r>
                </w:p>
              </w:tc>
              <w:tc>
                <w:tcPr>
                  <w:tcW w:w="851" w:type="dxa"/>
                  <w:vMerge w:val="restart"/>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3226" w:type="dxa"/>
                  <w:gridSpan w:val="3"/>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类别</w:t>
                  </w:r>
                </w:p>
              </w:tc>
              <w:tc>
                <w:tcPr>
                  <w:tcW w:w="4347"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对应管控要求</w:t>
                  </w:r>
                </w:p>
              </w:tc>
              <w:tc>
                <w:tcPr>
                  <w:tcW w:w="288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1"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1242" w:type="dxa"/>
                  <w:vMerge w:val="restart"/>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ZH</w:t>
                  </w:r>
                  <w:r>
                    <w:rPr>
                      <w:rFonts w:hint="eastAsia"/>
                      <w:color w:val="auto"/>
                      <w:lang w:val="en-US" w:eastAsia="zh-CN"/>
                    </w:rPr>
                    <w:t>51172420003</w:t>
                  </w:r>
                  <w:r>
                    <w:rPr>
                      <w:rFonts w:hint="eastAsia"/>
                      <w:color w:val="auto"/>
                    </w:rPr>
                    <w:t>、</w:t>
                  </w:r>
                  <w:r>
                    <w:rPr>
                      <w:rFonts w:hint="eastAsia"/>
                      <w:color w:val="auto"/>
                      <w:lang w:val="en-US" w:eastAsia="zh-CN"/>
                    </w:rPr>
                    <w:t>大竹县要素重点管控单元</w:t>
                  </w:r>
                  <w:r>
                    <w:rPr>
                      <w:rFonts w:hint="eastAsia"/>
                      <w:color w:val="auto"/>
                    </w:rPr>
                    <w:t>、环境综合管控单元</w:t>
                  </w:r>
                  <w:r>
                    <w:rPr>
                      <w:rFonts w:hint="eastAsia"/>
                      <w:color w:val="auto"/>
                      <w:lang w:val="en-US" w:eastAsia="zh-CN"/>
                    </w:rPr>
                    <w:t>要素</w:t>
                  </w:r>
                  <w:r>
                    <w:rPr>
                      <w:rFonts w:hint="eastAsia"/>
                      <w:color w:val="auto"/>
                    </w:rPr>
                    <w:t>重点管控单元</w:t>
                  </w:r>
                </w:p>
              </w:tc>
              <w:tc>
                <w:tcPr>
                  <w:tcW w:w="850" w:type="dxa"/>
                  <w:vMerge w:val="restart"/>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达州市普适性清单管控要求</w:t>
                  </w: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空间布局约束</w:t>
                  </w:r>
                </w:p>
              </w:tc>
              <w:tc>
                <w:tcPr>
                  <w:tcW w:w="4347"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禁止开发建设活动的要求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-禁止在法律法规规定的禁采区内新建矿山；禁止土法采、选、冶严重污染环境的矿产资源。</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-禁止在长江干流岸线三公里范围内和重要支流岸线一公里范围内新建、改建、扩建尾矿库、冶炼渣库、磷石膏库，以提升安全、生态环境保护水平为目的的改建除外。</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-涉及永久基本农田的区域，除法律规定的重点建设项目选址确实无法避让外，其他任何建设不得占用。</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-禁止在长江流域河湖管理范围内倾倒、填埋、堆放、弃置、处理固体废物。</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-禁止在永久基本农田集中区域和其他需要特别保护的区域选址建设尾矿库、冶炼渣库、磷石膏库。</w:t>
                  </w:r>
                </w:p>
                <w:p>
                  <w:pPr>
                    <w:keepNext w:val="0"/>
                    <w:keepLines w:val="0"/>
                    <w:suppressLineNumbers w:val="0"/>
                    <w:bidi w:val="0"/>
                    <w:spacing w:before="0" w:beforeAutospacing="0" w:after="0" w:afterAutospacing="0"/>
                    <w:ind w:left="0" w:right="0"/>
                    <w:rPr>
                      <w:rFonts w:hint="eastAsia"/>
                      <w:color w:val="auto"/>
                      <w:lang w:val="en-US" w:eastAsia="zh-CN"/>
                    </w:rPr>
                  </w:pP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限制开发建设活动的要求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3）严格项目引入政策，严控新建造纸、屠宰、用排水量大的农副产品加工企业等以水污染为主的企业。</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-大气环境弱扩散区谨慎布局垃圾发电、危废焚烧等以大气污染为主的企业；</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-布局敏感区、弱扩散区严格项目引入政策，严控新建水泥厂、危废焚烧、砖瓦厂、陶瓷厂、混凝土及制品等以大气污染为主的企业。</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-按照相关要求严控水泥新增产能。</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-严控在长江及主要支流岸线1公里范围内新建石油化工、煤化工、涉磷、造纸、印染、制革等项目。</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-现有工业企业不得新增污染物排放。</w:t>
                  </w:r>
                </w:p>
                <w:p>
                  <w:pPr>
                    <w:keepNext w:val="0"/>
                    <w:keepLines w:val="0"/>
                    <w:suppressLineNumbers w:val="0"/>
                    <w:bidi w:val="0"/>
                    <w:spacing w:before="0" w:beforeAutospacing="0" w:after="0" w:afterAutospacing="0"/>
                    <w:ind w:left="0" w:right="0"/>
                    <w:rPr>
                      <w:rFonts w:hint="eastAsia"/>
                      <w:color w:val="auto"/>
                      <w:lang w:val="en-US" w:eastAsia="zh-CN"/>
                    </w:rPr>
                  </w:pP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不符合空间布局要求活动的退出要求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全面取缔禁养区内规模化畜禽养殖场。                                                                       -现有工业企业限期有序退城入园。</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不断优化长江经济带化工行业空间布局，有效控制化工污染。推进化工企业搬迁入园，加强化工园区基础设施建设。</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2025年全面完成全域内“散乱污”企业整治工作。</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针对现有水泥企业，强化污染治理和污染物减排，依法依规整治或搬迁。</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对违反资源环境法律法规、规划，污染环境、破坏生态、乱采滥挖的露天矿山，依法予以关闭；对污染治理不规范的露天矿山，依法责令停产整治。对责任主体灭失的露天矿山，加强修复绿化、减尘抑尘。加强矸石山治理。关闭不合理开发的小矿山。   在全市范围深入开展集中整治“散乱污”工业企业，对不符合产业政策和规划布局的，一律责令停产、限期搬迁或关停；</w:t>
                  </w:r>
                </w:p>
                <w:p>
                  <w:pPr>
                    <w:keepNext w:val="0"/>
                    <w:keepLines w:val="0"/>
                    <w:suppressLineNumbers w:val="0"/>
                    <w:bidi w:val="0"/>
                    <w:spacing w:before="0" w:beforeAutospacing="0" w:after="0" w:afterAutospacing="0"/>
                    <w:ind w:left="0" w:right="0"/>
                    <w:rPr>
                      <w:rFonts w:hint="eastAsia"/>
                      <w:color w:val="auto"/>
                      <w:lang w:val="en-US" w:eastAsia="zh-CN"/>
                    </w:rPr>
                  </w:pP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其他空间布局约束要求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允许开发建设活动的要求：在不损害生态系统功能的前提下，适度发展旅游、农林牧产品生产和加工、生态农业、休闲农业等产业。</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除保护区外开展林下种养殖业。</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新建矿山全部达到绿色矿山建设要求，生产矿山加快改造升级，逐步达到要求。</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1、本项目为砂石加工项目，不属于</w:t>
                  </w:r>
                  <w:r>
                    <w:rPr>
                      <w:rFonts w:hint="eastAsia"/>
                      <w:color w:val="auto"/>
                      <w:lang w:val="en-US" w:eastAsia="zh-CN"/>
                    </w:rPr>
                    <w:t>矿山开采项目，也不属于矿产资源项目</w:t>
                  </w:r>
                  <w:r>
                    <w:rPr>
                      <w:rFonts w:hint="eastAsia"/>
                      <w:color w:val="auto"/>
                    </w:rPr>
                    <w:t>。</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rPr>
                    <w:t>2、本项目</w:t>
                  </w:r>
                  <w:r>
                    <w:rPr>
                      <w:rFonts w:hint="eastAsia"/>
                      <w:color w:val="auto"/>
                      <w:lang w:val="en-US" w:eastAsia="zh-CN"/>
                    </w:rPr>
                    <w:t>周围地表水体为东面的季节性溪沟，不属于长江重要支流，本项目也不属于尾矿库、冶炼渣库、磷石膏库等项目。</w:t>
                  </w:r>
                </w:p>
                <w:p>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3、本项目占地区域不涉及永久基本农田。</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4、本项目不属于倾倒、填埋、堆放、弃置、处理固体废物；也不属于在长江流域河湖管理范围内。</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5、项目不属于</w:t>
                  </w:r>
                  <w:r>
                    <w:rPr>
                      <w:rFonts w:hint="eastAsia"/>
                      <w:color w:val="auto"/>
                      <w:lang w:val="en-US" w:eastAsia="zh-CN"/>
                    </w:rPr>
                    <w:t>尾矿库、冶炼渣库、磷石膏库项目</w:t>
                  </w:r>
                  <w:r>
                    <w:rPr>
                      <w:rFonts w:hint="eastAsia"/>
                      <w:color w:val="auto"/>
                    </w:rPr>
                    <w:t>，</w:t>
                  </w:r>
                  <w:r>
                    <w:rPr>
                      <w:rFonts w:hint="eastAsia"/>
                      <w:color w:val="auto"/>
                      <w:lang w:val="en-US" w:eastAsia="zh-CN"/>
                    </w:rPr>
                    <w:t>也不在永久基本农田集中区域或其他需要特别保护的区域</w:t>
                  </w:r>
                  <w:r>
                    <w:rPr>
                      <w:rFonts w:hint="eastAsia"/>
                      <w:color w:val="auto"/>
                    </w:rPr>
                    <w:t>。</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rPr>
                    <w:t>6、</w:t>
                  </w:r>
                  <w:r>
                    <w:rPr>
                      <w:rFonts w:hint="eastAsia"/>
                      <w:color w:val="auto"/>
                      <w:lang w:val="en-US" w:eastAsia="zh-CN"/>
                    </w:rPr>
                    <w:t>项目位于水环境农业污染重点管控区；项目少量生活污水作为农肥使用不外排。项目为砂石加工项目，不属于造纸、屠宰、用排水量大的农副产品加工企业等以水污染为主的企业。</w:t>
                  </w:r>
                </w:p>
                <w:p>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7、项目区位于大气环境布局敏感重点管控区。项目不属于钢铁、焦化、炼油、电解铝、水泥、平板玻璃（不含光伏玻璃）等严禁新增的产能。本项目为新建砂石加工厂，不属于高耗能、高排放、低水平项目。</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8、项目不属于严控新建的水泥厂、危废焚烧、砖瓦厂、陶瓷厂、混凝土及制品等以大气污染为主的企业</w:t>
                  </w:r>
                  <w:r>
                    <w:rPr>
                      <w:rFonts w:hint="eastAsia"/>
                      <w:color w:val="auto"/>
                    </w:rPr>
                    <w:t>。</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9、项目周边地表水体为东面的季节性溪沟，不属于长江及主要支流岸线1公里范围。本项目也不属于石油化工、煤化工、涉磷、造纸、印染、制革等项目。</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10、本项目为新建砂石加工厂，不属于已存在的现有企业。</w:t>
                  </w:r>
                </w:p>
                <w:p>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11、本项目不属于畜禽养殖场，不属于化工企业，不属于“散乱污”企业。</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污染物排放管控</w:t>
                  </w:r>
                </w:p>
              </w:tc>
              <w:tc>
                <w:tcPr>
                  <w:tcW w:w="4347"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允许排放量要求/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现有源提标升级改造</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加快现有乡镇污水处理设施升级改造，按要求达《城镇污水处理厂污染物排放标准》一级A标后排放。</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-在矿产资源开发活动集中区域，废水执行重金属污染物排放特别限值.-火电、水泥、钢铁等行业按相关要求推进大气污染物超低排放和深度治理。</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-砖瓦行业实施脱硫、除尘升级改造，污染物排放达到《砖瓦工业大气污染物排放标准》相关要求。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其他污染物排放管控要求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新增源等量或倍量替代:上一年度水环境质量未完成目标的，新建排放水污染的建设项目按照总量管控要求进行倍量削减替代。</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-上一年度空气质量年平均浓度不达标的城市，建设项目新增相关污染物按照总量管控要求进行倍量削减替代。</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-大气环境重点管控区内，新增大气污染物排放的建设项目实施总量削减替代。</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污染物排放绩效水平准入要求:屠宰项目必须配套污水处理设施或进入城市污水管网。</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-大气环境重点管控区内加强“高架源”污染治理，深化施工扬尘监管，严格落实“六必须、六不准”管控要求，强化道路施工管控，提高道路清扫机械化和精细化作业水平。</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-到2023年底，力争全市生活垃圾焚烧处理能力占比达60%以上，各县（市）生活垃圾无害化处理率保持95%以上，乡镇及行政村生活垃圾收转运处置体系基本实现全覆盖。</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-到2025年，农药包装废弃物回收率达80%；粮油绿色高质高效示范区、茶叶主产区和现代农业园区农药包装废弃物回收率100%。</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-到2025年，全国主要农作物化肥、农药利用率达43%，测土配方施肥技术推广覆盖率保持在90%以上，控制农村面源污染，采取灌排分离等措施控制农田氮磷流失。</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-到2025年，废旧农膜回收利用率达到85%以上。</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2025年：全市水环境质量总体保持优良。纳入国家及省级考核的监测断面优良（达到或优于Ⅲ类）比例保持达100%；32个水环境控制单元水质达到或优于Ⅲ类比例保持为100%；国省重要江河湖泊水功能区达标率保持为100%；地级县级集中式饮用水水源水质达到或优于Ⅲ类比例保持为100%；乡镇集中式饮用水水源水质达到或优于Ⅲ类比例保持为98%；城镇建成区无黑臭水体。</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2035年：全市水环境质量总体保持优良。纳入国家及省级考核的监测断面优良（达到或优于Ⅲ类）比例保持为100%；32个水环境控制单元水质达到或优于Ⅲ类比例达到100%；国省重要江河湖泊水功能区达标率保持为100%；地级、县级、乡镇集中式饮用水水源水质达到或优于Ⅲ类比例保持为100%；国省重要江河湖泊水功能区达标率保持为100%；城乡无黑臭水体。</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以州河、铜钵河、明月江、东柳河、双龙河、魏家河（洞耳河）、平滩河（观音河）、石桥河、任市河等农业面源污染较突出的流域为重点，深入推进化肥、农药零增长行动，推广测土配方施肥技术，开展化肥减量增效示范和果菜茶有机肥代替化肥试点，提升科学施肥水平。</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--至2022年底，基本实现乡镇污水处理设施全覆盖，配套建设污水收集管网，乡镇污水处理率达到65%。</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-大气污染防治重点区域执行大气污染物执行特别排放限值，严禁新增钢铁、电力、水泥、玻璃、砖瓦、陶瓷、焦化、电解铝、有色等重点行业大气污染物排放。</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-非金属矿行业绿色矿山建设要求：固体废物妥善处置率应达到100%；选矿废水重复利用率一般达到85%以上。</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1、本项目生产废水全部处理后循环回用，不涉及生产废水排放；生活污水设化粪池收集处理后，</w:t>
                  </w:r>
                  <w:r>
                    <w:rPr>
                      <w:rFonts w:hint="eastAsia"/>
                      <w:color w:val="auto"/>
                      <w:lang w:val="en-US" w:eastAsia="zh-CN"/>
                    </w:rPr>
                    <w:t>由附近农户清掏做农肥使用</w:t>
                  </w:r>
                  <w:r>
                    <w:rPr>
                      <w:rFonts w:hint="eastAsia"/>
                      <w:color w:val="auto"/>
                    </w:rPr>
                    <w:t>，不涉及直接排放。</w:t>
                  </w:r>
                </w:p>
                <w:p>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rPr>
                    <w:t>2、本项目</w:t>
                  </w:r>
                  <w:r>
                    <w:rPr>
                      <w:rFonts w:hint="eastAsia"/>
                      <w:color w:val="auto"/>
                      <w:lang w:val="en-US" w:eastAsia="zh-CN"/>
                    </w:rPr>
                    <w:t>不属于大气环境重点管控区内</w:t>
                  </w:r>
                  <w:r>
                    <w:rPr>
                      <w:rFonts w:hint="eastAsia"/>
                      <w:color w:val="auto"/>
                    </w:rPr>
                    <w:t>，</w:t>
                  </w:r>
                  <w:r>
                    <w:rPr>
                      <w:rFonts w:hint="eastAsia"/>
                      <w:color w:val="auto"/>
                      <w:lang w:val="en-US" w:eastAsia="zh-CN"/>
                    </w:rPr>
                    <w:t>不需要实行新增大气污染物排放的建设项目实施总量削减替代的要求。</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环境风险防控</w:t>
                  </w:r>
                </w:p>
              </w:tc>
              <w:tc>
                <w:tcPr>
                  <w:tcW w:w="4347"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联防联控要求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其他环境风险防控要求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企业环境风险防控要求:工业企业退出用地，须经评估、修复满足相应用地功能后，方可改变用途。</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加强“散乱污”企业环境风险防控。对工业循环用水大户和涉磷企业进行全面排查，建立总磷污染源数据库，实施循环水非磷配方药品替代改造，强化工业循环用水监管和总磷排放控制；从严控制新、改、扩建涉磷项目建设。落实涉磷堆场防渗、防风、防洪措施。</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用地环境风险防控要求:严禁将城镇生活垃圾、污泥、工业废物直接用作肥料，禁止处理不达标的污泥进入耕地；禁止在农用地排放、倾倒、使用污泥、清淤底泥、尾矿（渣）等可能对土壤造成污染的固体废物。禁止处理不达标的污泥进入耕地。</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禁止在农用地排放、倾倒、使用污泥、清淤底泥、尾矿（渣）等可能对土壤造成污染的固体废物。</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严格控制林地、草地、园地的农药使用量，禁止使用高毒、高残留农药。</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到2030年，全市受污染耕地安全利用率达到95%以上，污染地块安全利用率达到95%以上。</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本项目营运期环境风险主要为废机油泄漏以及废水事故外排，通过采取相应的风险防控措施，能够将环境风险降至最低，属于可接受水平。项目建成后，将按照要求办理突发环境事件应急预案手续，落实了相应的环境风险防控措施。</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资源开发效率要求</w:t>
                  </w:r>
                </w:p>
              </w:tc>
              <w:tc>
                <w:tcPr>
                  <w:tcW w:w="4347"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水资源利用总量要求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-到2025年，农田灌溉水有效利用系数达到0.57以上。</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地下水开采要求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以省市下发指标为准</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能源利用总量及效率要求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-推进清洁能源的推广使用，全面推进散煤清洁化整治；禁止新建每小时10蒸吨以下的燃煤锅炉及其他燃煤设施。</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-禁止焚烧秸秆和垃圾，到2025年底，秸秆综合利用率达到86%以上。</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-实施煤炭消费总量控制：严格控制煤炭消费总量；严格控制新建、改建、扩建耗煤项目，新增耗煤项目实行煤炭消耗减量倍量替代。</w:t>
                  </w:r>
                </w:p>
                <w:p>
                  <w:pPr>
                    <w:keepNext w:val="0"/>
                    <w:keepLines w:val="0"/>
                    <w:suppressLineNumbers w:val="0"/>
                    <w:bidi w:val="0"/>
                    <w:spacing w:before="0" w:beforeAutospacing="0" w:after="0" w:afterAutospacing="0"/>
                    <w:ind w:left="0" w:right="0"/>
                    <w:rPr>
                      <w:rFonts w:hint="eastAsia"/>
                      <w:color w:val="auto"/>
                      <w:lang w:val="en-US" w:eastAsia="zh-CN"/>
                    </w:rPr>
                  </w:pP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禁燃区要求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-禁燃区内禁止销售、燃用高污染燃料；禁止新建、改建、扩建燃用高污染燃料的设施和设备。</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-禁燃区内已建成的高污染燃料燃用设施由辖区人民政府制定限期改造计划，改用天然气、页岩气、液化石油气、电或其他清洁能源。</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其他资源利用效率要求</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1、本项目生产用水来自</w:t>
                  </w:r>
                  <w:r>
                    <w:rPr>
                      <w:rFonts w:hint="eastAsia"/>
                      <w:color w:val="auto"/>
                      <w:lang w:val="en-US" w:eastAsia="zh-CN"/>
                    </w:rPr>
                    <w:t>附近堰塘</w:t>
                  </w:r>
                  <w:r>
                    <w:rPr>
                      <w:rFonts w:hint="eastAsia"/>
                      <w:color w:val="auto"/>
                    </w:rPr>
                    <w:t>收集的降雨</w:t>
                  </w:r>
                  <w:r>
                    <w:rPr>
                      <w:rFonts w:hint="eastAsia"/>
                      <w:color w:val="auto"/>
                      <w:lang w:val="en-US" w:eastAsia="zh-CN"/>
                    </w:rPr>
                    <w:t>以及循环回用水，不涉及取水</w:t>
                  </w:r>
                  <w:r>
                    <w:rPr>
                      <w:rFonts w:hint="eastAsia"/>
                      <w:color w:val="auto"/>
                    </w:rPr>
                    <w:t>。</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2、项目营运期能源消耗主要为电能，不涉及使用高污染燃料。</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restart"/>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单元级清单管控要求</w:t>
                  </w: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空间布局约束</w:t>
                  </w:r>
                </w:p>
              </w:tc>
              <w:tc>
                <w:tcPr>
                  <w:tcW w:w="4347"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禁止开发建设活动的要求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执行达州市要素重点管控单元总体准入要求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限制开发建设活动的要求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执行达州市要素重点管控单元总体准入要求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允许开发建设活动的要求/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不符合空间布局要求活动的退出要求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它同要素重点总体准入要求</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其他空间布局约束要求/</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参考上述分析，本项目满足达州市</w:t>
                  </w:r>
                  <w:r>
                    <w:rPr>
                      <w:rFonts w:hint="eastAsia"/>
                      <w:color w:val="auto"/>
                      <w:lang w:val="en-US" w:eastAsia="zh-CN"/>
                    </w:rPr>
                    <w:t>要素</w:t>
                  </w:r>
                  <w:r>
                    <w:rPr>
                      <w:rFonts w:hint="eastAsia"/>
                      <w:color w:val="auto"/>
                    </w:rPr>
                    <w:t>重点管控单元总体准入要求。</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污染物排放管控</w:t>
                  </w:r>
                </w:p>
              </w:tc>
              <w:tc>
                <w:tcPr>
                  <w:tcW w:w="4347"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现有源提标升级改造</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同达州市要素重点管控单元总体准入要求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新增源等量或倍量替代</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同达州市要素重点管控单元总体准入要求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新增源排放标准限值</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同达州市要素重点管控单元总体准入要求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污染物排放绩效水平准入要求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同达州市要素重点管控单元总体准入要求</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其他污染物排放管控要求/</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本项目位于</w:t>
                  </w:r>
                  <w:r>
                    <w:rPr>
                      <w:rFonts w:hint="eastAsia"/>
                      <w:color w:val="auto"/>
                      <w:lang w:val="en-US" w:eastAsia="zh-CN"/>
                    </w:rPr>
                    <w:t>大竹县辖区内</w:t>
                  </w:r>
                  <w:r>
                    <w:rPr>
                      <w:rFonts w:hint="eastAsia"/>
                      <w:color w:val="auto"/>
                    </w:rPr>
                    <w:t>，营运期废气污染物为颗粒物，不属于总量控制指标；项目营运期颗粒物排放执行《大气污染物综合排放标准》（GB 16297-1996），无特别排放限值要求。</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环境风险防控</w:t>
                  </w:r>
                </w:p>
              </w:tc>
              <w:tc>
                <w:tcPr>
                  <w:tcW w:w="4347"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严格管控类农用地管控要求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同达州市要素重点管控单元总体准入要求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安全利用类农用地管控要求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同达州市要素重点管控单元总体准入要求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污染地块管控要求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同达州市要素重点管控单元总体准入要求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园区环境风险防控要求/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企业环境风险防控要求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同达州市要素重点管控单元总体准入要求</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其他环境风险防控要求/</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参考上述分析，本项目满足达州市</w:t>
                  </w:r>
                  <w:r>
                    <w:rPr>
                      <w:rFonts w:hint="eastAsia"/>
                      <w:color w:val="auto"/>
                      <w:lang w:val="en-US" w:eastAsia="zh-CN"/>
                    </w:rPr>
                    <w:t>要素</w:t>
                  </w:r>
                  <w:r>
                    <w:rPr>
                      <w:rFonts w:hint="eastAsia"/>
                      <w:color w:val="auto"/>
                    </w:rPr>
                    <w:t>重点管控单元总体准入要求。</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资源开发效率要求</w:t>
                  </w:r>
                </w:p>
              </w:tc>
              <w:tc>
                <w:tcPr>
                  <w:tcW w:w="4347"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水资源利用效率要求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同达州市要素重点管控单元总体准入要求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地下水开采要求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同达州市要素重点管控单元总体准入要求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能源利用效率要求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同达州市要素重点管控单元总体准入要求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其他资源利用效率要求</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禁燃区要求：同达州市要素重点总体准入要求</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参考上述分析，本项目满足达州市</w:t>
                  </w:r>
                  <w:r>
                    <w:rPr>
                      <w:rFonts w:hint="eastAsia"/>
                      <w:color w:val="auto"/>
                      <w:lang w:val="en-US" w:eastAsia="zh-CN"/>
                    </w:rPr>
                    <w:t>要素</w:t>
                  </w:r>
                  <w:r>
                    <w:rPr>
                      <w:rFonts w:hint="eastAsia"/>
                      <w:color w:val="auto"/>
                    </w:rPr>
                    <w:t>重点管控单元总体准入要求。</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restart"/>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YS5117242230001</w:t>
                  </w:r>
                  <w:r>
                    <w:rPr>
                      <w:rFonts w:hint="eastAsia"/>
                      <w:color w:val="auto"/>
                    </w:rPr>
                    <w:t>、</w:t>
                  </w:r>
                  <w:r>
                    <w:rPr>
                      <w:rFonts w:hint="eastAsia"/>
                      <w:color w:val="auto"/>
                      <w:lang w:val="en-US" w:eastAsia="zh-CN"/>
                    </w:rPr>
                    <w:t>东柳河-大竹县-墩子河-控制单元</w:t>
                  </w:r>
                  <w:r>
                    <w:rPr>
                      <w:rFonts w:hint="eastAsia"/>
                      <w:color w:val="auto"/>
                    </w:rPr>
                    <w:t>、水环境城镇生活污染重点管控区</w:t>
                  </w:r>
                </w:p>
              </w:tc>
              <w:tc>
                <w:tcPr>
                  <w:tcW w:w="850" w:type="dxa"/>
                  <w:vMerge w:val="restart"/>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达州市普适性清单管控要求</w:t>
                  </w: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空间布局约束</w:t>
                  </w:r>
                </w:p>
              </w:tc>
              <w:tc>
                <w:tcPr>
                  <w:tcW w:w="4347"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禁止开发建设活动的要求:暂无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限制开发建设活动的要求:暂无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不符合空间布局要求活动的退出要求:暂无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其他空间布局约束要求:暂无</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污染物排放管控</w:t>
                  </w:r>
                </w:p>
              </w:tc>
              <w:tc>
                <w:tcPr>
                  <w:tcW w:w="4347"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允许排放量要求:暂无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现有源提标升级改造:暂无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其他污染物排放管控要求:暂无</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环境风险防控</w:t>
                  </w:r>
                </w:p>
              </w:tc>
              <w:tc>
                <w:tcPr>
                  <w:tcW w:w="4347"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联防联控要求:暂无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其他环境风险防控要求:暂无</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资源开发效率要求</w:t>
                  </w:r>
                </w:p>
              </w:tc>
              <w:tc>
                <w:tcPr>
                  <w:tcW w:w="4347"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水资源利用总量要求：暂无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地下水开采要求：暂无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能源利用总量及效率要求：暂无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禁燃区要求：暂无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其他资源利用效率要求：暂无</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restart"/>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单元级清单管控要求</w:t>
                  </w: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空间布局约束</w:t>
                  </w:r>
                </w:p>
              </w:tc>
              <w:tc>
                <w:tcPr>
                  <w:tcW w:w="4347"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禁止开发建设活动的要求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限制开发建设活动的要求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允许开发建设活动的要求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不符合空间布局要求活动的退出要求</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其他空间布局约束要求</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参考上述分析，本项目满足达州市</w:t>
                  </w:r>
                  <w:r>
                    <w:rPr>
                      <w:rFonts w:hint="eastAsia"/>
                      <w:color w:val="auto"/>
                      <w:lang w:val="en-US" w:eastAsia="zh-CN"/>
                    </w:rPr>
                    <w:t>要素</w:t>
                  </w:r>
                  <w:r>
                    <w:rPr>
                      <w:rFonts w:hint="eastAsia"/>
                      <w:color w:val="auto"/>
                    </w:rPr>
                    <w:t>重点管控单元总体准入要求。</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污染物排放管控</w:t>
                  </w:r>
                </w:p>
              </w:tc>
              <w:tc>
                <w:tcPr>
                  <w:tcW w:w="4347"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城镇污水污染控制措施要求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1、推进流域聚居点生活污水处理设施建设。2、保障乡镇污水收集处理设施顺畅运行。3、推进污水直排口排查与整治，落实“一口一策”整改措施。</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工业废水污染控制措施要求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1、落实主要污染物排放总量指标控制要求，加强入河排污口登记、审批和监督管理。2、强化流域内工业点源、规模化畜禽养殖场运行监管，避免偷排、漏排。</w:t>
                  </w:r>
                </w:p>
                <w:p>
                  <w:pPr>
                    <w:keepNext w:val="0"/>
                    <w:keepLines w:val="0"/>
                    <w:suppressLineNumbers w:val="0"/>
                    <w:bidi w:val="0"/>
                    <w:spacing w:before="0" w:beforeAutospacing="0" w:after="0" w:afterAutospacing="0"/>
                    <w:ind w:left="0" w:right="0"/>
                    <w:rPr>
                      <w:rFonts w:hint="eastAsia"/>
                      <w:color w:val="auto"/>
                      <w:lang w:val="en-US" w:eastAsia="zh-CN"/>
                    </w:rPr>
                  </w:pP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农业面源水污染控制措施要求</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1、推进农村污染治理。稳步农村污水处理设施建设，适当预留发展空间，宜集中则集中，宜分散则分散；农村生活污水处理设施排水执行《农村生活污水处理设施水污染物排放标准》（DB 51 2626-2019）要求；大力推进农村生活垃圾就地分类减量 和资源化利用，因地制宜选择农村生活垃圾治理模式；严格做好“农家乐”、种植采摘园等范围内的生活及农产品产生污水及垃圾治理。2、大力推进水产生态健康养殖，加强渔业生产过程中抗菌药物使用管控；强化水产养殖污染治理，水产养殖废水应处理达到《四川省水产养殖业水污染物排放标准》后排放；实施池塘标准化改造，完善循环水和进排水处理设施，推进养殖尾水节水减排。到2025年，水产健康养殖示范比重达到68%以上。3、推进畜禽粪污分类处置，根据排放去向或利用方式的不同执行相应的标准规范；不断提高畜禽养殖粪污资源化利用率及利用水平；设有污水排放口的规模化畜禽养殖场应当依法申领排污许可证。到2025年，畜禽粪污综合利用率</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达到80%以上，规模以上养殖场粪污处理设施装备配套率保持100%。到2035年，畜禽粪污基本实现资源化利用，综合利用率达到95%以上。4、深入推进化肥减量增效，鼓励以循环利用与生态净化相结合的方式控制种植业污染，农企合作推进测土配方施肥；逐步推进农田径流拦截及治理。5、按照《四川省推进农村黑臭水体治理工作方案（2021-2025年）》要求，持续开展农村黑臭水体排查，实现农村黑臭水体“动态”清零。</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船舶港口水污染控制措施要求</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饮用水水源和其它特殊水体保护要求</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1、本项目生活污水设化粪池收集处理后，</w:t>
                  </w:r>
                  <w:r>
                    <w:rPr>
                      <w:rFonts w:hint="eastAsia"/>
                      <w:color w:val="auto"/>
                      <w:lang w:val="en-US" w:eastAsia="zh-CN"/>
                    </w:rPr>
                    <w:t>由附近农户定期清掏做农肥使用</w:t>
                  </w:r>
                  <w:r>
                    <w:rPr>
                      <w:rFonts w:hint="eastAsia"/>
                      <w:color w:val="auto"/>
                    </w:rPr>
                    <w:t>。生活垃圾袋装收集后送至附近场镇生活垃圾收集点。</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2、项目生产废水能够实现全部循环回用不外排。</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环境风险防控</w:t>
                  </w:r>
                </w:p>
              </w:tc>
              <w:tc>
                <w:tcPr>
                  <w:tcW w:w="4347"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2882"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资源开发效率要求</w:t>
                  </w:r>
                </w:p>
              </w:tc>
              <w:tc>
                <w:tcPr>
                  <w:tcW w:w="4347"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落实生态流量保障，强化流域内水库、水电站下泄生态流量监管。强化种植业节水；推进农村污水分质资源化利用。</w:t>
                  </w:r>
                </w:p>
              </w:tc>
              <w:tc>
                <w:tcPr>
                  <w:tcW w:w="2882" w:type="dxa"/>
                  <w:vAlign w:val="center"/>
                </w:tcPr>
                <w:p>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本项目不涉及从区域流域内的水库取水，不会影响区域生态流量。</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restart"/>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YS5117242320001</w:t>
                  </w:r>
                  <w:r>
                    <w:rPr>
                      <w:rFonts w:hint="eastAsia"/>
                      <w:color w:val="auto"/>
                    </w:rPr>
                    <w:t>、</w:t>
                  </w:r>
                  <w:r>
                    <w:rPr>
                      <w:rFonts w:hint="eastAsia"/>
                      <w:color w:val="auto"/>
                      <w:lang w:val="en-US" w:eastAsia="zh-CN"/>
                    </w:rPr>
                    <w:t>大竹县大气环境布局敏感重点管控区</w:t>
                  </w:r>
                  <w:r>
                    <w:rPr>
                      <w:rFonts w:hint="eastAsia"/>
                      <w:color w:val="auto"/>
                    </w:rPr>
                    <w:t>、大气环境受体敏感重点管控区</w:t>
                  </w:r>
                </w:p>
              </w:tc>
              <w:tc>
                <w:tcPr>
                  <w:tcW w:w="850" w:type="dxa"/>
                  <w:vMerge w:val="restart"/>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达州市普适性清单管控要求</w:t>
                  </w: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空间布局约束</w:t>
                  </w:r>
                </w:p>
              </w:tc>
              <w:tc>
                <w:tcPr>
                  <w:tcW w:w="4347"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禁止开发建设活动的要求:暂无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限制开发建设活动的要求:暂无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不符合空间布局要求活动的退出要求:暂无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其他空间布局约束要求:暂无</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污染物排放管控</w:t>
                  </w:r>
                </w:p>
              </w:tc>
              <w:tc>
                <w:tcPr>
                  <w:tcW w:w="4347"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允许排放量要求:暂无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现有源提标升级改造:暂无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其他污染物排放管控要求:暂无</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环境风险防控</w:t>
                  </w:r>
                </w:p>
              </w:tc>
              <w:tc>
                <w:tcPr>
                  <w:tcW w:w="4347"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联防联控要求:暂无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其他环境风险防控要求:暂无</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资源开发效率要求</w:t>
                  </w:r>
                </w:p>
              </w:tc>
              <w:tc>
                <w:tcPr>
                  <w:tcW w:w="4347"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水资源利用总量要求：暂无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地下水开采要求：暂无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能源利用总量及效率要求：暂无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禁燃区要求：暂无</w:t>
                  </w:r>
                </w:p>
                <w:p>
                  <w:pPr>
                    <w:keepNext w:val="0"/>
                    <w:keepLines w:val="0"/>
                    <w:suppressLineNumbers w:val="0"/>
                    <w:bidi w:val="0"/>
                    <w:spacing w:before="0" w:beforeAutospacing="0" w:after="0" w:afterAutospacing="0"/>
                    <w:ind w:left="0" w:right="0"/>
                    <w:rPr>
                      <w:rFonts w:hint="eastAsia"/>
                      <w:color w:val="auto"/>
                    </w:rPr>
                  </w:pPr>
                  <w:r>
                    <w:rPr>
                      <w:rFonts w:hint="eastAsia"/>
                      <w:color w:val="auto"/>
                    </w:rPr>
                    <w:t>其他资源利用效率要求：暂无</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restart"/>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单元级清单管控要求</w:t>
                  </w: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空间布局约束</w:t>
                  </w:r>
                </w:p>
              </w:tc>
              <w:tc>
                <w:tcPr>
                  <w:tcW w:w="4347"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禁止开发建设活动的要求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坚决遏制高耗能、高排放、低水平项目盲目发展，严格落实国家和四川省产业规划、产业政策、规划环评，以及产能置换、煤炭消费减量替代、区域污染物削减等要求，坚决叫停不符合要求的高耗能、高排放、低水平项目</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2、严禁新增钢铁、焦化、炼油、电解铝、水泥、平板玻璃（不含光伏玻璃）等产能</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限制开发建设活动的要求/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允许开发建设活动的要求/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不符合空间布局要求活动的退出要求/</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其他空间布局约束要求/</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项目不属于钢铁、焦化、炼油、电解铝、水泥、平板玻璃（不含光伏玻璃）等严禁新增的产能。本项目为新建砂石加工项目，不属于高耗能、高排放、低水平项目，能够实现污染物排放减量。</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污染物排放管控</w:t>
                  </w:r>
                </w:p>
              </w:tc>
              <w:tc>
                <w:tcPr>
                  <w:tcW w:w="4347"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大气环境质量执行标准</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《环境空气质量标准》（GB3095-2012）：二级</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区域大气污染物削减/替代要求/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燃煤和其他能源大气污染控制要求/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工业废气污染控制要求/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机动车船大气污染控制要求/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扬尘污染控制要求/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农业生产经营活动大气污染控制要求/</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重点行业企业专项治理要求/</w:t>
                  </w:r>
                </w:p>
                <w:p>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其他大气污染物排放管控要求/</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本项目建设区域环境质量执行《环境空气质量标准》（GB3095-2012）二级标准限值。本项目营运期大气污染物主要为颗粒物，通过采取相应的治理措施，能够实现达标排放。</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环境风险防控</w:t>
                  </w:r>
                </w:p>
              </w:tc>
              <w:tc>
                <w:tcPr>
                  <w:tcW w:w="4347"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2882" w:type="dxa"/>
                  <w:vAlign w:val="center"/>
                </w:tcPr>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851" w:type="dxa"/>
                  <w:vAlign w:val="center"/>
                </w:tcPr>
                <w:p>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242"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850" w:type="dxa"/>
                  <w:vMerge w:val="continue"/>
                  <w:vAlign w:val="center"/>
                </w:tcPr>
                <w:p>
                  <w:pPr>
                    <w:keepNext w:val="0"/>
                    <w:keepLines w:val="0"/>
                    <w:suppressLineNumbers w:val="0"/>
                    <w:bidi w:val="0"/>
                    <w:spacing w:before="0" w:beforeAutospacing="0" w:after="0" w:afterAutospacing="0"/>
                    <w:ind w:left="0" w:right="0"/>
                    <w:rPr>
                      <w:rFonts w:hint="eastAsia"/>
                      <w:color w:val="auto"/>
                    </w:rPr>
                  </w:pPr>
                </w:p>
              </w:tc>
              <w:tc>
                <w:tcPr>
                  <w:tcW w:w="1134"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资源开发效率要求</w:t>
                  </w:r>
                </w:p>
              </w:tc>
              <w:tc>
                <w:tcPr>
                  <w:tcW w:w="4347"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c>
                <w:tcPr>
                  <w:tcW w:w="2882"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c>
                <w:tcPr>
                  <w:tcW w:w="851" w:type="dxa"/>
                  <w:vAlign w:val="center"/>
                </w:tcPr>
                <w:p>
                  <w:pPr>
                    <w:keepNext w:val="0"/>
                    <w:keepLines w:val="0"/>
                    <w:suppressLineNumbers w:val="0"/>
                    <w:bidi w:val="0"/>
                    <w:spacing w:before="0" w:beforeAutospacing="0" w:after="0" w:afterAutospacing="0"/>
                    <w:ind w:left="0" w:right="0"/>
                    <w:rPr>
                      <w:rFonts w:hint="eastAsia"/>
                      <w:color w:val="auto"/>
                    </w:rPr>
                  </w:pPr>
                  <w:r>
                    <w:rPr>
                      <w:rFonts w:hint="eastAsia"/>
                      <w:color w:val="auto"/>
                    </w:rPr>
                    <w:t>/</w:t>
                  </w:r>
                </w:p>
              </w:tc>
            </w:tr>
          </w:tbl>
          <w:p>
            <w:pPr>
              <w:keepNext w:val="0"/>
              <w:keepLines w:val="0"/>
              <w:suppressLineNumbers w:val="0"/>
              <w:bidi w:val="0"/>
              <w:spacing w:before="0" w:beforeAutospacing="0" w:after="0" w:afterAutospacing="0"/>
              <w:ind w:left="0" w:right="0" w:firstLine="420" w:firstLineChars="200"/>
              <w:rPr>
                <w:rFonts w:hint="default"/>
                <w:color w:val="auto"/>
              </w:rPr>
            </w:pPr>
            <w:r>
              <w:rPr>
                <w:rFonts w:hint="eastAsia"/>
                <w:color w:val="auto"/>
              </w:rPr>
              <w:t>本项目的建设符合“三线一单”管控机制要求，项目建设可行。</w:t>
            </w: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tc>
      </w:tr>
    </w:tbl>
    <w:p>
      <w:pPr>
        <w:widowControl/>
        <w:spacing w:line="360" w:lineRule="auto"/>
        <w:jc w:val="left"/>
        <w:rPr>
          <w:rFonts w:eastAsia="黑体"/>
          <w:color w:val="auto"/>
          <w:sz w:val="30"/>
        </w:rPr>
        <w:sectPr>
          <w:pgSz w:w="16838" w:h="11906" w:orient="landscape"/>
          <w:pgMar w:top="1531" w:right="1701" w:bottom="1702" w:left="1701" w:header="851" w:footer="1077" w:gutter="0"/>
          <w:pgNumType w:fmt="numberInDash"/>
          <w:cols w:space="720" w:num="1"/>
          <w:docGrid w:linePitch="286" w:charSpace="0"/>
        </w:sectPr>
      </w:pPr>
    </w:p>
    <w:tbl>
      <w:tblPr>
        <w:tblStyle w:val="15"/>
        <w:tblW w:w="88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6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26" w:type="dxa"/>
          </w:tcPr>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r>
              <w:rPr>
                <w:rFonts w:hint="eastAsia" w:cs="宋体"/>
                <w:color w:val="auto"/>
                <w:kern w:val="0"/>
                <w:sz w:val="21"/>
                <w:szCs w:val="21"/>
              </w:rPr>
              <w:t>其他符合性分析</w:t>
            </w: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line="100" w:lineRule="exact"/>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line="100" w:lineRule="exact"/>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line="100" w:lineRule="exact"/>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line="100" w:lineRule="exact"/>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r>
              <w:rPr>
                <w:rFonts w:hint="eastAsia" w:cs="宋体"/>
                <w:color w:val="auto"/>
                <w:kern w:val="0"/>
                <w:sz w:val="21"/>
                <w:szCs w:val="21"/>
              </w:rPr>
              <w:t>其他符合性分析</w:t>
            </w: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r>
              <w:rPr>
                <w:rFonts w:hint="eastAsia" w:cs="宋体"/>
                <w:color w:val="auto"/>
                <w:kern w:val="0"/>
                <w:sz w:val="21"/>
                <w:szCs w:val="21"/>
              </w:rPr>
              <w:t>其他符合性分析</w:t>
            </w: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s="宋体"/>
                <w:color w:val="auto"/>
                <w:kern w:val="0"/>
                <w:sz w:val="21"/>
                <w:szCs w:val="21"/>
              </w:rPr>
            </w:pPr>
          </w:p>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rPr>
                <w:rFonts w:hint="default" w:eastAsia="黑体"/>
                <w:color w:val="auto"/>
                <w:sz w:val="30"/>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pageBreakBefore w:val="0"/>
              <w:suppressLineNumbers w:val="0"/>
              <w:kinsoku/>
              <w:wordWrap/>
              <w:overflowPunct/>
              <w:topLinePunct w:val="0"/>
              <w:bidi w:val="0"/>
              <w:adjustRightInd/>
              <w:snapToGrid/>
              <w:spacing w:before="0" w:beforeAutospacing="0" w:after="0" w:afterAutospacing="0"/>
              <w:ind w:left="0" w:leftChars="0" w:right="0" w:firstLine="0" w:firstLineChars="0"/>
              <w:jc w:val="center"/>
              <w:rPr>
                <w:rFonts w:hint="default"/>
                <w:color w:val="auto"/>
              </w:rPr>
            </w:pPr>
          </w:p>
        </w:tc>
        <w:tc>
          <w:tcPr>
            <w:tcW w:w="6984" w:type="dxa"/>
          </w:tcPr>
          <w:p>
            <w:pPr>
              <w:keepNext w:val="0"/>
              <w:keepLines w:val="0"/>
              <w:suppressLineNumbers w:val="0"/>
              <w:spacing w:before="107" w:beforeAutospacing="0" w:after="0" w:afterAutospacing="0"/>
              <w:ind w:left="68" w:right="0"/>
              <w:rPr>
                <w:rFonts w:hint="default" w:ascii="Times New Roman" w:hAnsi="Times New Roman" w:eastAsia="黑体" w:cs="Times New Roman"/>
                <w:color w:val="auto"/>
                <w:szCs w:val="21"/>
                <w:highlight w:val="none"/>
              </w:rPr>
            </w:pPr>
            <w:r>
              <w:rPr>
                <w:rFonts w:hint="eastAsia" w:eastAsia="黑体" w:cs="Times New Roman"/>
                <w:color w:val="auto"/>
                <w:szCs w:val="21"/>
                <w:highlight w:val="none"/>
                <w:lang w:val="en-US" w:eastAsia="zh-CN"/>
              </w:rPr>
              <w:t>3</w:t>
            </w:r>
            <w:r>
              <w:rPr>
                <w:rFonts w:hint="default" w:ascii="Times New Roman" w:hAnsi="Times New Roman" w:eastAsia="黑体" w:cs="Times New Roman"/>
                <w:color w:val="auto"/>
                <w:szCs w:val="21"/>
                <w:highlight w:val="none"/>
              </w:rPr>
              <w:t>、与长江流域相关法律及条例的符合性分析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40" w:firstLineChars="200"/>
              <w:jc w:val="left"/>
              <w:textAlignment w:val="auto"/>
              <w:rPr>
                <w:rFonts w:hint="default" w:cs="Times New Roman"/>
                <w:color w:val="auto"/>
                <w:kern w:val="0"/>
                <w:sz w:val="22"/>
                <w:szCs w:val="28"/>
                <w:highlight w:val="none"/>
                <w:lang w:val="en-US" w:eastAsia="zh-CN"/>
              </w:rPr>
            </w:pPr>
            <w:r>
              <w:rPr>
                <w:rFonts w:hint="default" w:cs="Times New Roman"/>
                <w:color w:val="auto"/>
                <w:kern w:val="0"/>
                <w:sz w:val="22"/>
                <w:szCs w:val="28"/>
                <w:highlight w:val="none"/>
                <w:lang w:val="en-US" w:eastAsia="zh-CN"/>
              </w:rPr>
              <w:t>（1）与《中华人民共和国长江保护法》符合性分析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40" w:firstLineChars="200"/>
              <w:jc w:val="left"/>
              <w:textAlignment w:val="auto"/>
              <w:rPr>
                <w:rFonts w:hint="default" w:cs="Times New Roman"/>
                <w:color w:val="auto"/>
                <w:kern w:val="0"/>
                <w:sz w:val="22"/>
                <w:szCs w:val="28"/>
                <w:highlight w:val="none"/>
                <w:lang w:val="en-US" w:eastAsia="zh-CN"/>
              </w:rPr>
            </w:pPr>
            <w:r>
              <w:rPr>
                <w:rFonts w:hint="default" w:cs="Times New Roman"/>
                <w:color w:val="auto"/>
                <w:kern w:val="0"/>
                <w:sz w:val="22"/>
                <w:szCs w:val="28"/>
                <w:highlight w:val="none"/>
                <w:lang w:val="en-US" w:eastAsia="zh-CN"/>
              </w:rPr>
              <w:t>自2021年3月1日起施行的《中华人民共和国长江保护法》，是为了加强</w:t>
            </w:r>
            <w:r>
              <w:rPr>
                <w:rFonts w:hint="default" w:cs="Times New Roman"/>
                <w:color w:val="auto"/>
                <w:kern w:val="0"/>
                <w:sz w:val="22"/>
                <w:szCs w:val="28"/>
                <w:highlight w:val="none"/>
                <w:lang w:val="en-US" w:eastAsia="zh-CN"/>
              </w:rPr>
              <w:fldChar w:fldCharType="begin"/>
            </w:r>
            <w:r>
              <w:rPr>
                <w:rFonts w:hint="default" w:cs="Times New Roman"/>
                <w:color w:val="auto"/>
                <w:kern w:val="0"/>
                <w:sz w:val="22"/>
                <w:szCs w:val="28"/>
                <w:highlight w:val="none"/>
                <w:lang w:val="en-US" w:eastAsia="zh-CN"/>
              </w:rPr>
              <w:instrText xml:space="preserve"> HYPERLINK "https://baike.baidu.com/item/%E9%95%BF%E6%B1%9F/388" \t "_blank" </w:instrText>
            </w:r>
            <w:r>
              <w:rPr>
                <w:rFonts w:hint="default" w:cs="Times New Roman"/>
                <w:color w:val="auto"/>
                <w:kern w:val="0"/>
                <w:sz w:val="22"/>
                <w:szCs w:val="28"/>
                <w:highlight w:val="none"/>
                <w:lang w:val="en-US" w:eastAsia="zh-CN"/>
              </w:rPr>
              <w:fldChar w:fldCharType="separate"/>
            </w:r>
            <w:r>
              <w:rPr>
                <w:rFonts w:hint="default" w:cs="Times New Roman"/>
                <w:color w:val="auto"/>
                <w:kern w:val="0"/>
                <w:sz w:val="22"/>
                <w:szCs w:val="28"/>
                <w:highlight w:val="none"/>
                <w:lang w:val="en-US" w:eastAsia="zh-CN"/>
              </w:rPr>
              <w:t>长江</w:t>
            </w:r>
            <w:r>
              <w:rPr>
                <w:rFonts w:hint="default" w:cs="Times New Roman"/>
                <w:color w:val="auto"/>
                <w:kern w:val="0"/>
                <w:sz w:val="22"/>
                <w:szCs w:val="28"/>
                <w:highlight w:val="none"/>
                <w:lang w:val="en-US" w:eastAsia="zh-CN"/>
              </w:rPr>
              <w:fldChar w:fldCharType="end"/>
            </w:r>
            <w:r>
              <w:rPr>
                <w:rFonts w:hint="default" w:cs="Times New Roman"/>
                <w:color w:val="auto"/>
                <w:kern w:val="0"/>
                <w:sz w:val="22"/>
                <w:szCs w:val="28"/>
                <w:highlight w:val="none"/>
                <w:lang w:val="en-US" w:eastAsia="zh-CN"/>
              </w:rPr>
              <w:t>流域生态环境保护和修复，促进资源合理高效利用，保障生态安全，实现人与自然和谐共生、中华民族永续发展制定的法律。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40" w:firstLineChars="200"/>
              <w:jc w:val="left"/>
              <w:textAlignment w:val="auto"/>
              <w:rPr>
                <w:rFonts w:hint="default"/>
                <w:b/>
                <w:bCs/>
                <w:color w:val="auto"/>
                <w:sz w:val="18"/>
                <w:szCs w:val="18"/>
                <w:highlight w:val="none"/>
              </w:rPr>
            </w:pPr>
            <w:r>
              <w:rPr>
                <w:rFonts w:hint="default" w:cs="Times New Roman"/>
                <w:color w:val="auto"/>
                <w:kern w:val="0"/>
                <w:sz w:val="22"/>
                <w:szCs w:val="28"/>
                <w:highlight w:val="none"/>
                <w:lang w:val="en-US" w:eastAsia="zh-CN"/>
              </w:rPr>
              <w:t>本项目与《中华人民共和国长江保护法》的符合性分析见下表。</w:t>
            </w:r>
          </w:p>
          <w:p>
            <w:pPr>
              <w:keepNext w:val="0"/>
              <w:keepLines w:val="0"/>
              <w:pageBreakBefore w:val="0"/>
              <w:widowControl w:val="0"/>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right="0" w:firstLine="400" w:firstLineChars="200"/>
              <w:jc w:val="left"/>
              <w:textAlignment w:val="auto"/>
              <w:rPr>
                <w:rFonts w:hint="default" w:ascii="Times New Roman" w:hAnsi="Times New Roman" w:eastAsia="黑体" w:cs="Times New Roman"/>
                <w:color w:val="auto"/>
                <w:kern w:val="0"/>
                <w:sz w:val="20"/>
                <w:szCs w:val="21"/>
                <w:highlight w:val="none"/>
                <w:lang w:val="zh-CN"/>
              </w:rPr>
            </w:pPr>
            <w:r>
              <w:rPr>
                <w:rFonts w:hint="default" w:ascii="Times New Roman" w:hAnsi="Times New Roman" w:eastAsia="黑体" w:cs="Times New Roman"/>
                <w:color w:val="auto"/>
                <w:kern w:val="0"/>
                <w:sz w:val="20"/>
                <w:szCs w:val="21"/>
                <w:highlight w:val="none"/>
                <w:lang w:val="zh-CN"/>
              </w:rPr>
              <w:t>表1-</w:t>
            </w:r>
            <w:r>
              <w:rPr>
                <w:rFonts w:hint="eastAsia" w:eastAsia="黑体" w:cs="Times New Roman"/>
                <w:color w:val="auto"/>
                <w:kern w:val="0"/>
                <w:sz w:val="20"/>
                <w:szCs w:val="21"/>
                <w:highlight w:val="none"/>
                <w:lang w:val="en-US" w:eastAsia="zh-CN"/>
              </w:rPr>
              <w:t>4</w:t>
            </w:r>
            <w:r>
              <w:rPr>
                <w:rFonts w:hint="default" w:ascii="Times New Roman" w:hAnsi="Times New Roman" w:eastAsia="黑体" w:cs="Times New Roman"/>
                <w:color w:val="auto"/>
                <w:kern w:val="0"/>
                <w:sz w:val="20"/>
                <w:szCs w:val="21"/>
                <w:highlight w:val="none"/>
                <w:lang w:val="zh-CN"/>
              </w:rPr>
              <w:t xml:space="preserve">   项目与《中华人民共和国长江保护法》的符合性分析</w:t>
            </w:r>
          </w:p>
          <w:tbl>
            <w:tblPr>
              <w:tblStyle w:val="14"/>
              <w:tblW w:w="68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7"/>
              <w:gridCol w:w="3426"/>
              <w:gridCol w:w="2201"/>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jc w:val="center"/>
              </w:trPr>
              <w:tc>
                <w:tcPr>
                  <w:tcW w:w="527" w:type="dxa"/>
                  <w:tcBorders>
                    <w:bottom w:val="single" w:color="000000"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3426" w:type="dxa"/>
                  <w:tcBorders>
                    <w:bottom w:val="single" w:color="000000"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原文内容</w:t>
                  </w:r>
                </w:p>
              </w:tc>
              <w:tc>
                <w:tcPr>
                  <w:tcW w:w="2201" w:type="dxa"/>
                  <w:tcBorders>
                    <w:bottom w:val="single" w:color="000000"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本项目情况</w:t>
                  </w:r>
                </w:p>
              </w:tc>
              <w:tc>
                <w:tcPr>
                  <w:tcW w:w="664" w:type="dxa"/>
                  <w:tcBorders>
                    <w:bottom w:val="single" w:color="000000"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38" w:hRule="atLeast"/>
                <w:tblHeader/>
                <w:jc w:val="center"/>
              </w:trPr>
              <w:tc>
                <w:tcPr>
                  <w:tcW w:w="527" w:type="dxa"/>
                  <w:tcBorders>
                    <w:top w:val="single" w:color="000000"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3426" w:type="dxa"/>
                  <w:tcBorders>
                    <w:top w:val="single" w:color="000000"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第二十一条 长江流域水质超标的水功能区，应当实施更严格的污染物排放总量削减要求。企业事业单</w:t>
                  </w:r>
                  <w:r>
                    <w:rPr>
                      <w:rFonts w:hint="default" w:ascii="Times New Roman" w:hAnsi="Times New Roman" w:cs="Times New Roman"/>
                      <w:color w:val="auto"/>
                      <w:sz w:val="18"/>
                      <w:szCs w:val="18"/>
                      <w:highlight w:val="none"/>
                    </w:rPr>
                    <w:cr/>
                  </w:r>
                  <w:r>
                    <w:rPr>
                      <w:rFonts w:hint="default" w:ascii="Times New Roman" w:hAnsi="Times New Roman" w:cs="Times New Roman"/>
                      <w:color w:val="auto"/>
                      <w:sz w:val="18"/>
                      <w:szCs w:val="18"/>
                      <w:highlight w:val="none"/>
                    </w:rPr>
                    <w:t>应当按照要求，采取污染物排放总量控制措施。</w:t>
                  </w:r>
                </w:p>
              </w:tc>
              <w:tc>
                <w:tcPr>
                  <w:tcW w:w="2201" w:type="dxa"/>
                  <w:tcBorders>
                    <w:top w:val="single" w:color="000000"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textAlignment w:val="auto"/>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rPr>
                    <w:t>项目</w:t>
                  </w:r>
                  <w:r>
                    <w:rPr>
                      <w:rFonts w:hint="eastAsia" w:ascii="Times New Roman" w:hAnsi="Times New Roman" w:cs="Times New Roman"/>
                      <w:color w:val="auto"/>
                      <w:sz w:val="18"/>
                      <w:szCs w:val="18"/>
                      <w:highlight w:val="none"/>
                      <w:lang w:val="en-US" w:eastAsia="zh-CN"/>
                    </w:rPr>
                    <w:t>区地表水体为东面季节性溪沟，不属于划定的水功能区。</w:t>
                  </w:r>
                  <w:r>
                    <w:rPr>
                      <w:rFonts w:hint="default" w:ascii="Times New Roman" w:hAnsi="Times New Roman" w:cs="Times New Roman"/>
                      <w:color w:val="auto"/>
                      <w:sz w:val="18"/>
                      <w:szCs w:val="18"/>
                      <w:highlight w:val="none"/>
                    </w:rPr>
                    <w:t>项目生产废水</w:t>
                  </w:r>
                  <w:r>
                    <w:rPr>
                      <w:rFonts w:hint="eastAsia" w:ascii="Times New Roman" w:hAnsi="Times New Roman" w:cs="Times New Roman"/>
                      <w:color w:val="auto"/>
                      <w:sz w:val="18"/>
                      <w:szCs w:val="18"/>
                      <w:highlight w:val="none"/>
                      <w:lang w:val="en-US" w:eastAsia="zh-CN"/>
                    </w:rPr>
                    <w:t>全部回用不外排；生活污水做农肥使用不外排，不会对区域水环境造成污染影响。</w:t>
                  </w:r>
                </w:p>
              </w:tc>
              <w:tc>
                <w:tcPr>
                  <w:tcW w:w="664" w:type="dxa"/>
                  <w:tcBorders>
                    <w:top w:val="single" w:color="000000"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70" w:hRule="atLeast"/>
                <w:tblHeader/>
                <w:jc w:val="center"/>
              </w:trPr>
              <w:tc>
                <w:tcPr>
                  <w:tcW w:w="527"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3426"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2201"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项目所在地不属于长江流域重点生态功能区，对生态系统不会造成严重影响，也不属于重污染项目。</w:t>
                  </w:r>
                </w:p>
              </w:tc>
              <w:tc>
                <w:tcPr>
                  <w:tcW w:w="664"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70" w:hRule="atLeast"/>
                <w:tblHeader/>
                <w:jc w:val="center"/>
              </w:trPr>
              <w:tc>
                <w:tcPr>
                  <w:tcW w:w="527"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w:t>
                  </w:r>
                </w:p>
              </w:tc>
              <w:tc>
                <w:tcPr>
                  <w:tcW w:w="3426"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第二十六条 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2201"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本项目不属于化工项目或尾矿库项目，占地区域也不在长江干流岸线三公里范围内和重要支流岸线一公里范围内。</w:t>
                  </w:r>
                </w:p>
              </w:tc>
              <w:tc>
                <w:tcPr>
                  <w:tcW w:w="664"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0" w:hRule="atLeast"/>
                <w:tblHeader/>
                <w:jc w:val="center"/>
              </w:trPr>
              <w:tc>
                <w:tcPr>
                  <w:tcW w:w="527"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w:t>
                  </w:r>
                </w:p>
              </w:tc>
              <w:tc>
                <w:tcPr>
                  <w:tcW w:w="3426"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第三十八条 加强对高耗水行业、重点用水单位的用水定额管理，严格控制高耗水项目建设。</w:t>
                  </w:r>
                </w:p>
              </w:tc>
              <w:tc>
                <w:tcPr>
                  <w:tcW w:w="2201"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本项目不属于高耗水项目。</w:t>
                  </w:r>
                </w:p>
              </w:tc>
              <w:tc>
                <w:tcPr>
                  <w:tcW w:w="664"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pPr>
              <w:keepNext w:val="0"/>
              <w:keepLines w:val="0"/>
              <w:pageBreakBefore w:val="0"/>
              <w:suppressLineNumbers w:val="0"/>
              <w:kinsoku/>
              <w:wordWrap/>
              <w:overflowPunct/>
              <w:topLinePunct w:val="0"/>
              <w:autoSpaceDN/>
              <w:bidi w:val="0"/>
              <w:adjustRightInd w:val="0"/>
              <w:snapToGrid w:val="0"/>
              <w:spacing w:before="0" w:beforeAutospacing="0" w:after="0" w:afterAutospacing="0" w:line="400" w:lineRule="exact"/>
              <w:ind w:left="0" w:right="0" w:firstLine="440" w:firstLineChars="200"/>
              <w:jc w:val="left"/>
              <w:textAlignment w:val="auto"/>
              <w:rPr>
                <w:rFonts w:hint="default" w:cs="Times New Roman"/>
                <w:color w:val="auto"/>
                <w:kern w:val="0"/>
                <w:sz w:val="22"/>
                <w:szCs w:val="22"/>
                <w:highlight w:val="none"/>
                <w:lang w:val="en-US" w:eastAsia="zh-CN"/>
              </w:rPr>
            </w:pPr>
            <w:r>
              <w:rPr>
                <w:rFonts w:hint="default" w:cs="Times New Roman"/>
                <w:color w:val="auto"/>
                <w:kern w:val="0"/>
                <w:sz w:val="22"/>
                <w:szCs w:val="22"/>
                <w:highlight w:val="none"/>
                <w:lang w:val="en-US" w:eastAsia="zh-CN"/>
              </w:rPr>
              <w:t>（2）与《四川省嘉陵江流域生态环境保护条例》符合性分析</w:t>
            </w:r>
          </w:p>
          <w:p>
            <w:pPr>
              <w:keepNext w:val="0"/>
              <w:keepLines w:val="0"/>
              <w:pageBreakBefore w:val="0"/>
              <w:widowControl/>
              <w:suppressLineNumbers w:val="0"/>
              <w:kinsoku/>
              <w:wordWrap/>
              <w:overflowPunct/>
              <w:topLinePunct w:val="0"/>
              <w:autoSpaceDE w:val="0"/>
              <w:autoSpaceDN/>
              <w:bidi w:val="0"/>
              <w:spacing w:before="0" w:beforeAutospacing="0" w:after="0" w:afterAutospacing="0" w:line="400" w:lineRule="exact"/>
              <w:ind w:left="0" w:right="0" w:firstLine="440" w:firstLineChars="200"/>
              <w:jc w:val="left"/>
              <w:textAlignment w:val="auto"/>
              <w:rPr>
                <w:rFonts w:hint="default" w:ascii="Times New Roman" w:hAnsi="Times New Roman" w:cs="Times New Roman"/>
                <w:b w:val="0"/>
                <w:bCs w:val="0"/>
                <w:color w:val="auto"/>
                <w:kern w:val="0"/>
                <w:sz w:val="22"/>
                <w:szCs w:val="22"/>
                <w:highlight w:val="none"/>
              </w:rPr>
            </w:pPr>
            <w:r>
              <w:rPr>
                <w:rFonts w:hint="default" w:ascii="Times New Roman" w:hAnsi="Times New Roman" w:cs="Times New Roman"/>
                <w:b w:val="0"/>
                <w:bCs w:val="0"/>
                <w:color w:val="auto"/>
                <w:kern w:val="0"/>
                <w:sz w:val="22"/>
                <w:szCs w:val="22"/>
                <w:highlight w:val="none"/>
              </w:rPr>
              <w:t>2021年11月25日四川省第十三届人民代表大会常务委员会第三十一会议通过了《四川省嘉陵江流域生态环境保护条例》。项目与《四川省嘉陵江流域生态环境保护条例》的符合性分析见下表。</w:t>
            </w:r>
          </w:p>
          <w:p>
            <w:pPr>
              <w:keepNext w:val="0"/>
              <w:keepLines w:val="0"/>
              <w:widowControl/>
              <w:suppressLineNumbers w:val="0"/>
              <w:autoSpaceDE w:val="0"/>
              <w:spacing w:before="0" w:beforeAutospacing="0" w:after="0" w:afterAutospacing="0" w:line="440" w:lineRule="exact"/>
              <w:ind w:left="0" w:right="0"/>
              <w:jc w:val="center"/>
              <w:rPr>
                <w:rFonts w:hint="default" w:ascii="Times New Roman" w:hAnsi="Times New Roman" w:cs="Times New Roman"/>
                <w:b/>
                <w:bCs/>
                <w:color w:val="auto"/>
                <w:kern w:val="0"/>
                <w:sz w:val="20"/>
                <w:szCs w:val="20"/>
                <w:highlight w:val="none"/>
              </w:rPr>
            </w:pPr>
          </w:p>
          <w:p>
            <w:pPr>
              <w:keepNext w:val="0"/>
              <w:keepLines w:val="0"/>
              <w:widowControl/>
              <w:suppressLineNumbers w:val="0"/>
              <w:autoSpaceDE w:val="0"/>
              <w:spacing w:before="0" w:beforeAutospacing="0" w:after="0" w:afterAutospacing="0" w:line="440" w:lineRule="exact"/>
              <w:ind w:left="0" w:right="0"/>
              <w:jc w:val="center"/>
              <w:rPr>
                <w:rFonts w:hint="default" w:ascii="Times New Roman" w:hAnsi="Times New Roman" w:cs="Times New Roman"/>
                <w:b/>
                <w:bCs/>
                <w:color w:val="auto"/>
                <w:kern w:val="0"/>
                <w:sz w:val="20"/>
                <w:szCs w:val="20"/>
                <w:highlight w:val="none"/>
              </w:rPr>
            </w:pPr>
          </w:p>
          <w:p>
            <w:pPr>
              <w:keepNext w:val="0"/>
              <w:keepLines w:val="0"/>
              <w:widowControl/>
              <w:suppressLineNumbers w:val="0"/>
              <w:autoSpaceDE w:val="0"/>
              <w:spacing w:before="0" w:beforeAutospacing="0" w:after="0" w:afterAutospacing="0" w:line="440" w:lineRule="exact"/>
              <w:ind w:left="0" w:right="0"/>
              <w:jc w:val="center"/>
              <w:rPr>
                <w:rFonts w:hint="default" w:ascii="Times New Roman" w:hAnsi="Times New Roman" w:cs="Times New Roman"/>
                <w:b/>
                <w:bCs/>
                <w:color w:val="auto"/>
                <w:kern w:val="0"/>
                <w:sz w:val="20"/>
                <w:szCs w:val="20"/>
                <w:highlight w:val="none"/>
              </w:rPr>
            </w:pPr>
          </w:p>
          <w:p>
            <w:pPr>
              <w:keepNext w:val="0"/>
              <w:keepLines w:val="0"/>
              <w:widowControl/>
              <w:suppressLineNumbers w:val="0"/>
              <w:autoSpaceDE w:val="0"/>
              <w:spacing w:before="0" w:beforeAutospacing="0" w:after="0" w:afterAutospacing="0" w:line="440" w:lineRule="exact"/>
              <w:ind w:left="0" w:right="0"/>
              <w:jc w:val="center"/>
              <w:rPr>
                <w:rFonts w:hint="default" w:ascii="Times New Roman" w:hAnsi="Times New Roman" w:cs="Times New Roman"/>
                <w:b/>
                <w:bCs/>
                <w:color w:val="auto"/>
                <w:kern w:val="0"/>
                <w:sz w:val="20"/>
                <w:szCs w:val="20"/>
                <w:highlight w:val="none"/>
              </w:rPr>
            </w:pPr>
          </w:p>
          <w:p>
            <w:pPr>
              <w:keepNext w:val="0"/>
              <w:keepLines w:val="0"/>
              <w:widowControl/>
              <w:suppressLineNumbers w:val="0"/>
              <w:autoSpaceDE w:val="0"/>
              <w:spacing w:before="0" w:beforeAutospacing="0" w:after="0" w:afterAutospacing="0" w:line="440" w:lineRule="exact"/>
              <w:ind w:left="0" w:right="0"/>
              <w:jc w:val="center"/>
              <w:rPr>
                <w:rFonts w:hint="default" w:ascii="Times New Roman" w:hAnsi="Times New Roman" w:cs="Times New Roman"/>
                <w:b/>
                <w:bCs/>
                <w:color w:val="auto"/>
                <w:kern w:val="0"/>
                <w:sz w:val="20"/>
                <w:szCs w:val="20"/>
                <w:highlight w:val="none"/>
              </w:rPr>
            </w:pPr>
          </w:p>
          <w:p>
            <w:pPr>
              <w:keepNext w:val="0"/>
              <w:keepLines w:val="0"/>
              <w:widowControl/>
              <w:suppressLineNumbers w:val="0"/>
              <w:autoSpaceDE w:val="0"/>
              <w:spacing w:before="0" w:beforeAutospacing="0" w:after="0" w:afterAutospacing="0" w:line="440" w:lineRule="exact"/>
              <w:ind w:left="0" w:right="0"/>
              <w:jc w:val="center"/>
              <w:rPr>
                <w:rFonts w:hint="default" w:ascii="Times New Roman" w:hAnsi="Times New Roman" w:cs="Times New Roman"/>
                <w:b/>
                <w:bCs/>
                <w:color w:val="auto"/>
                <w:kern w:val="0"/>
                <w:sz w:val="20"/>
                <w:szCs w:val="20"/>
                <w:highlight w:val="none"/>
              </w:rPr>
            </w:pPr>
          </w:p>
          <w:p>
            <w:pPr>
              <w:keepNext w:val="0"/>
              <w:keepLines w:val="0"/>
              <w:widowControl/>
              <w:suppressLineNumbers w:val="0"/>
              <w:autoSpaceDE w:val="0"/>
              <w:spacing w:before="0" w:beforeAutospacing="0" w:after="0" w:afterAutospacing="0" w:line="440" w:lineRule="exact"/>
              <w:ind w:left="0" w:right="0"/>
              <w:jc w:val="center"/>
              <w:rPr>
                <w:rFonts w:hint="default" w:ascii="Times New Roman" w:hAnsi="Times New Roman" w:cs="Times New Roman"/>
                <w:b/>
                <w:bCs/>
                <w:color w:val="auto"/>
                <w:kern w:val="0"/>
                <w:sz w:val="20"/>
                <w:szCs w:val="20"/>
                <w:highlight w:val="none"/>
              </w:rPr>
            </w:pPr>
          </w:p>
          <w:p>
            <w:pPr>
              <w:keepNext w:val="0"/>
              <w:keepLines w:val="0"/>
              <w:widowControl/>
              <w:suppressLineNumbers w:val="0"/>
              <w:autoSpaceDE w:val="0"/>
              <w:spacing w:before="0" w:beforeAutospacing="0" w:after="0" w:afterAutospacing="0" w:line="440" w:lineRule="exact"/>
              <w:ind w:left="0" w:right="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0"/>
                <w:szCs w:val="20"/>
                <w:highlight w:val="none"/>
              </w:rPr>
              <w:t>表1-</w:t>
            </w:r>
            <w:r>
              <w:rPr>
                <w:rFonts w:hint="default" w:ascii="Times New Roman" w:hAnsi="Times New Roman" w:cs="Times New Roman"/>
                <w:b/>
                <w:bCs/>
                <w:color w:val="auto"/>
                <w:kern w:val="0"/>
                <w:sz w:val="20"/>
                <w:szCs w:val="20"/>
                <w:highlight w:val="none"/>
                <w:lang w:val="en-US" w:eastAsia="zh-CN"/>
              </w:rPr>
              <w:t>5</w:t>
            </w:r>
            <w:r>
              <w:rPr>
                <w:rFonts w:hint="default" w:ascii="Times New Roman" w:hAnsi="Times New Roman" w:cs="Times New Roman"/>
                <w:b/>
                <w:bCs/>
                <w:color w:val="auto"/>
                <w:kern w:val="0"/>
                <w:sz w:val="20"/>
                <w:szCs w:val="20"/>
                <w:highlight w:val="none"/>
              </w:rPr>
              <w:t xml:space="preserve">  项目与“四川省</w:t>
            </w:r>
            <w:r>
              <w:rPr>
                <w:rFonts w:hint="default" w:ascii="Times New Roman" w:hAnsi="Times New Roman" w:cs="Times New Roman"/>
                <w:b/>
                <w:bCs/>
                <w:color w:val="auto"/>
                <w:sz w:val="20"/>
                <w:szCs w:val="20"/>
                <w:highlight w:val="none"/>
              </w:rPr>
              <w:t>嘉陵江流域生态环境保护条例</w:t>
            </w:r>
            <w:r>
              <w:rPr>
                <w:rFonts w:hint="default" w:ascii="Times New Roman" w:hAnsi="Times New Roman" w:cs="Times New Roman"/>
                <w:b/>
                <w:bCs/>
                <w:color w:val="auto"/>
                <w:kern w:val="0"/>
                <w:sz w:val="20"/>
                <w:szCs w:val="20"/>
                <w:highlight w:val="none"/>
              </w:rPr>
              <w:t>”符合性分析</w:t>
            </w:r>
          </w:p>
          <w:tbl>
            <w:tblPr>
              <w:tblStyle w:val="14"/>
              <w:tblW w:w="6778" w:type="dxa"/>
              <w:jc w:val="center"/>
              <w:tblInd w:w="0" w:type="dxa"/>
              <w:tblLayout w:type="fixed"/>
              <w:tblCellMar>
                <w:top w:w="0" w:type="dxa"/>
                <w:left w:w="108" w:type="dxa"/>
                <w:bottom w:w="0" w:type="dxa"/>
                <w:right w:w="108" w:type="dxa"/>
              </w:tblCellMar>
            </w:tblPr>
            <w:tblGrid>
              <w:gridCol w:w="496"/>
              <w:gridCol w:w="3443"/>
              <w:gridCol w:w="2047"/>
              <w:gridCol w:w="792"/>
            </w:tblGrid>
            <w:tr>
              <w:tblPrEx>
                <w:tblLayout w:type="fixed"/>
                <w:tblCellMar>
                  <w:top w:w="0" w:type="dxa"/>
                  <w:left w:w="108" w:type="dxa"/>
                  <w:bottom w:w="0" w:type="dxa"/>
                  <w:right w:w="108" w:type="dxa"/>
                </w:tblCellMar>
              </w:tblPrEx>
              <w:trPr>
                <w:trHeight w:val="267" w:hRule="atLeast"/>
                <w:jc w:val="center"/>
              </w:trPr>
              <w:tc>
                <w:tcPr>
                  <w:tcW w:w="4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val="0"/>
                      <w:bCs/>
                      <w:color w:val="auto"/>
                      <w:kern w:val="0"/>
                      <w:sz w:val="18"/>
                      <w:szCs w:val="18"/>
                      <w:highlight w:val="none"/>
                    </w:rPr>
                  </w:pPr>
                  <w:r>
                    <w:rPr>
                      <w:rFonts w:hint="default" w:ascii="Times New Roman" w:hAnsi="Times New Roman" w:cs="Times New Roman"/>
                      <w:b w:val="0"/>
                      <w:bCs/>
                      <w:color w:val="auto"/>
                      <w:kern w:val="0"/>
                      <w:sz w:val="18"/>
                      <w:szCs w:val="18"/>
                      <w:highlight w:val="none"/>
                    </w:rPr>
                    <w:t>序号</w:t>
                  </w:r>
                </w:p>
              </w:tc>
              <w:tc>
                <w:tcPr>
                  <w:tcW w:w="3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val="0"/>
                      <w:bCs/>
                      <w:color w:val="auto"/>
                      <w:kern w:val="0"/>
                      <w:sz w:val="18"/>
                      <w:szCs w:val="18"/>
                      <w:highlight w:val="none"/>
                    </w:rPr>
                  </w:pPr>
                  <w:r>
                    <w:rPr>
                      <w:rFonts w:hint="default" w:ascii="Times New Roman" w:hAnsi="Times New Roman" w:cs="Times New Roman"/>
                      <w:b w:val="0"/>
                      <w:bCs/>
                      <w:color w:val="auto"/>
                      <w:kern w:val="0"/>
                      <w:sz w:val="18"/>
                      <w:szCs w:val="18"/>
                      <w:highlight w:val="none"/>
                    </w:rPr>
                    <w:t>四川省嘉陵江流域生态环境保护条例内容</w:t>
                  </w:r>
                </w:p>
              </w:tc>
              <w:tc>
                <w:tcPr>
                  <w:tcW w:w="20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val="0"/>
                      <w:bCs/>
                      <w:color w:val="auto"/>
                      <w:kern w:val="0"/>
                      <w:sz w:val="18"/>
                      <w:szCs w:val="18"/>
                      <w:highlight w:val="none"/>
                    </w:rPr>
                  </w:pPr>
                  <w:r>
                    <w:rPr>
                      <w:rFonts w:hint="default" w:ascii="Times New Roman" w:hAnsi="Times New Roman" w:cs="Times New Roman"/>
                      <w:b w:val="0"/>
                      <w:bCs/>
                      <w:color w:val="auto"/>
                      <w:kern w:val="0"/>
                      <w:sz w:val="18"/>
                      <w:szCs w:val="18"/>
                      <w:highlight w:val="none"/>
                    </w:rPr>
                    <w:t>本项目情况</w:t>
                  </w: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val="0"/>
                      <w:bCs/>
                      <w:color w:val="auto"/>
                      <w:kern w:val="0"/>
                      <w:sz w:val="18"/>
                      <w:szCs w:val="18"/>
                      <w:highlight w:val="none"/>
                    </w:rPr>
                  </w:pPr>
                  <w:r>
                    <w:rPr>
                      <w:rFonts w:hint="default" w:ascii="Times New Roman" w:hAnsi="Times New Roman" w:cs="Times New Roman"/>
                      <w:b w:val="0"/>
                      <w:bCs/>
                      <w:color w:val="auto"/>
                      <w:kern w:val="0"/>
                      <w:sz w:val="18"/>
                      <w:szCs w:val="18"/>
                      <w:highlight w:val="none"/>
                    </w:rPr>
                    <w:t>符合性</w:t>
                  </w:r>
                </w:p>
              </w:tc>
            </w:tr>
            <w:tr>
              <w:tblPrEx>
                <w:tblLayout w:type="fixed"/>
                <w:tblCellMar>
                  <w:top w:w="0" w:type="dxa"/>
                  <w:left w:w="108" w:type="dxa"/>
                  <w:bottom w:w="0" w:type="dxa"/>
                  <w:right w:w="108" w:type="dxa"/>
                </w:tblCellMar>
              </w:tblPrEx>
              <w:trPr>
                <w:trHeight w:val="780" w:hRule="atLeast"/>
                <w:jc w:val="center"/>
              </w:trPr>
              <w:tc>
                <w:tcPr>
                  <w:tcW w:w="4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w:t>
                  </w:r>
                </w:p>
              </w:tc>
              <w:tc>
                <w:tcPr>
                  <w:tcW w:w="3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禁止在嘉陵江干支流岸线一公里范围内新建、扩建化工园区和化工项目。</w:t>
                  </w:r>
                </w:p>
              </w:tc>
              <w:tc>
                <w:tcPr>
                  <w:tcW w:w="20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w:t>
                  </w:r>
                  <w:r>
                    <w:rPr>
                      <w:rFonts w:hint="default" w:ascii="Times New Roman" w:hAnsi="Times New Roman" w:cs="Times New Roman"/>
                      <w:color w:val="auto"/>
                      <w:sz w:val="18"/>
                      <w:szCs w:val="18"/>
                      <w:highlight w:val="none"/>
                    </w:rPr>
                    <w:t>为</w:t>
                  </w:r>
                  <w:r>
                    <w:rPr>
                      <w:rFonts w:hint="eastAsia" w:ascii="Times New Roman" w:hAnsi="Times New Roman" w:cs="Times New Roman"/>
                      <w:color w:val="auto"/>
                      <w:sz w:val="18"/>
                      <w:szCs w:val="18"/>
                      <w:highlight w:val="none"/>
                      <w:lang w:val="en-US" w:eastAsia="zh-CN"/>
                    </w:rPr>
                    <w:t>砂石加工项目</w:t>
                  </w:r>
                  <w:r>
                    <w:rPr>
                      <w:rFonts w:hint="default" w:ascii="Times New Roman" w:hAnsi="Times New Roman" w:cs="Times New Roman"/>
                      <w:color w:val="auto"/>
                      <w:kern w:val="0"/>
                      <w:sz w:val="18"/>
                      <w:szCs w:val="18"/>
                      <w:highlight w:val="none"/>
                    </w:rPr>
                    <w:t>，不属于化工园区和化工项目</w:t>
                  </w: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Layout w:type="fixed"/>
                <w:tblCellMar>
                  <w:top w:w="0" w:type="dxa"/>
                  <w:left w:w="108" w:type="dxa"/>
                  <w:bottom w:w="0" w:type="dxa"/>
                  <w:right w:w="108" w:type="dxa"/>
                </w:tblCellMar>
              </w:tblPrEx>
              <w:trPr>
                <w:trHeight w:val="1652" w:hRule="atLeast"/>
                <w:jc w:val="center"/>
              </w:trPr>
              <w:tc>
                <w:tcPr>
                  <w:tcW w:w="4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w:t>
                  </w:r>
                </w:p>
              </w:tc>
              <w:tc>
                <w:tcPr>
                  <w:tcW w:w="3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spacing w:val="-2"/>
                      <w:kern w:val="0"/>
                      <w:sz w:val="18"/>
                      <w:szCs w:val="18"/>
                      <w:highlight w:val="none"/>
                    </w:rPr>
                    <w:t>按照国家规定实行排污许可管理的企业事业单位和其他生产经营者，应当依法向设区的市级以上地方人民政府生态环境主管部门申请取得排污许可证，按照排污许可证的规定排放污染物，禁止未取得排污许可证或者违反排污许可证的规定排放污染物。</w:t>
                  </w:r>
                </w:p>
              </w:tc>
              <w:tc>
                <w:tcPr>
                  <w:tcW w:w="20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项目环评批复后将按照要求办理排污许可证</w:t>
                  </w: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Layout w:type="fixed"/>
                <w:tblCellMar>
                  <w:top w:w="0" w:type="dxa"/>
                  <w:left w:w="108" w:type="dxa"/>
                  <w:bottom w:w="0" w:type="dxa"/>
                  <w:right w:w="108" w:type="dxa"/>
                </w:tblCellMar>
              </w:tblPrEx>
              <w:trPr>
                <w:trHeight w:val="1805" w:hRule="atLeast"/>
                <w:jc w:val="center"/>
              </w:trPr>
              <w:tc>
                <w:tcPr>
                  <w:tcW w:w="4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3</w:t>
                  </w:r>
                </w:p>
              </w:tc>
              <w:tc>
                <w:tcPr>
                  <w:tcW w:w="3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企业事业单位和其他生产经营者向嘉陵江流域排放污水的，应当按照生态环境主管部门的规定建设规范化污染物排放口，并设置标志牌。重点排污单位应当安装水污染物排放自动监测设备，与生态环境主管部门的监控设备联网，并保证监测设备正常运行。</w:t>
                  </w:r>
                </w:p>
              </w:tc>
              <w:tc>
                <w:tcPr>
                  <w:tcW w:w="20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left"/>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本项目</w:t>
                  </w:r>
                  <w:r>
                    <w:rPr>
                      <w:rFonts w:hint="eastAsia" w:cs="Times New Roman"/>
                      <w:color w:val="auto"/>
                      <w:kern w:val="0"/>
                      <w:sz w:val="18"/>
                      <w:szCs w:val="18"/>
                      <w:highlight w:val="none"/>
                      <w:lang w:val="en-US" w:eastAsia="zh-CN"/>
                    </w:rPr>
                    <w:t>生产废水收集处理后能够全部循环回用不外排</w:t>
                  </w:r>
                  <w:r>
                    <w:rPr>
                      <w:rFonts w:hint="default" w:ascii="Times New Roman" w:hAnsi="Times New Roman" w:cs="Times New Roman"/>
                      <w:color w:val="auto"/>
                      <w:kern w:val="0"/>
                      <w:sz w:val="18"/>
                      <w:szCs w:val="18"/>
                      <w:highlight w:val="none"/>
                      <w:lang w:eastAsia="zh-CN"/>
                    </w:rPr>
                    <w:t>；生活污水设</w:t>
                  </w:r>
                  <w:r>
                    <w:rPr>
                      <w:rFonts w:hint="eastAsia" w:cs="Times New Roman"/>
                      <w:color w:val="auto"/>
                      <w:kern w:val="0"/>
                      <w:sz w:val="18"/>
                      <w:szCs w:val="18"/>
                      <w:highlight w:val="none"/>
                      <w:lang w:eastAsia="zh-CN"/>
                    </w:rPr>
                    <w:t>化粪池</w:t>
                  </w:r>
                  <w:r>
                    <w:rPr>
                      <w:rFonts w:hint="default" w:ascii="Times New Roman" w:hAnsi="Times New Roman" w:cs="Times New Roman"/>
                      <w:color w:val="auto"/>
                      <w:kern w:val="0"/>
                      <w:sz w:val="18"/>
                      <w:szCs w:val="18"/>
                      <w:highlight w:val="none"/>
                      <w:lang w:eastAsia="zh-CN"/>
                    </w:rPr>
                    <w:t>收集处理后清掏做农肥使用。</w:t>
                  </w: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Layout w:type="fixed"/>
                <w:tblCellMar>
                  <w:top w:w="0" w:type="dxa"/>
                  <w:left w:w="108" w:type="dxa"/>
                  <w:bottom w:w="0" w:type="dxa"/>
                  <w:right w:w="108" w:type="dxa"/>
                </w:tblCellMar>
              </w:tblPrEx>
              <w:trPr>
                <w:trHeight w:val="1805" w:hRule="atLeast"/>
                <w:jc w:val="center"/>
              </w:trPr>
              <w:tc>
                <w:tcPr>
                  <w:tcW w:w="4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4</w:t>
                  </w:r>
                </w:p>
              </w:tc>
              <w:tc>
                <w:tcPr>
                  <w:tcW w:w="3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禁止在嘉陵江流域水土流失严重、生态脆弱的区域开展可能造成水土流失的生产建设活动。确因国家发展战略和国计民生需要建设的，应当经科学论证，并依法办理审批手续。</w:t>
                  </w:r>
                </w:p>
              </w:tc>
              <w:tc>
                <w:tcPr>
                  <w:tcW w:w="20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本项目占地</w:t>
                  </w:r>
                  <w:r>
                    <w:rPr>
                      <w:rFonts w:hint="eastAsia" w:cs="Times New Roman"/>
                      <w:color w:val="auto"/>
                      <w:kern w:val="0"/>
                      <w:sz w:val="18"/>
                      <w:szCs w:val="18"/>
                      <w:highlight w:val="none"/>
                      <w:lang w:val="en-US" w:eastAsia="zh-CN"/>
                    </w:rPr>
                    <w:t>不属于</w:t>
                  </w:r>
                  <w:r>
                    <w:rPr>
                      <w:rFonts w:hint="default" w:ascii="Times New Roman" w:hAnsi="Times New Roman" w:cs="Times New Roman"/>
                      <w:color w:val="auto"/>
                      <w:kern w:val="0"/>
                      <w:sz w:val="18"/>
                      <w:szCs w:val="18"/>
                      <w:highlight w:val="none"/>
                    </w:rPr>
                    <w:t>嘉陵江流域水土流失严重、生态脆弱的区域</w:t>
                  </w:r>
                  <w:r>
                    <w:rPr>
                      <w:rFonts w:hint="eastAsia" w:cs="Times New Roman"/>
                      <w:color w:val="auto"/>
                      <w:kern w:val="0"/>
                      <w:sz w:val="18"/>
                      <w:szCs w:val="18"/>
                      <w:highlight w:val="none"/>
                      <w:lang w:eastAsia="zh-CN"/>
                    </w:rPr>
                    <w:t>；</w:t>
                  </w:r>
                  <w:r>
                    <w:rPr>
                      <w:rFonts w:hint="eastAsia" w:cs="Times New Roman"/>
                      <w:color w:val="auto"/>
                      <w:kern w:val="0"/>
                      <w:sz w:val="18"/>
                      <w:szCs w:val="18"/>
                      <w:highlight w:val="none"/>
                      <w:lang w:val="en-US" w:eastAsia="zh-CN"/>
                    </w:rPr>
                    <w:t>本项目不涉及大型土建施工，不涉及</w:t>
                  </w:r>
                  <w:r>
                    <w:rPr>
                      <w:rFonts w:hint="default" w:ascii="Times New Roman" w:hAnsi="Times New Roman" w:cs="Times New Roman"/>
                      <w:color w:val="auto"/>
                      <w:kern w:val="0"/>
                      <w:sz w:val="18"/>
                      <w:szCs w:val="18"/>
                      <w:highlight w:val="none"/>
                    </w:rPr>
                    <w:t>开展可能造成水土流失的生产建设活动。</w:t>
                  </w: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Layout w:type="fixed"/>
                <w:tblCellMar>
                  <w:top w:w="0" w:type="dxa"/>
                  <w:left w:w="108" w:type="dxa"/>
                  <w:bottom w:w="0" w:type="dxa"/>
                  <w:right w:w="108" w:type="dxa"/>
                </w:tblCellMar>
              </w:tblPrEx>
              <w:trPr>
                <w:trHeight w:val="1418" w:hRule="atLeast"/>
                <w:jc w:val="center"/>
              </w:trPr>
              <w:tc>
                <w:tcPr>
                  <w:tcW w:w="4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5</w:t>
                  </w:r>
                </w:p>
              </w:tc>
              <w:tc>
                <w:tcPr>
                  <w:tcW w:w="3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排污单位对污水进行预处理后向污水集中处理设施排放的，应当符合污水集中处理设施的接纳标准。</w:t>
                  </w:r>
                </w:p>
              </w:tc>
              <w:tc>
                <w:tcPr>
                  <w:tcW w:w="20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left"/>
                    <w:textAlignment w:val="auto"/>
                    <w:rPr>
                      <w:rFonts w:hint="default" w:ascii="Times New Roman" w:hAnsi="Times New Roman" w:cs="Times New Roman"/>
                      <w:color w:val="auto"/>
                      <w:kern w:val="0"/>
                      <w:sz w:val="18"/>
                      <w:szCs w:val="18"/>
                      <w:highlight w:val="none"/>
                      <w:lang w:val="en-US"/>
                    </w:rPr>
                  </w:pPr>
                  <w:r>
                    <w:rPr>
                      <w:rFonts w:hint="default" w:ascii="Times New Roman" w:hAnsi="Times New Roman" w:cs="Times New Roman"/>
                      <w:color w:val="auto"/>
                      <w:kern w:val="0"/>
                      <w:sz w:val="18"/>
                      <w:szCs w:val="18"/>
                      <w:highlight w:val="none"/>
                    </w:rPr>
                    <w:t>项目</w:t>
                  </w:r>
                  <w:r>
                    <w:rPr>
                      <w:rFonts w:hint="eastAsia" w:cs="Times New Roman"/>
                      <w:color w:val="auto"/>
                      <w:kern w:val="0"/>
                      <w:sz w:val="18"/>
                      <w:szCs w:val="18"/>
                      <w:highlight w:val="none"/>
                      <w:lang w:val="en-US" w:eastAsia="zh-CN"/>
                    </w:rPr>
                    <w:t>生产废水收集处理后能够全部循环回用不外排</w:t>
                  </w:r>
                  <w:r>
                    <w:rPr>
                      <w:rFonts w:hint="default" w:ascii="Times New Roman" w:hAnsi="Times New Roman" w:cs="Times New Roman"/>
                      <w:color w:val="auto"/>
                      <w:kern w:val="0"/>
                      <w:sz w:val="18"/>
                      <w:szCs w:val="18"/>
                      <w:highlight w:val="none"/>
                      <w:lang w:eastAsia="zh-CN"/>
                    </w:rPr>
                    <w:t>；生活污水设</w:t>
                  </w:r>
                  <w:r>
                    <w:rPr>
                      <w:rFonts w:hint="eastAsia" w:cs="Times New Roman"/>
                      <w:color w:val="auto"/>
                      <w:kern w:val="0"/>
                      <w:sz w:val="18"/>
                      <w:szCs w:val="18"/>
                      <w:highlight w:val="none"/>
                      <w:lang w:eastAsia="zh-CN"/>
                    </w:rPr>
                    <w:t>化粪池</w:t>
                  </w:r>
                  <w:r>
                    <w:rPr>
                      <w:rFonts w:hint="default" w:ascii="Times New Roman" w:hAnsi="Times New Roman" w:cs="Times New Roman"/>
                      <w:color w:val="auto"/>
                      <w:kern w:val="0"/>
                      <w:sz w:val="18"/>
                      <w:szCs w:val="18"/>
                      <w:highlight w:val="none"/>
                      <w:lang w:eastAsia="zh-CN"/>
                    </w:rPr>
                    <w:t>收集处理后清掏做农肥使用。</w:t>
                  </w: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Layout w:type="fixed"/>
                <w:tblCellMar>
                  <w:top w:w="0" w:type="dxa"/>
                  <w:left w:w="108" w:type="dxa"/>
                  <w:bottom w:w="0" w:type="dxa"/>
                  <w:right w:w="108" w:type="dxa"/>
                </w:tblCellMar>
              </w:tblPrEx>
              <w:trPr>
                <w:trHeight w:val="1418" w:hRule="atLeast"/>
                <w:jc w:val="center"/>
              </w:trPr>
              <w:tc>
                <w:tcPr>
                  <w:tcW w:w="4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w:t>
                  </w:r>
                </w:p>
              </w:tc>
              <w:tc>
                <w:tcPr>
                  <w:tcW w:w="3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化学品生产企业以及工业集聚区、矿山开采区、尾矿库、危险废物处置场、垃圾填埋场等运营、管理单位，应当采取防渗漏、防垮塌等措施，并建设地下水水质监测井进行监测，防止地下水污染。</w:t>
                  </w:r>
                </w:p>
              </w:tc>
              <w:tc>
                <w:tcPr>
                  <w:tcW w:w="20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left"/>
                    <w:textAlignment w:val="auto"/>
                    <w:rPr>
                      <w:rFonts w:hint="eastAsia"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项目为</w:t>
                  </w:r>
                  <w:r>
                    <w:rPr>
                      <w:rFonts w:hint="eastAsia" w:cs="Times New Roman"/>
                      <w:color w:val="auto"/>
                      <w:kern w:val="0"/>
                      <w:sz w:val="18"/>
                      <w:szCs w:val="18"/>
                      <w:highlight w:val="none"/>
                      <w:lang w:val="en-US" w:eastAsia="zh-CN"/>
                    </w:rPr>
                    <w:t>砂石加工项目</w:t>
                  </w:r>
                  <w:r>
                    <w:rPr>
                      <w:rFonts w:hint="default" w:ascii="Times New Roman" w:hAnsi="Times New Roman" w:cs="Times New Roman"/>
                      <w:color w:val="auto"/>
                      <w:kern w:val="0"/>
                      <w:sz w:val="18"/>
                      <w:szCs w:val="18"/>
                      <w:highlight w:val="none"/>
                    </w:rPr>
                    <w:t>，不属于化学品生产企业以及工业集聚区、矿山开采区、尾矿库、危险废物处置场、垃圾填埋场等</w:t>
                  </w:r>
                  <w:r>
                    <w:rPr>
                      <w:rFonts w:hint="eastAsia" w:cs="Times New Roman"/>
                      <w:color w:val="auto"/>
                      <w:kern w:val="0"/>
                      <w:sz w:val="18"/>
                      <w:szCs w:val="18"/>
                      <w:highlight w:val="none"/>
                      <w:lang w:eastAsia="zh-CN"/>
                    </w:rPr>
                    <w:t>。</w:t>
                  </w: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Layout w:type="fixed"/>
                <w:tblCellMar>
                  <w:top w:w="0" w:type="dxa"/>
                  <w:left w:w="108" w:type="dxa"/>
                  <w:bottom w:w="0" w:type="dxa"/>
                  <w:right w:w="108" w:type="dxa"/>
                </w:tblCellMar>
              </w:tblPrEx>
              <w:trPr>
                <w:trHeight w:val="1418" w:hRule="atLeast"/>
                <w:jc w:val="center"/>
              </w:trPr>
              <w:tc>
                <w:tcPr>
                  <w:tcW w:w="4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7</w:t>
                  </w:r>
                </w:p>
              </w:tc>
              <w:tc>
                <w:tcPr>
                  <w:tcW w:w="3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嘉陵江流域产业结构和布局应当与流域生态系统和资源环境承载能力相适应。禁止在嘉陵江流域重点生态功能区布局对生态系统有严重影响的产业。禁止重污染企业和项目向嘉陵江流域转移。</w:t>
                  </w:r>
                </w:p>
              </w:tc>
              <w:tc>
                <w:tcPr>
                  <w:tcW w:w="20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项目不属于重污染项目</w:t>
                  </w: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Layout w:type="fixed"/>
                <w:tblCellMar>
                  <w:top w:w="0" w:type="dxa"/>
                  <w:left w:w="108" w:type="dxa"/>
                  <w:bottom w:w="0" w:type="dxa"/>
                  <w:right w:w="108" w:type="dxa"/>
                </w:tblCellMar>
              </w:tblPrEx>
              <w:trPr>
                <w:trHeight w:val="780" w:hRule="atLeast"/>
                <w:jc w:val="center"/>
              </w:trPr>
              <w:tc>
                <w:tcPr>
                  <w:tcW w:w="4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8</w:t>
                  </w:r>
                </w:p>
              </w:tc>
              <w:tc>
                <w:tcPr>
                  <w:tcW w:w="3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限期禁止生产、销售、进口、使用、转让严重污染水环境的工艺和设备。</w:t>
                  </w:r>
                </w:p>
              </w:tc>
              <w:tc>
                <w:tcPr>
                  <w:tcW w:w="20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项目不涉及生产、销售、进口、使用、转让严重污染水环境的工艺和设备</w:t>
                  </w: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Layout w:type="fixed"/>
                <w:tblCellMar>
                  <w:top w:w="0" w:type="dxa"/>
                  <w:left w:w="108" w:type="dxa"/>
                  <w:bottom w:w="0" w:type="dxa"/>
                  <w:right w:w="108" w:type="dxa"/>
                </w:tblCellMar>
              </w:tblPrEx>
              <w:trPr>
                <w:trHeight w:val="90" w:hRule="atLeast"/>
                <w:jc w:val="center"/>
              </w:trPr>
              <w:tc>
                <w:tcPr>
                  <w:tcW w:w="4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9</w:t>
                  </w:r>
                </w:p>
              </w:tc>
              <w:tc>
                <w:tcPr>
                  <w:tcW w:w="3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鼓励企业事业单位和其他生产经营者配套建设工业用水回收利用设施和中水回用管网设施，采取循环用水、综合利用以及废水处理回用等措施，提高水的重复利用率。</w:t>
                  </w:r>
                </w:p>
              </w:tc>
              <w:tc>
                <w:tcPr>
                  <w:tcW w:w="20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w:t>
                  </w:r>
                  <w:r>
                    <w:rPr>
                      <w:rFonts w:hint="eastAsia" w:cs="Times New Roman"/>
                      <w:color w:val="auto"/>
                      <w:kern w:val="0"/>
                      <w:sz w:val="18"/>
                      <w:szCs w:val="18"/>
                      <w:highlight w:val="none"/>
                      <w:lang w:val="en-US" w:eastAsia="zh-CN"/>
                    </w:rPr>
                    <w:t>生产废水收集处理后全部循环回用不外排</w:t>
                  </w:r>
                  <w:r>
                    <w:rPr>
                      <w:rFonts w:hint="default" w:ascii="Times New Roman" w:hAnsi="Times New Roman" w:cs="Times New Roman"/>
                      <w:color w:val="auto"/>
                      <w:kern w:val="0"/>
                      <w:sz w:val="18"/>
                      <w:szCs w:val="18"/>
                      <w:highlight w:val="none"/>
                      <w:lang w:eastAsia="zh-CN"/>
                    </w:rPr>
                    <w:t>；生活污水设</w:t>
                  </w:r>
                  <w:r>
                    <w:rPr>
                      <w:rFonts w:hint="eastAsia" w:cs="Times New Roman"/>
                      <w:color w:val="auto"/>
                      <w:kern w:val="0"/>
                      <w:sz w:val="18"/>
                      <w:szCs w:val="18"/>
                      <w:highlight w:val="none"/>
                      <w:lang w:eastAsia="zh-CN"/>
                    </w:rPr>
                    <w:t>化粪池</w:t>
                  </w:r>
                  <w:r>
                    <w:rPr>
                      <w:rFonts w:hint="default" w:ascii="Times New Roman" w:hAnsi="Times New Roman" w:cs="Times New Roman"/>
                      <w:color w:val="auto"/>
                      <w:kern w:val="0"/>
                      <w:sz w:val="18"/>
                      <w:szCs w:val="18"/>
                      <w:highlight w:val="none"/>
                      <w:lang w:eastAsia="zh-CN"/>
                    </w:rPr>
                    <w:t>收集处理后清掏做农肥使用。</w:t>
                  </w: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bl>
          <w:p>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400" w:lineRule="exact"/>
              <w:ind w:left="0" w:right="0" w:firstLine="440" w:firstLineChars="200"/>
              <w:jc w:val="left"/>
              <w:textAlignment w:val="auto"/>
              <w:rPr>
                <w:rFonts w:hint="default" w:ascii="Times New Roman" w:hAnsi="Times New Roman" w:cs="Times New Roman"/>
                <w:bCs/>
                <w:color w:val="auto"/>
                <w:sz w:val="22"/>
                <w:szCs w:val="22"/>
                <w:highlight w:val="none"/>
              </w:rPr>
            </w:pPr>
            <w:r>
              <w:rPr>
                <w:rFonts w:hint="default" w:ascii="Times New Roman" w:hAnsi="Times New Roman" w:cs="Times New Roman"/>
                <w:bCs/>
                <w:color w:val="auto"/>
                <w:sz w:val="22"/>
                <w:szCs w:val="22"/>
                <w:highlight w:val="none"/>
              </w:rPr>
              <w:t>由上表</w:t>
            </w:r>
            <w:r>
              <w:rPr>
                <w:rFonts w:hint="eastAsia" w:ascii="Times New Roman" w:hAnsi="Times New Roman" w:cs="Times New Roman"/>
                <w:bCs/>
                <w:color w:val="auto"/>
                <w:sz w:val="22"/>
                <w:szCs w:val="22"/>
                <w:highlight w:val="none"/>
                <w:lang w:val="en-US" w:eastAsia="zh-CN"/>
              </w:rPr>
              <w:t>分析</w:t>
            </w:r>
            <w:r>
              <w:rPr>
                <w:rFonts w:hint="default" w:ascii="Times New Roman" w:hAnsi="Times New Roman" w:cs="Times New Roman"/>
                <w:bCs/>
                <w:color w:val="auto"/>
                <w:sz w:val="22"/>
                <w:szCs w:val="22"/>
                <w:highlight w:val="none"/>
              </w:rPr>
              <w:t>可知，本项目建设符合《中华人民共和国长江保护法》《四川省嘉陵江流域生态环境保护条例》中相关要求。</w:t>
            </w:r>
          </w:p>
          <w:p>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400" w:lineRule="exact"/>
              <w:ind w:left="0" w:right="0" w:firstLine="420" w:firstLineChars="200"/>
              <w:jc w:val="left"/>
              <w:textAlignment w:val="auto"/>
              <w:rPr>
                <w:rFonts w:hint="eastAsia" w:ascii="宋体" w:hAnsi="宋体" w:eastAsia="宋体" w:cs="宋体"/>
                <w:bCs/>
                <w:color w:val="auto"/>
                <w:kern w:val="0"/>
                <w:sz w:val="20"/>
                <w:szCs w:val="20"/>
                <w:highlight w:val="none"/>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3</w:t>
            </w: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与《四川省、重庆市长江经济带发展负面清单实施细则(试行，2022年版）》的符合性分析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cs="宋体"/>
                <w:color w:val="auto"/>
                <w:kern w:val="0"/>
                <w:sz w:val="20"/>
                <w:szCs w:val="20"/>
                <w:highlight w:val="none"/>
              </w:rPr>
            </w:pPr>
            <w:r>
              <w:rPr>
                <w:rFonts w:hint="eastAsia" w:ascii="宋体" w:hAnsi="宋体"/>
                <w:bCs/>
                <w:color w:val="auto"/>
                <w:highlight w:val="none"/>
              </w:rPr>
              <w:t>四川省推动长江经济带发展领导小组办公室、重庆市推动长江经济带发展领导小组办公室于</w:t>
            </w:r>
            <w:r>
              <w:rPr>
                <w:rFonts w:hint="eastAsia"/>
                <w:bCs/>
                <w:color w:val="auto"/>
                <w:highlight w:val="none"/>
              </w:rPr>
              <w:t>2022</w:t>
            </w:r>
            <w:r>
              <w:rPr>
                <w:rFonts w:hint="eastAsia" w:ascii="宋体" w:hAnsi="宋体"/>
                <w:bCs/>
                <w:color w:val="auto"/>
                <w:highlight w:val="none"/>
              </w:rPr>
              <w:t>年</w:t>
            </w:r>
            <w:r>
              <w:rPr>
                <w:rFonts w:hint="eastAsia"/>
                <w:bCs/>
                <w:color w:val="auto"/>
                <w:highlight w:val="none"/>
              </w:rPr>
              <w:t>8</w:t>
            </w:r>
            <w:r>
              <w:rPr>
                <w:rFonts w:hint="eastAsia" w:ascii="宋体" w:hAnsi="宋体"/>
                <w:bCs/>
                <w:color w:val="auto"/>
                <w:highlight w:val="none"/>
              </w:rPr>
              <w:t>月</w:t>
            </w:r>
            <w:r>
              <w:rPr>
                <w:rFonts w:hint="eastAsia"/>
                <w:bCs/>
                <w:color w:val="auto"/>
                <w:highlight w:val="none"/>
              </w:rPr>
              <w:t>25</w:t>
            </w:r>
            <w:r>
              <w:rPr>
                <w:rFonts w:hint="eastAsia" w:ascii="宋体" w:hAnsi="宋体"/>
                <w:bCs/>
                <w:color w:val="auto"/>
                <w:highlight w:val="none"/>
              </w:rPr>
              <w:t>日，发布了《关于印发&lt;四川省、重庆市长江经济带发展负面清单实施细则</w:t>
            </w:r>
            <w:r>
              <w:rPr>
                <w:rFonts w:hint="eastAsia"/>
                <w:bCs/>
                <w:color w:val="auto"/>
                <w:highlight w:val="none"/>
              </w:rPr>
              <w:t>(</w:t>
            </w:r>
            <w:r>
              <w:rPr>
                <w:rFonts w:hint="eastAsia" w:ascii="宋体" w:hAnsi="宋体"/>
                <w:bCs/>
                <w:color w:val="auto"/>
                <w:highlight w:val="none"/>
              </w:rPr>
              <w:t>试行，</w:t>
            </w:r>
            <w:r>
              <w:rPr>
                <w:rFonts w:hint="eastAsia"/>
                <w:bCs/>
                <w:color w:val="auto"/>
                <w:highlight w:val="none"/>
              </w:rPr>
              <w:t>2022</w:t>
            </w:r>
            <w:r>
              <w:rPr>
                <w:rFonts w:hint="eastAsia" w:ascii="宋体" w:hAnsi="宋体"/>
                <w:bCs/>
                <w:color w:val="auto"/>
                <w:highlight w:val="none"/>
              </w:rPr>
              <w:t>年版）</w:t>
            </w:r>
            <w:r>
              <w:rPr>
                <w:rFonts w:hint="eastAsia"/>
                <w:bCs/>
                <w:color w:val="auto"/>
                <w:highlight w:val="none"/>
              </w:rPr>
              <w:t>&gt;</w:t>
            </w:r>
            <w:r>
              <w:rPr>
                <w:rFonts w:hint="eastAsia" w:ascii="宋体" w:hAnsi="宋体"/>
                <w:bCs/>
                <w:color w:val="auto"/>
                <w:highlight w:val="none"/>
              </w:rPr>
              <w:t>的通知》（川长江</w:t>
            </w:r>
            <w:r>
              <w:rPr>
                <w:rFonts w:hint="default" w:ascii="宋体" w:hAnsi="宋体"/>
                <w:bCs/>
                <w:color w:val="auto"/>
                <w:highlight w:val="none"/>
              </w:rPr>
              <w:t>办〔</w:t>
            </w:r>
            <w:r>
              <w:rPr>
                <w:rFonts w:hint="default"/>
                <w:bCs/>
                <w:color w:val="auto"/>
                <w:highlight w:val="none"/>
              </w:rPr>
              <w:t>2022</w:t>
            </w:r>
            <w:r>
              <w:rPr>
                <w:rFonts w:hint="default" w:ascii="宋体" w:hAnsi="宋体"/>
                <w:bCs/>
                <w:color w:val="auto"/>
                <w:highlight w:val="none"/>
              </w:rPr>
              <w:t>〕</w:t>
            </w:r>
            <w:r>
              <w:rPr>
                <w:rFonts w:hint="default"/>
                <w:bCs/>
                <w:color w:val="auto"/>
                <w:highlight w:val="none"/>
              </w:rPr>
              <w:t>17</w:t>
            </w:r>
            <w:r>
              <w:rPr>
                <w:rFonts w:hint="default" w:ascii="宋体" w:hAnsi="宋体"/>
                <w:bCs/>
                <w:color w:val="auto"/>
                <w:highlight w:val="none"/>
              </w:rPr>
              <w:t>号）。</w:t>
            </w:r>
            <w:r>
              <w:rPr>
                <w:rFonts w:hint="eastAsia" w:ascii="宋体" w:hAnsi="宋体"/>
                <w:bCs/>
                <w:color w:val="auto"/>
                <w:highlight w:val="none"/>
              </w:rPr>
              <w:t>本项目与《四川省、重庆市长江经济带发展负面清单实施细则</w:t>
            </w:r>
            <w:r>
              <w:rPr>
                <w:rFonts w:hint="eastAsia"/>
                <w:bCs/>
                <w:color w:val="auto"/>
                <w:highlight w:val="none"/>
              </w:rPr>
              <w:t>(</w:t>
            </w:r>
            <w:r>
              <w:rPr>
                <w:rFonts w:hint="eastAsia" w:ascii="宋体" w:hAnsi="宋体"/>
                <w:bCs/>
                <w:color w:val="auto"/>
                <w:highlight w:val="none"/>
              </w:rPr>
              <w:t>试行，</w:t>
            </w:r>
            <w:r>
              <w:rPr>
                <w:rFonts w:hint="eastAsia"/>
                <w:bCs/>
                <w:color w:val="auto"/>
                <w:highlight w:val="none"/>
              </w:rPr>
              <w:t>2022</w:t>
            </w:r>
            <w:r>
              <w:rPr>
                <w:rFonts w:hint="eastAsia" w:ascii="宋体" w:hAnsi="宋体"/>
                <w:bCs/>
                <w:color w:val="auto"/>
                <w:highlight w:val="none"/>
              </w:rPr>
              <w:t>年版）》的符合性分析见下表</w:t>
            </w:r>
            <w:r>
              <w:rPr>
                <w:rFonts w:hint="eastAsia" w:ascii="宋体" w:hAnsi="宋体"/>
                <w:color w:val="auto"/>
                <w:kern w:val="0"/>
                <w:sz w:val="20"/>
                <w:szCs w:val="20"/>
                <w:highlight w:val="none"/>
              </w:rPr>
              <w:t>。</w:t>
            </w:r>
          </w:p>
          <w:p>
            <w:pPr>
              <w:keepNext w:val="0"/>
              <w:keepLines w:val="0"/>
              <w:suppressLineNumbers w:val="0"/>
              <w:adjustRightInd w:val="0"/>
              <w:snapToGrid w:val="0"/>
              <w:spacing w:before="0" w:beforeAutospacing="0" w:after="0" w:afterAutospacing="0" w:line="400" w:lineRule="exact"/>
              <w:ind w:left="0" w:right="0"/>
              <w:jc w:val="center"/>
              <w:rPr>
                <w:rFonts w:hint="default"/>
                <w:b/>
                <w:color w:val="auto"/>
                <w:sz w:val="18"/>
                <w:szCs w:val="18"/>
                <w:highlight w:val="none"/>
              </w:rPr>
            </w:pPr>
            <w:r>
              <w:rPr>
                <w:rFonts w:hint="default" w:ascii="宋体" w:hAnsi="宋体"/>
                <w:b/>
                <w:color w:val="auto"/>
                <w:sz w:val="18"/>
                <w:szCs w:val="18"/>
                <w:highlight w:val="none"/>
              </w:rPr>
              <w:t>表</w:t>
            </w:r>
            <w:r>
              <w:rPr>
                <w:rFonts w:hint="eastAsia"/>
                <w:b/>
                <w:color w:val="auto"/>
                <w:sz w:val="18"/>
                <w:szCs w:val="18"/>
                <w:highlight w:val="none"/>
              </w:rPr>
              <w:t>1-</w:t>
            </w:r>
            <w:r>
              <w:rPr>
                <w:rFonts w:hint="default"/>
                <w:b/>
                <w:color w:val="auto"/>
                <w:sz w:val="18"/>
                <w:szCs w:val="18"/>
                <w:highlight w:val="none"/>
              </w:rPr>
              <w:t>5</w:t>
            </w:r>
            <w:r>
              <w:rPr>
                <w:rFonts w:hint="eastAsia"/>
                <w:b/>
                <w:color w:val="auto"/>
                <w:sz w:val="18"/>
                <w:szCs w:val="18"/>
                <w:highlight w:val="none"/>
              </w:rPr>
              <w:t xml:space="preserve">      </w:t>
            </w:r>
            <w:r>
              <w:rPr>
                <w:rFonts w:hint="eastAsia" w:ascii="宋体" w:hAnsi="宋体"/>
                <w:b/>
                <w:color w:val="auto"/>
                <w:sz w:val="18"/>
                <w:szCs w:val="18"/>
                <w:highlight w:val="none"/>
              </w:rPr>
              <w:t>项目与“川长江办〔2022〕17号”的符合性分</w:t>
            </w:r>
            <w:r>
              <w:rPr>
                <w:rFonts w:hint="eastAsia" w:ascii="宋体" w:hAnsi="宋体"/>
                <w:b/>
                <w:bCs/>
                <w:color w:val="auto"/>
                <w:kern w:val="0"/>
                <w:sz w:val="18"/>
                <w:szCs w:val="18"/>
                <w:highlight w:val="none"/>
              </w:rPr>
              <w:t>析</w:t>
            </w:r>
          </w:p>
          <w:tbl>
            <w:tblPr>
              <w:tblStyle w:val="14"/>
              <w:tblW w:w="6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6"/>
              <w:gridCol w:w="3273"/>
              <w:gridCol w:w="219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2" w:hRule="atLeast"/>
              </w:trPr>
              <w:tc>
                <w:tcPr>
                  <w:tcW w:w="5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b/>
                      <w:color w:val="auto"/>
                      <w:sz w:val="18"/>
                      <w:szCs w:val="15"/>
                      <w:highlight w:val="none"/>
                    </w:rPr>
                  </w:pPr>
                  <w:r>
                    <w:rPr>
                      <w:rFonts w:hint="default" w:ascii="宋体" w:hAnsi="宋体"/>
                      <w:b/>
                      <w:color w:val="auto"/>
                      <w:sz w:val="18"/>
                      <w:szCs w:val="15"/>
                      <w:highlight w:val="none"/>
                    </w:rPr>
                    <w:t>序号</w:t>
                  </w:r>
                </w:p>
              </w:tc>
              <w:tc>
                <w:tcPr>
                  <w:tcW w:w="327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b/>
                      <w:color w:val="auto"/>
                      <w:sz w:val="18"/>
                      <w:szCs w:val="15"/>
                      <w:highlight w:val="none"/>
                    </w:rPr>
                  </w:pPr>
                  <w:r>
                    <w:rPr>
                      <w:rFonts w:hint="default" w:ascii="宋体" w:hAnsi="宋体"/>
                      <w:b/>
                      <w:color w:val="auto"/>
                      <w:sz w:val="18"/>
                      <w:szCs w:val="15"/>
                      <w:highlight w:val="none"/>
                    </w:rPr>
                    <w:t>《负面清单》原文内容</w:t>
                  </w:r>
                </w:p>
              </w:tc>
              <w:tc>
                <w:tcPr>
                  <w:tcW w:w="21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b/>
                      <w:color w:val="auto"/>
                      <w:sz w:val="18"/>
                      <w:szCs w:val="15"/>
                      <w:highlight w:val="none"/>
                    </w:rPr>
                  </w:pPr>
                  <w:r>
                    <w:rPr>
                      <w:rFonts w:hint="default" w:ascii="宋体" w:hAnsi="宋体"/>
                      <w:b/>
                      <w:color w:val="auto"/>
                      <w:sz w:val="18"/>
                      <w:szCs w:val="15"/>
                      <w:highlight w:val="none"/>
                    </w:rPr>
                    <w:t>本项目情况</w:t>
                  </w:r>
                </w:p>
              </w:tc>
              <w:tc>
                <w:tcPr>
                  <w:tcW w:w="7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b/>
                      <w:color w:val="auto"/>
                      <w:sz w:val="18"/>
                      <w:szCs w:val="15"/>
                      <w:highlight w:val="none"/>
                    </w:rPr>
                  </w:pPr>
                  <w:r>
                    <w:rPr>
                      <w:rFonts w:hint="default" w:ascii="宋体" w:hAnsi="宋体"/>
                      <w:b/>
                      <w:color w:val="auto"/>
                      <w:sz w:val="18"/>
                      <w:szCs w:val="15"/>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1" w:hRule="atLeast"/>
              </w:trPr>
              <w:tc>
                <w:tcPr>
                  <w:tcW w:w="5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eastAsia"/>
                      <w:color w:val="auto"/>
                      <w:sz w:val="18"/>
                      <w:szCs w:val="15"/>
                      <w:highlight w:val="none"/>
                    </w:rPr>
                    <w:t>1</w:t>
                  </w:r>
                </w:p>
              </w:tc>
              <w:tc>
                <w:tcPr>
                  <w:tcW w:w="3273" w:type="dxa"/>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ascii="Times New Roman" w:hAnsi="Times New Roman"/>
                      <w:color w:val="auto"/>
                      <w:sz w:val="18"/>
                      <w:szCs w:val="15"/>
                      <w:highlight w:val="none"/>
                    </w:rPr>
                  </w:pPr>
                  <w:r>
                    <w:rPr>
                      <w:rFonts w:hint="eastAsia"/>
                      <w:color w:val="auto"/>
                      <w:sz w:val="18"/>
                      <w:szCs w:val="15"/>
                      <w:highlight w:val="none"/>
                    </w:rPr>
                    <w:t>第七条</w:t>
                  </w:r>
                  <w:r>
                    <w:rPr>
                      <w:rFonts w:hint="eastAsia" w:ascii="Times New Roman" w:hAnsi="Times New Roman"/>
                      <w:color w:val="auto"/>
                      <w:sz w:val="18"/>
                      <w:szCs w:val="15"/>
                      <w:highlight w:val="none"/>
                    </w:rPr>
                    <w:t xml:space="preserve"> </w:t>
                  </w:r>
                  <w:r>
                    <w:rPr>
                      <w:rFonts w:hint="eastAsia"/>
                      <w:color w:val="auto"/>
                      <w:sz w:val="18"/>
                      <w:szCs w:val="15"/>
                      <w:highlight w:val="none"/>
                    </w:rPr>
                    <w:t>禁止在自然保护区核心区、缓冲区的岸线和河段范围内投资建设旅游和生产经营项目。自然保护区的内部未分区的，依照核心区和缓冲区的规定管控。</w:t>
                  </w:r>
                </w:p>
              </w:tc>
              <w:tc>
                <w:tcPr>
                  <w:tcW w:w="2199" w:type="dxa"/>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ascii="Times New Roman" w:hAnsi="Times New Roman"/>
                      <w:color w:val="auto"/>
                      <w:sz w:val="18"/>
                      <w:szCs w:val="15"/>
                      <w:highlight w:val="none"/>
                    </w:rPr>
                  </w:pPr>
                  <w:r>
                    <w:rPr>
                      <w:rFonts w:hint="eastAsia"/>
                      <w:color w:val="auto"/>
                      <w:sz w:val="18"/>
                      <w:szCs w:val="15"/>
                      <w:highlight w:val="none"/>
                    </w:rPr>
                    <w:t>项目位于</w:t>
                  </w:r>
                  <w:r>
                    <w:rPr>
                      <w:rFonts w:hint="eastAsia"/>
                      <w:color w:val="auto"/>
                      <w:sz w:val="18"/>
                      <w:szCs w:val="15"/>
                      <w:highlight w:val="none"/>
                      <w:lang w:val="en-US" w:eastAsia="zh-CN"/>
                    </w:rPr>
                    <w:t>大竹县莲印乡天生村</w:t>
                  </w:r>
                  <w:r>
                    <w:rPr>
                      <w:rFonts w:hint="eastAsia"/>
                      <w:color w:val="auto"/>
                      <w:sz w:val="18"/>
                      <w:szCs w:val="15"/>
                      <w:highlight w:val="none"/>
                    </w:rPr>
                    <w:t>，建设区域不属于自然保护区等生态敏感区。</w:t>
                  </w:r>
                </w:p>
              </w:tc>
              <w:tc>
                <w:tcPr>
                  <w:tcW w:w="7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default" w:ascii="宋体" w:hAnsi="宋体"/>
                      <w:color w:val="auto"/>
                      <w:sz w:val="18"/>
                      <w:szCs w:val="15"/>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0" w:hRule="atLeast"/>
              </w:trPr>
              <w:tc>
                <w:tcPr>
                  <w:tcW w:w="5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eastAsia"/>
                      <w:color w:val="auto"/>
                      <w:sz w:val="18"/>
                      <w:szCs w:val="15"/>
                      <w:highlight w:val="none"/>
                    </w:rPr>
                    <w:t>2</w:t>
                  </w:r>
                </w:p>
              </w:tc>
              <w:tc>
                <w:tcPr>
                  <w:tcW w:w="3273" w:type="dxa"/>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ascii="Times New Roman" w:hAnsi="Times New Roman"/>
                      <w:color w:val="auto"/>
                      <w:sz w:val="18"/>
                      <w:szCs w:val="15"/>
                      <w:highlight w:val="none"/>
                    </w:rPr>
                  </w:pPr>
                  <w:r>
                    <w:rPr>
                      <w:rFonts w:hint="eastAsia"/>
                      <w:color w:val="auto"/>
                      <w:sz w:val="18"/>
                      <w:szCs w:val="15"/>
                      <w:highlight w:val="none"/>
                    </w:rPr>
                    <w:t>第九条</w:t>
                  </w:r>
                  <w:r>
                    <w:rPr>
                      <w:rFonts w:hint="eastAsia" w:ascii="Times New Roman" w:hAnsi="Times New Roman"/>
                      <w:color w:val="auto"/>
                      <w:sz w:val="18"/>
                      <w:szCs w:val="15"/>
                      <w:highlight w:val="none"/>
                    </w:rPr>
                    <w:t xml:space="preserve"> </w:t>
                  </w:r>
                  <w:r>
                    <w:rPr>
                      <w:rFonts w:hint="eastAsia"/>
                      <w:color w:val="auto"/>
                      <w:sz w:val="18"/>
                      <w:szCs w:val="15"/>
                      <w:highlight w:val="none"/>
                    </w:rPr>
                    <w:t>禁止在饮用水水源准保护区的岸线和河段范围内新建、扩建对水体污染严重的建设项目，禁止改建增加排污量的建设项目。</w:t>
                  </w:r>
                </w:p>
              </w:tc>
              <w:tc>
                <w:tcPr>
                  <w:tcW w:w="2199" w:type="dxa"/>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ascii="Times New Roman" w:hAnsi="Times New Roman"/>
                      <w:color w:val="auto"/>
                      <w:sz w:val="18"/>
                      <w:szCs w:val="15"/>
                      <w:highlight w:val="none"/>
                    </w:rPr>
                  </w:pPr>
                  <w:r>
                    <w:rPr>
                      <w:rFonts w:hint="eastAsia"/>
                      <w:color w:val="auto"/>
                      <w:sz w:val="18"/>
                      <w:szCs w:val="15"/>
                      <w:highlight w:val="none"/>
                    </w:rPr>
                    <w:t>项目</w:t>
                  </w:r>
                  <w:r>
                    <w:rPr>
                      <w:rFonts w:hint="eastAsia"/>
                      <w:color w:val="auto"/>
                      <w:sz w:val="18"/>
                      <w:szCs w:val="15"/>
                      <w:highlight w:val="none"/>
                      <w:lang w:val="en-US" w:eastAsia="zh-CN"/>
                    </w:rPr>
                    <w:t>区域地表水体为东面季节性溪沟，距离约115m，溪沟向北汇入大竹县护城河南支流最终流入东柳河。根据调查，项目建设区域</w:t>
                  </w:r>
                  <w:r>
                    <w:rPr>
                      <w:rFonts w:hint="eastAsia"/>
                      <w:color w:val="auto"/>
                      <w:sz w:val="18"/>
                      <w:szCs w:val="15"/>
                      <w:highlight w:val="none"/>
                    </w:rPr>
                    <w:t>不属于饮用水源保护区范围</w:t>
                  </w:r>
                </w:p>
              </w:tc>
              <w:tc>
                <w:tcPr>
                  <w:tcW w:w="7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default" w:ascii="宋体" w:hAnsi="宋体"/>
                      <w:color w:val="auto"/>
                      <w:sz w:val="18"/>
                      <w:szCs w:val="15"/>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2" w:hRule="atLeast"/>
              </w:trPr>
              <w:tc>
                <w:tcPr>
                  <w:tcW w:w="5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eastAsia"/>
                      <w:color w:val="auto"/>
                      <w:sz w:val="18"/>
                      <w:szCs w:val="15"/>
                      <w:highlight w:val="none"/>
                    </w:rPr>
                    <w:t>3</w:t>
                  </w:r>
                </w:p>
              </w:tc>
              <w:tc>
                <w:tcPr>
                  <w:tcW w:w="3273" w:type="dxa"/>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ascii="Times New Roman" w:hAnsi="Times New Roman"/>
                      <w:color w:val="auto"/>
                      <w:sz w:val="18"/>
                      <w:szCs w:val="15"/>
                      <w:highlight w:val="none"/>
                    </w:rPr>
                  </w:pPr>
                  <w:r>
                    <w:rPr>
                      <w:rFonts w:hint="eastAsia"/>
                      <w:color w:val="auto"/>
                      <w:sz w:val="18"/>
                      <w:szCs w:val="15"/>
                      <w:highlight w:val="none"/>
                    </w:rPr>
                    <w:t>第十八条</w:t>
                  </w:r>
                  <w:r>
                    <w:rPr>
                      <w:rFonts w:hint="eastAsia" w:ascii="Times New Roman" w:hAnsi="Times New Roman"/>
                      <w:color w:val="auto"/>
                      <w:sz w:val="18"/>
                      <w:szCs w:val="15"/>
                      <w:highlight w:val="none"/>
                    </w:rPr>
                    <w:t xml:space="preserve"> </w:t>
                  </w:r>
                  <w:r>
                    <w:rPr>
                      <w:rFonts w:hint="eastAsia"/>
                      <w:color w:val="auto"/>
                      <w:sz w:val="18"/>
                      <w:szCs w:val="15"/>
                      <w:highlight w:val="none"/>
                    </w:rPr>
                    <w:t>禁止在长江干支流、重要湖泊岸线一公里范围内新建、扩建化工园区和化工项目。</w:t>
                  </w:r>
                </w:p>
              </w:tc>
              <w:tc>
                <w:tcPr>
                  <w:tcW w:w="2199" w:type="dxa"/>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ascii="Times New Roman" w:hAnsi="Times New Roman"/>
                      <w:color w:val="auto"/>
                      <w:sz w:val="18"/>
                      <w:szCs w:val="15"/>
                      <w:highlight w:val="none"/>
                    </w:rPr>
                  </w:pPr>
                  <w:r>
                    <w:rPr>
                      <w:rFonts w:hint="eastAsia"/>
                      <w:color w:val="auto"/>
                      <w:sz w:val="18"/>
                      <w:szCs w:val="15"/>
                      <w:highlight w:val="none"/>
                    </w:rPr>
                    <w:t>项目不属于化工项目</w:t>
                  </w:r>
                </w:p>
              </w:tc>
              <w:tc>
                <w:tcPr>
                  <w:tcW w:w="7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default" w:ascii="宋体" w:hAnsi="宋体"/>
                      <w:color w:val="auto"/>
                      <w:sz w:val="18"/>
                      <w:szCs w:val="15"/>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1" w:hRule="atLeast"/>
              </w:trPr>
              <w:tc>
                <w:tcPr>
                  <w:tcW w:w="5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eastAsia"/>
                      <w:color w:val="auto"/>
                      <w:sz w:val="18"/>
                      <w:szCs w:val="15"/>
                      <w:highlight w:val="none"/>
                    </w:rPr>
                    <w:t>4</w:t>
                  </w:r>
                </w:p>
              </w:tc>
              <w:tc>
                <w:tcPr>
                  <w:tcW w:w="3273" w:type="dxa"/>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ascii="Times New Roman" w:hAnsi="Times New Roman"/>
                      <w:color w:val="auto"/>
                      <w:sz w:val="18"/>
                      <w:szCs w:val="15"/>
                      <w:highlight w:val="none"/>
                    </w:rPr>
                  </w:pPr>
                  <w:r>
                    <w:rPr>
                      <w:rFonts w:hint="eastAsia"/>
                      <w:color w:val="auto"/>
                      <w:sz w:val="18"/>
                      <w:szCs w:val="15"/>
                      <w:highlight w:val="none"/>
                    </w:rPr>
                    <w:t>第十九条</w:t>
                  </w:r>
                  <w:r>
                    <w:rPr>
                      <w:rFonts w:hint="eastAsia" w:ascii="Times New Roman" w:hAnsi="Times New Roman"/>
                      <w:color w:val="auto"/>
                      <w:sz w:val="18"/>
                      <w:szCs w:val="15"/>
                      <w:highlight w:val="none"/>
                    </w:rPr>
                    <w:t xml:space="preserve"> </w:t>
                  </w:r>
                  <w:r>
                    <w:rPr>
                      <w:rFonts w:hint="eastAsia"/>
                      <w:color w:val="auto"/>
                      <w:sz w:val="18"/>
                      <w:szCs w:val="15"/>
                      <w:highlight w:val="none"/>
                    </w:rPr>
                    <w:t>禁止在长江干流岸线三公里范围内和重要支流岸线一公里范围内新建、改建、扩建尾矿库、冶炼渣库、磷石膏库，以提升安全、生态环境保护水平为目的的改建除外。</w:t>
                  </w:r>
                </w:p>
              </w:tc>
              <w:tc>
                <w:tcPr>
                  <w:tcW w:w="2199" w:type="dxa"/>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ascii="Times New Roman" w:hAnsi="Times New Roman"/>
                      <w:color w:val="auto"/>
                      <w:sz w:val="18"/>
                      <w:szCs w:val="15"/>
                      <w:highlight w:val="none"/>
                    </w:rPr>
                  </w:pPr>
                  <w:r>
                    <w:rPr>
                      <w:rFonts w:hint="eastAsia"/>
                      <w:color w:val="auto"/>
                      <w:sz w:val="18"/>
                      <w:szCs w:val="15"/>
                      <w:highlight w:val="none"/>
                    </w:rPr>
                    <w:t>项目为砂石加工项目，不涉及建设尾矿库、冶炼渣库、磷石膏库等</w:t>
                  </w:r>
                </w:p>
              </w:tc>
              <w:tc>
                <w:tcPr>
                  <w:tcW w:w="7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default" w:ascii="宋体" w:hAnsi="宋体"/>
                      <w:color w:val="auto"/>
                      <w:sz w:val="18"/>
                      <w:szCs w:val="15"/>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2" w:hRule="atLeast"/>
              </w:trPr>
              <w:tc>
                <w:tcPr>
                  <w:tcW w:w="5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eastAsia"/>
                      <w:color w:val="auto"/>
                      <w:sz w:val="18"/>
                      <w:szCs w:val="15"/>
                      <w:highlight w:val="none"/>
                    </w:rPr>
                    <w:t>5</w:t>
                  </w:r>
                </w:p>
              </w:tc>
              <w:tc>
                <w:tcPr>
                  <w:tcW w:w="3273" w:type="dxa"/>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ascii="Times New Roman" w:hAnsi="Times New Roman"/>
                      <w:color w:val="auto"/>
                      <w:sz w:val="18"/>
                      <w:szCs w:val="15"/>
                      <w:highlight w:val="none"/>
                    </w:rPr>
                  </w:pPr>
                  <w:r>
                    <w:rPr>
                      <w:rFonts w:hint="eastAsia"/>
                      <w:color w:val="auto"/>
                      <w:sz w:val="18"/>
                      <w:szCs w:val="15"/>
                      <w:highlight w:val="none"/>
                    </w:rPr>
                    <w:t>第二十一条禁止在合规园区外新建、扩建钢铁、石化、化工、焦化、建材、有色、制浆造纸等高污染项目。</w:t>
                  </w:r>
                </w:p>
              </w:tc>
              <w:tc>
                <w:tcPr>
                  <w:tcW w:w="2199" w:type="dxa"/>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color w:val="auto"/>
                      <w:sz w:val="18"/>
                      <w:szCs w:val="15"/>
                      <w:highlight w:val="none"/>
                    </w:rPr>
                  </w:pPr>
                  <w:r>
                    <w:rPr>
                      <w:rFonts w:hint="eastAsia"/>
                      <w:color w:val="auto"/>
                      <w:sz w:val="18"/>
                      <w:szCs w:val="15"/>
                      <w:highlight w:val="none"/>
                    </w:rPr>
                    <w:t>项目不属于钢铁、石化、化工、焦化、建材、有色、制浆造纸等高污染项目</w:t>
                  </w:r>
                </w:p>
              </w:tc>
              <w:tc>
                <w:tcPr>
                  <w:tcW w:w="7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default" w:ascii="宋体" w:hAnsi="宋体"/>
                      <w:color w:val="auto"/>
                      <w:sz w:val="18"/>
                      <w:szCs w:val="15"/>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0" w:hRule="atLeast"/>
              </w:trPr>
              <w:tc>
                <w:tcPr>
                  <w:tcW w:w="5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eastAsia"/>
                      <w:color w:val="auto"/>
                      <w:sz w:val="18"/>
                      <w:szCs w:val="15"/>
                      <w:highlight w:val="none"/>
                    </w:rPr>
                    <w:t>6</w:t>
                  </w:r>
                </w:p>
              </w:tc>
              <w:tc>
                <w:tcPr>
                  <w:tcW w:w="3273" w:type="dxa"/>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ascii="Times New Roman" w:hAnsi="Times New Roman"/>
                      <w:color w:val="auto"/>
                      <w:sz w:val="18"/>
                      <w:szCs w:val="15"/>
                      <w:highlight w:val="none"/>
                    </w:rPr>
                  </w:pPr>
                  <w:r>
                    <w:rPr>
                      <w:rFonts w:hint="eastAsia"/>
                      <w:color w:val="auto"/>
                      <w:sz w:val="18"/>
                      <w:szCs w:val="15"/>
                      <w:highlight w:val="none"/>
                    </w:rPr>
                    <w:t>第二十三条</w:t>
                  </w:r>
                  <w:r>
                    <w:rPr>
                      <w:rFonts w:hint="eastAsia" w:ascii="Times New Roman" w:hAnsi="Times New Roman"/>
                      <w:color w:val="auto"/>
                      <w:sz w:val="18"/>
                      <w:szCs w:val="15"/>
                      <w:highlight w:val="none"/>
                    </w:rPr>
                    <w:t xml:space="preserve"> </w:t>
                  </w:r>
                  <w:r>
                    <w:rPr>
                      <w:rFonts w:hint="eastAsia"/>
                      <w:color w:val="auto"/>
                      <w:sz w:val="18"/>
                      <w:szCs w:val="15"/>
                      <w:highlight w:val="none"/>
                    </w:rPr>
                    <w:t>禁止新建、扩建法律法规和相关政策明令禁止的落后产能项目。对《产业结构调整指导目录》中淘汰类项目，禁止投资</w:t>
                  </w:r>
                  <w:r>
                    <w:rPr>
                      <w:rFonts w:hint="eastAsia" w:ascii="Times New Roman" w:hAnsi="Times New Roman"/>
                      <w:color w:val="auto"/>
                      <w:sz w:val="18"/>
                      <w:szCs w:val="15"/>
                      <w:highlight w:val="none"/>
                    </w:rPr>
                    <w:t>;</w:t>
                  </w:r>
                  <w:r>
                    <w:rPr>
                      <w:rFonts w:hint="eastAsia"/>
                      <w:color w:val="auto"/>
                      <w:sz w:val="18"/>
                      <w:szCs w:val="15"/>
                      <w:highlight w:val="none"/>
                    </w:rPr>
                    <w:t>限制类的新建项目，禁止投资，对属于限制类的现有生产能力，允许企业在一定期限内采取措施改造升级。</w:t>
                  </w:r>
                </w:p>
              </w:tc>
              <w:tc>
                <w:tcPr>
                  <w:tcW w:w="2199" w:type="dxa"/>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color w:val="auto"/>
                      <w:sz w:val="18"/>
                      <w:szCs w:val="15"/>
                      <w:highlight w:val="none"/>
                    </w:rPr>
                  </w:pPr>
                  <w:r>
                    <w:rPr>
                      <w:rFonts w:hint="eastAsia"/>
                      <w:color w:val="auto"/>
                      <w:sz w:val="18"/>
                      <w:szCs w:val="15"/>
                      <w:highlight w:val="none"/>
                    </w:rPr>
                    <w:t>项目符合国家现行产业政策，已取得投资备案手续。</w:t>
                  </w:r>
                </w:p>
              </w:tc>
              <w:tc>
                <w:tcPr>
                  <w:tcW w:w="7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default" w:ascii="宋体" w:hAnsi="宋体"/>
                      <w:color w:val="auto"/>
                      <w:sz w:val="18"/>
                      <w:szCs w:val="15"/>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1" w:hRule="atLeast"/>
              </w:trPr>
              <w:tc>
                <w:tcPr>
                  <w:tcW w:w="5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eastAsia"/>
                      <w:color w:val="auto"/>
                      <w:sz w:val="18"/>
                      <w:szCs w:val="15"/>
                      <w:highlight w:val="none"/>
                    </w:rPr>
                    <w:t>7</w:t>
                  </w:r>
                </w:p>
              </w:tc>
              <w:tc>
                <w:tcPr>
                  <w:tcW w:w="3273" w:type="dxa"/>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ascii="Times New Roman" w:hAnsi="Times New Roman"/>
                      <w:color w:val="auto"/>
                      <w:sz w:val="18"/>
                      <w:szCs w:val="15"/>
                      <w:highlight w:val="none"/>
                    </w:rPr>
                  </w:pPr>
                  <w:r>
                    <w:rPr>
                      <w:rFonts w:hint="eastAsia"/>
                      <w:color w:val="auto"/>
                      <w:sz w:val="18"/>
                      <w:szCs w:val="15"/>
                      <w:highlight w:val="none"/>
                    </w:rPr>
                    <w:t>第二十四条</w:t>
                  </w:r>
                  <w:r>
                    <w:rPr>
                      <w:rFonts w:hint="eastAsia" w:ascii="Times New Roman" w:hAnsi="Times New Roman"/>
                      <w:color w:val="auto"/>
                      <w:sz w:val="18"/>
                      <w:szCs w:val="15"/>
                      <w:highlight w:val="none"/>
                    </w:rPr>
                    <w:t xml:space="preserve"> </w:t>
                  </w:r>
                  <w:r>
                    <w:rPr>
                      <w:rFonts w:hint="eastAsia"/>
                      <w:color w:val="auto"/>
                      <w:sz w:val="18"/>
                      <w:szCs w:val="15"/>
                      <w:highlight w:val="none"/>
                    </w:rPr>
                    <w:t>禁止新建、扩建不符合国家产能置换要求的严重过剩产能行业的项目。对于不符合国家产能置换要求的严重过剩产能行业，不得以其他任何名义、任何方式备案新增产能项目。</w:t>
                  </w:r>
                </w:p>
              </w:tc>
              <w:tc>
                <w:tcPr>
                  <w:tcW w:w="2199" w:type="dxa"/>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color w:val="auto"/>
                      <w:sz w:val="18"/>
                      <w:szCs w:val="15"/>
                      <w:highlight w:val="none"/>
                    </w:rPr>
                  </w:pPr>
                  <w:r>
                    <w:rPr>
                      <w:rFonts w:hint="eastAsia"/>
                      <w:color w:val="auto"/>
                      <w:sz w:val="18"/>
                      <w:szCs w:val="15"/>
                      <w:highlight w:val="none"/>
                    </w:rPr>
                    <w:t>项目为砂石加工项目，不属于国家产能置换要求的严重过剩产能行业的项目</w:t>
                  </w:r>
                </w:p>
              </w:tc>
              <w:tc>
                <w:tcPr>
                  <w:tcW w:w="7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default" w:ascii="宋体" w:hAnsi="宋体"/>
                      <w:color w:val="auto"/>
                      <w:sz w:val="18"/>
                      <w:szCs w:val="15"/>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5" w:hRule="atLeast"/>
              </w:trPr>
              <w:tc>
                <w:tcPr>
                  <w:tcW w:w="56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eastAsia"/>
                      <w:color w:val="auto"/>
                      <w:sz w:val="18"/>
                      <w:szCs w:val="15"/>
                      <w:highlight w:val="none"/>
                    </w:rPr>
                    <w:t>8</w:t>
                  </w:r>
                </w:p>
              </w:tc>
              <w:tc>
                <w:tcPr>
                  <w:tcW w:w="3273" w:type="dxa"/>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ascii="Times New Roman" w:hAnsi="Times New Roman"/>
                      <w:color w:val="auto"/>
                      <w:sz w:val="18"/>
                      <w:szCs w:val="15"/>
                      <w:highlight w:val="none"/>
                    </w:rPr>
                  </w:pPr>
                  <w:r>
                    <w:rPr>
                      <w:rFonts w:hint="eastAsia"/>
                      <w:color w:val="auto"/>
                      <w:sz w:val="18"/>
                      <w:szCs w:val="15"/>
                      <w:highlight w:val="none"/>
                    </w:rPr>
                    <w:t>第二十六条</w:t>
                  </w:r>
                  <w:r>
                    <w:rPr>
                      <w:rFonts w:hint="eastAsia" w:ascii="Times New Roman" w:hAnsi="Times New Roman"/>
                      <w:color w:val="auto"/>
                      <w:sz w:val="18"/>
                      <w:szCs w:val="15"/>
                      <w:highlight w:val="none"/>
                    </w:rPr>
                    <w:t xml:space="preserve"> </w:t>
                  </w:r>
                  <w:r>
                    <w:rPr>
                      <w:rFonts w:hint="eastAsia"/>
                      <w:color w:val="auto"/>
                      <w:sz w:val="18"/>
                      <w:szCs w:val="15"/>
                      <w:highlight w:val="none"/>
                    </w:rPr>
                    <w:t>禁止新建、扩建不符合要求的高耗能、高排放、低水平项目。</w:t>
                  </w:r>
                </w:p>
              </w:tc>
              <w:tc>
                <w:tcPr>
                  <w:tcW w:w="2199" w:type="dxa"/>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textAlignment w:val="auto"/>
                    <w:rPr>
                      <w:rFonts w:hint="default"/>
                      <w:color w:val="auto"/>
                      <w:sz w:val="18"/>
                      <w:szCs w:val="15"/>
                      <w:highlight w:val="none"/>
                    </w:rPr>
                  </w:pPr>
                  <w:r>
                    <w:rPr>
                      <w:rFonts w:hint="eastAsia"/>
                      <w:color w:val="auto"/>
                      <w:sz w:val="18"/>
                      <w:szCs w:val="15"/>
                      <w:highlight w:val="none"/>
                    </w:rPr>
                    <w:t>项目营运期耗能主要为电能，大气污染物主要为粉尘，不属于高耗能、高排放、低水平项目</w:t>
                  </w:r>
                </w:p>
              </w:tc>
              <w:tc>
                <w:tcPr>
                  <w:tcW w:w="74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53" w:leftChars="25" w:right="53" w:rightChars="25"/>
                    <w:jc w:val="center"/>
                    <w:textAlignment w:val="auto"/>
                    <w:rPr>
                      <w:rFonts w:hint="default"/>
                      <w:color w:val="auto"/>
                      <w:sz w:val="18"/>
                      <w:szCs w:val="15"/>
                      <w:highlight w:val="none"/>
                    </w:rPr>
                  </w:pPr>
                  <w:r>
                    <w:rPr>
                      <w:rFonts w:hint="eastAsia" w:ascii="宋体" w:hAnsi="宋体"/>
                      <w:color w:val="auto"/>
                      <w:sz w:val="18"/>
                      <w:szCs w:val="15"/>
                      <w:highlight w:val="none"/>
                    </w:rPr>
                    <w:t>符合</w:t>
                  </w:r>
                </w:p>
              </w:tc>
            </w:tr>
          </w:tbl>
          <w:p>
            <w:pPr>
              <w:keepNext w:val="0"/>
              <w:keepLines w:val="0"/>
              <w:suppressLineNumbers w:val="0"/>
              <w:adjustRightInd w:val="0"/>
              <w:snapToGrid w:val="0"/>
              <w:spacing w:before="0" w:beforeAutospacing="0" w:after="0" w:afterAutospacing="0" w:line="400" w:lineRule="exact"/>
              <w:ind w:left="0" w:right="0"/>
              <w:jc w:val="left"/>
              <w:rPr>
                <w:rFonts w:hint="default" w:eastAsia="黑体"/>
                <w:bCs/>
                <w:color w:val="auto"/>
                <w:szCs w:val="21"/>
                <w:highlight w:val="none"/>
              </w:rPr>
            </w:pPr>
            <w:r>
              <w:rPr>
                <w:rFonts w:hint="eastAsia" w:eastAsia="黑体"/>
                <w:bCs/>
                <w:color w:val="auto"/>
                <w:szCs w:val="21"/>
                <w:highlight w:val="none"/>
                <w:lang w:val="en-US" w:eastAsia="zh-CN"/>
              </w:rPr>
              <w:t>4</w:t>
            </w:r>
            <w:r>
              <w:rPr>
                <w:rFonts w:hint="eastAsia" w:eastAsia="黑体"/>
                <w:bCs/>
                <w:color w:val="auto"/>
                <w:szCs w:val="21"/>
                <w:highlight w:val="none"/>
              </w:rPr>
              <w:t>、用地规划符合性分析</w:t>
            </w:r>
          </w:p>
          <w:p>
            <w:pPr>
              <w:keepNext w:val="0"/>
              <w:keepLines w:val="0"/>
              <w:suppressLineNumbers w:val="0"/>
              <w:autoSpaceDE w:val="0"/>
              <w:autoSpaceDN w:val="0"/>
              <w:adjustRightInd w:val="0"/>
              <w:spacing w:before="0" w:beforeAutospacing="0" w:after="0" w:afterAutospacing="0" w:line="400" w:lineRule="exact"/>
              <w:ind w:left="53" w:leftChars="25" w:right="53" w:rightChars="25" w:firstLine="420" w:firstLineChars="200"/>
              <w:jc w:val="left"/>
              <w:rPr>
                <w:rFonts w:hint="eastAsia"/>
                <w:bCs/>
                <w:color w:val="auto"/>
                <w:szCs w:val="21"/>
                <w:highlight w:val="none"/>
                <w:lang w:val="en-US" w:eastAsia="zh-CN"/>
              </w:rPr>
            </w:pPr>
            <w:r>
              <w:rPr>
                <w:rFonts w:hint="eastAsia" w:ascii="宋体" w:hAnsi="宋体" w:cs="宋体"/>
                <w:bCs/>
                <w:color w:val="auto"/>
                <w:szCs w:val="21"/>
                <w:highlight w:val="none"/>
                <w:lang w:val="en-US" w:eastAsia="zh-CN"/>
              </w:rPr>
              <w:t>根据建设单位提供的资料，本项目总占地面积约9852m</w:t>
            </w:r>
            <w:r>
              <w:rPr>
                <w:rFonts w:hint="eastAsia" w:ascii="宋体" w:hAnsi="宋体" w:cs="宋体"/>
                <w:bCs/>
                <w:color w:val="auto"/>
                <w:szCs w:val="21"/>
                <w:highlight w:val="none"/>
                <w:vertAlign w:val="superscript"/>
                <w:lang w:val="en-US" w:eastAsia="zh-CN"/>
              </w:rPr>
              <w:t>2</w:t>
            </w:r>
            <w:r>
              <w:rPr>
                <w:rFonts w:hint="eastAsia" w:ascii="宋体" w:hAnsi="宋体" w:cs="宋体"/>
                <w:bCs/>
                <w:color w:val="auto"/>
                <w:szCs w:val="21"/>
                <w:highlight w:val="none"/>
                <w:lang w:val="en-US" w:eastAsia="zh-CN"/>
              </w:rPr>
              <w:t>，其中已有面积528m</w:t>
            </w:r>
            <w:r>
              <w:rPr>
                <w:rFonts w:hint="eastAsia" w:ascii="宋体" w:hAnsi="宋体" w:cs="宋体"/>
                <w:bCs/>
                <w:color w:val="auto"/>
                <w:szCs w:val="21"/>
                <w:highlight w:val="none"/>
                <w:vertAlign w:val="superscript"/>
                <w:lang w:val="en-US" w:eastAsia="zh-CN"/>
              </w:rPr>
              <w:t>2</w:t>
            </w:r>
            <w:r>
              <w:rPr>
                <w:rFonts w:hint="eastAsia" w:ascii="宋体" w:hAnsi="宋体" w:cs="宋体"/>
                <w:bCs/>
                <w:color w:val="auto"/>
                <w:szCs w:val="21"/>
                <w:highlight w:val="none"/>
                <w:lang w:val="en-US" w:eastAsia="zh-CN"/>
              </w:rPr>
              <w:t>办理了砖厂建设用地使用手续，其余占地为通过租用方式取得土地使用权。</w:t>
            </w:r>
            <w:r>
              <w:rPr>
                <w:rFonts w:hint="eastAsia" w:ascii="宋体" w:hAnsi="宋体" w:cs="宋体"/>
                <w:bCs/>
                <w:color w:val="auto"/>
                <w:szCs w:val="21"/>
                <w:highlight w:val="none"/>
              </w:rPr>
              <w:t>根据</w:t>
            </w:r>
            <w:r>
              <w:rPr>
                <w:rFonts w:hint="eastAsia" w:ascii="宋体" w:hAnsi="宋体" w:cs="宋体"/>
                <w:bCs/>
                <w:color w:val="auto"/>
                <w:szCs w:val="21"/>
                <w:highlight w:val="none"/>
                <w:lang w:val="en-US" w:eastAsia="zh-CN"/>
              </w:rPr>
              <w:t>建设单位提供的</w:t>
            </w: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用地规划审查图</w:t>
            </w:r>
            <w:r>
              <w:rPr>
                <w:rFonts w:hint="default"/>
                <w:bCs/>
                <w:color w:val="auto"/>
                <w:szCs w:val="21"/>
                <w:highlight w:val="none"/>
              </w:rPr>
              <w:t>》</w:t>
            </w:r>
            <w:r>
              <w:rPr>
                <w:rFonts w:hint="eastAsia"/>
                <w:bCs/>
                <w:color w:val="auto"/>
                <w:szCs w:val="21"/>
                <w:highlight w:val="none"/>
              </w:rPr>
              <w:t>，本项目建设区域</w:t>
            </w:r>
            <w:r>
              <w:rPr>
                <w:rFonts w:hint="eastAsia"/>
                <w:bCs/>
                <w:color w:val="auto"/>
                <w:szCs w:val="21"/>
                <w:highlight w:val="none"/>
                <w:lang w:val="en-US" w:eastAsia="zh-CN"/>
              </w:rPr>
              <w:t>不占用永久基本农田，不涉及生态保护红线，不占用城镇开发边界；经比对《大竹县产城融合片区国土空间规划（2021-2035年）》，本项目占地地块属于采矿用地。</w:t>
            </w:r>
          </w:p>
          <w:p>
            <w:pPr>
              <w:keepNext w:val="0"/>
              <w:keepLines w:val="0"/>
              <w:suppressLineNumbers w:val="0"/>
              <w:autoSpaceDE w:val="0"/>
              <w:autoSpaceDN w:val="0"/>
              <w:adjustRightInd w:val="0"/>
              <w:spacing w:before="0" w:beforeAutospacing="0" w:after="0" w:afterAutospacing="0" w:line="400" w:lineRule="exact"/>
              <w:ind w:left="53" w:leftChars="25" w:right="53" w:rightChars="25" w:firstLine="420" w:firstLineChars="200"/>
              <w:jc w:val="left"/>
              <w:rPr>
                <w:rFonts w:hint="default"/>
                <w:bCs/>
                <w:color w:val="auto"/>
                <w:szCs w:val="21"/>
                <w:highlight w:val="none"/>
              </w:rPr>
            </w:pPr>
            <w:r>
              <w:rPr>
                <w:rFonts w:hint="default" w:ascii="Arial" w:hAnsi="Arial" w:eastAsia="Arial" w:cs="Arial"/>
                <w:i w:val="0"/>
                <w:iCs w:val="0"/>
                <w:caps w:val="0"/>
                <w:color w:val="auto"/>
                <w:spacing w:val="0"/>
                <w:sz w:val="21"/>
                <w:szCs w:val="21"/>
                <w:shd w:val="clear" w:fill="FFFFFF"/>
              </w:rPr>
              <w:t>根据《中华人民共和国土地管理法》</w:t>
            </w:r>
            <w:r>
              <w:rPr>
                <w:rFonts w:hint="eastAsia" w:ascii="Arial" w:hAnsi="Arial" w:cs="Arial"/>
                <w:i w:val="0"/>
                <w:iCs w:val="0"/>
                <w:caps w:val="0"/>
                <w:color w:val="auto"/>
                <w:spacing w:val="0"/>
                <w:sz w:val="21"/>
                <w:szCs w:val="21"/>
                <w:shd w:val="clear" w:fill="FFFFFF"/>
                <w:lang w:eastAsia="zh-CN"/>
              </w:rPr>
              <w:t>，</w:t>
            </w:r>
            <w:r>
              <w:rPr>
                <w:rFonts w:hint="default" w:ascii="Arial" w:hAnsi="Arial" w:eastAsia="Arial" w:cs="Arial"/>
                <w:i w:val="0"/>
                <w:iCs w:val="0"/>
                <w:caps w:val="0"/>
                <w:color w:val="auto"/>
                <w:spacing w:val="0"/>
                <w:sz w:val="21"/>
                <w:szCs w:val="21"/>
              </w:rPr>
              <w:t>采矿用地属于建设用地范畴</w:t>
            </w:r>
            <w:r>
              <w:rPr>
                <w:rFonts w:hint="default" w:ascii="Arial" w:hAnsi="Arial" w:eastAsia="Arial" w:cs="Arial"/>
                <w:i w:val="0"/>
                <w:iCs w:val="0"/>
                <w:caps w:val="0"/>
                <w:color w:val="auto"/>
                <w:spacing w:val="0"/>
                <w:sz w:val="21"/>
                <w:szCs w:val="21"/>
                <w:shd w:val="clear" w:fill="FFFFFF"/>
              </w:rPr>
              <w:t>。</w:t>
            </w:r>
            <w:r>
              <w:rPr>
                <w:rFonts w:hint="eastAsia" w:ascii="Arial" w:hAnsi="Arial" w:cs="Arial"/>
                <w:i w:val="0"/>
                <w:iCs w:val="0"/>
                <w:caps w:val="0"/>
                <w:color w:val="auto"/>
                <w:spacing w:val="0"/>
                <w:sz w:val="21"/>
                <w:szCs w:val="21"/>
                <w:shd w:val="clear" w:fill="FFFFFF"/>
                <w:lang w:val="en-US" w:eastAsia="zh-CN"/>
              </w:rPr>
              <w:t>因此，本项目用地</w:t>
            </w:r>
            <w:r>
              <w:rPr>
                <w:rFonts w:hint="eastAsia"/>
                <w:bCs/>
                <w:color w:val="auto"/>
                <w:szCs w:val="21"/>
                <w:highlight w:val="none"/>
                <w:lang w:val="en-US" w:eastAsia="zh-CN"/>
              </w:rPr>
              <w:t>符合用地规划要求。</w:t>
            </w:r>
          </w:p>
          <w:p>
            <w:pPr>
              <w:keepNext w:val="0"/>
              <w:keepLines w:val="0"/>
              <w:suppressLineNumbers w:val="0"/>
              <w:adjustRightInd w:val="0"/>
              <w:snapToGrid w:val="0"/>
              <w:spacing w:before="0" w:beforeAutospacing="0" w:after="0" w:afterAutospacing="0" w:line="400" w:lineRule="exact"/>
              <w:ind w:left="0" w:right="0"/>
              <w:jc w:val="left"/>
              <w:rPr>
                <w:rFonts w:hint="default" w:eastAsia="黑体"/>
                <w:bCs/>
                <w:color w:val="auto"/>
                <w:szCs w:val="21"/>
                <w:highlight w:val="none"/>
              </w:rPr>
            </w:pPr>
            <w:r>
              <w:rPr>
                <w:rFonts w:hint="eastAsia" w:eastAsia="黑体"/>
                <w:bCs/>
                <w:color w:val="auto"/>
                <w:szCs w:val="21"/>
                <w:highlight w:val="none"/>
                <w:lang w:val="en-US" w:eastAsia="zh-CN"/>
              </w:rPr>
              <w:t>5</w:t>
            </w:r>
            <w:r>
              <w:rPr>
                <w:rFonts w:hint="eastAsia" w:eastAsia="黑体"/>
                <w:bCs/>
                <w:color w:val="auto"/>
                <w:szCs w:val="21"/>
                <w:highlight w:val="none"/>
              </w:rPr>
              <w:t>、与污染防治相关法律法规符合性分析</w:t>
            </w:r>
          </w:p>
          <w:p>
            <w:pPr>
              <w:keepNext w:val="0"/>
              <w:keepLines w:val="0"/>
              <w:suppressLineNumbers w:val="0"/>
              <w:spacing w:before="0" w:beforeAutospacing="0" w:after="0" w:afterAutospacing="0" w:line="400" w:lineRule="exact"/>
              <w:ind w:left="0" w:right="0" w:firstLine="420" w:firstLineChars="200"/>
              <w:jc w:val="left"/>
              <w:rPr>
                <w:rFonts w:hint="default"/>
                <w:color w:val="auto"/>
                <w:kern w:val="0"/>
                <w:szCs w:val="21"/>
                <w:highlight w:val="none"/>
              </w:rPr>
            </w:pPr>
            <w:r>
              <w:rPr>
                <w:rFonts w:hint="eastAsia"/>
                <w:color w:val="auto"/>
                <w:kern w:val="0"/>
                <w:szCs w:val="21"/>
                <w:highlight w:val="none"/>
              </w:rPr>
              <w:t>本项目与污染防治相关法律法规符合性分析见下表。</w:t>
            </w:r>
          </w:p>
          <w:p>
            <w:pPr>
              <w:keepNext w:val="0"/>
              <w:keepLines w:val="0"/>
              <w:suppressLineNumbers w:val="0"/>
              <w:spacing w:before="0" w:beforeAutospacing="0" w:after="0" w:afterAutospacing="0" w:line="360" w:lineRule="exact"/>
              <w:ind w:left="0" w:right="0"/>
              <w:jc w:val="center"/>
              <w:rPr>
                <w:rFonts w:hint="default"/>
                <w:b/>
                <w:color w:val="auto"/>
                <w:sz w:val="18"/>
                <w:szCs w:val="20"/>
                <w:highlight w:val="none"/>
                <w:lang w:bidi="ar"/>
              </w:rPr>
            </w:pPr>
            <w:r>
              <w:rPr>
                <w:rFonts w:hint="default"/>
                <w:b/>
                <w:color w:val="auto"/>
                <w:sz w:val="18"/>
                <w:szCs w:val="20"/>
                <w:highlight w:val="none"/>
                <w:lang w:bidi="ar"/>
              </w:rPr>
              <w:t>表1-</w:t>
            </w:r>
            <w:r>
              <w:rPr>
                <w:rFonts w:hint="eastAsia"/>
                <w:b/>
                <w:color w:val="auto"/>
                <w:sz w:val="18"/>
                <w:szCs w:val="20"/>
                <w:highlight w:val="none"/>
                <w:lang w:bidi="ar"/>
              </w:rPr>
              <w:t xml:space="preserve">6  </w:t>
            </w:r>
            <w:r>
              <w:rPr>
                <w:rFonts w:hint="default"/>
                <w:b/>
                <w:color w:val="auto"/>
                <w:sz w:val="18"/>
                <w:szCs w:val="20"/>
                <w:highlight w:val="none"/>
                <w:lang w:bidi="ar"/>
              </w:rPr>
              <w:t xml:space="preserve"> </w:t>
            </w:r>
            <w:r>
              <w:rPr>
                <w:rFonts w:hint="eastAsia"/>
                <w:b/>
                <w:color w:val="auto"/>
                <w:sz w:val="18"/>
                <w:szCs w:val="20"/>
                <w:highlight w:val="none"/>
                <w:lang w:bidi="ar"/>
              </w:rPr>
              <w:t xml:space="preserve"> </w:t>
            </w:r>
            <w:r>
              <w:rPr>
                <w:rFonts w:hint="default"/>
                <w:b/>
                <w:color w:val="auto"/>
                <w:sz w:val="18"/>
                <w:szCs w:val="20"/>
                <w:highlight w:val="none"/>
                <w:lang w:bidi="ar"/>
              </w:rPr>
              <w:t>项目与其他相关规划、法律、法规符合性分析</w:t>
            </w:r>
          </w:p>
          <w:tbl>
            <w:tblPr>
              <w:tblStyle w:val="14"/>
              <w:tblW w:w="67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2614"/>
              <w:gridCol w:w="1888"/>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jc w:val="center"/>
              </w:trPr>
              <w:tc>
                <w:tcPr>
                  <w:tcW w:w="1444"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jc w:val="center"/>
                    <w:textAlignment w:val="auto"/>
                    <w:rPr>
                      <w:rFonts w:hint="default" w:ascii="宋体" w:hAnsi="宋体"/>
                      <w:b/>
                      <w:color w:val="auto"/>
                      <w:sz w:val="18"/>
                      <w:szCs w:val="18"/>
                      <w:highlight w:val="none"/>
                    </w:rPr>
                  </w:pPr>
                  <w:r>
                    <w:rPr>
                      <w:rFonts w:hint="default" w:ascii="宋体" w:hAnsi="宋体"/>
                      <w:b/>
                      <w:color w:val="auto"/>
                      <w:sz w:val="18"/>
                      <w:szCs w:val="18"/>
                      <w:highlight w:val="none"/>
                    </w:rPr>
                    <w:t>法规政策、规划</w:t>
                  </w:r>
                </w:p>
              </w:tc>
              <w:tc>
                <w:tcPr>
                  <w:tcW w:w="2614"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jc w:val="center"/>
                    <w:textAlignment w:val="auto"/>
                    <w:rPr>
                      <w:rFonts w:hint="default" w:ascii="宋体" w:hAnsi="宋体"/>
                      <w:b/>
                      <w:color w:val="auto"/>
                      <w:sz w:val="18"/>
                      <w:szCs w:val="18"/>
                      <w:highlight w:val="none"/>
                    </w:rPr>
                  </w:pPr>
                  <w:r>
                    <w:rPr>
                      <w:rFonts w:hint="default" w:ascii="宋体" w:hAnsi="宋体"/>
                      <w:b/>
                      <w:color w:val="auto"/>
                      <w:sz w:val="18"/>
                      <w:szCs w:val="18"/>
                      <w:highlight w:val="none"/>
                    </w:rPr>
                    <w:t>规划要求</w:t>
                  </w:r>
                </w:p>
              </w:tc>
              <w:tc>
                <w:tcPr>
                  <w:tcW w:w="1888" w:type="dxa"/>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exact"/>
                    <w:ind w:left="-21" w:leftChars="-10" w:right="-21" w:rightChars="-10"/>
                    <w:jc w:val="center"/>
                    <w:textAlignment w:val="auto"/>
                    <w:rPr>
                      <w:rFonts w:hint="default"/>
                      <w:b/>
                      <w:color w:val="auto"/>
                      <w:sz w:val="18"/>
                      <w:szCs w:val="18"/>
                      <w:highlight w:val="none"/>
                    </w:rPr>
                  </w:pPr>
                  <w:r>
                    <w:rPr>
                      <w:rFonts w:hint="default"/>
                      <w:b/>
                      <w:color w:val="auto"/>
                      <w:sz w:val="18"/>
                      <w:szCs w:val="18"/>
                      <w:highlight w:val="none"/>
                    </w:rPr>
                    <w:t>本项目情况</w:t>
                  </w:r>
                </w:p>
              </w:tc>
              <w:tc>
                <w:tcPr>
                  <w:tcW w:w="773"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jc w:val="center"/>
                    <w:textAlignment w:val="auto"/>
                    <w:rPr>
                      <w:rFonts w:hint="default" w:ascii="宋体" w:hAnsi="宋体"/>
                      <w:b/>
                      <w:color w:val="auto"/>
                      <w:sz w:val="18"/>
                      <w:szCs w:val="18"/>
                      <w:highlight w:val="none"/>
                    </w:rPr>
                  </w:pPr>
                  <w:r>
                    <w:rPr>
                      <w:rFonts w:hint="default" w:ascii="宋体" w:hAnsi="宋体"/>
                      <w:b/>
                      <w:color w:val="auto"/>
                      <w:sz w:val="18"/>
                      <w:szCs w:val="18"/>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444"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jc w:val="center"/>
                    <w:textAlignment w:val="auto"/>
                    <w:rPr>
                      <w:rFonts w:hint="default" w:ascii="宋体" w:hAnsi="宋体"/>
                      <w:bCs/>
                      <w:color w:val="auto"/>
                      <w:sz w:val="18"/>
                      <w:szCs w:val="18"/>
                      <w:highlight w:val="none"/>
                    </w:rPr>
                  </w:pPr>
                  <w:r>
                    <w:rPr>
                      <w:rFonts w:hint="eastAsia" w:ascii="宋体" w:hAnsi="宋体"/>
                      <w:bCs/>
                      <w:color w:val="auto"/>
                      <w:sz w:val="18"/>
                      <w:szCs w:val="18"/>
                      <w:highlight w:val="none"/>
                    </w:rPr>
                    <w:t>《四川省〈中华人民共和国大气污染防治法〉实施办法》（2018年修订）</w:t>
                  </w:r>
                </w:p>
              </w:tc>
              <w:tc>
                <w:tcPr>
                  <w:tcW w:w="2614" w:type="dxa"/>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21" w:leftChars="-10" w:right="-21" w:rightChars="-10"/>
                    <w:textAlignment w:val="auto"/>
                    <w:rPr>
                      <w:rFonts w:hint="default" w:ascii="宋体" w:hAnsi="宋体"/>
                      <w:bCs/>
                      <w:color w:val="auto"/>
                      <w:sz w:val="18"/>
                      <w:szCs w:val="18"/>
                      <w:highlight w:val="none"/>
                    </w:rPr>
                  </w:pPr>
                  <w:r>
                    <w:rPr>
                      <w:rFonts w:hint="eastAsia" w:ascii="宋体" w:hAnsi="宋体" w:cs="宋体"/>
                      <w:color w:val="auto"/>
                      <w:kern w:val="0"/>
                      <w:sz w:val="18"/>
                      <w:szCs w:val="18"/>
                      <w:highlight w:val="none"/>
                      <w:lang w:bidi="ar"/>
                    </w:rPr>
                    <w:t>第七十二条 贮存煤炭、煤矸石、煤渣、煤灰、水泥、石灰、石膏、砂土等易产生扬尘的物料应当密闭；不能密闭的，应当设置不低于堆放物高度的严密围挡，并采取有效覆盖措施防治扬尘污染。</w:t>
                  </w:r>
                </w:p>
              </w:tc>
              <w:tc>
                <w:tcPr>
                  <w:tcW w:w="1888"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21" w:leftChars="-10" w:right="-21" w:rightChars="-10"/>
                    <w:textAlignment w:val="auto"/>
                    <w:rPr>
                      <w:rFonts w:hint="default"/>
                      <w:bCs/>
                      <w:color w:val="auto"/>
                      <w:sz w:val="18"/>
                      <w:szCs w:val="18"/>
                      <w:highlight w:val="none"/>
                    </w:rPr>
                  </w:pPr>
                  <w:r>
                    <w:rPr>
                      <w:rFonts w:hint="eastAsia" w:ascii="宋体" w:hAnsi="宋体" w:cs="宋体"/>
                      <w:color w:val="auto"/>
                      <w:kern w:val="0"/>
                      <w:sz w:val="18"/>
                      <w:szCs w:val="18"/>
                      <w:highlight w:val="none"/>
                      <w:lang w:bidi="ar"/>
                    </w:rPr>
                    <w:t>项目原料</w:t>
                  </w:r>
                  <w:r>
                    <w:rPr>
                      <w:rFonts w:hint="eastAsia" w:ascii="宋体" w:hAnsi="宋体" w:cs="宋体"/>
                      <w:color w:val="auto"/>
                      <w:kern w:val="0"/>
                      <w:sz w:val="18"/>
                      <w:szCs w:val="18"/>
                      <w:highlight w:val="none"/>
                      <w:lang w:val="en-US" w:eastAsia="zh-CN" w:bidi="ar"/>
                    </w:rPr>
                    <w:t>为外购的块状矿石料</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含尘量少不易产尘</w:t>
                  </w:r>
                  <w:r>
                    <w:rPr>
                      <w:rFonts w:hint="eastAsia" w:ascii="宋体" w:hAnsi="宋体" w:cs="宋体"/>
                      <w:color w:val="auto"/>
                      <w:kern w:val="0"/>
                      <w:sz w:val="18"/>
                      <w:szCs w:val="18"/>
                      <w:highlight w:val="none"/>
                      <w:lang w:bidi="ar"/>
                    </w:rPr>
                    <w:t>，生产的砂石产品因水洗工艺的原因，</w:t>
                  </w:r>
                  <w:r>
                    <w:rPr>
                      <w:rFonts w:hint="eastAsia" w:ascii="宋体" w:hAnsi="宋体" w:cs="宋体"/>
                      <w:color w:val="auto"/>
                      <w:kern w:val="0"/>
                      <w:sz w:val="18"/>
                      <w:szCs w:val="18"/>
                      <w:highlight w:val="none"/>
                      <w:lang w:val="en-US" w:eastAsia="zh-CN" w:bidi="ar"/>
                    </w:rPr>
                    <w:t>具有一定的</w:t>
                  </w:r>
                  <w:r>
                    <w:rPr>
                      <w:rFonts w:hint="eastAsia" w:ascii="宋体" w:hAnsi="宋体" w:cs="宋体"/>
                      <w:color w:val="auto"/>
                      <w:kern w:val="0"/>
                      <w:sz w:val="18"/>
                      <w:szCs w:val="18"/>
                      <w:highlight w:val="none"/>
                      <w:lang w:bidi="ar"/>
                    </w:rPr>
                    <w:t>含水率不易</w:t>
                  </w:r>
                  <w:r>
                    <w:rPr>
                      <w:rFonts w:hint="eastAsia" w:ascii="宋体" w:hAnsi="宋体" w:cs="宋体"/>
                      <w:color w:val="auto"/>
                      <w:kern w:val="0"/>
                      <w:sz w:val="18"/>
                      <w:szCs w:val="18"/>
                      <w:highlight w:val="none"/>
                      <w:lang w:val="en-US" w:eastAsia="zh-CN" w:bidi="ar"/>
                    </w:rPr>
                    <w:t>起尘</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项目原料堆场设置围挡防流失措施和防尘网覆盖，并采取喷雾降尘措施；产品堆存在封闭式产品库内，能有效防止扬尘污染</w:t>
                  </w:r>
                  <w:r>
                    <w:rPr>
                      <w:rFonts w:hint="eastAsia" w:ascii="宋体" w:hAnsi="宋体" w:cs="宋体"/>
                      <w:color w:val="auto"/>
                      <w:kern w:val="0"/>
                      <w:sz w:val="18"/>
                      <w:szCs w:val="18"/>
                      <w:highlight w:val="none"/>
                      <w:lang w:bidi="ar"/>
                    </w:rPr>
                    <w:t>。</w:t>
                  </w:r>
                </w:p>
              </w:tc>
              <w:tc>
                <w:tcPr>
                  <w:tcW w:w="773"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jc w:val="center"/>
                    <w:textAlignment w:val="auto"/>
                    <w:rPr>
                      <w:rFonts w:hint="default" w:ascii="宋体" w:hAnsi="宋体"/>
                      <w:bCs/>
                      <w:color w:val="auto"/>
                      <w:sz w:val="18"/>
                      <w:szCs w:val="18"/>
                      <w:highlight w:val="none"/>
                    </w:rPr>
                  </w:pPr>
                  <w:r>
                    <w:rPr>
                      <w:rFonts w:hint="default" w:ascii="宋体" w:hAnsi="宋体"/>
                      <w:bCs/>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444" w:type="dxa"/>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60" w:lineRule="exact"/>
                    <w:ind w:left="-21" w:leftChars="-10" w:right="-21" w:rightChars="-10"/>
                    <w:jc w:val="center"/>
                    <w:textAlignment w:val="auto"/>
                    <w:rPr>
                      <w:rFonts w:hint="default" w:ascii="宋体" w:hAnsi="宋体"/>
                      <w:bCs/>
                      <w:color w:val="auto"/>
                      <w:sz w:val="18"/>
                      <w:szCs w:val="18"/>
                      <w:highlight w:val="none"/>
                    </w:rPr>
                  </w:pPr>
                  <w:r>
                    <w:rPr>
                      <w:rFonts w:hint="eastAsia" w:ascii="宋体" w:hAnsi="宋体"/>
                      <w:color w:val="auto"/>
                      <w:sz w:val="18"/>
                      <w:szCs w:val="18"/>
                      <w:highlight w:val="none"/>
                    </w:rPr>
                    <w:t>《中华人民共和国水污染防治法》（2017年修正）</w:t>
                  </w:r>
                </w:p>
              </w:tc>
              <w:tc>
                <w:tcPr>
                  <w:tcW w:w="2614" w:type="dxa"/>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60" w:lineRule="exact"/>
                    <w:ind w:left="-21" w:leftChars="-10" w:right="-21" w:rightChars="-10"/>
                    <w:textAlignment w:val="auto"/>
                    <w:rPr>
                      <w:rFonts w:hint="default" w:ascii="宋体" w:hAnsi="宋体" w:cs="宋体"/>
                      <w:color w:val="auto"/>
                      <w:kern w:val="0"/>
                      <w:sz w:val="18"/>
                      <w:szCs w:val="18"/>
                      <w:highlight w:val="none"/>
                      <w:lang w:bidi="ar"/>
                    </w:rPr>
                  </w:pPr>
                  <w:r>
                    <w:rPr>
                      <w:rFonts w:hint="eastAsia" w:ascii="宋体" w:hAnsi="宋体"/>
                      <w:color w:val="auto"/>
                      <w:sz w:val="18"/>
                      <w:szCs w:val="18"/>
                      <w:highlight w:val="none"/>
                    </w:rPr>
                    <w:t>排放工业废水的企业应当采取有效措施,收集和处理产生的全部废水，防止污染环境。含有毒有害水污染物的工业废水应当分类收集和处理，不得稀释排放。向污水集中处理设施排放工业废水的，应当按照国家有关规定进行预处理，达到集中处理设施处理工艺要求后方可排放。</w:t>
                  </w:r>
                </w:p>
              </w:tc>
              <w:tc>
                <w:tcPr>
                  <w:tcW w:w="1888" w:type="dxa"/>
                  <w:vAlign w:val="center"/>
                </w:tcPr>
                <w:p>
                  <w:pPr>
                    <w:keepNext/>
                    <w:keepLines/>
                    <w:pageBreakBefore w:val="0"/>
                    <w:suppressLineNumbers w:val="0"/>
                    <w:kinsoku/>
                    <w:wordWrap/>
                    <w:overflowPunct/>
                    <w:topLinePunct w:val="0"/>
                    <w:autoSpaceDE/>
                    <w:autoSpaceDN/>
                    <w:bidi w:val="0"/>
                    <w:spacing w:before="0" w:beforeAutospacing="0" w:after="0" w:afterAutospacing="0" w:line="240" w:lineRule="exact"/>
                    <w:ind w:left="-21" w:leftChars="-10" w:right="-21" w:rightChars="-10"/>
                    <w:textAlignment w:val="auto"/>
                    <w:outlineLvl w:val="2"/>
                    <w:rPr>
                      <w:rFonts w:hint="default" w:ascii="宋体" w:hAnsi="宋体" w:cs="宋体"/>
                      <w:color w:val="auto"/>
                      <w:kern w:val="0"/>
                      <w:sz w:val="18"/>
                      <w:szCs w:val="18"/>
                      <w:highlight w:val="none"/>
                      <w:lang w:bidi="ar"/>
                    </w:rPr>
                  </w:pPr>
                  <w:r>
                    <w:rPr>
                      <w:rFonts w:hint="eastAsia"/>
                      <w:color w:val="auto"/>
                      <w:sz w:val="18"/>
                      <w:szCs w:val="18"/>
                      <w:highlight w:val="none"/>
                    </w:rPr>
                    <w:t>项目生产废水经废水处理设施处理后循环使用，不外排；生活污水经</w:t>
                  </w:r>
                  <w:r>
                    <w:rPr>
                      <w:rFonts w:hint="eastAsia"/>
                      <w:color w:val="auto"/>
                      <w:sz w:val="18"/>
                      <w:szCs w:val="18"/>
                      <w:highlight w:val="none"/>
                      <w:lang w:eastAsia="zh-CN"/>
                    </w:rPr>
                    <w:t>化粪池</w:t>
                  </w:r>
                  <w:r>
                    <w:rPr>
                      <w:rFonts w:hint="eastAsia"/>
                      <w:color w:val="auto"/>
                      <w:sz w:val="18"/>
                      <w:szCs w:val="18"/>
                      <w:highlight w:val="none"/>
                    </w:rPr>
                    <w:t>处理后</w:t>
                  </w:r>
                  <w:r>
                    <w:rPr>
                      <w:rFonts w:hint="eastAsia"/>
                      <w:color w:val="auto"/>
                      <w:sz w:val="18"/>
                      <w:szCs w:val="18"/>
                      <w:highlight w:val="none"/>
                      <w:lang w:val="en-US" w:eastAsia="zh-CN"/>
                    </w:rPr>
                    <w:t>清掏做农肥不外排</w:t>
                  </w:r>
                  <w:r>
                    <w:rPr>
                      <w:rFonts w:hint="eastAsia"/>
                      <w:color w:val="auto"/>
                      <w:sz w:val="18"/>
                      <w:szCs w:val="18"/>
                      <w:highlight w:val="none"/>
                    </w:rPr>
                    <w:t>。</w:t>
                  </w:r>
                </w:p>
              </w:tc>
              <w:tc>
                <w:tcPr>
                  <w:tcW w:w="773"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jc w:val="center"/>
                    <w:textAlignment w:val="auto"/>
                    <w:rPr>
                      <w:rFonts w:hint="default" w:ascii="宋体" w:hAnsi="宋体"/>
                      <w:bCs/>
                      <w:color w:val="auto"/>
                      <w:sz w:val="18"/>
                      <w:szCs w:val="18"/>
                      <w:highlight w:val="none"/>
                    </w:rPr>
                  </w:pPr>
                  <w:r>
                    <w:rPr>
                      <w:rFonts w:hint="eastAsia" w:ascii="宋体" w:hAnsi="宋体"/>
                      <w:bCs/>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444" w:type="dxa"/>
                  <w:vMerge w:val="restart"/>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jc w:val="center"/>
                    <w:textAlignment w:val="auto"/>
                    <w:rPr>
                      <w:rFonts w:hint="default" w:ascii="宋体" w:hAnsi="宋体"/>
                      <w:bCs/>
                      <w:color w:val="auto"/>
                      <w:sz w:val="18"/>
                      <w:szCs w:val="18"/>
                      <w:highlight w:val="none"/>
                    </w:rPr>
                  </w:pPr>
                  <w:r>
                    <w:rPr>
                      <w:rFonts w:hint="default" w:ascii="宋体" w:hAnsi="宋体" w:eastAsia="宋体"/>
                      <w:b w:val="0"/>
                      <w:color w:val="auto"/>
                      <w:sz w:val="18"/>
                      <w:szCs w:val="18"/>
                      <w:highlight w:val="none"/>
                    </w:rPr>
                    <w:t>四川省人民政府《</w:t>
                  </w:r>
                  <w:r>
                    <w:rPr>
                      <w:rFonts w:hint="eastAsia" w:ascii="宋体" w:hAnsi="宋体" w:eastAsia="宋体"/>
                      <w:b w:val="0"/>
                      <w:color w:val="auto"/>
                      <w:sz w:val="18"/>
                      <w:szCs w:val="18"/>
                      <w:highlight w:val="none"/>
                    </w:rPr>
                    <w:t>关于印发四川省打赢蓝天保卫战等九个实施方案的通知</w:t>
                  </w:r>
                  <w:r>
                    <w:rPr>
                      <w:rFonts w:hint="default" w:ascii="宋体" w:hAnsi="宋体" w:eastAsia="宋体"/>
                      <w:b w:val="0"/>
                      <w:color w:val="auto"/>
                      <w:sz w:val="18"/>
                      <w:szCs w:val="18"/>
                      <w:highlight w:val="none"/>
                    </w:rPr>
                    <w:t>》（川府发〔2019〕4号</w:t>
                  </w:r>
                </w:p>
              </w:tc>
              <w:tc>
                <w:tcPr>
                  <w:tcW w:w="2614"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textAlignment w:val="auto"/>
                    <w:rPr>
                      <w:rFonts w:hint="default" w:ascii="宋体" w:hAnsi="宋体"/>
                      <w:color w:val="auto"/>
                      <w:sz w:val="18"/>
                      <w:szCs w:val="18"/>
                      <w:highlight w:val="none"/>
                    </w:rPr>
                  </w:pPr>
                  <w:r>
                    <w:rPr>
                      <w:rFonts w:hint="default" w:ascii="宋体" w:hAnsi="宋体"/>
                      <w:color w:val="auto"/>
                      <w:sz w:val="18"/>
                      <w:szCs w:val="18"/>
                      <w:highlight w:val="none"/>
                    </w:rPr>
                    <w:t>调整产业结构，深化工业污染治理。强化“三线一单”（生态保护红线、环境质</w:t>
                  </w:r>
                  <w:r>
                    <w:rPr>
                      <w:rFonts w:hint="default" w:ascii="宋体" w:hAnsi="宋体"/>
                      <w:color w:val="auto"/>
                      <w:sz w:val="18"/>
                      <w:szCs w:val="18"/>
                      <w:highlight w:val="none"/>
                    </w:rPr>
                    <w:cr/>
                  </w:r>
                  <w:r>
                    <w:rPr>
                      <w:rFonts w:hint="default" w:ascii="宋体" w:hAnsi="宋体"/>
                      <w:color w:val="auto"/>
                      <w:sz w:val="18"/>
                      <w:szCs w:val="18"/>
                      <w:highlight w:val="none"/>
                    </w:rPr>
                    <w:t>底线、资源利用上线、生态环境准入清单）约束，明确禁止和限制发展的行业、生产工艺和产业目录，优化产业布局和资源配置。积极推行区域、规划环境影响评价，新、改、扩建钢铁、石化、化工、焦化、建材、有色等项目的环境影响评价应满足区域、规划环境影响评价要求。</w:t>
                  </w:r>
                </w:p>
              </w:tc>
              <w:tc>
                <w:tcPr>
                  <w:tcW w:w="1888"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21" w:leftChars="-10" w:right="-21" w:rightChars="-10"/>
                    <w:textAlignment w:val="auto"/>
                    <w:rPr>
                      <w:rFonts w:hint="default"/>
                      <w:bCs/>
                      <w:color w:val="auto"/>
                      <w:sz w:val="18"/>
                      <w:szCs w:val="18"/>
                      <w:highlight w:val="none"/>
                    </w:rPr>
                  </w:pPr>
                  <w:r>
                    <w:rPr>
                      <w:rFonts w:hint="eastAsia"/>
                      <w:color w:val="auto"/>
                      <w:sz w:val="18"/>
                      <w:szCs w:val="18"/>
                      <w:highlight w:val="none"/>
                    </w:rPr>
                    <w:t>根据前文分析，项目</w:t>
                  </w:r>
                  <w:r>
                    <w:rPr>
                      <w:rFonts w:hint="default"/>
                      <w:color w:val="auto"/>
                      <w:sz w:val="18"/>
                      <w:szCs w:val="18"/>
                      <w:highlight w:val="none"/>
                    </w:rPr>
                    <w:t>符合“三线一单”要求</w:t>
                  </w:r>
                  <w:r>
                    <w:rPr>
                      <w:rFonts w:hint="eastAsia"/>
                      <w:color w:val="auto"/>
                      <w:sz w:val="18"/>
                      <w:szCs w:val="18"/>
                      <w:highlight w:val="none"/>
                    </w:rPr>
                    <w:t>，本项目不属于禁止和限制发展的行业、生产工艺和产业目录。</w:t>
                  </w:r>
                </w:p>
              </w:tc>
              <w:tc>
                <w:tcPr>
                  <w:tcW w:w="773"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jc w:val="center"/>
                    <w:textAlignment w:val="auto"/>
                    <w:rPr>
                      <w:rFonts w:hint="default" w:ascii="宋体" w:hAnsi="宋体"/>
                      <w:bCs/>
                      <w:color w:val="auto"/>
                      <w:sz w:val="18"/>
                      <w:szCs w:val="18"/>
                      <w:highlight w:val="none"/>
                    </w:rPr>
                  </w:pPr>
                  <w:r>
                    <w:rPr>
                      <w:rFonts w:hint="default" w:ascii="宋体" w:hAnsi="宋体"/>
                      <w:bCs/>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 w:hRule="atLeast"/>
                <w:jc w:val="center"/>
              </w:trPr>
              <w:tc>
                <w:tcPr>
                  <w:tcW w:w="1444" w:type="dxa"/>
                  <w:vMerge w:val="continue"/>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jc w:val="center"/>
                    <w:textAlignment w:val="auto"/>
                    <w:rPr>
                      <w:rFonts w:hint="default" w:ascii="宋体" w:hAnsi="宋体" w:eastAsia="宋体"/>
                      <w:b w:val="0"/>
                      <w:color w:val="auto"/>
                      <w:sz w:val="18"/>
                      <w:szCs w:val="18"/>
                      <w:highlight w:val="none"/>
                    </w:rPr>
                  </w:pPr>
                </w:p>
              </w:tc>
              <w:tc>
                <w:tcPr>
                  <w:tcW w:w="2614"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textAlignment w:val="auto"/>
                    <w:rPr>
                      <w:rFonts w:hint="default" w:ascii="宋体" w:hAnsi="宋体"/>
                      <w:color w:val="auto"/>
                      <w:sz w:val="18"/>
                      <w:szCs w:val="18"/>
                      <w:highlight w:val="none"/>
                    </w:rPr>
                  </w:pPr>
                  <w:r>
                    <w:rPr>
                      <w:rFonts w:hint="default" w:ascii="宋体" w:hAnsi="宋体"/>
                      <w:color w:val="auto"/>
                      <w:sz w:val="18"/>
                      <w:szCs w:val="18"/>
                      <w:highlight w:val="none"/>
                    </w:rPr>
                    <w:t>工业企业堆场实施规范化全封闭管理。易产生扬尘的物料堆场采用封闭式库仓，不具备封闭式库仓改造条件的，应设置不低于料堆高度的严密围挡，并采取覆盖措施有效控制扬尘污染；堆场内进行搅拌、粉碎、筛分等作业时应喷水抑尘，遇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上撒落的物料。加强砂石厂扬尘管控。</w:t>
                  </w:r>
                </w:p>
              </w:tc>
              <w:tc>
                <w:tcPr>
                  <w:tcW w:w="1888" w:type="dxa"/>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exact"/>
                    <w:ind w:left="-21" w:leftChars="-10" w:right="-21" w:rightChars="-10"/>
                    <w:textAlignment w:val="auto"/>
                    <w:rPr>
                      <w:rFonts w:hint="default"/>
                      <w:bCs/>
                      <w:color w:val="auto"/>
                      <w:sz w:val="18"/>
                      <w:szCs w:val="18"/>
                      <w:highlight w:val="none"/>
                    </w:rPr>
                  </w:pPr>
                  <w:r>
                    <w:rPr>
                      <w:rFonts w:hint="eastAsia" w:ascii="宋体" w:hAnsi="宋体" w:cs="宋体"/>
                      <w:color w:val="auto"/>
                      <w:kern w:val="0"/>
                      <w:sz w:val="18"/>
                      <w:szCs w:val="18"/>
                      <w:highlight w:val="none"/>
                      <w:lang w:bidi="ar"/>
                    </w:rPr>
                    <w:t>项目原料</w:t>
                  </w:r>
                  <w:r>
                    <w:rPr>
                      <w:rFonts w:hint="eastAsia" w:ascii="宋体" w:hAnsi="宋体" w:cs="宋体"/>
                      <w:color w:val="auto"/>
                      <w:kern w:val="0"/>
                      <w:sz w:val="18"/>
                      <w:szCs w:val="18"/>
                      <w:highlight w:val="none"/>
                      <w:lang w:val="en-US" w:eastAsia="zh-CN" w:bidi="ar"/>
                    </w:rPr>
                    <w:t>为外购的块状矿石料</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含尘量少不易产尘</w:t>
                  </w:r>
                  <w:r>
                    <w:rPr>
                      <w:rFonts w:hint="eastAsia" w:ascii="宋体" w:hAnsi="宋体" w:cs="宋体"/>
                      <w:color w:val="auto"/>
                      <w:kern w:val="0"/>
                      <w:sz w:val="18"/>
                      <w:szCs w:val="18"/>
                      <w:highlight w:val="none"/>
                      <w:lang w:bidi="ar"/>
                    </w:rPr>
                    <w:t>，生产的砂石产品因水洗工艺的原因，</w:t>
                  </w:r>
                  <w:r>
                    <w:rPr>
                      <w:rFonts w:hint="eastAsia" w:ascii="宋体" w:hAnsi="宋体" w:cs="宋体"/>
                      <w:color w:val="auto"/>
                      <w:kern w:val="0"/>
                      <w:sz w:val="18"/>
                      <w:szCs w:val="18"/>
                      <w:highlight w:val="none"/>
                      <w:lang w:val="en-US" w:eastAsia="zh-CN" w:bidi="ar"/>
                    </w:rPr>
                    <w:t>具有一定的</w:t>
                  </w:r>
                  <w:r>
                    <w:rPr>
                      <w:rFonts w:hint="eastAsia" w:ascii="宋体" w:hAnsi="宋体" w:cs="宋体"/>
                      <w:color w:val="auto"/>
                      <w:kern w:val="0"/>
                      <w:sz w:val="18"/>
                      <w:szCs w:val="18"/>
                      <w:highlight w:val="none"/>
                      <w:lang w:bidi="ar"/>
                    </w:rPr>
                    <w:t>含水率不易</w:t>
                  </w:r>
                  <w:r>
                    <w:rPr>
                      <w:rFonts w:hint="eastAsia" w:ascii="宋体" w:hAnsi="宋体" w:cs="宋体"/>
                      <w:color w:val="auto"/>
                      <w:kern w:val="0"/>
                      <w:sz w:val="18"/>
                      <w:szCs w:val="18"/>
                      <w:highlight w:val="none"/>
                      <w:lang w:val="en-US" w:eastAsia="zh-CN" w:bidi="ar"/>
                    </w:rPr>
                    <w:t>起尘</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项目原料堆场设置围挡防流失措施和防尘网覆盖，并采取喷雾降尘措施；产品堆存在封闭式产品库内，能有效防止扬尘污染。</w:t>
                  </w:r>
                  <w:r>
                    <w:rPr>
                      <w:rFonts w:hint="default"/>
                      <w:color w:val="auto"/>
                      <w:sz w:val="18"/>
                      <w:szCs w:val="18"/>
                      <w:highlight w:val="none"/>
                    </w:rPr>
                    <w:t>厂区出入口设置车轮冲洗池，冲洗废水经沉淀后回用；厂区内运输道路硬化，及时清扫地面，定期洒水降尘；运输</w:t>
                  </w:r>
                  <w:r>
                    <w:rPr>
                      <w:rFonts w:hint="eastAsia"/>
                      <w:color w:val="auto"/>
                      <w:sz w:val="18"/>
                      <w:szCs w:val="18"/>
                      <w:highlight w:val="none"/>
                      <w:lang w:val="en-US" w:eastAsia="zh-CN"/>
                    </w:rPr>
                    <w:t>车辆</w:t>
                  </w:r>
                  <w:r>
                    <w:rPr>
                      <w:rFonts w:hint="default"/>
                      <w:color w:val="auto"/>
                      <w:sz w:val="18"/>
                      <w:szCs w:val="18"/>
                      <w:highlight w:val="none"/>
                    </w:rPr>
                    <w:t>使用篷布遮盖</w:t>
                  </w:r>
                  <w:r>
                    <w:rPr>
                      <w:rFonts w:hint="eastAsia"/>
                      <w:color w:val="auto"/>
                      <w:sz w:val="18"/>
                      <w:szCs w:val="18"/>
                      <w:highlight w:val="none"/>
                    </w:rPr>
                    <w:t>。</w:t>
                  </w:r>
                </w:p>
              </w:tc>
              <w:tc>
                <w:tcPr>
                  <w:tcW w:w="773"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jc w:val="center"/>
                    <w:textAlignment w:val="auto"/>
                    <w:rPr>
                      <w:rFonts w:hint="default" w:ascii="宋体" w:hAnsi="宋体"/>
                      <w:bCs/>
                      <w:color w:val="auto"/>
                      <w:sz w:val="18"/>
                      <w:szCs w:val="18"/>
                      <w:highlight w:val="none"/>
                    </w:rPr>
                  </w:pPr>
                  <w:r>
                    <w:rPr>
                      <w:rFonts w:hint="default" w:ascii="宋体" w:hAnsi="宋体"/>
                      <w:bCs/>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 w:hRule="atLeast"/>
                <w:jc w:val="center"/>
              </w:trPr>
              <w:tc>
                <w:tcPr>
                  <w:tcW w:w="1444"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textAlignment w:val="auto"/>
                    <w:rPr>
                      <w:rFonts w:hint="default" w:ascii="宋体" w:hAnsi="宋体" w:eastAsia="宋体"/>
                      <w:b w:val="0"/>
                      <w:color w:val="auto"/>
                      <w:sz w:val="18"/>
                      <w:szCs w:val="18"/>
                      <w:highlight w:val="none"/>
                    </w:rPr>
                  </w:pPr>
                  <w:r>
                    <w:rPr>
                      <w:rFonts w:hint="eastAsia" w:ascii="宋体" w:hAnsi="宋体" w:eastAsia="宋体"/>
                      <w:b w:val="0"/>
                      <w:color w:val="auto"/>
                      <w:sz w:val="18"/>
                      <w:szCs w:val="18"/>
                      <w:highlight w:val="none"/>
                    </w:rPr>
                    <w:t>《“十四五”噪声污染防治行动计划》（环大气</w:t>
                  </w:r>
                  <w:r>
                    <w:rPr>
                      <w:rFonts w:hint="eastAsia" w:ascii="宋体" w:hAnsi="宋体"/>
                      <w:color w:val="auto"/>
                      <w:kern w:val="0"/>
                    </w:rPr>
                    <w:t>〔202</w:t>
                  </w:r>
                  <w:r>
                    <w:rPr>
                      <w:rFonts w:hint="eastAsia" w:ascii="宋体" w:hAnsi="宋体"/>
                      <w:color w:val="auto"/>
                      <w:kern w:val="0"/>
                      <w:lang w:val="en-US" w:eastAsia="zh-CN"/>
                    </w:rPr>
                    <w:t>3</w:t>
                  </w:r>
                  <w:r>
                    <w:rPr>
                      <w:rFonts w:hint="eastAsia" w:ascii="宋体" w:hAnsi="宋体"/>
                      <w:color w:val="auto"/>
                      <w:kern w:val="0"/>
                    </w:rPr>
                    <w:t>〕</w:t>
                  </w:r>
                  <w:r>
                    <w:rPr>
                      <w:rFonts w:hint="eastAsia" w:ascii="宋体" w:hAnsi="宋体" w:eastAsia="宋体"/>
                      <w:b w:val="0"/>
                      <w:color w:val="auto"/>
                      <w:sz w:val="18"/>
                      <w:szCs w:val="18"/>
                      <w:highlight w:val="none"/>
                    </w:rPr>
                    <w:t>1号）</w:t>
                  </w:r>
                </w:p>
              </w:tc>
              <w:tc>
                <w:tcPr>
                  <w:tcW w:w="2614" w:type="dxa"/>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21" w:leftChars="-10" w:right="-21" w:rightChars="-10"/>
                    <w:textAlignment w:val="auto"/>
                    <w:rPr>
                      <w:rFonts w:hint="default"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（八）严格工业噪声管理  11.树立工业噪声污染治理标杆。排放噪声的工业企业应切实采取减振降噪措施，加强厂区内固定设备、运输工具、货物装卸等噪声源管理，同时避免突发噪声扰民。</w:t>
                  </w:r>
                </w:p>
              </w:tc>
              <w:tc>
                <w:tcPr>
                  <w:tcW w:w="1888" w:type="dxa"/>
                  <w:vAlign w:val="center"/>
                </w:tcPr>
                <w:p>
                  <w:pPr>
                    <w:keepNext/>
                    <w:keepLines/>
                    <w:pageBreakBefore w:val="0"/>
                    <w:suppressLineNumbers w:val="0"/>
                    <w:kinsoku/>
                    <w:wordWrap/>
                    <w:overflowPunct/>
                    <w:topLinePunct w:val="0"/>
                    <w:autoSpaceDE/>
                    <w:autoSpaceDN/>
                    <w:bidi w:val="0"/>
                    <w:spacing w:before="0" w:beforeAutospacing="0" w:after="0" w:afterAutospacing="0" w:line="240" w:lineRule="exact"/>
                    <w:ind w:left="-21" w:leftChars="-10" w:right="-21" w:rightChars="-10"/>
                    <w:textAlignment w:val="auto"/>
                    <w:outlineLvl w:val="2"/>
                    <w:rPr>
                      <w:rFonts w:hint="default"/>
                      <w:color w:val="auto"/>
                      <w:sz w:val="18"/>
                      <w:szCs w:val="18"/>
                      <w:highlight w:val="none"/>
                    </w:rPr>
                  </w:pPr>
                  <w:r>
                    <w:rPr>
                      <w:rFonts w:hint="eastAsia"/>
                      <w:color w:val="auto"/>
                      <w:sz w:val="18"/>
                      <w:szCs w:val="18"/>
                      <w:highlight w:val="none"/>
                    </w:rPr>
                    <w:t>项目采取优选低噪声设备、基础减振、优化布局、建筑隔声等措施后，厂界值能满足《工业企业厂界环境噪声排放标准》（GB12348-2008）2类标准限值。</w:t>
                  </w:r>
                </w:p>
              </w:tc>
              <w:tc>
                <w:tcPr>
                  <w:tcW w:w="773"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jc w:val="center"/>
                    <w:textAlignment w:val="auto"/>
                    <w:rPr>
                      <w:rFonts w:hint="default" w:ascii="宋体" w:hAnsi="宋体"/>
                      <w:bCs/>
                      <w:color w:val="auto"/>
                      <w:sz w:val="18"/>
                      <w:szCs w:val="18"/>
                      <w:highlight w:val="none"/>
                    </w:rPr>
                  </w:pPr>
                  <w:r>
                    <w:rPr>
                      <w:rFonts w:hint="eastAsia" w:ascii="宋体" w:hAnsi="宋体"/>
                      <w:bCs/>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3" w:hRule="atLeast"/>
                <w:jc w:val="center"/>
              </w:trPr>
              <w:tc>
                <w:tcPr>
                  <w:tcW w:w="1444" w:type="dxa"/>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60" w:lineRule="exact"/>
                    <w:ind w:left="-21" w:leftChars="-10" w:right="-21" w:rightChars="-10"/>
                    <w:jc w:val="center"/>
                    <w:textAlignment w:val="auto"/>
                    <w:rPr>
                      <w:rFonts w:hint="default" w:ascii="宋体" w:hAnsi="宋体" w:eastAsia="宋体"/>
                      <w:b w:val="0"/>
                      <w:color w:val="auto"/>
                      <w:sz w:val="18"/>
                      <w:szCs w:val="18"/>
                      <w:highlight w:val="none"/>
                    </w:rPr>
                  </w:pPr>
                  <w:r>
                    <w:rPr>
                      <w:rFonts w:hint="eastAsia" w:ascii="宋体" w:hAnsi="宋体"/>
                      <w:color w:val="auto"/>
                      <w:sz w:val="18"/>
                      <w:szCs w:val="18"/>
                      <w:highlight w:val="none"/>
                    </w:rPr>
                    <w:t>《中华人民共和国长江保护法》（2021年3月1日起实施）</w:t>
                  </w:r>
                </w:p>
              </w:tc>
              <w:tc>
                <w:tcPr>
                  <w:tcW w:w="2614" w:type="dxa"/>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60" w:lineRule="exact"/>
                    <w:ind w:left="-21" w:leftChars="-10" w:right="-21" w:rightChars="-10"/>
                    <w:textAlignment w:val="auto"/>
                    <w:rPr>
                      <w:rFonts w:hint="default" w:ascii="宋体" w:hAnsi="宋体" w:cs="宋体"/>
                      <w:color w:val="auto"/>
                      <w:kern w:val="0"/>
                      <w:sz w:val="18"/>
                      <w:szCs w:val="18"/>
                      <w:highlight w:val="none"/>
                      <w:lang w:bidi="ar"/>
                    </w:rPr>
                  </w:pPr>
                  <w:r>
                    <w:rPr>
                      <w:rFonts w:hint="eastAsia" w:ascii="宋体" w:hAnsi="宋体"/>
                      <w:color w:val="auto"/>
                      <w:sz w:val="18"/>
                      <w:szCs w:val="18"/>
                      <w:highlight w:val="none"/>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888" w:type="dxa"/>
                  <w:vAlign w:val="center"/>
                </w:tcPr>
                <w:p>
                  <w:pPr>
                    <w:keepNext/>
                    <w:keepLines/>
                    <w:pageBreakBefore w:val="0"/>
                    <w:suppressLineNumbers w:val="0"/>
                    <w:kinsoku/>
                    <w:wordWrap/>
                    <w:overflowPunct/>
                    <w:topLinePunct w:val="0"/>
                    <w:autoSpaceDE/>
                    <w:autoSpaceDN/>
                    <w:bidi w:val="0"/>
                    <w:spacing w:before="0" w:beforeAutospacing="0" w:after="0" w:afterAutospacing="0" w:line="240" w:lineRule="exact"/>
                    <w:ind w:left="-21" w:leftChars="-10" w:right="-21" w:rightChars="-10"/>
                    <w:textAlignment w:val="auto"/>
                    <w:outlineLvl w:val="2"/>
                    <w:rPr>
                      <w:rFonts w:hint="default"/>
                      <w:color w:val="auto"/>
                      <w:sz w:val="18"/>
                      <w:szCs w:val="18"/>
                      <w:highlight w:val="none"/>
                    </w:rPr>
                  </w:pPr>
                  <w:r>
                    <w:rPr>
                      <w:rFonts w:hint="eastAsia"/>
                      <w:color w:val="auto"/>
                      <w:kern w:val="0"/>
                      <w:sz w:val="18"/>
                      <w:szCs w:val="18"/>
                      <w:highlight w:val="none"/>
                    </w:rPr>
                    <w:t>本项目为砂石加工项目，不在长江干支流一公里范围内，也不属于化工、尾矿库项目。</w:t>
                  </w:r>
                </w:p>
              </w:tc>
              <w:tc>
                <w:tcPr>
                  <w:tcW w:w="773" w:type="dxa"/>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60" w:lineRule="exact"/>
                    <w:ind w:left="-21" w:leftChars="-10" w:right="-21" w:rightChars="-10"/>
                    <w:jc w:val="center"/>
                    <w:textAlignment w:val="auto"/>
                    <w:rPr>
                      <w:rFonts w:hint="default" w:ascii="宋体" w:hAnsi="宋体"/>
                      <w:bCs/>
                      <w:color w:val="auto"/>
                      <w:sz w:val="18"/>
                      <w:szCs w:val="18"/>
                      <w:highlight w:val="none"/>
                    </w:rPr>
                  </w:pPr>
                  <w:r>
                    <w:rPr>
                      <w:rFonts w:hint="eastAsia" w:ascii="宋体" w:hAnsi="宋体"/>
                      <w:bCs/>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3" w:hRule="atLeast"/>
                <w:jc w:val="center"/>
              </w:trPr>
              <w:tc>
                <w:tcPr>
                  <w:tcW w:w="1444"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textAlignment w:val="auto"/>
                    <w:rPr>
                      <w:rFonts w:hint="default" w:ascii="宋体" w:hAnsi="宋体" w:eastAsia="宋体"/>
                      <w:b w:val="0"/>
                      <w:color w:val="auto"/>
                      <w:sz w:val="18"/>
                      <w:szCs w:val="18"/>
                      <w:highlight w:val="none"/>
                    </w:rPr>
                  </w:pPr>
                  <w:r>
                    <w:rPr>
                      <w:rFonts w:hint="eastAsia" w:ascii="宋体" w:hAnsi="宋体" w:eastAsia="宋体"/>
                      <w:b w:val="0"/>
                      <w:color w:val="auto"/>
                      <w:sz w:val="18"/>
                      <w:szCs w:val="18"/>
                      <w:highlight w:val="none"/>
                    </w:rPr>
                    <w:t>《大气污染防治行动计划》（国发〔2013〕37 号）</w:t>
                  </w:r>
                </w:p>
              </w:tc>
              <w:tc>
                <w:tcPr>
                  <w:tcW w:w="2614" w:type="dxa"/>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21" w:leftChars="-10" w:right="-21" w:rightChars="-10"/>
                    <w:textAlignment w:val="auto"/>
                    <w:rPr>
                      <w:rFonts w:hint="default" w:ascii="宋体" w:hAnsi="宋体"/>
                      <w:color w:val="auto"/>
                      <w:sz w:val="18"/>
                      <w:szCs w:val="18"/>
                      <w:highlight w:val="none"/>
                    </w:rPr>
                  </w:pPr>
                  <w:r>
                    <w:rPr>
                      <w:rFonts w:hint="eastAsia" w:ascii="宋体" w:hAnsi="宋体" w:cs="宋体"/>
                      <w:color w:val="auto"/>
                      <w:kern w:val="0"/>
                      <w:sz w:val="18"/>
                      <w:szCs w:val="18"/>
                      <w:highlight w:val="none"/>
                      <w:lang w:bidi="ar"/>
                    </w:rPr>
                    <w:t>（二）深化面源污染治理。大型煤堆、料堆要实现封闭储存或建设防风抑尘设施。</w:t>
                  </w:r>
                </w:p>
              </w:tc>
              <w:tc>
                <w:tcPr>
                  <w:tcW w:w="1888"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21" w:leftChars="-10" w:right="-21" w:rightChars="-10"/>
                    <w:textAlignment w:val="auto"/>
                    <w:rPr>
                      <w:rFonts w:hint="default"/>
                      <w:color w:val="auto"/>
                      <w:sz w:val="18"/>
                      <w:szCs w:val="18"/>
                      <w:highlight w:val="none"/>
                    </w:rPr>
                  </w:pPr>
                  <w:r>
                    <w:rPr>
                      <w:rFonts w:hint="eastAsia" w:ascii="宋体" w:hAnsi="宋体" w:cs="宋体"/>
                      <w:color w:val="auto"/>
                      <w:kern w:val="0"/>
                      <w:sz w:val="18"/>
                      <w:szCs w:val="18"/>
                      <w:highlight w:val="none"/>
                      <w:lang w:val="en-US" w:eastAsia="zh-CN" w:bidi="ar"/>
                    </w:rPr>
                    <w:t>项目原料和产品均堆存在封闭式车间或堆棚内，并采取喷雾降尘措施。能有效防止堆体扬尘污染。</w:t>
                  </w:r>
                </w:p>
              </w:tc>
              <w:tc>
                <w:tcPr>
                  <w:tcW w:w="773"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jc w:val="center"/>
                    <w:textAlignment w:val="auto"/>
                    <w:rPr>
                      <w:rFonts w:hint="default" w:ascii="宋体" w:hAnsi="宋体"/>
                      <w:bCs/>
                      <w:color w:val="auto"/>
                      <w:sz w:val="18"/>
                      <w:szCs w:val="18"/>
                      <w:highlight w:val="none"/>
                    </w:rPr>
                  </w:pPr>
                  <w:r>
                    <w:rPr>
                      <w:rFonts w:hint="eastAsia" w:ascii="宋体" w:hAnsi="宋体"/>
                      <w:bCs/>
                      <w:color w:val="auto"/>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 w:hRule="atLeast"/>
                <w:jc w:val="center"/>
              </w:trPr>
              <w:tc>
                <w:tcPr>
                  <w:tcW w:w="1444"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textAlignment w:val="auto"/>
                    <w:rPr>
                      <w:rFonts w:hint="default" w:ascii="宋体" w:hAnsi="宋体" w:eastAsia="宋体"/>
                      <w:b w:val="0"/>
                      <w:color w:val="auto"/>
                      <w:sz w:val="18"/>
                      <w:szCs w:val="18"/>
                      <w:highlight w:val="none"/>
                    </w:rPr>
                  </w:pPr>
                  <w:r>
                    <w:rPr>
                      <w:rFonts w:hint="eastAsia" w:ascii="宋体" w:hAnsi="宋体" w:eastAsia="宋体"/>
                      <w:b w:val="0"/>
                      <w:color w:val="auto"/>
                      <w:sz w:val="18"/>
                      <w:szCs w:val="18"/>
                      <w:highlight w:val="none"/>
                    </w:rPr>
                    <w:t>《四川省“十四五”土壤污染防治规划》</w:t>
                  </w:r>
                </w:p>
              </w:tc>
              <w:tc>
                <w:tcPr>
                  <w:tcW w:w="2614" w:type="dxa"/>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60" w:lineRule="exact"/>
                    <w:ind w:left="-21" w:leftChars="-10" w:right="-21" w:rightChars="-10"/>
                    <w:textAlignment w:val="auto"/>
                    <w:rPr>
                      <w:rFonts w:hint="default"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2.加强建设用地风险管控 加强土地空间管控。落实“三线一单”分区管控要求，加强规划区和建设项目布局论证，根据土壤环境承载能力和区域特点，合理确定区域功能定位、空间布局。禁止在居民区、学校、医院、疗养院和养老院等单位周边新（改、扩）建可能造成土壤污染的建设项目。结合新型城镇化、产业结构调整和化解过剩产能等要求，有序搬迁或依法关闭对土壤造成严重污染的企业，推进城市建成区环境风险高的大中型重点行业企业搬迁改造。 </w:t>
                  </w:r>
                </w:p>
              </w:tc>
              <w:tc>
                <w:tcPr>
                  <w:tcW w:w="1888" w:type="dxa"/>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21" w:leftChars="-10" w:right="-21" w:rightChars="-10"/>
                    <w:jc w:val="both"/>
                    <w:textAlignment w:val="auto"/>
                    <w:rPr>
                      <w:rFonts w:hint="default"/>
                      <w:color w:val="auto"/>
                      <w:sz w:val="18"/>
                      <w:szCs w:val="18"/>
                      <w:highlight w:val="none"/>
                    </w:rPr>
                  </w:pPr>
                  <w:r>
                    <w:rPr>
                      <w:rFonts w:hint="eastAsia" w:cs="宋体"/>
                      <w:color w:val="auto"/>
                      <w:kern w:val="0"/>
                      <w:sz w:val="18"/>
                      <w:szCs w:val="18"/>
                      <w:highlight w:val="none"/>
                      <w:lang w:bidi="ar"/>
                    </w:rPr>
                    <w:t>本项目符合“三线一单”分区管控要求。项目不位于居民区、学校、医院、疗养院和养老院等敏感区。</w:t>
                  </w:r>
                  <w:r>
                    <w:rPr>
                      <w:rFonts w:hint="default"/>
                      <w:color w:val="auto"/>
                      <w:sz w:val="18"/>
                      <w:szCs w:val="18"/>
                      <w:highlight w:val="none"/>
                    </w:rPr>
                    <w:t xml:space="preserve"> </w:t>
                  </w:r>
                </w:p>
              </w:tc>
              <w:tc>
                <w:tcPr>
                  <w:tcW w:w="773" w:type="dxa"/>
                  <w:noWrap/>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60" w:lineRule="exact"/>
                    <w:ind w:left="-21" w:leftChars="-10" w:right="-21" w:rightChars="-10"/>
                    <w:jc w:val="center"/>
                    <w:textAlignment w:val="auto"/>
                    <w:rPr>
                      <w:rFonts w:hint="default" w:ascii="宋体" w:hAnsi="宋体"/>
                      <w:bCs/>
                      <w:color w:val="auto"/>
                      <w:sz w:val="18"/>
                      <w:szCs w:val="18"/>
                      <w:highlight w:val="none"/>
                    </w:rPr>
                  </w:pPr>
                  <w:r>
                    <w:rPr>
                      <w:rFonts w:hint="eastAsia" w:ascii="宋体" w:hAnsi="宋体"/>
                      <w:bCs/>
                      <w:color w:val="auto"/>
                      <w:sz w:val="18"/>
                      <w:szCs w:val="18"/>
                      <w:highlight w:val="none"/>
                    </w:rPr>
                    <w:t>符合</w:t>
                  </w:r>
                </w:p>
              </w:tc>
            </w:tr>
          </w:tbl>
          <w:p>
            <w:pPr>
              <w:keepNext w:val="0"/>
              <w:keepLines w:val="0"/>
              <w:suppressLineNumbers w:val="0"/>
              <w:adjustRightInd w:val="0"/>
              <w:snapToGrid w:val="0"/>
              <w:spacing w:before="0" w:beforeAutospacing="0" w:after="0" w:afterAutospacing="0" w:line="400" w:lineRule="exact"/>
              <w:ind w:left="0" w:right="0" w:firstLine="420" w:firstLineChars="200"/>
              <w:jc w:val="left"/>
              <w:rPr>
                <w:rFonts w:hint="eastAsia" w:ascii="Times New Roman" w:hAnsi="Times New Roman" w:cs="Times New Roman"/>
                <w:color w:val="auto"/>
                <w:kern w:val="0"/>
                <w:sz w:val="22"/>
                <w:szCs w:val="28"/>
                <w:highlight w:val="none"/>
                <w:lang w:val="en-US" w:eastAsia="zh-CN"/>
              </w:rPr>
            </w:pPr>
            <w:r>
              <w:rPr>
                <w:rFonts w:hint="eastAsia" w:eastAsia="黑体"/>
                <w:bCs/>
                <w:color w:val="auto"/>
                <w:szCs w:val="21"/>
                <w:highlight w:val="none"/>
                <w:lang w:val="en-US" w:eastAsia="zh-CN"/>
              </w:rPr>
              <w:t>6</w:t>
            </w:r>
            <w:r>
              <w:rPr>
                <w:rFonts w:hint="eastAsia" w:eastAsia="黑体"/>
                <w:bCs/>
                <w:color w:val="auto"/>
                <w:szCs w:val="21"/>
                <w:highlight w:val="none"/>
              </w:rPr>
              <w:t>、</w:t>
            </w:r>
            <w:r>
              <w:rPr>
                <w:rFonts w:hint="eastAsia" w:ascii="Times New Roman" w:hAnsi="Times New Roman" w:cs="Times New Roman"/>
                <w:b/>
                <w:bCs/>
                <w:color w:val="auto"/>
                <w:kern w:val="0"/>
                <w:sz w:val="22"/>
                <w:szCs w:val="28"/>
                <w:highlight w:val="none"/>
                <w:lang w:val="en-US" w:eastAsia="zh-CN"/>
              </w:rPr>
              <w:t>与《达州市打赢蓝天保卫战等九个实施方案（达市府函〔</w:t>
            </w:r>
            <w:r>
              <w:rPr>
                <w:rFonts w:hint="default" w:ascii="Times New Roman" w:hAnsi="Times New Roman" w:cs="Times New Roman"/>
                <w:b/>
                <w:bCs/>
                <w:color w:val="auto"/>
                <w:kern w:val="0"/>
                <w:sz w:val="22"/>
                <w:szCs w:val="28"/>
                <w:highlight w:val="none"/>
                <w:lang w:val="en-US" w:eastAsia="zh-CN"/>
              </w:rPr>
              <w:t>2019</w:t>
            </w:r>
            <w:r>
              <w:rPr>
                <w:rFonts w:hint="eastAsia" w:ascii="Times New Roman" w:hAnsi="Times New Roman" w:cs="Times New Roman"/>
                <w:b/>
                <w:bCs/>
                <w:color w:val="auto"/>
                <w:kern w:val="0"/>
                <w:sz w:val="22"/>
                <w:szCs w:val="28"/>
                <w:highlight w:val="none"/>
                <w:lang w:val="en-US" w:eastAsia="zh-CN"/>
              </w:rPr>
              <w:t>〕</w:t>
            </w:r>
            <w:r>
              <w:rPr>
                <w:rFonts w:hint="default" w:ascii="Times New Roman" w:hAnsi="Times New Roman" w:cs="Times New Roman"/>
                <w:b/>
                <w:bCs/>
                <w:color w:val="auto"/>
                <w:kern w:val="0"/>
                <w:sz w:val="22"/>
                <w:szCs w:val="28"/>
                <w:highlight w:val="none"/>
                <w:lang w:val="en-US" w:eastAsia="zh-CN"/>
              </w:rPr>
              <w:t>120</w:t>
            </w:r>
            <w:r>
              <w:rPr>
                <w:rFonts w:hint="eastAsia" w:ascii="Times New Roman" w:hAnsi="Times New Roman" w:cs="Times New Roman"/>
                <w:b/>
                <w:bCs/>
                <w:color w:val="auto"/>
                <w:kern w:val="0"/>
                <w:sz w:val="22"/>
                <w:szCs w:val="28"/>
                <w:highlight w:val="none"/>
                <w:lang w:val="en-US" w:eastAsia="zh-CN"/>
              </w:rPr>
              <w:t>号）》的符合性</w:t>
            </w:r>
          </w:p>
          <w:p>
            <w:pPr>
              <w:keepNext w:val="0"/>
              <w:keepLines w:val="0"/>
              <w:widowControl w:val="0"/>
              <w:suppressLineNumbers w:val="0"/>
              <w:autoSpaceDE w:val="0"/>
              <w:autoSpaceDN w:val="0"/>
              <w:adjustRightInd w:val="0"/>
              <w:spacing w:before="0" w:beforeAutospacing="0" w:after="0" w:afterAutospacing="0" w:line="360" w:lineRule="exact"/>
              <w:ind w:left="0" w:right="0" w:firstLine="360" w:firstLineChars="200"/>
              <w:jc w:val="center"/>
              <w:rPr>
                <w:rFonts w:hint="eastAsia" w:ascii="黑体" w:hAnsi="宋体" w:eastAsia="黑体" w:cs="黑体"/>
                <w:color w:val="auto"/>
                <w:kern w:val="0"/>
                <w:highlight w:val="none"/>
                <w:lang w:val="en-US"/>
              </w:rPr>
            </w:pPr>
            <w:r>
              <w:rPr>
                <w:rFonts w:hint="eastAsia" w:ascii="Times New Roman" w:hAnsi="Times New Roman" w:eastAsia="黑体" w:cs="黑体"/>
                <w:color w:val="auto"/>
                <w:kern w:val="0"/>
                <w:sz w:val="18"/>
                <w:szCs w:val="18"/>
                <w:highlight w:val="none"/>
                <w:lang w:val="en-US" w:eastAsia="zh-CN" w:bidi="ar"/>
              </w:rPr>
              <w:t>表</w:t>
            </w:r>
            <w:r>
              <w:rPr>
                <w:rFonts w:hint="default" w:ascii="Times New Roman" w:hAnsi="Times New Roman" w:eastAsia="黑体" w:cs="Times New Roman"/>
                <w:color w:val="auto"/>
                <w:kern w:val="0"/>
                <w:sz w:val="18"/>
                <w:szCs w:val="18"/>
                <w:highlight w:val="none"/>
                <w:lang w:val="en-US" w:eastAsia="zh-CN" w:bidi="ar"/>
              </w:rPr>
              <w:t>1-</w:t>
            </w:r>
            <w:r>
              <w:rPr>
                <w:rFonts w:hint="eastAsia" w:eastAsia="黑体" w:cs="Times New Roman"/>
                <w:color w:val="auto"/>
                <w:kern w:val="0"/>
                <w:sz w:val="18"/>
                <w:szCs w:val="18"/>
                <w:highlight w:val="none"/>
                <w:lang w:val="en-US" w:eastAsia="zh-CN" w:bidi="ar"/>
              </w:rPr>
              <w:t>7</w:t>
            </w:r>
            <w:r>
              <w:rPr>
                <w:rFonts w:hint="default" w:ascii="Times New Roman" w:hAnsi="Times New Roman" w:eastAsia="黑体" w:cs="Times New Roman"/>
                <w:color w:val="auto"/>
                <w:kern w:val="0"/>
                <w:sz w:val="18"/>
                <w:szCs w:val="18"/>
                <w:highlight w:val="none"/>
                <w:lang w:val="en-US" w:eastAsia="zh-CN" w:bidi="ar"/>
              </w:rPr>
              <w:t xml:space="preserve">  </w:t>
            </w:r>
            <w:r>
              <w:rPr>
                <w:rFonts w:hint="eastAsia" w:ascii="Times New Roman" w:hAnsi="Times New Roman" w:eastAsia="黑体" w:cs="黑体"/>
                <w:color w:val="auto"/>
                <w:kern w:val="0"/>
                <w:sz w:val="18"/>
                <w:szCs w:val="18"/>
                <w:highlight w:val="none"/>
                <w:lang w:val="en-US" w:eastAsia="zh-CN" w:bidi="ar"/>
              </w:rPr>
              <w:t>与</w:t>
            </w:r>
            <w:r>
              <w:rPr>
                <w:rFonts w:hint="eastAsia" w:ascii="黑体" w:hAnsi="宋体" w:eastAsia="黑体" w:cs="黑体"/>
                <w:color w:val="auto"/>
                <w:kern w:val="0"/>
                <w:sz w:val="18"/>
                <w:szCs w:val="18"/>
                <w:highlight w:val="none"/>
                <w:lang w:val="en-US" w:eastAsia="zh-CN" w:bidi="ar"/>
              </w:rPr>
              <w:t>达州市打赢蓝天保卫战等九个实施方案的通知的符合性分析</w:t>
            </w:r>
          </w:p>
          <w:tbl>
            <w:tblPr>
              <w:tblStyle w:val="14"/>
              <w:tblW w:w="68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0"/>
              <w:gridCol w:w="547"/>
              <w:gridCol w:w="3222"/>
              <w:gridCol w:w="1746"/>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69" w:hRule="atLeast"/>
                <w:jc w:val="center"/>
              </w:trPr>
              <w:tc>
                <w:tcPr>
                  <w:tcW w:w="1227" w:type="dxa"/>
                  <w:gridSpan w:val="2"/>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b/>
                      <w:bCs/>
                      <w:color w:val="auto"/>
                      <w:kern w:val="0"/>
                      <w:sz w:val="18"/>
                      <w:szCs w:val="18"/>
                      <w:highlight w:val="none"/>
                      <w:lang w:val="en-US"/>
                    </w:rPr>
                  </w:pPr>
                  <w:r>
                    <w:rPr>
                      <w:rFonts w:hint="eastAsia" w:ascii="宋体" w:hAnsi="宋体" w:cs="宋体"/>
                      <w:b/>
                      <w:bCs/>
                      <w:color w:val="auto"/>
                      <w:kern w:val="0"/>
                      <w:sz w:val="18"/>
                      <w:szCs w:val="18"/>
                      <w:highlight w:val="none"/>
                      <w:lang w:val="en-US" w:eastAsia="zh-CN" w:bidi="ar"/>
                    </w:rPr>
                    <w:t>文件</w:t>
                  </w:r>
                  <w:r>
                    <w:rPr>
                      <w:rFonts w:hint="eastAsia" w:ascii="宋体" w:hAnsi="宋体" w:eastAsia="宋体" w:cs="宋体"/>
                      <w:b/>
                      <w:bCs/>
                      <w:color w:val="auto"/>
                      <w:kern w:val="0"/>
                      <w:sz w:val="18"/>
                      <w:szCs w:val="18"/>
                      <w:highlight w:val="none"/>
                      <w:lang w:val="en-US" w:eastAsia="zh-CN" w:bidi="ar"/>
                    </w:rPr>
                    <w:t>名称</w:t>
                  </w:r>
                </w:p>
              </w:tc>
              <w:tc>
                <w:tcPr>
                  <w:tcW w:w="3222"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b/>
                      <w:bCs/>
                      <w:color w:val="auto"/>
                      <w:kern w:val="0"/>
                      <w:sz w:val="18"/>
                      <w:szCs w:val="18"/>
                      <w:highlight w:val="none"/>
                      <w:lang w:val="en-US"/>
                    </w:rPr>
                  </w:pPr>
                  <w:r>
                    <w:rPr>
                      <w:rFonts w:hint="eastAsia" w:ascii="宋体" w:hAnsi="宋体" w:eastAsia="宋体" w:cs="宋体"/>
                      <w:b/>
                      <w:bCs/>
                      <w:color w:val="auto"/>
                      <w:kern w:val="0"/>
                      <w:sz w:val="18"/>
                      <w:szCs w:val="18"/>
                      <w:highlight w:val="none"/>
                      <w:lang w:val="en-US" w:eastAsia="zh-CN" w:bidi="ar"/>
                    </w:rPr>
                    <w:t>相关要求</w:t>
                  </w:r>
                </w:p>
              </w:tc>
              <w:tc>
                <w:tcPr>
                  <w:tcW w:w="1746"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b/>
                      <w:bCs/>
                      <w:color w:val="auto"/>
                      <w:kern w:val="0"/>
                      <w:sz w:val="18"/>
                      <w:szCs w:val="18"/>
                      <w:highlight w:val="none"/>
                      <w:lang w:val="en-US"/>
                    </w:rPr>
                  </w:pPr>
                  <w:r>
                    <w:rPr>
                      <w:rFonts w:hint="eastAsia" w:ascii="宋体" w:hAnsi="宋体" w:eastAsia="宋体" w:cs="宋体"/>
                      <w:b/>
                      <w:bCs/>
                      <w:color w:val="auto"/>
                      <w:kern w:val="0"/>
                      <w:sz w:val="18"/>
                      <w:szCs w:val="18"/>
                      <w:highlight w:val="none"/>
                      <w:lang w:val="en-US" w:eastAsia="zh-CN" w:bidi="ar"/>
                    </w:rPr>
                    <w:t>项目情况</w:t>
                  </w:r>
                </w:p>
              </w:tc>
              <w:tc>
                <w:tcPr>
                  <w:tcW w:w="66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b/>
                      <w:bCs/>
                      <w:color w:val="auto"/>
                      <w:kern w:val="0"/>
                      <w:sz w:val="18"/>
                      <w:szCs w:val="18"/>
                      <w:highlight w:val="none"/>
                      <w:lang w:val="en-US"/>
                    </w:rPr>
                  </w:pPr>
                  <w:r>
                    <w:rPr>
                      <w:rFonts w:hint="eastAsia" w:ascii="宋体" w:hAnsi="宋体" w:eastAsia="宋体" w:cs="宋体"/>
                      <w:b/>
                      <w:bCs/>
                      <w:color w:val="auto"/>
                      <w:kern w:val="0"/>
                      <w:sz w:val="18"/>
                      <w:szCs w:val="18"/>
                      <w:highlight w:val="no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116" w:hRule="atLeast"/>
                <w:jc w:val="center"/>
              </w:trPr>
              <w:tc>
                <w:tcPr>
                  <w:tcW w:w="680" w:type="dxa"/>
                  <w:vMerge w:val="restart"/>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rPr>
                  </w:pPr>
                  <w:r>
                    <w:rPr>
                      <w:rFonts w:hint="eastAsia" w:ascii="宋体" w:hAnsi="宋体" w:eastAsia="宋体" w:cs="宋体"/>
                      <w:color w:val="auto"/>
                      <w:kern w:val="0"/>
                      <w:sz w:val="18"/>
                      <w:szCs w:val="18"/>
                      <w:highlight w:val="none"/>
                      <w:lang w:val="en-US" w:eastAsia="zh-CN" w:bidi="ar"/>
                    </w:rPr>
                    <w:t>达州市打赢蓝天保卫战等九个实施方案的通知（达市府函〔</w:t>
                  </w:r>
                  <w:r>
                    <w:rPr>
                      <w:rFonts w:hint="default" w:ascii="Times New Roman" w:hAnsi="Times New Roman" w:eastAsia="宋体" w:cs="Times New Roman"/>
                      <w:color w:val="auto"/>
                      <w:kern w:val="0"/>
                      <w:sz w:val="18"/>
                      <w:szCs w:val="18"/>
                      <w:highlight w:val="none"/>
                      <w:lang w:val="en-US" w:eastAsia="zh-CN" w:bidi="ar"/>
                    </w:rPr>
                    <w:t>2019</w:t>
                  </w:r>
                  <w:r>
                    <w:rPr>
                      <w:rFonts w:hint="eastAsia" w:ascii="宋体" w:hAnsi="宋体" w:eastAsia="宋体" w:cs="宋体"/>
                      <w:color w:val="auto"/>
                      <w:kern w:val="0"/>
                      <w:sz w:val="18"/>
                      <w:szCs w:val="18"/>
                      <w:highlight w:val="none"/>
                      <w:lang w:val="en-US" w:eastAsia="zh-CN" w:bidi="ar"/>
                    </w:rPr>
                    <w:t>〕</w:t>
                  </w:r>
                  <w:r>
                    <w:rPr>
                      <w:rFonts w:hint="default" w:ascii="Times New Roman" w:hAnsi="Times New Roman" w:eastAsia="宋体" w:cs="Times New Roman"/>
                      <w:color w:val="auto"/>
                      <w:kern w:val="0"/>
                      <w:sz w:val="18"/>
                      <w:szCs w:val="18"/>
                      <w:highlight w:val="none"/>
                      <w:lang w:val="en-US" w:eastAsia="zh-CN" w:bidi="ar"/>
                    </w:rPr>
                    <w:t>120</w:t>
                  </w:r>
                  <w:r>
                    <w:rPr>
                      <w:rFonts w:hint="eastAsia" w:ascii="宋体" w:hAnsi="宋体" w:eastAsia="宋体" w:cs="宋体"/>
                      <w:color w:val="auto"/>
                      <w:kern w:val="0"/>
                      <w:sz w:val="18"/>
                      <w:szCs w:val="18"/>
                      <w:highlight w:val="none"/>
                      <w:lang w:val="en-US" w:eastAsia="zh-CN" w:bidi="ar"/>
                    </w:rPr>
                    <w:t>号）</w:t>
                  </w:r>
                </w:p>
              </w:tc>
              <w:tc>
                <w:tcPr>
                  <w:tcW w:w="547" w:type="dxa"/>
                  <w:vMerge w:val="restart"/>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rPr>
                  </w:pPr>
                  <w:r>
                    <w:rPr>
                      <w:rFonts w:hint="eastAsia" w:ascii="宋体" w:hAnsi="宋体" w:eastAsia="宋体" w:cs="宋体"/>
                      <w:color w:val="auto"/>
                      <w:kern w:val="0"/>
                      <w:sz w:val="18"/>
                      <w:szCs w:val="18"/>
                      <w:highlight w:val="none"/>
                      <w:lang w:val="en-US" w:eastAsia="zh-CN" w:bidi="ar"/>
                    </w:rPr>
                    <w:t>达州市打赢蓝天保卫战实施方案</w:t>
                  </w:r>
                </w:p>
              </w:tc>
              <w:tc>
                <w:tcPr>
                  <w:tcW w:w="3222"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distribute"/>
                    <w:textAlignment w:val="auto"/>
                    <w:outlineLvl w:val="2"/>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严格施工扬尘监管。大力推进装配式建筑，推广节能降耗的建筑新技术和新工艺，提高绿色施工水平。加强城市施工工地扬尘管控，建立扬尘控制责任制度。各地建立施工工地管理清单并定期进行更新。研究制定建筑施工扬尘防治技术导则。严格落实</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六必须、六不准</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管控要求，对违法违规的工地，依法停工整改。将扬尘管理工作不到位的不良信息纳入建筑市场信用管理体系，情节严重的，列入建筑市场主体</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黑名单</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。督促建设单位依法将防治扬尘污染费用列入工程造价。建立扬尘在线监测体系，加强现场检查力度。严禁露天焚烧建筑垃圾，排放有毒烟尘和气体。</w:t>
                  </w:r>
                </w:p>
              </w:tc>
              <w:tc>
                <w:tcPr>
                  <w:tcW w:w="1746"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jc w:val="distribute"/>
                    <w:textAlignment w:val="auto"/>
                    <w:outlineLvl w:val="2"/>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项目施工过程通过采取相应的污染治理措施，不会造成扬尘污染。</w:t>
                  </w:r>
                </w:p>
              </w:tc>
              <w:tc>
                <w:tcPr>
                  <w:tcW w:w="66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rPr>
                  </w:pPr>
                  <w:r>
                    <w:rPr>
                      <w:rFonts w:hint="eastAsia" w:ascii="宋体" w:hAnsi="宋体" w:eastAsia="宋体" w:cs="宋体"/>
                      <w:color w:val="auto"/>
                      <w:kern w:val="0"/>
                      <w:sz w:val="18"/>
                      <w:szCs w:val="18"/>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65" w:hRule="atLeast"/>
                <w:jc w:val="center"/>
              </w:trPr>
              <w:tc>
                <w:tcPr>
                  <w:tcW w:w="680" w:type="dxa"/>
                  <w:vMerge w:val="continue"/>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bidi w:val="0"/>
                    <w:spacing w:before="0" w:beforeAutospacing="0" w:after="0" w:afterAutospacing="0" w:line="260" w:lineRule="exact"/>
                    <w:ind w:left="53" w:leftChars="25" w:right="53" w:rightChars="25"/>
                    <w:textAlignment w:val="auto"/>
                    <w:rPr>
                      <w:rFonts w:hint="default" w:ascii="Times New Roman" w:hAnsi="Times New Roman" w:cs="Times New Roman"/>
                      <w:color w:val="auto"/>
                      <w:sz w:val="18"/>
                      <w:szCs w:val="18"/>
                      <w:highlight w:val="none"/>
                    </w:rPr>
                  </w:pPr>
                </w:p>
              </w:tc>
              <w:tc>
                <w:tcPr>
                  <w:tcW w:w="547" w:type="dxa"/>
                  <w:vMerge w:val="continue"/>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bidi w:val="0"/>
                    <w:spacing w:before="0" w:beforeAutospacing="0" w:after="0" w:afterAutospacing="0" w:line="260" w:lineRule="exact"/>
                    <w:ind w:left="53" w:leftChars="25" w:right="53" w:rightChars="25"/>
                    <w:textAlignment w:val="auto"/>
                    <w:rPr>
                      <w:rFonts w:hint="default" w:ascii="Times New Roman" w:hAnsi="Times New Roman" w:cs="Times New Roman"/>
                      <w:color w:val="auto"/>
                      <w:sz w:val="18"/>
                      <w:szCs w:val="18"/>
                      <w:highlight w:val="none"/>
                    </w:rPr>
                  </w:pPr>
                </w:p>
              </w:tc>
              <w:tc>
                <w:tcPr>
                  <w:tcW w:w="3222"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both"/>
                    <w:textAlignment w:val="auto"/>
                    <w:rPr>
                      <w:rFonts w:hint="default"/>
                      <w:color w:val="auto"/>
                      <w:kern w:val="0"/>
                      <w:sz w:val="18"/>
                      <w:szCs w:val="18"/>
                      <w:highlight w:val="none"/>
                      <w:lang w:val="en-US"/>
                    </w:rPr>
                  </w:pPr>
                  <w:r>
                    <w:rPr>
                      <w:rFonts w:hint="eastAsia" w:ascii="宋体" w:hAnsi="宋体" w:eastAsia="宋体" w:cs="宋体"/>
                      <w:color w:val="auto"/>
                      <w:kern w:val="0"/>
                      <w:sz w:val="18"/>
                      <w:szCs w:val="18"/>
                      <w:highlight w:val="none"/>
                      <w:lang w:val="en-US" w:eastAsia="zh-CN" w:bidi="ar"/>
                    </w:rPr>
                    <w:t>强化堆场扬尘管控。工业企业堆场实施规范化全封闭管理。易产生扬尘的物料堆场采用封闭式库仓，不具备封闭式库仓改造条件的，应设置不低于料堆高度的严密围挡，并采取覆盖措施有效控制扬尘污染；堆场内进行搅拌、粉碎、筛分等作业时应喷水抑尘，遇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上撒落的物料。建设工业企业堆场数据库，并组织安装工业堆场视频监控设施，实现工业企业堆场扬尘动态管理。加强砂石厂扬尘管控。</w:t>
                  </w:r>
                </w:p>
              </w:tc>
              <w:tc>
                <w:tcPr>
                  <w:tcW w:w="1746"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60" w:lineRule="exact"/>
                    <w:ind w:left="53" w:leftChars="25" w:right="53" w:rightChars="25"/>
                    <w:textAlignment w:val="auto"/>
                    <w:rPr>
                      <w:rFonts w:hint="default"/>
                      <w:color w:val="auto"/>
                      <w:kern w:val="0"/>
                      <w:sz w:val="18"/>
                      <w:szCs w:val="18"/>
                      <w:highlight w:val="none"/>
                      <w:lang w:val="en-US"/>
                    </w:rPr>
                  </w:pPr>
                  <w:r>
                    <w:rPr>
                      <w:rFonts w:hint="eastAsia" w:ascii="宋体" w:hAnsi="宋体" w:cs="宋体"/>
                      <w:color w:val="auto"/>
                      <w:kern w:val="0"/>
                      <w:sz w:val="18"/>
                      <w:szCs w:val="18"/>
                      <w:highlight w:val="none"/>
                      <w:lang w:bidi="ar"/>
                    </w:rPr>
                    <w:t>项目原料</w:t>
                  </w:r>
                  <w:r>
                    <w:rPr>
                      <w:rFonts w:hint="eastAsia" w:ascii="宋体" w:hAnsi="宋体" w:cs="宋体"/>
                      <w:color w:val="auto"/>
                      <w:kern w:val="0"/>
                      <w:sz w:val="18"/>
                      <w:szCs w:val="18"/>
                      <w:highlight w:val="none"/>
                      <w:lang w:val="en-US" w:eastAsia="zh-CN" w:bidi="ar"/>
                    </w:rPr>
                    <w:t>为外购的块状矿石料</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含尘量少不易产尘</w:t>
                  </w:r>
                  <w:r>
                    <w:rPr>
                      <w:rFonts w:hint="eastAsia" w:ascii="宋体" w:hAnsi="宋体" w:cs="宋体"/>
                      <w:color w:val="auto"/>
                      <w:kern w:val="0"/>
                      <w:sz w:val="18"/>
                      <w:szCs w:val="18"/>
                      <w:highlight w:val="none"/>
                      <w:lang w:bidi="ar"/>
                    </w:rPr>
                    <w:t>，生产的砂石产品因水洗工艺的原因，</w:t>
                  </w:r>
                  <w:r>
                    <w:rPr>
                      <w:rFonts w:hint="eastAsia" w:ascii="宋体" w:hAnsi="宋体" w:cs="宋体"/>
                      <w:color w:val="auto"/>
                      <w:kern w:val="0"/>
                      <w:sz w:val="18"/>
                      <w:szCs w:val="18"/>
                      <w:highlight w:val="none"/>
                      <w:lang w:val="en-US" w:eastAsia="zh-CN" w:bidi="ar"/>
                    </w:rPr>
                    <w:t>具有一定的</w:t>
                  </w:r>
                  <w:r>
                    <w:rPr>
                      <w:rFonts w:hint="eastAsia" w:ascii="宋体" w:hAnsi="宋体" w:cs="宋体"/>
                      <w:color w:val="auto"/>
                      <w:kern w:val="0"/>
                      <w:sz w:val="18"/>
                      <w:szCs w:val="18"/>
                      <w:highlight w:val="none"/>
                      <w:lang w:bidi="ar"/>
                    </w:rPr>
                    <w:t>含水率不易</w:t>
                  </w:r>
                  <w:r>
                    <w:rPr>
                      <w:rFonts w:hint="eastAsia" w:ascii="宋体" w:hAnsi="宋体" w:cs="宋体"/>
                      <w:color w:val="auto"/>
                      <w:kern w:val="0"/>
                      <w:sz w:val="18"/>
                      <w:szCs w:val="18"/>
                      <w:highlight w:val="none"/>
                      <w:lang w:val="en-US" w:eastAsia="zh-CN" w:bidi="ar"/>
                    </w:rPr>
                    <w:t>起尘</w:t>
                  </w: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项目原料堆场设置围挡防流失措施和防尘网覆盖，并采取喷雾降尘措施；产品堆存在封闭式产品库内，能有效防止扬尘污染</w:t>
                  </w:r>
                  <w:r>
                    <w:rPr>
                      <w:rFonts w:hint="eastAsia" w:ascii="宋体" w:hAnsi="宋体" w:cs="宋体"/>
                      <w:color w:val="auto"/>
                      <w:kern w:val="0"/>
                      <w:sz w:val="18"/>
                      <w:szCs w:val="18"/>
                      <w:highlight w:val="none"/>
                      <w:lang w:bidi="ar"/>
                    </w:rPr>
                    <w:t>。</w:t>
                  </w:r>
                  <w:r>
                    <w:rPr>
                      <w:rFonts w:hint="default"/>
                      <w:color w:val="auto"/>
                      <w:sz w:val="18"/>
                      <w:szCs w:val="18"/>
                      <w:highlight w:val="none"/>
                    </w:rPr>
                    <w:t>厂区出入口设置车轮冲洗池，冲洗废水经沉淀后回用；厂区内运输道路硬化，及时清扫地面，定期洒水降尘；运输</w:t>
                  </w:r>
                  <w:r>
                    <w:rPr>
                      <w:rFonts w:hint="eastAsia"/>
                      <w:color w:val="auto"/>
                      <w:sz w:val="18"/>
                      <w:szCs w:val="18"/>
                      <w:highlight w:val="none"/>
                      <w:lang w:val="en-US" w:eastAsia="zh-CN"/>
                    </w:rPr>
                    <w:t>车辆</w:t>
                  </w:r>
                  <w:r>
                    <w:rPr>
                      <w:rFonts w:hint="default"/>
                      <w:color w:val="auto"/>
                      <w:sz w:val="18"/>
                      <w:szCs w:val="18"/>
                      <w:highlight w:val="none"/>
                    </w:rPr>
                    <w:t>使用篷布遮盖</w:t>
                  </w:r>
                  <w:r>
                    <w:rPr>
                      <w:rFonts w:hint="eastAsia"/>
                      <w:color w:val="auto"/>
                      <w:sz w:val="18"/>
                      <w:szCs w:val="18"/>
                      <w:highlight w:val="none"/>
                    </w:rPr>
                    <w:t>。</w:t>
                  </w:r>
                </w:p>
              </w:tc>
              <w:tc>
                <w:tcPr>
                  <w:tcW w:w="66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rPr>
                  </w:pPr>
                  <w:r>
                    <w:rPr>
                      <w:rFonts w:hint="eastAsia" w:ascii="宋体" w:hAnsi="宋体" w:eastAsia="宋体" w:cs="宋体"/>
                      <w:color w:val="auto"/>
                      <w:kern w:val="0"/>
                      <w:sz w:val="18"/>
                      <w:szCs w:val="18"/>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02" w:hRule="atLeast"/>
                <w:jc w:val="center"/>
              </w:trPr>
              <w:tc>
                <w:tcPr>
                  <w:tcW w:w="680" w:type="dxa"/>
                  <w:vMerge w:val="continue"/>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bidi w:val="0"/>
                    <w:spacing w:before="0" w:beforeAutospacing="0" w:after="0" w:afterAutospacing="0" w:line="260" w:lineRule="exact"/>
                    <w:ind w:left="53" w:leftChars="25" w:right="53" w:rightChars="25"/>
                    <w:textAlignment w:val="auto"/>
                    <w:rPr>
                      <w:rFonts w:hint="default" w:ascii="Times New Roman" w:hAnsi="Times New Roman" w:cs="Times New Roman"/>
                      <w:color w:val="auto"/>
                      <w:sz w:val="18"/>
                      <w:szCs w:val="18"/>
                      <w:highlight w:val="none"/>
                    </w:rPr>
                  </w:pPr>
                </w:p>
              </w:tc>
              <w:tc>
                <w:tcPr>
                  <w:tcW w:w="547"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rPr>
                  </w:pPr>
                  <w:r>
                    <w:rPr>
                      <w:rFonts w:hint="eastAsia" w:ascii="宋体" w:hAnsi="宋体" w:eastAsia="宋体" w:cs="宋体"/>
                      <w:color w:val="auto"/>
                      <w:kern w:val="0"/>
                      <w:sz w:val="18"/>
                      <w:szCs w:val="18"/>
                      <w:highlight w:val="none"/>
                      <w:lang w:val="en-US" w:eastAsia="zh-CN" w:bidi="ar"/>
                    </w:rPr>
                    <w:t>达州市打赢碧水保卫战实施方案</w:t>
                  </w:r>
                </w:p>
              </w:tc>
              <w:tc>
                <w:tcPr>
                  <w:tcW w:w="3222"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both"/>
                    <w:textAlignment w:val="auto"/>
                    <w:rPr>
                      <w:rFonts w:hint="default"/>
                      <w:color w:val="auto"/>
                      <w:kern w:val="0"/>
                      <w:sz w:val="18"/>
                      <w:szCs w:val="18"/>
                      <w:highlight w:val="none"/>
                      <w:lang w:val="en-US"/>
                    </w:rPr>
                  </w:pPr>
                  <w:r>
                    <w:rPr>
                      <w:rFonts w:hint="eastAsia" w:ascii="宋体" w:hAnsi="宋体" w:eastAsia="宋体" w:cs="宋体"/>
                      <w:color w:val="auto"/>
                      <w:kern w:val="0"/>
                      <w:sz w:val="18"/>
                      <w:szCs w:val="18"/>
                      <w:highlight w:val="none"/>
                      <w:lang w:val="en-US" w:eastAsia="zh-CN" w:bidi="ar"/>
                    </w:rPr>
                    <w:t>实施园区工业废水达标整治。落实《四川省工业园区〔工业集聚区〕工业废水处理设施建设三年行动计划》要求，倒排工期，压实责任，按照属地管理、辖区负责的原则，市级相关部门按照管理权限亳促指导各地加快推进工业园区</w:t>
                  </w:r>
                  <w:r>
                    <w:rPr>
                      <w:rFonts w:hint="default" w:ascii="Times New Roman" w:hAnsi="Times New Roman" w:eastAsia="宋体" w:cs="Times New Roman"/>
                      <w:color w:val="auto"/>
                      <w:kern w:val="0"/>
                      <w:sz w:val="18"/>
                      <w:szCs w:val="18"/>
                      <w:highlight w:val="none"/>
                      <w:lang w:val="en-US" w:eastAsia="zh-CN" w:bidi="ar"/>
                    </w:rPr>
                    <w:t>(</w:t>
                  </w:r>
                  <w:r>
                    <w:rPr>
                      <w:rFonts w:hint="eastAsia" w:ascii="宋体" w:hAnsi="宋体" w:eastAsia="宋体" w:cs="宋体"/>
                      <w:color w:val="auto"/>
                      <w:kern w:val="0"/>
                      <w:sz w:val="18"/>
                      <w:szCs w:val="18"/>
                      <w:highlight w:val="none"/>
                      <w:lang w:val="en-US" w:eastAsia="zh-CN" w:bidi="ar"/>
                    </w:rPr>
                    <w:t>工业集聚区</w:t>
                  </w:r>
                  <w:r>
                    <w:rPr>
                      <w:rFonts w:hint="default" w:ascii="Times New Roman" w:hAnsi="Times New Roman" w:eastAsia="宋体" w:cs="Times New Roman"/>
                      <w:color w:val="auto"/>
                      <w:kern w:val="0"/>
                      <w:sz w:val="18"/>
                      <w:szCs w:val="18"/>
                      <w:highlight w:val="none"/>
                      <w:lang w:val="en-US" w:eastAsia="zh-CN" w:bidi="ar"/>
                    </w:rPr>
                    <w:t>)</w:t>
                  </w:r>
                  <w:r>
                    <w:rPr>
                      <w:rFonts w:hint="eastAsia" w:ascii="宋体" w:hAnsi="宋体" w:eastAsia="宋体" w:cs="宋体"/>
                      <w:color w:val="auto"/>
                      <w:kern w:val="0"/>
                      <w:sz w:val="18"/>
                      <w:szCs w:val="18"/>
                      <w:highlight w:val="none"/>
                      <w:lang w:val="en-US" w:eastAsia="zh-CN" w:bidi="ar"/>
                    </w:rPr>
                    <w:t>污水处理设施建设，确保污水处理设施按期建成投入使用和正常运行。在处理设施建成前，依托生活污水处理厂、一体化应急设备全面处理工业废水，确保达标排放；处理设施建成后，加强运行维护，确保设施稳定运行。</w:t>
                  </w:r>
                </w:p>
              </w:tc>
              <w:tc>
                <w:tcPr>
                  <w:tcW w:w="1746"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bidi w:val="0"/>
                    <w:spacing w:before="0" w:beforeAutospacing="0" w:after="0" w:afterAutospacing="0" w:line="260" w:lineRule="exact"/>
                    <w:ind w:left="53" w:leftChars="25" w:right="53" w:rightChars="25"/>
                    <w:textAlignment w:val="auto"/>
                    <w:outlineLvl w:val="2"/>
                    <w:rPr>
                      <w:rFonts w:hint="default"/>
                      <w:color w:val="auto"/>
                      <w:kern w:val="0"/>
                      <w:sz w:val="18"/>
                      <w:szCs w:val="18"/>
                      <w:highlight w:val="none"/>
                      <w:lang w:val="en-US"/>
                    </w:rPr>
                  </w:pPr>
                  <w:r>
                    <w:rPr>
                      <w:rFonts w:hint="eastAsia"/>
                      <w:color w:val="auto"/>
                      <w:sz w:val="18"/>
                      <w:szCs w:val="18"/>
                      <w:highlight w:val="none"/>
                    </w:rPr>
                    <w:t>项目生产废水经废水处理设施处理后循环使用，不外排；生活污水经</w:t>
                  </w:r>
                  <w:r>
                    <w:rPr>
                      <w:rFonts w:hint="eastAsia"/>
                      <w:color w:val="auto"/>
                      <w:sz w:val="18"/>
                      <w:szCs w:val="18"/>
                      <w:highlight w:val="none"/>
                      <w:lang w:eastAsia="zh-CN"/>
                    </w:rPr>
                    <w:t>化粪池</w:t>
                  </w:r>
                  <w:r>
                    <w:rPr>
                      <w:rFonts w:hint="eastAsia"/>
                      <w:color w:val="auto"/>
                      <w:sz w:val="18"/>
                      <w:szCs w:val="18"/>
                      <w:highlight w:val="none"/>
                    </w:rPr>
                    <w:t>处理后</w:t>
                  </w:r>
                  <w:r>
                    <w:rPr>
                      <w:rFonts w:hint="eastAsia"/>
                      <w:color w:val="auto"/>
                      <w:sz w:val="18"/>
                      <w:szCs w:val="18"/>
                      <w:highlight w:val="none"/>
                      <w:lang w:val="en-US" w:eastAsia="zh-CN"/>
                    </w:rPr>
                    <w:t>清掏做农肥不外排</w:t>
                  </w:r>
                  <w:r>
                    <w:rPr>
                      <w:rFonts w:hint="eastAsia"/>
                      <w:color w:val="auto"/>
                      <w:sz w:val="18"/>
                      <w:szCs w:val="18"/>
                      <w:highlight w:val="none"/>
                    </w:rPr>
                    <w:t>。</w:t>
                  </w:r>
                </w:p>
              </w:tc>
              <w:tc>
                <w:tcPr>
                  <w:tcW w:w="66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rPr>
                  </w:pPr>
                  <w:r>
                    <w:rPr>
                      <w:rFonts w:hint="eastAsia" w:ascii="宋体" w:hAnsi="宋体" w:eastAsia="宋体" w:cs="宋体"/>
                      <w:color w:val="auto"/>
                      <w:kern w:val="0"/>
                      <w:sz w:val="18"/>
                      <w:szCs w:val="18"/>
                      <w:highlight w:val="none"/>
                      <w:lang w:val="en-US" w:eastAsia="zh-CN" w:bidi="ar"/>
                    </w:rPr>
                    <w:t>符合</w:t>
                  </w:r>
                </w:p>
              </w:tc>
            </w:tr>
          </w:tbl>
          <w:p>
            <w:pPr>
              <w:keepNext w:val="0"/>
              <w:keepLines w:val="0"/>
              <w:suppressLineNumbers w:val="0"/>
              <w:adjustRightInd w:val="0"/>
              <w:snapToGrid w:val="0"/>
              <w:spacing w:before="0" w:beforeAutospacing="0" w:after="0" w:afterAutospacing="0" w:line="400" w:lineRule="exact"/>
              <w:ind w:left="0" w:right="0" w:firstLine="420" w:firstLineChars="200"/>
              <w:jc w:val="left"/>
              <w:rPr>
                <w:rFonts w:hint="eastAsia" w:ascii="Times New Roman" w:hAnsi="Times New Roman" w:cs="Times New Roman"/>
                <w:color w:val="auto"/>
                <w:kern w:val="0"/>
                <w:sz w:val="22"/>
                <w:szCs w:val="28"/>
                <w:highlight w:val="none"/>
                <w:lang w:val="en-US" w:eastAsia="zh-CN"/>
              </w:rPr>
            </w:pPr>
            <w:r>
              <w:rPr>
                <w:rFonts w:hint="eastAsia" w:eastAsia="黑体"/>
                <w:bCs/>
                <w:color w:val="auto"/>
                <w:szCs w:val="21"/>
                <w:highlight w:val="none"/>
                <w:lang w:val="en-US" w:eastAsia="zh-CN"/>
              </w:rPr>
              <w:t>7</w:t>
            </w:r>
            <w:r>
              <w:rPr>
                <w:rFonts w:hint="eastAsia" w:eastAsia="黑体"/>
                <w:bCs/>
                <w:color w:val="auto"/>
                <w:szCs w:val="21"/>
                <w:highlight w:val="none"/>
              </w:rPr>
              <w:t>、</w:t>
            </w:r>
            <w:r>
              <w:rPr>
                <w:rFonts w:hint="eastAsia" w:ascii="Times New Roman" w:hAnsi="Times New Roman" w:cs="Times New Roman"/>
                <w:b/>
                <w:bCs/>
                <w:color w:val="auto"/>
                <w:kern w:val="0"/>
                <w:sz w:val="22"/>
                <w:szCs w:val="28"/>
                <w:highlight w:val="none"/>
                <w:lang w:val="en-US" w:eastAsia="zh-CN"/>
              </w:rPr>
              <w:t>与《关于推进机制砂石行业高质量发展的若干意见》（工信部联原〔2019〕239号）的符合性</w:t>
            </w:r>
          </w:p>
          <w:p>
            <w:pPr>
              <w:keepNext w:val="0"/>
              <w:keepLines w:val="0"/>
              <w:widowControl w:val="0"/>
              <w:suppressLineNumbers w:val="0"/>
              <w:autoSpaceDE w:val="0"/>
              <w:autoSpaceDN w:val="0"/>
              <w:adjustRightInd w:val="0"/>
              <w:spacing w:before="0" w:beforeAutospacing="0" w:after="0" w:afterAutospacing="0" w:line="360" w:lineRule="exact"/>
              <w:ind w:left="0" w:right="0" w:firstLine="400" w:firstLineChars="200"/>
              <w:jc w:val="center"/>
              <w:rPr>
                <w:rFonts w:hint="eastAsia" w:ascii="黑体" w:hAnsi="宋体" w:eastAsia="黑体" w:cs="黑体"/>
                <w:color w:val="auto"/>
                <w:kern w:val="0"/>
                <w:highlight w:val="none"/>
                <w:lang w:val="en-US"/>
              </w:rPr>
            </w:pPr>
            <w:r>
              <w:rPr>
                <w:rFonts w:hint="eastAsia" w:ascii="Times New Roman" w:hAnsi="Times New Roman" w:eastAsia="黑体" w:cs="黑体"/>
                <w:color w:val="auto"/>
                <w:kern w:val="0"/>
                <w:sz w:val="20"/>
                <w:szCs w:val="20"/>
                <w:highlight w:val="none"/>
                <w:lang w:val="en-US" w:eastAsia="zh-CN" w:bidi="ar"/>
              </w:rPr>
              <w:t>表</w:t>
            </w:r>
            <w:r>
              <w:rPr>
                <w:rFonts w:hint="default" w:ascii="Times New Roman" w:hAnsi="Times New Roman" w:eastAsia="黑体" w:cs="Times New Roman"/>
                <w:color w:val="auto"/>
                <w:kern w:val="0"/>
                <w:sz w:val="20"/>
                <w:szCs w:val="20"/>
                <w:highlight w:val="none"/>
                <w:lang w:val="en-US" w:eastAsia="zh-CN" w:bidi="ar"/>
              </w:rPr>
              <w:t>1-</w:t>
            </w:r>
            <w:r>
              <w:rPr>
                <w:rFonts w:hint="eastAsia" w:eastAsia="黑体" w:cs="Times New Roman"/>
                <w:color w:val="auto"/>
                <w:kern w:val="0"/>
                <w:sz w:val="20"/>
                <w:szCs w:val="20"/>
                <w:highlight w:val="none"/>
                <w:lang w:val="en-US" w:eastAsia="zh-CN" w:bidi="ar"/>
              </w:rPr>
              <w:t>8</w:t>
            </w:r>
            <w:r>
              <w:rPr>
                <w:rFonts w:hint="default" w:ascii="Times New Roman" w:hAnsi="Times New Roman" w:eastAsia="黑体" w:cs="Times New Roman"/>
                <w:color w:val="auto"/>
                <w:kern w:val="0"/>
                <w:sz w:val="20"/>
                <w:szCs w:val="20"/>
                <w:highlight w:val="none"/>
                <w:lang w:val="en-US" w:eastAsia="zh-CN" w:bidi="ar"/>
              </w:rPr>
              <w:t xml:space="preserve">  </w:t>
            </w:r>
            <w:r>
              <w:rPr>
                <w:rFonts w:hint="eastAsia" w:ascii="Times New Roman" w:hAnsi="Times New Roman" w:eastAsia="黑体" w:cs="黑体"/>
                <w:color w:val="auto"/>
                <w:kern w:val="0"/>
                <w:sz w:val="20"/>
                <w:szCs w:val="20"/>
                <w:highlight w:val="none"/>
                <w:lang w:val="en-US" w:eastAsia="zh-CN" w:bidi="ar"/>
              </w:rPr>
              <w:t>与关于推进机制砂石行业高质量发展的若干意见</w:t>
            </w:r>
            <w:r>
              <w:rPr>
                <w:rFonts w:hint="eastAsia" w:ascii="黑体" w:hAnsi="宋体" w:eastAsia="黑体" w:cs="黑体"/>
                <w:color w:val="auto"/>
                <w:kern w:val="0"/>
                <w:sz w:val="20"/>
                <w:szCs w:val="20"/>
                <w:highlight w:val="none"/>
                <w:lang w:val="en-US" w:eastAsia="zh-CN" w:bidi="ar"/>
              </w:rPr>
              <w:t>的符合性分析</w:t>
            </w:r>
          </w:p>
          <w:tbl>
            <w:tblPr>
              <w:tblStyle w:val="14"/>
              <w:tblW w:w="66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4"/>
              <w:gridCol w:w="3210"/>
              <w:gridCol w:w="2190"/>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69"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eastAsia="宋体"/>
                      <w:b/>
                      <w:bCs/>
                      <w:color w:val="auto"/>
                      <w:kern w:val="0"/>
                      <w:sz w:val="18"/>
                      <w:szCs w:val="18"/>
                      <w:highlight w:val="none"/>
                      <w:lang w:val="en-US" w:eastAsia="zh-CN"/>
                    </w:rPr>
                  </w:pPr>
                  <w:r>
                    <w:rPr>
                      <w:rFonts w:hint="eastAsia"/>
                      <w:b/>
                      <w:bCs/>
                      <w:color w:val="auto"/>
                      <w:kern w:val="0"/>
                      <w:sz w:val="18"/>
                      <w:szCs w:val="18"/>
                      <w:highlight w:val="none"/>
                      <w:lang w:val="en-US" w:eastAsia="zh-CN"/>
                    </w:rPr>
                    <w:t>序号</w:t>
                  </w:r>
                </w:p>
              </w:tc>
              <w:tc>
                <w:tcPr>
                  <w:tcW w:w="3210"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b/>
                      <w:bCs/>
                      <w:color w:val="auto"/>
                      <w:kern w:val="0"/>
                      <w:sz w:val="18"/>
                      <w:szCs w:val="18"/>
                      <w:highlight w:val="none"/>
                      <w:lang w:val="en-US"/>
                    </w:rPr>
                  </w:pPr>
                  <w:r>
                    <w:rPr>
                      <w:rFonts w:hint="eastAsia" w:ascii="宋体" w:hAnsi="宋体" w:eastAsia="宋体" w:cs="宋体"/>
                      <w:b/>
                      <w:bCs/>
                      <w:color w:val="auto"/>
                      <w:kern w:val="0"/>
                      <w:sz w:val="18"/>
                      <w:szCs w:val="18"/>
                      <w:highlight w:val="none"/>
                      <w:lang w:val="en-US" w:eastAsia="zh-CN" w:bidi="ar"/>
                    </w:rPr>
                    <w:t>相关要求</w:t>
                  </w:r>
                </w:p>
              </w:tc>
              <w:tc>
                <w:tcPr>
                  <w:tcW w:w="2190"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b/>
                      <w:bCs/>
                      <w:color w:val="auto"/>
                      <w:kern w:val="0"/>
                      <w:sz w:val="18"/>
                      <w:szCs w:val="18"/>
                      <w:highlight w:val="none"/>
                      <w:lang w:val="en-US"/>
                    </w:rPr>
                  </w:pPr>
                  <w:r>
                    <w:rPr>
                      <w:rFonts w:hint="eastAsia" w:ascii="宋体" w:hAnsi="宋体" w:eastAsia="宋体" w:cs="宋体"/>
                      <w:b/>
                      <w:bCs/>
                      <w:color w:val="auto"/>
                      <w:kern w:val="0"/>
                      <w:sz w:val="18"/>
                      <w:szCs w:val="18"/>
                      <w:highlight w:val="none"/>
                      <w:lang w:val="en-US" w:eastAsia="zh-CN" w:bidi="ar"/>
                    </w:rPr>
                    <w:t>项目情况</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b/>
                      <w:bCs/>
                      <w:color w:val="auto"/>
                      <w:kern w:val="0"/>
                      <w:sz w:val="18"/>
                      <w:szCs w:val="18"/>
                      <w:highlight w:val="none"/>
                      <w:lang w:val="en-US"/>
                    </w:rPr>
                  </w:pPr>
                  <w:r>
                    <w:rPr>
                      <w:rFonts w:hint="eastAsia" w:ascii="宋体" w:hAnsi="宋体" w:eastAsia="宋体" w:cs="宋体"/>
                      <w:b/>
                      <w:bCs/>
                      <w:color w:val="auto"/>
                      <w:kern w:val="0"/>
                      <w:sz w:val="18"/>
                      <w:szCs w:val="18"/>
                      <w:highlight w:val="no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23"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1</w:t>
                  </w:r>
                </w:p>
              </w:tc>
              <w:tc>
                <w:tcPr>
                  <w:tcW w:w="3210"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53" w:leftChars="25" w:right="53" w:rightChars="25"/>
                    <w:jc w:val="left"/>
                    <w:textAlignment w:val="auto"/>
                    <w:outlineLvl w:val="2"/>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rPr>
                    <w:t>（二）拓展砂石来源。规范砂石资源管理，鼓励利用废石以及铁、钼、钒钛等矿山的尾矿生产机制砂石，节约天然资源，提高产业固体废物综合利用水平。</w:t>
                  </w:r>
                </w:p>
              </w:tc>
              <w:tc>
                <w:tcPr>
                  <w:tcW w:w="2190"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40" w:lineRule="exact"/>
                    <w:ind w:left="53" w:leftChars="25" w:right="53" w:rightChars="25"/>
                    <w:jc w:val="left"/>
                    <w:textAlignment w:val="auto"/>
                    <w:outlineLvl w:val="2"/>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本项目主要生产高品质砂石料，主要以矿山开采的块状矿石为原料。</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rPr>
                  </w:pPr>
                  <w:r>
                    <w:rPr>
                      <w:rFonts w:hint="eastAsia" w:ascii="宋体" w:hAnsi="宋体" w:eastAsia="宋体" w:cs="宋体"/>
                      <w:color w:val="auto"/>
                      <w:kern w:val="0"/>
                      <w:sz w:val="18"/>
                      <w:szCs w:val="18"/>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74"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2</w:t>
                  </w:r>
                </w:p>
              </w:tc>
              <w:tc>
                <w:tcPr>
                  <w:tcW w:w="3210"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53" w:leftChars="25" w:right="53" w:rightChars="25"/>
                    <w:jc w:val="left"/>
                    <w:textAlignment w:val="auto"/>
                    <w:outlineLvl w:val="2"/>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四）加快技术创新。整合行业创新资源，搭建行业技术创新和交流平台，建设创新中心，突破关键共性技术。以机制砂石的颗粒整形、级配调整、节能降耗、综合利用等关键技术和工艺为重点，鼓励技术创新和技术改造。</w:t>
                  </w:r>
                </w:p>
              </w:tc>
              <w:tc>
                <w:tcPr>
                  <w:tcW w:w="2190"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40" w:lineRule="exact"/>
                    <w:ind w:left="53" w:leftChars="25" w:right="53" w:rightChars="25"/>
                    <w:jc w:val="left"/>
                    <w:textAlignment w:val="auto"/>
                    <w:outlineLvl w:val="2"/>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本项目高品质砂石生产线安装有立轴冲击式制砂机，该设备也具有整形功能。</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ascii="宋体" w:hAnsi="宋体" w:eastAsia="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74"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eastAsia="zh-CN"/>
                    </w:rPr>
                  </w:pPr>
                  <w:r>
                    <w:rPr>
                      <w:rFonts w:hint="eastAsia"/>
                      <w:color w:val="auto"/>
                      <w:kern w:val="0"/>
                      <w:sz w:val="18"/>
                      <w:szCs w:val="18"/>
                      <w:highlight w:val="none"/>
                      <w:lang w:val="en-US" w:eastAsia="zh-CN"/>
                    </w:rPr>
                    <w:t>3</w:t>
                  </w:r>
                </w:p>
              </w:tc>
              <w:tc>
                <w:tcPr>
                  <w:tcW w:w="3210"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53" w:leftChars="25" w:right="53" w:rightChars="25"/>
                    <w:jc w:val="left"/>
                    <w:textAlignment w:val="auto"/>
                    <w:outlineLvl w:val="2"/>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（五）严格质量管控。依据原料品质实施分级利用，做到优质优用，提高砂石产品的成品率。对成品料分类或分仓储存。加强对原料的品质监测和控制能力，严格控制有害杂质含量。</w:t>
                  </w:r>
                </w:p>
              </w:tc>
              <w:tc>
                <w:tcPr>
                  <w:tcW w:w="2190"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40" w:lineRule="exact"/>
                    <w:ind w:left="53" w:leftChars="25" w:right="53" w:rightChars="25"/>
                    <w:jc w:val="left"/>
                    <w:textAlignment w:val="auto"/>
                    <w:outlineLvl w:val="2"/>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本项目原料为矿山开采的块状矿石料，采用两级破碎、冲击式制砂机及水洗筛分等工艺，生产出高品质的砂石产品。产品库内采取分类储存，提高利用率</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74"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eastAsia="zh-CN"/>
                    </w:rPr>
                  </w:pPr>
                  <w:r>
                    <w:rPr>
                      <w:rFonts w:hint="eastAsia"/>
                      <w:color w:val="auto"/>
                      <w:kern w:val="0"/>
                      <w:sz w:val="18"/>
                      <w:szCs w:val="18"/>
                      <w:highlight w:val="none"/>
                      <w:lang w:val="en-US" w:eastAsia="zh-CN"/>
                    </w:rPr>
                    <w:t>4</w:t>
                  </w:r>
                </w:p>
              </w:tc>
              <w:tc>
                <w:tcPr>
                  <w:tcW w:w="3210"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40" w:lineRule="exact"/>
                    <w:ind w:left="53" w:leftChars="25" w:right="53" w:rightChars="25"/>
                    <w:jc w:val="left"/>
                    <w:textAlignment w:val="auto"/>
                    <w:outlineLvl w:val="2"/>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十）发展绿色制造。机制砂石企业要坚持绿色低碳循环发展，按照相关规范要求建设绿色矿山。生产线配套建设抑尘收尘、水处理和降噪等污染防治以及水土保持设施，对设备、产品采取棚化密封或其他有效覆盖措施，推进清洁生产，严控无组织排放，满足达标排放等环保要求。对工艺废水、细粉和沉淀泥浆等加强回收再利用，鼓励利用生产过程中的伴生石粉生产绿色建材，实现近零排放。提高设备整体能效、节水水平，降低单位产品的综合能耗、水耗，鼓励有条件的企业实施输送带势能发电、开展合同节水管理。</w:t>
                  </w:r>
                </w:p>
              </w:tc>
              <w:tc>
                <w:tcPr>
                  <w:tcW w:w="2190"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40" w:lineRule="exact"/>
                    <w:ind w:left="53" w:leftChars="25" w:right="53" w:rightChars="25"/>
                    <w:jc w:val="left"/>
                    <w:textAlignment w:val="auto"/>
                    <w:outlineLvl w:val="2"/>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本项目砂石生产线采取湿法生产工艺，且布置在封闭式生产车间内，产品也储存在封闭式产品库内，能够满足粉尘</w:t>
                  </w:r>
                  <w:r>
                    <w:rPr>
                      <w:rFonts w:hint="eastAsia" w:ascii="Times New Roman" w:hAnsi="Times New Roman" w:eastAsia="宋体" w:cs="Times New Roman"/>
                      <w:color w:val="auto"/>
                      <w:sz w:val="18"/>
                      <w:szCs w:val="18"/>
                      <w:highlight w:val="none"/>
                      <w:lang w:val="en-US" w:eastAsia="zh-CN"/>
                    </w:rPr>
                    <w:t>无组织</w:t>
                  </w:r>
                  <w:r>
                    <w:rPr>
                      <w:rFonts w:hint="eastAsia" w:cs="Times New Roman"/>
                      <w:color w:val="auto"/>
                      <w:sz w:val="18"/>
                      <w:szCs w:val="18"/>
                      <w:highlight w:val="none"/>
                      <w:lang w:val="en-US" w:eastAsia="zh-CN"/>
                    </w:rPr>
                    <w:t>达标</w:t>
                  </w:r>
                  <w:r>
                    <w:rPr>
                      <w:rFonts w:hint="eastAsia" w:ascii="Times New Roman" w:hAnsi="Times New Roman" w:eastAsia="宋体" w:cs="Times New Roman"/>
                      <w:color w:val="auto"/>
                      <w:sz w:val="18"/>
                      <w:szCs w:val="18"/>
                      <w:highlight w:val="none"/>
                      <w:lang w:val="en-US" w:eastAsia="zh-CN"/>
                    </w:rPr>
                    <w:t>排放等环保要求。</w:t>
                  </w:r>
                </w:p>
                <w:p>
                  <w:pPr>
                    <w:keepNext/>
                    <w:keepLines/>
                    <w:pageBreakBefore w:val="0"/>
                    <w:widowControl w:val="0"/>
                    <w:suppressLineNumbers w:val="0"/>
                    <w:kinsoku/>
                    <w:wordWrap/>
                    <w:overflowPunct/>
                    <w:topLinePunct w:val="0"/>
                    <w:autoSpaceDE/>
                    <w:autoSpaceDN/>
                    <w:bidi w:val="0"/>
                    <w:spacing w:before="0" w:beforeAutospacing="0" w:after="0" w:afterAutospacing="0" w:line="240" w:lineRule="exact"/>
                    <w:ind w:left="53" w:leftChars="25" w:right="53" w:rightChars="25"/>
                    <w:jc w:val="left"/>
                    <w:textAlignment w:val="auto"/>
                    <w:outlineLvl w:val="2"/>
                    <w:rPr>
                      <w:rFonts w:hint="default"/>
                      <w:color w:val="auto"/>
                      <w:lang w:val="en-US" w:eastAsia="zh-CN"/>
                    </w:rPr>
                  </w:pPr>
                  <w:r>
                    <w:rPr>
                      <w:rFonts w:hint="eastAsia" w:ascii="Times New Roman" w:hAnsi="Times New Roman" w:eastAsia="宋体" w:cs="Times New Roman"/>
                      <w:color w:val="auto"/>
                      <w:sz w:val="18"/>
                      <w:szCs w:val="18"/>
                      <w:highlight w:val="none"/>
                      <w:lang w:val="en-US" w:eastAsia="zh-CN"/>
                    </w:rPr>
                    <w:t>本项目</w:t>
                  </w:r>
                  <w:r>
                    <w:rPr>
                      <w:rFonts w:hint="eastAsia" w:cs="Times New Roman"/>
                      <w:color w:val="auto"/>
                      <w:sz w:val="18"/>
                      <w:szCs w:val="18"/>
                      <w:highlight w:val="none"/>
                      <w:lang w:val="en-US" w:eastAsia="zh-CN"/>
                    </w:rPr>
                    <w:t>生产废水经自建设施处理后能够实现循环回用不外排；干化泥饼定期外运置砖厂或者建材厂综合利用不外排。</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ascii="宋体" w:hAnsi="宋体" w:eastAsia="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val="en-US" w:eastAsia="zh-CN" w:bidi="ar"/>
                    </w:rPr>
                    <w:t>符合</w:t>
                  </w:r>
                </w:p>
              </w:tc>
            </w:tr>
          </w:tbl>
          <w:p>
            <w:pPr>
              <w:keepNext w:val="0"/>
              <w:keepLines w:val="0"/>
              <w:suppressLineNumbers w:val="0"/>
              <w:adjustRightInd w:val="0"/>
              <w:snapToGrid w:val="0"/>
              <w:spacing w:before="0" w:beforeAutospacing="0" w:after="0" w:afterAutospacing="0" w:line="400" w:lineRule="exact"/>
              <w:ind w:left="0" w:right="0" w:firstLine="420" w:firstLineChars="200"/>
              <w:jc w:val="left"/>
              <w:rPr>
                <w:rFonts w:hint="eastAsia" w:ascii="Times New Roman" w:hAnsi="Times New Roman" w:cs="Times New Roman"/>
                <w:color w:val="auto"/>
                <w:kern w:val="0"/>
                <w:sz w:val="22"/>
                <w:szCs w:val="28"/>
                <w:highlight w:val="none"/>
                <w:lang w:val="en-US" w:eastAsia="zh-CN"/>
              </w:rPr>
            </w:pPr>
            <w:r>
              <w:rPr>
                <w:rFonts w:hint="eastAsia" w:eastAsia="黑体"/>
                <w:bCs/>
                <w:color w:val="auto"/>
                <w:szCs w:val="21"/>
                <w:highlight w:val="none"/>
                <w:lang w:val="en-US" w:eastAsia="zh-CN"/>
              </w:rPr>
              <w:t>8</w:t>
            </w:r>
            <w:r>
              <w:rPr>
                <w:rFonts w:hint="eastAsia" w:eastAsia="黑体"/>
                <w:bCs/>
                <w:color w:val="auto"/>
                <w:szCs w:val="21"/>
                <w:highlight w:val="none"/>
              </w:rPr>
              <w:t>、</w:t>
            </w:r>
            <w:r>
              <w:rPr>
                <w:rFonts w:hint="eastAsia" w:ascii="Times New Roman" w:hAnsi="Times New Roman" w:cs="Times New Roman"/>
                <w:b/>
                <w:bCs/>
                <w:color w:val="auto"/>
                <w:kern w:val="0"/>
                <w:sz w:val="22"/>
                <w:szCs w:val="28"/>
                <w:highlight w:val="none"/>
                <w:lang w:val="en-US" w:eastAsia="zh-CN"/>
              </w:rPr>
              <w:t>与《机制砂石骨料工厂设计规范》（GB51186-2016）的符合性</w:t>
            </w:r>
          </w:p>
          <w:p>
            <w:pPr>
              <w:keepNext w:val="0"/>
              <w:keepLines w:val="0"/>
              <w:widowControl w:val="0"/>
              <w:suppressLineNumbers w:val="0"/>
              <w:autoSpaceDE w:val="0"/>
              <w:autoSpaceDN w:val="0"/>
              <w:adjustRightInd w:val="0"/>
              <w:spacing w:before="0" w:beforeAutospacing="0" w:after="0" w:afterAutospacing="0" w:line="360" w:lineRule="exact"/>
              <w:ind w:left="0" w:right="0" w:firstLine="400" w:firstLineChars="200"/>
              <w:jc w:val="center"/>
              <w:rPr>
                <w:rFonts w:hint="eastAsia" w:ascii="黑体" w:hAnsi="宋体" w:eastAsia="黑体" w:cs="黑体"/>
                <w:color w:val="auto"/>
                <w:kern w:val="0"/>
                <w:highlight w:val="none"/>
                <w:lang w:val="en-US"/>
              </w:rPr>
            </w:pPr>
            <w:r>
              <w:rPr>
                <w:rFonts w:hint="eastAsia" w:ascii="Times New Roman" w:hAnsi="Times New Roman" w:eastAsia="黑体" w:cs="黑体"/>
                <w:color w:val="auto"/>
                <w:kern w:val="0"/>
                <w:sz w:val="20"/>
                <w:szCs w:val="20"/>
                <w:highlight w:val="none"/>
                <w:lang w:val="en-US" w:eastAsia="zh-CN" w:bidi="ar"/>
              </w:rPr>
              <w:t>表</w:t>
            </w:r>
            <w:r>
              <w:rPr>
                <w:rFonts w:hint="default" w:ascii="Times New Roman" w:hAnsi="Times New Roman" w:eastAsia="黑体" w:cs="Times New Roman"/>
                <w:color w:val="auto"/>
                <w:kern w:val="0"/>
                <w:sz w:val="20"/>
                <w:szCs w:val="20"/>
                <w:highlight w:val="none"/>
                <w:lang w:val="en-US" w:eastAsia="zh-CN" w:bidi="ar"/>
              </w:rPr>
              <w:t>1-</w:t>
            </w:r>
            <w:r>
              <w:rPr>
                <w:rFonts w:hint="eastAsia" w:eastAsia="黑体" w:cs="Times New Roman"/>
                <w:color w:val="auto"/>
                <w:kern w:val="0"/>
                <w:sz w:val="20"/>
                <w:szCs w:val="20"/>
                <w:highlight w:val="none"/>
                <w:lang w:val="en-US" w:eastAsia="zh-CN" w:bidi="ar"/>
              </w:rPr>
              <w:t>9</w:t>
            </w:r>
            <w:r>
              <w:rPr>
                <w:rFonts w:hint="default" w:ascii="Times New Roman" w:hAnsi="Times New Roman" w:eastAsia="黑体" w:cs="Times New Roman"/>
                <w:color w:val="auto"/>
                <w:kern w:val="0"/>
                <w:sz w:val="20"/>
                <w:szCs w:val="20"/>
                <w:highlight w:val="none"/>
                <w:lang w:val="en-US" w:eastAsia="zh-CN" w:bidi="ar"/>
              </w:rPr>
              <w:t xml:space="preserve">  </w:t>
            </w:r>
            <w:r>
              <w:rPr>
                <w:rFonts w:hint="eastAsia" w:ascii="Times New Roman" w:hAnsi="Times New Roman" w:eastAsia="黑体" w:cs="黑体"/>
                <w:color w:val="auto"/>
                <w:kern w:val="0"/>
                <w:sz w:val="20"/>
                <w:szCs w:val="20"/>
                <w:highlight w:val="none"/>
                <w:lang w:val="en-US" w:eastAsia="zh-CN" w:bidi="ar"/>
              </w:rPr>
              <w:t>与机制砂石骨料工厂设计规范</w:t>
            </w:r>
            <w:r>
              <w:rPr>
                <w:rFonts w:hint="eastAsia" w:ascii="黑体" w:hAnsi="宋体" w:eastAsia="黑体" w:cs="黑体"/>
                <w:color w:val="auto"/>
                <w:kern w:val="0"/>
                <w:sz w:val="20"/>
                <w:szCs w:val="20"/>
                <w:highlight w:val="none"/>
                <w:lang w:val="en-US" w:eastAsia="zh-CN" w:bidi="ar"/>
              </w:rPr>
              <w:t>的符合性分析</w:t>
            </w:r>
          </w:p>
          <w:tbl>
            <w:tblPr>
              <w:tblStyle w:val="14"/>
              <w:tblW w:w="66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4"/>
              <w:gridCol w:w="414"/>
              <w:gridCol w:w="3119"/>
              <w:gridCol w:w="1867"/>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69"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eastAsia="宋体"/>
                      <w:b/>
                      <w:bCs/>
                      <w:color w:val="auto"/>
                      <w:kern w:val="0"/>
                      <w:sz w:val="18"/>
                      <w:szCs w:val="18"/>
                      <w:highlight w:val="none"/>
                      <w:lang w:val="en-US" w:eastAsia="zh-CN"/>
                    </w:rPr>
                  </w:pPr>
                  <w:r>
                    <w:rPr>
                      <w:rFonts w:hint="eastAsia"/>
                      <w:b/>
                      <w:bCs/>
                      <w:color w:val="auto"/>
                      <w:kern w:val="0"/>
                      <w:sz w:val="18"/>
                      <w:szCs w:val="18"/>
                      <w:highlight w:val="none"/>
                      <w:lang w:val="en-US" w:eastAsia="zh-CN"/>
                    </w:rPr>
                    <w:t>序号</w:t>
                  </w:r>
                </w:p>
              </w:tc>
              <w:tc>
                <w:tcPr>
                  <w:tcW w:w="3533" w:type="dxa"/>
                  <w:gridSpan w:val="2"/>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b/>
                      <w:bCs/>
                      <w:color w:val="auto"/>
                      <w:kern w:val="0"/>
                      <w:sz w:val="18"/>
                      <w:szCs w:val="18"/>
                      <w:highlight w:val="none"/>
                      <w:lang w:val="en-US"/>
                    </w:rPr>
                  </w:pPr>
                  <w:r>
                    <w:rPr>
                      <w:rFonts w:hint="eastAsia" w:ascii="宋体" w:hAnsi="宋体" w:eastAsia="宋体" w:cs="宋体"/>
                      <w:b/>
                      <w:bCs/>
                      <w:color w:val="auto"/>
                      <w:kern w:val="0"/>
                      <w:sz w:val="18"/>
                      <w:szCs w:val="18"/>
                      <w:highlight w:val="none"/>
                      <w:lang w:val="en-US" w:eastAsia="zh-CN" w:bidi="ar"/>
                    </w:rPr>
                    <w:t>相关要求</w:t>
                  </w:r>
                </w:p>
              </w:tc>
              <w:tc>
                <w:tcPr>
                  <w:tcW w:w="1867"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b/>
                      <w:bCs/>
                      <w:color w:val="auto"/>
                      <w:kern w:val="0"/>
                      <w:sz w:val="18"/>
                      <w:szCs w:val="18"/>
                      <w:highlight w:val="none"/>
                      <w:lang w:val="en-US"/>
                    </w:rPr>
                  </w:pPr>
                  <w:r>
                    <w:rPr>
                      <w:rFonts w:hint="eastAsia" w:ascii="宋体" w:hAnsi="宋体" w:eastAsia="宋体" w:cs="宋体"/>
                      <w:b/>
                      <w:bCs/>
                      <w:color w:val="auto"/>
                      <w:kern w:val="0"/>
                      <w:sz w:val="18"/>
                      <w:szCs w:val="18"/>
                      <w:highlight w:val="none"/>
                      <w:lang w:val="en-US" w:eastAsia="zh-CN" w:bidi="ar"/>
                    </w:rPr>
                    <w:t>项目情况</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b/>
                      <w:bCs/>
                      <w:color w:val="auto"/>
                      <w:kern w:val="0"/>
                      <w:sz w:val="18"/>
                      <w:szCs w:val="18"/>
                      <w:highlight w:val="none"/>
                      <w:lang w:val="en-US"/>
                    </w:rPr>
                  </w:pPr>
                  <w:r>
                    <w:rPr>
                      <w:rFonts w:hint="eastAsia" w:ascii="宋体" w:hAnsi="宋体" w:eastAsia="宋体" w:cs="宋体"/>
                      <w:b/>
                      <w:bCs/>
                      <w:color w:val="auto"/>
                      <w:kern w:val="0"/>
                      <w:sz w:val="18"/>
                      <w:szCs w:val="18"/>
                      <w:highlight w:val="no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23"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1</w:t>
                  </w:r>
                </w:p>
              </w:tc>
              <w:tc>
                <w:tcPr>
                  <w:tcW w:w="3533" w:type="dxa"/>
                  <w:gridSpan w:val="2"/>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4.2厂址选择</w:t>
                  </w:r>
                </w:p>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rPr>
                    <w:t>1</w:t>
                  </w:r>
                  <w:r>
                    <w:rPr>
                      <w:rFonts w:hint="eastAsia"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rPr>
                    <w:t>厂址选择应靠近资源所在地，并应远离居民区;2</w:t>
                  </w:r>
                  <w:r>
                    <w:rPr>
                      <w:rFonts w:hint="eastAsia"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rPr>
                    <w:t>厂址应选择在工程地质和水文地质较好的地带,并应避开山洪、滑坡、泥石流等地质灾害易发地段;3</w:t>
                  </w:r>
                  <w:r>
                    <w:rPr>
                      <w:rFonts w:hint="eastAsia"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rPr>
                    <w:t>厂址选择宜利用荒山地、山坡地,不占或少占农田、林地不宜动迁村庄;4</w:t>
                  </w:r>
                  <w:r>
                    <w:rPr>
                      <w:rFonts w:hint="eastAsia"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rPr>
                    <w:t>位于城镇周围的机制砂石骨料工厂,厂址应位于城镇和居住区全年最小频率风向的上风侧;5</w:t>
                  </w:r>
                  <w:r>
                    <w:rPr>
                      <w:rFonts w:hint="eastAsia"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rPr>
                    <w:t>厂址应具有良好的外部建设条件，并应有利于外部的协作。4.2.2机制砂石骨料工厂严禁布置在矿山爆破危险区范围内。</w:t>
                  </w:r>
                </w:p>
              </w:tc>
              <w:tc>
                <w:tcPr>
                  <w:tcW w:w="1867"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jc w:val="left"/>
                    <w:textAlignment w:val="auto"/>
                    <w:outlineLvl w:val="2"/>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本项目位于莲印乡天生村11组，占地原为砖厂用地，属于农村环境，并远离了居民区，原料来自附近矿山开采场，通过汽车运输至厂区。</w:t>
                  </w:r>
                </w:p>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本项目位于莲印乡的常年风向的侧风向，大竹县城区的下风向。项目区水电道路均有便利条件，利于项目建设。</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rPr>
                  </w:pPr>
                  <w:r>
                    <w:rPr>
                      <w:rFonts w:hint="eastAsia" w:ascii="宋体" w:hAnsi="宋体" w:eastAsia="宋体" w:cs="宋体"/>
                      <w:color w:val="auto"/>
                      <w:kern w:val="0"/>
                      <w:sz w:val="18"/>
                      <w:szCs w:val="18"/>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2</w:t>
                  </w:r>
                </w:p>
              </w:tc>
              <w:tc>
                <w:tcPr>
                  <w:tcW w:w="3533" w:type="dxa"/>
                  <w:gridSpan w:val="2"/>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4.3总平面布置</w:t>
                  </w:r>
                </w:p>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4.3.1总平面布置宜采用集中布置方式,并应按功能合理设置分区。建(构)筑物应满足生产需要。4.3.3 产生高噪声的破碎、筛分车间,与相邻建(构)筑物的防噪声间距应符合现行国家标准《工业企业噪声控制设计规范》GB/T50087的有关规定。</w:t>
                  </w:r>
                </w:p>
              </w:tc>
              <w:tc>
                <w:tcPr>
                  <w:tcW w:w="1867"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jc w:val="left"/>
                    <w:textAlignment w:val="auto"/>
                    <w:outlineLvl w:val="2"/>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本项目厂区按照相应功能分区布置，利于生产。高噪声设备均布置于车间内，采取噪声控制措施后，能够实现厂界噪声达标排放</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ascii="宋体" w:hAnsi="宋体" w:eastAsia="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eastAsia="zh-CN"/>
                    </w:rPr>
                  </w:pPr>
                  <w:r>
                    <w:rPr>
                      <w:rFonts w:hint="eastAsia"/>
                      <w:color w:val="auto"/>
                      <w:kern w:val="0"/>
                      <w:sz w:val="18"/>
                      <w:szCs w:val="18"/>
                      <w:highlight w:val="none"/>
                      <w:lang w:val="en-US" w:eastAsia="zh-CN"/>
                    </w:rPr>
                    <w:t>3</w:t>
                  </w:r>
                </w:p>
              </w:tc>
              <w:tc>
                <w:tcPr>
                  <w:tcW w:w="3533" w:type="dxa"/>
                  <w:gridSpan w:val="2"/>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5.1一般规定</w:t>
                  </w:r>
                </w:p>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5.1.3 洗矿作业或湿式制砂作业的生产工艺设计,应利用回水。5.1.4 原矿含泥(土)量较高时,应采取除泥(土)工艺</w:t>
                  </w:r>
                  <w:r>
                    <w:rPr>
                      <w:rFonts w:hint="eastAsia" w:cs="Times New Roman"/>
                      <w:color w:val="auto"/>
                      <w:sz w:val="18"/>
                      <w:szCs w:val="18"/>
                      <w:highlight w:val="none"/>
                      <w:lang w:val="en-US" w:eastAsia="zh-CN"/>
                    </w:rPr>
                    <w:t>；</w:t>
                  </w:r>
                  <w:r>
                    <w:rPr>
                      <w:rFonts w:hint="default" w:cs="Times New Roman"/>
                      <w:color w:val="auto"/>
                      <w:sz w:val="18"/>
                      <w:szCs w:val="18"/>
                      <w:highlight w:val="none"/>
                      <w:lang w:val="en-US" w:eastAsia="zh-CN"/>
                    </w:rPr>
                    <w:t>5.1.5 生产工艺应遵循多筛少破的原则。</w:t>
                  </w:r>
                </w:p>
              </w:tc>
              <w:tc>
                <w:tcPr>
                  <w:tcW w:w="1867"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jc w:val="left"/>
                    <w:textAlignment w:val="auto"/>
                    <w:outlineLvl w:val="2"/>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本项目采用水洗砂石生产工艺，生产废水全部循环回用。项目工艺上有除泥工艺。生产线设计有两级破两级筛，能够满足生产需求。</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74"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eastAsia="zh-CN"/>
                    </w:rPr>
                  </w:pPr>
                  <w:r>
                    <w:rPr>
                      <w:rFonts w:hint="eastAsia"/>
                      <w:color w:val="auto"/>
                      <w:kern w:val="0"/>
                      <w:sz w:val="18"/>
                      <w:szCs w:val="18"/>
                      <w:highlight w:val="none"/>
                      <w:lang w:val="en-US" w:eastAsia="zh-CN"/>
                    </w:rPr>
                    <w:t>4</w:t>
                  </w:r>
                </w:p>
              </w:tc>
              <w:tc>
                <w:tcPr>
                  <w:tcW w:w="3533" w:type="dxa"/>
                  <w:gridSpan w:val="2"/>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5.2工艺流程</w:t>
                  </w:r>
                </w:p>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5.2.1 难碎性矿石或中等可碎性矿石宜采用三段破碎闭路筛分流程,易碎性矿石宜采用两段或单段破碎闭路筛分流程。5.2.2 对产品粒形、粒径有明确要求的机制骨料加工设计应增加整形工艺。</w:t>
                  </w:r>
                </w:p>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5.2.3 制砂工艺流程设计应优先采用干法制砂工艺。干法制砂产品的含泥量、细度模数、颗粒级配应符合现行国家标准《建设用砂》GB/T14684的有关规定,当不能满足时,宜采用湿法制砂工艺。</w:t>
                  </w:r>
                </w:p>
              </w:tc>
              <w:tc>
                <w:tcPr>
                  <w:tcW w:w="1867"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jc w:val="left"/>
                    <w:textAlignment w:val="auto"/>
                    <w:outlineLvl w:val="2"/>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项目生产线设计有两级破两级筛，能够满足生产需求。采用的立轴冲击式破碎机能满足制砂、整形等多种工艺需求。</w:t>
                  </w:r>
                </w:p>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jc w:val="left"/>
                    <w:textAlignment w:val="auto"/>
                    <w:outlineLvl w:val="2"/>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项目采用湿法制砂工艺，降低产品含泥量。</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74"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eastAsia="zh-CN"/>
                    </w:rPr>
                  </w:pPr>
                  <w:r>
                    <w:rPr>
                      <w:rFonts w:hint="eastAsia"/>
                      <w:color w:val="auto"/>
                      <w:kern w:val="0"/>
                      <w:sz w:val="18"/>
                      <w:szCs w:val="18"/>
                      <w:highlight w:val="none"/>
                      <w:lang w:val="en-US" w:eastAsia="zh-CN"/>
                    </w:rPr>
                    <w:t>5</w:t>
                  </w:r>
                </w:p>
              </w:tc>
              <w:tc>
                <w:tcPr>
                  <w:tcW w:w="414" w:type="dxa"/>
                  <w:vMerge w:val="restart"/>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8环境保护</w:t>
                  </w:r>
                </w:p>
              </w:tc>
              <w:tc>
                <w:tcPr>
                  <w:tcW w:w="3119"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8.0.3机制砂石骨料湿法生产线必须设置废水处理系统,并应循环用水。</w:t>
                  </w:r>
                </w:p>
              </w:tc>
              <w:tc>
                <w:tcPr>
                  <w:tcW w:w="1867"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项目设有废水收集处理设施，能够实现废水循环回用不外排。</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ascii="宋体" w:hAnsi="宋体" w:eastAsia="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74"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eastAsia="zh-CN"/>
                    </w:rPr>
                  </w:pPr>
                  <w:r>
                    <w:rPr>
                      <w:rFonts w:hint="eastAsia"/>
                      <w:color w:val="auto"/>
                      <w:kern w:val="0"/>
                      <w:sz w:val="18"/>
                      <w:szCs w:val="18"/>
                      <w:highlight w:val="none"/>
                      <w:lang w:val="en-US" w:eastAsia="zh-CN"/>
                    </w:rPr>
                    <w:t>6</w:t>
                  </w:r>
                </w:p>
              </w:tc>
              <w:tc>
                <w:tcPr>
                  <w:tcW w:w="414" w:type="dxa"/>
                  <w:vMerge w:val="continue"/>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p>
              </w:tc>
              <w:tc>
                <w:tcPr>
                  <w:tcW w:w="3119"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8.0.5粉尘污染防治应符合下列规定:</w:t>
                  </w:r>
                </w:p>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1</w:t>
                  </w:r>
                  <w:r>
                    <w:rPr>
                      <w:rFonts w:hint="eastAsia" w:cs="Times New Roman"/>
                      <w:color w:val="auto"/>
                      <w:sz w:val="18"/>
                      <w:szCs w:val="18"/>
                      <w:highlight w:val="none"/>
                      <w:lang w:val="en-US" w:eastAsia="zh-CN"/>
                    </w:rPr>
                    <w:t>.</w:t>
                  </w:r>
                  <w:r>
                    <w:rPr>
                      <w:rFonts w:hint="default" w:cs="Times New Roman"/>
                      <w:color w:val="auto"/>
                      <w:sz w:val="18"/>
                      <w:szCs w:val="18"/>
                      <w:highlight w:val="none"/>
                      <w:lang w:val="en-US" w:eastAsia="zh-CN"/>
                    </w:rPr>
                    <w:t>机制砂石骨料工厂应对破碎、筛分及输送等生产环节采取封闭措施;2</w:t>
                  </w:r>
                  <w:r>
                    <w:rPr>
                      <w:rFonts w:hint="eastAsia" w:cs="Times New Roman"/>
                      <w:color w:val="auto"/>
                      <w:sz w:val="18"/>
                      <w:szCs w:val="18"/>
                      <w:highlight w:val="none"/>
                      <w:lang w:val="en-US" w:eastAsia="zh-CN"/>
                    </w:rPr>
                    <w:t>.</w:t>
                  </w:r>
                  <w:r>
                    <w:rPr>
                      <w:rFonts w:hint="default" w:cs="Times New Roman"/>
                      <w:color w:val="auto"/>
                      <w:sz w:val="18"/>
                      <w:szCs w:val="18"/>
                      <w:highlight w:val="none"/>
                      <w:lang w:val="en-US" w:eastAsia="zh-CN"/>
                    </w:rPr>
                    <w:t>机制砂石骨料工厂应对破碎、筛分及输送转运站等扬尘点设置收尘装置,粉尘排放浓度应符合现行国家标准《大气污染物综合排放标准》GB16297的有关规定，并应满足厂区所在地区的环保要求;3</w:t>
                  </w:r>
                  <w:r>
                    <w:rPr>
                      <w:rFonts w:hint="eastAsia" w:cs="Times New Roman"/>
                      <w:color w:val="auto"/>
                      <w:sz w:val="18"/>
                      <w:szCs w:val="18"/>
                      <w:highlight w:val="none"/>
                      <w:lang w:val="en-US" w:eastAsia="zh-CN"/>
                    </w:rPr>
                    <w:t>.</w:t>
                  </w:r>
                  <w:r>
                    <w:rPr>
                      <w:rFonts w:hint="default" w:cs="Times New Roman"/>
                      <w:color w:val="auto"/>
                      <w:sz w:val="18"/>
                      <w:szCs w:val="18"/>
                      <w:highlight w:val="none"/>
                      <w:lang w:val="en-US" w:eastAsia="zh-CN"/>
                    </w:rPr>
                    <w:t>对于无组织排放的扬尘场所,应采取喷雾、洒水、封闭等防尘措施。</w:t>
                  </w:r>
                </w:p>
              </w:tc>
              <w:tc>
                <w:tcPr>
                  <w:tcW w:w="1867"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项目破碎设备属于密闭型设备，输送环节位于封闭式车间内，筛分环节为湿法生产工艺，通过采取粉尘控制措施，能够实现达标排放。针对厂区无组织粉尘，拟采取喷雾降尘等控制措施。</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ascii="宋体" w:hAnsi="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eastAsia="zh-CN"/>
                    </w:rPr>
                  </w:pPr>
                  <w:r>
                    <w:rPr>
                      <w:rFonts w:hint="eastAsia"/>
                      <w:color w:val="auto"/>
                      <w:kern w:val="0"/>
                      <w:sz w:val="18"/>
                      <w:szCs w:val="18"/>
                      <w:highlight w:val="none"/>
                      <w:lang w:val="en-US" w:eastAsia="zh-CN"/>
                    </w:rPr>
                    <w:t>7</w:t>
                  </w:r>
                </w:p>
              </w:tc>
              <w:tc>
                <w:tcPr>
                  <w:tcW w:w="414" w:type="dxa"/>
                  <w:vMerge w:val="continue"/>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p>
              </w:tc>
              <w:tc>
                <w:tcPr>
                  <w:tcW w:w="3119"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8.0.6固体废弃物污染防治应符合下列规定</w:t>
                  </w:r>
                  <w:r>
                    <w:rPr>
                      <w:rFonts w:hint="eastAsia" w:cs="Times New Roman"/>
                      <w:color w:val="auto"/>
                      <w:sz w:val="18"/>
                      <w:szCs w:val="18"/>
                      <w:highlight w:val="none"/>
                      <w:lang w:val="en-US" w:eastAsia="zh-CN"/>
                    </w:rPr>
                    <w:t>：</w:t>
                  </w:r>
                </w:p>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1</w:t>
                  </w:r>
                  <w:r>
                    <w:rPr>
                      <w:rFonts w:hint="eastAsia" w:cs="Times New Roman"/>
                      <w:color w:val="auto"/>
                      <w:sz w:val="18"/>
                      <w:szCs w:val="18"/>
                      <w:highlight w:val="none"/>
                      <w:lang w:val="en-US" w:eastAsia="zh-CN"/>
                    </w:rPr>
                    <w:t>.</w:t>
                  </w:r>
                  <w:r>
                    <w:rPr>
                      <w:rFonts w:hint="default" w:cs="Times New Roman"/>
                      <w:color w:val="auto"/>
                      <w:sz w:val="18"/>
                      <w:szCs w:val="18"/>
                      <w:highlight w:val="none"/>
                      <w:lang w:val="en-US" w:eastAsia="zh-CN"/>
                    </w:rPr>
                    <w:t>收尘设备收下的粉尘经处理后应运到固定地点堆放，并应采取防止二次污染的措施;2</w:t>
                  </w:r>
                  <w:r>
                    <w:rPr>
                      <w:rFonts w:hint="eastAsia" w:cs="Times New Roman"/>
                      <w:color w:val="auto"/>
                      <w:sz w:val="18"/>
                      <w:szCs w:val="18"/>
                      <w:highlight w:val="none"/>
                      <w:lang w:val="en-US" w:eastAsia="zh-CN"/>
                    </w:rPr>
                    <w:t>.</w:t>
                  </w:r>
                  <w:r>
                    <w:rPr>
                      <w:rFonts w:hint="default" w:cs="Times New Roman"/>
                      <w:color w:val="auto"/>
                      <w:sz w:val="18"/>
                      <w:szCs w:val="18"/>
                      <w:highlight w:val="none"/>
                      <w:lang w:val="en-US" w:eastAsia="zh-CN"/>
                    </w:rPr>
                    <w:t>脱泥和洗矿等排出的各种废渣应集中处置,不得排入自然水体或任意抛弃;</w:t>
                  </w:r>
                  <w:r>
                    <w:rPr>
                      <w:rFonts w:hint="eastAsia" w:cs="Times New Roman"/>
                      <w:color w:val="auto"/>
                      <w:sz w:val="18"/>
                      <w:szCs w:val="18"/>
                      <w:highlight w:val="none"/>
                      <w:lang w:val="en-US" w:eastAsia="zh-CN"/>
                    </w:rPr>
                    <w:t>3</w:t>
                  </w:r>
                  <w:r>
                    <w:rPr>
                      <w:rFonts w:hint="default" w:cs="Times New Roman"/>
                      <w:color w:val="auto"/>
                      <w:sz w:val="18"/>
                      <w:szCs w:val="18"/>
                      <w:highlight w:val="none"/>
                      <w:lang w:val="en-US" w:eastAsia="zh-CN"/>
                    </w:rPr>
                    <w:t>固体废弃物宜综合利用</w:t>
                  </w:r>
                </w:p>
              </w:tc>
              <w:tc>
                <w:tcPr>
                  <w:tcW w:w="1867"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jc w:val="left"/>
                    <w:textAlignment w:val="auto"/>
                    <w:outlineLvl w:val="2"/>
                    <w:rPr>
                      <w:rFonts w:hint="default"/>
                      <w:color w:val="auto"/>
                      <w:sz w:val="18"/>
                      <w:szCs w:val="21"/>
                      <w:lang w:val="en-US" w:eastAsia="zh-CN"/>
                    </w:rPr>
                  </w:pPr>
                  <w:r>
                    <w:rPr>
                      <w:rFonts w:hint="eastAsia"/>
                      <w:color w:val="auto"/>
                      <w:sz w:val="18"/>
                      <w:szCs w:val="21"/>
                      <w:lang w:val="en-US" w:eastAsia="zh-CN"/>
                    </w:rPr>
                    <w:t>项目生产过程的固体废弃物主要为干化泥饼。采取妥善收集及时转运至砖厂、建材厂做原料利用，或者运至矿山企业采空区回填，实现综合利用。</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ascii="宋体" w:hAnsi="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eastAsia="zh-CN"/>
                    </w:rPr>
                  </w:pPr>
                  <w:r>
                    <w:rPr>
                      <w:rFonts w:hint="eastAsia"/>
                      <w:color w:val="auto"/>
                      <w:kern w:val="0"/>
                      <w:sz w:val="18"/>
                      <w:szCs w:val="18"/>
                      <w:highlight w:val="none"/>
                      <w:lang w:val="en-US" w:eastAsia="zh-CN"/>
                    </w:rPr>
                    <w:t>8</w:t>
                  </w:r>
                </w:p>
              </w:tc>
              <w:tc>
                <w:tcPr>
                  <w:tcW w:w="414" w:type="dxa"/>
                  <w:vMerge w:val="continue"/>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p>
              </w:tc>
              <w:tc>
                <w:tcPr>
                  <w:tcW w:w="3119"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8.0.7废水污染防治应符合下列规定:</w:t>
                  </w:r>
                </w:p>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w:t>
                  </w:r>
                  <w:r>
                    <w:rPr>
                      <w:rFonts w:hint="default" w:cs="Times New Roman"/>
                      <w:color w:val="auto"/>
                      <w:sz w:val="18"/>
                      <w:szCs w:val="18"/>
                      <w:highlight w:val="none"/>
                      <w:lang w:val="en-US" w:eastAsia="zh-CN"/>
                    </w:rPr>
                    <w:t>生产排水、雨水和生活污水，应清污分流;2</w:t>
                  </w:r>
                  <w:r>
                    <w:rPr>
                      <w:rFonts w:hint="eastAsia" w:cs="Times New Roman"/>
                      <w:color w:val="auto"/>
                      <w:sz w:val="18"/>
                      <w:szCs w:val="18"/>
                      <w:highlight w:val="none"/>
                      <w:lang w:val="en-US" w:eastAsia="zh-CN"/>
                    </w:rPr>
                    <w:t>.</w:t>
                  </w:r>
                  <w:r>
                    <w:rPr>
                      <w:rFonts w:hint="default" w:cs="Times New Roman"/>
                      <w:color w:val="auto"/>
                      <w:sz w:val="18"/>
                      <w:szCs w:val="18"/>
                      <w:highlight w:val="none"/>
                      <w:lang w:val="en-US" w:eastAsia="zh-CN"/>
                    </w:rPr>
                    <w:t>设备冷却用水应采用循环水冷却系统;</w:t>
                  </w:r>
                  <w:r>
                    <w:rPr>
                      <w:rFonts w:hint="eastAsia" w:cs="Times New Roman"/>
                      <w:color w:val="auto"/>
                      <w:sz w:val="18"/>
                      <w:szCs w:val="18"/>
                      <w:highlight w:val="none"/>
                      <w:lang w:val="en-US" w:eastAsia="zh-CN"/>
                    </w:rPr>
                    <w:t>3.污水排放标准应符合现行国家标准《污水综合排放标准》GB8978的有关规定;4.检验化验室排出的含酸、碱废水应进行集中收集,经中和处理后应达标排放;5.生产废水应经自然沉淀或机械脱水，固液分离后的清水应回用于生产系统</w:t>
                  </w:r>
                </w:p>
              </w:tc>
              <w:tc>
                <w:tcPr>
                  <w:tcW w:w="1867"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jc w:val="left"/>
                    <w:textAlignment w:val="auto"/>
                    <w:outlineLvl w:val="2"/>
                    <w:rPr>
                      <w:rFonts w:hint="default"/>
                      <w:color w:val="auto"/>
                      <w:sz w:val="18"/>
                      <w:szCs w:val="21"/>
                      <w:vertAlign w:val="baseline"/>
                      <w:lang w:val="en-US" w:eastAsia="zh-CN"/>
                    </w:rPr>
                  </w:pPr>
                  <w:r>
                    <w:rPr>
                      <w:rFonts w:hint="eastAsia"/>
                      <w:color w:val="auto"/>
                      <w:sz w:val="18"/>
                      <w:szCs w:val="21"/>
                      <w:vertAlign w:val="baseline"/>
                      <w:lang w:val="en-US" w:eastAsia="zh-CN"/>
                    </w:rPr>
                    <w:t>项目采取了雨污分流措施，生产废水或场地受污染的雨水，最终收集处理后为生产所用，不外排。厂界外雨水直接排入附近雨水沟，不会与厂区废水混合。</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ascii="宋体" w:hAnsi="宋体" w:cs="宋体"/>
                      <w:color w:val="auto"/>
                      <w:kern w:val="0"/>
                      <w:sz w:val="18"/>
                      <w:szCs w:val="18"/>
                      <w:highlight w:val="none"/>
                      <w:lang w:val="en-US" w:eastAsia="zh-CN" w:bidi="ar"/>
                    </w:rPr>
                  </w:pPr>
                  <w:r>
                    <w:rPr>
                      <w:rFonts w:hint="eastAsia" w:ascii="宋体" w:hAnsi="宋体" w:cs="宋体"/>
                      <w:color w:val="auto"/>
                      <w:kern w:val="0"/>
                      <w:sz w:val="18"/>
                      <w:szCs w:val="18"/>
                      <w:highlight w:val="no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 w:hRule="atLeast"/>
                <w:jc w:val="center"/>
              </w:trPr>
              <w:tc>
                <w:tcPr>
                  <w:tcW w:w="60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default"/>
                      <w:color w:val="auto"/>
                      <w:kern w:val="0"/>
                      <w:sz w:val="18"/>
                      <w:szCs w:val="18"/>
                      <w:highlight w:val="none"/>
                      <w:lang w:val="en-US" w:eastAsia="zh-CN"/>
                    </w:rPr>
                  </w:pPr>
                  <w:r>
                    <w:rPr>
                      <w:rFonts w:hint="eastAsia"/>
                      <w:color w:val="auto"/>
                      <w:kern w:val="0"/>
                      <w:sz w:val="18"/>
                      <w:szCs w:val="18"/>
                      <w:highlight w:val="none"/>
                      <w:lang w:val="en-US" w:eastAsia="zh-CN"/>
                    </w:rPr>
                    <w:t>9</w:t>
                  </w:r>
                </w:p>
              </w:tc>
              <w:tc>
                <w:tcPr>
                  <w:tcW w:w="414" w:type="dxa"/>
                  <w:vMerge w:val="continue"/>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p>
              </w:tc>
              <w:tc>
                <w:tcPr>
                  <w:tcW w:w="3119"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8.0.8 噪声污染防治应符合下列规定:</w:t>
                  </w:r>
                </w:p>
                <w:p>
                  <w:pPr>
                    <w:keepNext/>
                    <w:keepLines/>
                    <w:pageBreakBefore w:val="0"/>
                    <w:widowControl w:val="0"/>
                    <w:suppressLineNumbers w:val="0"/>
                    <w:kinsoku/>
                    <w:wordWrap/>
                    <w:overflowPunct w:val="0"/>
                    <w:topLinePunct w:val="0"/>
                    <w:autoSpaceDE/>
                    <w:autoSpaceDN/>
                    <w:bidi w:val="0"/>
                    <w:adjustRightInd/>
                    <w:snapToGrid/>
                    <w:spacing w:before="0" w:beforeAutospacing="0" w:after="0" w:afterAutospacing="0" w:line="260" w:lineRule="exact"/>
                    <w:ind w:left="53" w:leftChars="25" w:right="53" w:rightChars="25"/>
                    <w:jc w:val="left"/>
                    <w:textAlignment w:val="auto"/>
                    <w:outlineLvl w:val="2"/>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厂内各类地点噪声限值应符合现行国家标准《工业企业噪声控制设计规范》GB/T50087的有关规定;2.工厂厂界噪声限值应符合现行国家标准《工业企业厂界环境噪声排放标准》GB12348的有关规定;3.设备选型时应选用低噪声生产设备，工艺布置应采取控制噪声传播的措施;4.高噪强振的设备,应采取消声、减振措施;5.高强噪声源车间,应采取隔声围护结构等措施。</w:t>
                  </w:r>
                </w:p>
              </w:tc>
              <w:tc>
                <w:tcPr>
                  <w:tcW w:w="1867" w:type="dxa"/>
                  <w:tcBorders>
                    <w:tl2br w:val="nil"/>
                    <w:tr2bl w:val="nil"/>
                  </w:tcBorders>
                  <w:shd w:val="clear" w:color="auto" w:fill="auto"/>
                  <w:tcMar>
                    <w:left w:w="0" w:type="dxa"/>
                    <w:right w:w="0" w:type="dxa"/>
                  </w:tcMar>
                  <w:vAlign w:val="center"/>
                </w:tcPr>
                <w:p>
                  <w:pPr>
                    <w:keepNext/>
                    <w:keepLines/>
                    <w:pageBreakBefore w:val="0"/>
                    <w:widowControl w:val="0"/>
                    <w:suppressLineNumbers w:val="0"/>
                    <w:kinsoku/>
                    <w:wordWrap/>
                    <w:overflowPunct/>
                    <w:topLinePunct w:val="0"/>
                    <w:autoSpaceDE/>
                    <w:autoSpaceDN/>
                    <w:bidi w:val="0"/>
                    <w:spacing w:before="0" w:beforeAutospacing="0" w:after="0" w:afterAutospacing="0" w:line="260" w:lineRule="exact"/>
                    <w:ind w:left="53" w:leftChars="25" w:right="53" w:rightChars="25"/>
                    <w:jc w:val="left"/>
                    <w:textAlignment w:val="auto"/>
                    <w:outlineLvl w:val="2"/>
                    <w:rPr>
                      <w:rFonts w:hint="default"/>
                      <w:color w:val="auto"/>
                      <w:sz w:val="18"/>
                      <w:szCs w:val="21"/>
                      <w:lang w:val="en-US" w:eastAsia="zh-CN"/>
                    </w:rPr>
                  </w:pPr>
                  <w:r>
                    <w:rPr>
                      <w:rFonts w:hint="eastAsia"/>
                      <w:color w:val="auto"/>
                      <w:sz w:val="18"/>
                      <w:szCs w:val="21"/>
                      <w:lang w:val="en-US" w:eastAsia="zh-CN"/>
                    </w:rPr>
                    <w:t>项目生产线的设备均位于封闭式车间内，能够实现建筑隔声。同时通过采用低噪声设备、基础减振等措施，能够实现厂界噪声达标排放。</w:t>
                  </w:r>
                </w:p>
              </w:tc>
              <w:tc>
                <w:tcPr>
                  <w:tcW w:w="684" w:type="dxa"/>
                  <w:tcBorders>
                    <w:tl2br w:val="nil"/>
                    <w:tr2bl w:val="nil"/>
                  </w:tcBorders>
                  <w:shd w:val="clear" w:color="auto" w:fill="auto"/>
                  <w:tcMar>
                    <w:left w:w="0" w:type="dxa"/>
                    <w:right w:w="0"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60" w:lineRule="exact"/>
                    <w:ind w:left="53" w:leftChars="25" w:right="53" w:rightChars="25"/>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
                    </w:rPr>
                    <w:t>符合</w:t>
                  </w:r>
                </w:p>
              </w:tc>
            </w:tr>
          </w:tbl>
          <w:p>
            <w:pPr>
              <w:keepNext w:val="0"/>
              <w:keepLines w:val="0"/>
              <w:suppressLineNumbers w:val="0"/>
              <w:adjustRightInd w:val="0"/>
              <w:snapToGrid w:val="0"/>
              <w:spacing w:before="0" w:beforeAutospacing="0" w:after="0" w:afterAutospacing="0" w:line="406" w:lineRule="exact"/>
              <w:ind w:left="-31" w:leftChars="-15" w:right="-31" w:rightChars="-15"/>
              <w:jc w:val="left"/>
              <w:rPr>
                <w:rFonts w:hint="default" w:eastAsia="黑体"/>
                <w:bCs/>
                <w:color w:val="auto"/>
                <w:szCs w:val="21"/>
              </w:rPr>
            </w:pPr>
            <w:r>
              <w:rPr>
                <w:rFonts w:hint="eastAsia" w:eastAsia="黑体"/>
                <w:bCs/>
                <w:color w:val="auto"/>
                <w:szCs w:val="21"/>
                <w:lang w:val="en-US" w:eastAsia="zh-CN"/>
              </w:rPr>
              <w:t>9</w:t>
            </w:r>
            <w:r>
              <w:rPr>
                <w:rFonts w:hint="default" w:eastAsia="黑体"/>
                <w:bCs/>
                <w:color w:val="auto"/>
                <w:szCs w:val="21"/>
              </w:rPr>
              <w:t>、外环境关系</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rPr>
                <w:rFonts w:hint="default"/>
                <w:color w:val="auto"/>
                <w:kern w:val="0"/>
                <w:szCs w:val="21"/>
              </w:rPr>
            </w:pPr>
            <w:r>
              <w:rPr>
                <w:rFonts w:hint="eastAsia"/>
                <w:color w:val="auto"/>
                <w:kern w:val="0"/>
                <w:szCs w:val="21"/>
              </w:rPr>
              <w:t>本</w:t>
            </w:r>
            <w:r>
              <w:rPr>
                <w:rFonts w:hint="default"/>
                <w:color w:val="auto"/>
                <w:kern w:val="0"/>
                <w:szCs w:val="21"/>
              </w:rPr>
              <w:t>项目位于</w:t>
            </w:r>
            <w:r>
              <w:rPr>
                <w:rFonts w:hint="eastAsia"/>
                <w:color w:val="auto"/>
                <w:kern w:val="0"/>
                <w:szCs w:val="21"/>
                <w:lang w:val="en-US" w:eastAsia="zh-CN"/>
              </w:rPr>
              <w:t>大竹县莲印乡天生村11</w:t>
            </w:r>
            <w:r>
              <w:rPr>
                <w:rFonts w:hint="eastAsia"/>
                <w:color w:val="auto"/>
                <w:kern w:val="0"/>
                <w:szCs w:val="21"/>
              </w:rPr>
              <w:t>组，</w:t>
            </w:r>
            <w:r>
              <w:rPr>
                <w:rFonts w:hint="default"/>
                <w:color w:val="auto"/>
                <w:kern w:val="0"/>
                <w:szCs w:val="21"/>
              </w:rPr>
              <w:t>其外环境关系介绍如下：</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rPr>
                <w:rFonts w:hint="default" w:eastAsia="宋体"/>
                <w:color w:val="auto"/>
                <w:kern w:val="0"/>
                <w:szCs w:val="21"/>
                <w:lang w:val="en-US" w:eastAsia="zh-CN"/>
              </w:rPr>
            </w:pPr>
            <w:r>
              <w:rPr>
                <w:rFonts w:hint="default"/>
                <w:color w:val="auto"/>
                <w:kern w:val="0"/>
                <w:szCs w:val="21"/>
              </w:rPr>
              <w:t>项目</w:t>
            </w:r>
            <w:r>
              <w:rPr>
                <w:rFonts w:hint="eastAsia"/>
                <w:color w:val="auto"/>
                <w:kern w:val="0"/>
                <w:szCs w:val="21"/>
                <w:lang w:val="en-US" w:eastAsia="zh-CN"/>
              </w:rPr>
              <w:t>东面为山坡以及农田，相距约125m处有4户住户，住户以东为竹石路，与项目相距约135m；道路以东与项目相距约160m有2户住户；然后再往东就是山体。项目东南面为农田及山坡，相距约204~500m有4户住户。项目南面为山坡，相距约400m处有2户住户。项目西南面相距约33m为其他企业所属产权的一栋钢结构堆棚；堆棚往南为山坡和农地农田，500m范围内无住户。项目西面相距约13m和50m处有2户住户，本项目建设单位已租用其房屋作为办公生活用房；西面相距约120m处有1户住户；相距约240m处有1户住户。项目北面毗邻一条农村道路，以北为山坡，500m范围内无住户。</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rPr>
                <w:rFonts w:hint="default"/>
                <w:color w:val="auto"/>
                <w:kern w:val="0"/>
                <w:szCs w:val="21"/>
              </w:rPr>
            </w:pPr>
            <w:r>
              <w:rPr>
                <w:rFonts w:hint="eastAsia"/>
                <w:color w:val="auto"/>
                <w:kern w:val="0"/>
                <w:szCs w:val="21"/>
                <w:lang w:val="en-US" w:eastAsia="zh-CN"/>
              </w:rPr>
              <w:t>与</w:t>
            </w:r>
            <w:r>
              <w:rPr>
                <w:rFonts w:hint="eastAsia"/>
                <w:color w:val="auto"/>
                <w:kern w:val="0"/>
                <w:szCs w:val="21"/>
              </w:rPr>
              <w:t>项目</w:t>
            </w:r>
            <w:r>
              <w:rPr>
                <w:rFonts w:hint="eastAsia"/>
                <w:color w:val="auto"/>
                <w:kern w:val="0"/>
                <w:szCs w:val="21"/>
                <w:lang w:val="en-US" w:eastAsia="zh-CN"/>
              </w:rPr>
              <w:t>有关的地表</w:t>
            </w:r>
            <w:r>
              <w:rPr>
                <w:rFonts w:hint="eastAsia"/>
                <w:color w:val="auto"/>
                <w:kern w:val="0"/>
                <w:szCs w:val="21"/>
              </w:rPr>
              <w:t>水体为东面的</w:t>
            </w:r>
            <w:r>
              <w:rPr>
                <w:rFonts w:hint="eastAsia"/>
                <w:color w:val="auto"/>
                <w:kern w:val="0"/>
                <w:szCs w:val="21"/>
                <w:lang w:val="en-US" w:eastAsia="zh-CN"/>
              </w:rPr>
              <w:t>季节性溪沟</w:t>
            </w:r>
            <w:r>
              <w:rPr>
                <w:rFonts w:hint="eastAsia"/>
                <w:color w:val="auto"/>
                <w:kern w:val="0"/>
                <w:szCs w:val="21"/>
              </w:rPr>
              <w:t>，相距</w:t>
            </w:r>
            <w:r>
              <w:rPr>
                <w:rFonts w:hint="eastAsia"/>
                <w:color w:val="auto"/>
                <w:kern w:val="0"/>
                <w:szCs w:val="21"/>
                <w:lang w:val="en-US" w:eastAsia="zh-CN"/>
              </w:rPr>
              <w:t>115</w:t>
            </w:r>
            <w:r>
              <w:rPr>
                <w:rFonts w:hint="eastAsia"/>
                <w:color w:val="auto"/>
                <w:kern w:val="0"/>
                <w:szCs w:val="21"/>
              </w:rPr>
              <w:t>m。</w:t>
            </w:r>
            <w:r>
              <w:rPr>
                <w:rFonts w:hint="eastAsia"/>
                <w:color w:val="auto"/>
                <w:kern w:val="0"/>
                <w:szCs w:val="21"/>
                <w:lang w:val="en-US" w:eastAsia="zh-CN"/>
              </w:rPr>
              <w:t>该季节性溪沟仅雨季有汇集的山水</w:t>
            </w:r>
            <w:r>
              <w:rPr>
                <w:rFonts w:hint="eastAsia"/>
                <w:color w:val="auto"/>
                <w:kern w:val="0"/>
                <w:szCs w:val="21"/>
              </w:rPr>
              <w:t>，</w:t>
            </w:r>
            <w:r>
              <w:rPr>
                <w:rFonts w:hint="eastAsia"/>
                <w:color w:val="auto"/>
                <w:kern w:val="0"/>
                <w:szCs w:val="21"/>
                <w:lang w:val="en-US" w:eastAsia="zh-CN"/>
              </w:rPr>
              <w:t>向北面汇入大竹县护城河南支流，最终汇入东柳河。东柳河位于项目北面，与项目相距约7.26km</w:t>
            </w:r>
            <w:r>
              <w:rPr>
                <w:rFonts w:hint="eastAsia"/>
                <w:color w:val="auto"/>
                <w:kern w:val="0"/>
                <w:szCs w:val="21"/>
              </w:rPr>
              <w:t>。</w:t>
            </w:r>
          </w:p>
          <w:p>
            <w:pPr>
              <w:keepNext w:val="0"/>
              <w:keepLines w:val="0"/>
              <w:suppressLineNumbers w:val="0"/>
              <w:autoSpaceDE w:val="0"/>
              <w:autoSpaceDN w:val="0"/>
              <w:adjustRightInd w:val="0"/>
              <w:snapToGrid w:val="0"/>
              <w:spacing w:before="0" w:beforeAutospacing="0" w:after="0" w:afterAutospacing="0" w:line="406" w:lineRule="exact"/>
              <w:ind w:left="0" w:right="0"/>
              <w:jc w:val="left"/>
              <w:rPr>
                <w:rFonts w:hint="default"/>
                <w:b/>
                <w:bCs/>
                <w:color w:val="auto"/>
                <w:kern w:val="0"/>
                <w:szCs w:val="21"/>
              </w:rPr>
            </w:pPr>
            <w:r>
              <w:rPr>
                <w:rFonts w:hint="eastAsia" w:eastAsia="黑体"/>
                <w:bCs/>
                <w:color w:val="auto"/>
                <w:szCs w:val="21"/>
                <w:lang w:val="en-US" w:eastAsia="zh-CN"/>
              </w:rPr>
              <w:t>10</w:t>
            </w:r>
            <w:r>
              <w:rPr>
                <w:rFonts w:hint="default" w:eastAsia="黑体"/>
                <w:bCs/>
                <w:color w:val="auto"/>
                <w:szCs w:val="21"/>
              </w:rPr>
              <w:t>、选址的合理性分析</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color w:val="auto"/>
                <w:kern w:val="0"/>
                <w:szCs w:val="21"/>
              </w:rPr>
            </w:pPr>
            <w:r>
              <w:rPr>
                <w:rFonts w:hint="eastAsia" w:ascii="宋体" w:hAnsi="宋体"/>
                <w:color w:val="auto"/>
                <w:kern w:val="0"/>
                <w:szCs w:val="21"/>
              </w:rPr>
              <w:t>本项目位于</w:t>
            </w:r>
            <w:r>
              <w:rPr>
                <w:rFonts w:hint="eastAsia" w:ascii="宋体" w:hAnsi="宋体"/>
                <w:color w:val="auto"/>
                <w:kern w:val="0"/>
                <w:szCs w:val="21"/>
                <w:lang w:val="en-US" w:eastAsia="zh-CN"/>
              </w:rPr>
              <w:t>大竹县莲印乡天生村11</w:t>
            </w:r>
            <w:r>
              <w:rPr>
                <w:rFonts w:hint="eastAsia" w:ascii="宋体" w:hAnsi="宋体"/>
                <w:color w:val="auto"/>
                <w:kern w:val="0"/>
                <w:szCs w:val="21"/>
              </w:rPr>
              <w:t>组，其选址合理性分析如下：</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color w:val="auto"/>
                <w:kern w:val="0"/>
                <w:szCs w:val="21"/>
              </w:rPr>
            </w:pPr>
            <w:r>
              <w:rPr>
                <w:rFonts w:hint="eastAsia" w:ascii="宋体" w:hAnsi="宋体"/>
                <w:color w:val="auto"/>
                <w:kern w:val="0"/>
                <w:szCs w:val="21"/>
              </w:rPr>
              <w:t>（1）查阅相关资料，项目用地区域及评价范围内不涉及自然保护区、风景名胜区等，也不属于生态保护红线范围，永久基本农田范围等依法设立的各级各类保护区域。</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color w:val="auto"/>
                <w:kern w:val="0"/>
                <w:szCs w:val="21"/>
              </w:rPr>
            </w:pPr>
            <w:r>
              <w:rPr>
                <w:rFonts w:hint="default" w:ascii="宋体" w:hAnsi="宋体"/>
                <w:color w:val="auto"/>
                <w:kern w:val="0"/>
                <w:szCs w:val="21"/>
              </w:rPr>
              <w:t>（</w:t>
            </w:r>
            <w:r>
              <w:rPr>
                <w:rFonts w:hint="eastAsia" w:ascii="宋体" w:hAnsi="宋体"/>
                <w:color w:val="auto"/>
                <w:kern w:val="0"/>
                <w:szCs w:val="21"/>
              </w:rPr>
              <w:t>2</w:t>
            </w:r>
            <w:r>
              <w:rPr>
                <w:rFonts w:hint="default" w:ascii="宋体" w:hAnsi="宋体"/>
                <w:color w:val="auto"/>
                <w:kern w:val="0"/>
                <w:szCs w:val="21"/>
              </w:rPr>
              <w:t>）</w:t>
            </w:r>
            <w:r>
              <w:rPr>
                <w:rFonts w:hint="eastAsia" w:ascii="宋体" w:hAnsi="宋体"/>
                <w:color w:val="auto"/>
                <w:kern w:val="0"/>
                <w:szCs w:val="21"/>
                <w:highlight w:val="none"/>
                <w:lang w:val="en-US" w:eastAsia="zh-CN"/>
              </w:rPr>
              <w:t>根据达州市人民政府《关于划定万源市、宣汉县和大竹县乡镇及以下集中式饮用水水源地保护区的批复》（达市府函</w:t>
            </w:r>
            <w:r>
              <w:rPr>
                <w:rFonts w:hint="eastAsia" w:ascii="宋体" w:hAnsi="宋体" w:eastAsia="宋体" w:cs="宋体"/>
                <w:color w:val="auto"/>
                <w:kern w:val="0"/>
                <w:szCs w:val="21"/>
                <w:highlight w:val="none"/>
                <w:lang w:val="en-US" w:eastAsia="zh-CN"/>
              </w:rPr>
              <w:t>〔</w:t>
            </w:r>
            <w:r>
              <w:rPr>
                <w:rFonts w:hint="eastAsia" w:ascii="宋体" w:hAnsi="宋体"/>
                <w:color w:val="auto"/>
                <w:kern w:val="0"/>
                <w:szCs w:val="21"/>
                <w:highlight w:val="none"/>
                <w:lang w:val="en-US" w:eastAsia="zh-CN"/>
              </w:rPr>
              <w:t>2020</w:t>
            </w:r>
            <w:r>
              <w:rPr>
                <w:rFonts w:hint="eastAsia" w:ascii="宋体" w:hAnsi="宋体" w:eastAsia="宋体" w:cs="宋体"/>
                <w:color w:val="auto"/>
                <w:kern w:val="0"/>
                <w:szCs w:val="21"/>
                <w:highlight w:val="none"/>
                <w:lang w:val="en-US" w:eastAsia="zh-CN"/>
              </w:rPr>
              <w:t>〕</w:t>
            </w:r>
            <w:r>
              <w:rPr>
                <w:rFonts w:hint="eastAsia" w:ascii="宋体" w:hAnsi="宋体"/>
                <w:color w:val="auto"/>
                <w:kern w:val="0"/>
                <w:szCs w:val="21"/>
                <w:highlight w:val="none"/>
                <w:lang w:val="en-US" w:eastAsia="zh-CN"/>
              </w:rPr>
              <w:t>124号），大竹县莲印乡未设置乡镇集中式饮用水源取水点，目前场镇居民用水来自大竹县城市生活用水供水管网。本项目区域地表水体未设置饮用水源取水点。因此，本项目建设区域不涉及集中式饮用水源保护区。</w:t>
            </w:r>
          </w:p>
          <w:p>
            <w:pPr>
              <w:keepNext w:val="0"/>
              <w:keepLines w:val="0"/>
              <w:suppressLineNumbers w:val="0"/>
              <w:autoSpaceDE w:val="0"/>
              <w:autoSpaceDN w:val="0"/>
              <w:adjustRightInd w:val="0"/>
              <w:spacing w:before="0" w:beforeAutospacing="0" w:after="0" w:afterAutospacing="0" w:line="406" w:lineRule="exact"/>
              <w:ind w:left="0" w:right="53" w:rightChars="25" w:firstLine="420" w:firstLineChars="200"/>
              <w:jc w:val="left"/>
              <w:rPr>
                <w:rFonts w:hint="default" w:ascii="宋体" w:hAnsi="宋体" w:eastAsia="宋体"/>
                <w:color w:val="auto"/>
                <w:kern w:val="0"/>
                <w:szCs w:val="21"/>
                <w:lang w:val="en-US" w:eastAsia="zh-CN"/>
              </w:rPr>
            </w:pPr>
            <w:r>
              <w:rPr>
                <w:rFonts w:hint="eastAsia" w:ascii="宋体" w:hAnsi="宋体"/>
                <w:color w:val="auto"/>
                <w:kern w:val="0"/>
                <w:szCs w:val="21"/>
              </w:rPr>
              <w:t>（3）</w:t>
            </w:r>
            <w:r>
              <w:rPr>
                <w:rFonts w:hint="eastAsia" w:ascii="宋体" w:hAnsi="宋体"/>
                <w:color w:val="auto"/>
                <w:kern w:val="0"/>
                <w:szCs w:val="21"/>
                <w:lang w:val="en-US" w:eastAsia="zh-CN"/>
              </w:rPr>
              <w:t>本项目</w:t>
            </w:r>
            <w:r>
              <w:rPr>
                <w:rFonts w:hint="eastAsia"/>
                <w:bCs/>
                <w:color w:val="auto"/>
                <w:szCs w:val="21"/>
                <w:lang w:val="en-US" w:eastAsia="zh-CN"/>
              </w:rPr>
              <w:t>占地性质属于“三区三线”划定的建设用地范畴，不涉及占用永久基本农田、生态保护红线等。</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b/>
                <w:bCs w:val="0"/>
                <w:color w:val="auto"/>
                <w:kern w:val="0"/>
                <w:szCs w:val="21"/>
              </w:rPr>
            </w:pPr>
            <w:r>
              <w:rPr>
                <w:rFonts w:hint="default" w:ascii="宋体" w:hAnsi="宋体"/>
                <w:color w:val="auto"/>
                <w:kern w:val="0"/>
                <w:szCs w:val="21"/>
              </w:rPr>
              <w:t>（</w:t>
            </w:r>
            <w:r>
              <w:rPr>
                <w:rFonts w:hint="eastAsia" w:ascii="宋体" w:hAnsi="宋体"/>
                <w:color w:val="auto"/>
                <w:kern w:val="0"/>
                <w:szCs w:val="21"/>
              </w:rPr>
              <w:t>4</w:t>
            </w:r>
            <w:r>
              <w:rPr>
                <w:rFonts w:hint="default" w:ascii="宋体" w:hAnsi="宋体"/>
                <w:color w:val="auto"/>
                <w:kern w:val="0"/>
                <w:szCs w:val="21"/>
              </w:rPr>
              <w:t>）</w:t>
            </w:r>
            <w:r>
              <w:rPr>
                <w:rFonts w:hint="eastAsia" w:ascii="Times New Roman" w:hAnsi="Times New Roman" w:eastAsia="宋体" w:cs="Times New Roman"/>
                <w:bCs/>
                <w:color w:val="auto"/>
                <w:kern w:val="2"/>
                <w:sz w:val="21"/>
                <w:szCs w:val="21"/>
                <w:lang w:val="en-US" w:eastAsia="zh-CN" w:bidi="ar"/>
              </w:rPr>
              <w:t>项目区所处环境属于农村环境，项目周边</w:t>
            </w:r>
            <w:r>
              <w:rPr>
                <w:rFonts w:hint="default" w:ascii="Times New Roman" w:hAnsi="Times New Roman" w:eastAsia="宋体" w:cs="Times New Roman"/>
                <w:bCs/>
                <w:color w:val="auto"/>
                <w:kern w:val="2"/>
                <w:sz w:val="21"/>
                <w:szCs w:val="21"/>
                <w:lang w:val="en-US" w:eastAsia="zh-CN" w:bidi="ar"/>
              </w:rPr>
              <w:t>500m</w:t>
            </w:r>
            <w:r>
              <w:rPr>
                <w:rFonts w:hint="eastAsia" w:ascii="Times New Roman" w:hAnsi="Times New Roman" w:eastAsia="宋体" w:cs="Times New Roman"/>
                <w:bCs/>
                <w:color w:val="auto"/>
                <w:kern w:val="2"/>
                <w:sz w:val="21"/>
                <w:szCs w:val="21"/>
                <w:lang w:val="en-US" w:eastAsia="zh-CN" w:bidi="ar"/>
              </w:rPr>
              <w:t>范围有少量散居住户，但不属于农村人群聚居区。与</w:t>
            </w:r>
            <w:r>
              <w:rPr>
                <w:rFonts w:hint="eastAsia"/>
                <w:color w:val="auto"/>
                <w:kern w:val="0"/>
                <w:szCs w:val="21"/>
                <w:lang w:val="en-US" w:eastAsia="zh-CN"/>
              </w:rPr>
              <w:t>项目相距最近的是西面约120m的1户住户。</w:t>
            </w:r>
            <w:r>
              <w:rPr>
                <w:rFonts w:hint="eastAsia" w:ascii="Times New Roman" w:hAnsi="Times New Roman" w:eastAsia="宋体" w:cs="Times New Roman"/>
                <w:bCs/>
                <w:color w:val="auto"/>
                <w:kern w:val="2"/>
                <w:sz w:val="21"/>
                <w:szCs w:val="21"/>
                <w:lang w:val="en-US" w:eastAsia="zh-CN" w:bidi="ar"/>
              </w:rPr>
              <w:t>本项目营运期排放的污染物主要为粉尘和噪声，生产废水能够实现循环回用。通过采取设置封闭式厂房、湿法生产工艺以及建筑隔声等措施，对周围环境影响较小，也不会造成扰民影响。</w:t>
            </w:r>
            <w:r>
              <w:rPr>
                <w:rFonts w:hint="default" w:ascii="宋体" w:hAnsi="宋体"/>
                <w:color w:val="auto"/>
                <w:kern w:val="0"/>
                <w:szCs w:val="21"/>
              </w:rPr>
              <w:t>因此，本项目与周围环境相容</w:t>
            </w:r>
            <w:r>
              <w:rPr>
                <w:rFonts w:hint="eastAsia"/>
                <w:color w:val="auto"/>
                <w:kern w:val="0"/>
                <w:szCs w:val="21"/>
                <w:lang w:val="zh-CN"/>
              </w:rPr>
              <w:t>。</w:t>
            </w: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jc w:val="left"/>
              <w:rPr>
                <w:rFonts w:hint="default"/>
                <w:color w:val="auto"/>
                <w:kern w:val="0"/>
                <w:szCs w:val="21"/>
              </w:rPr>
            </w:pPr>
            <w:r>
              <w:rPr>
                <w:rFonts w:hint="default"/>
                <w:color w:val="auto"/>
                <w:kern w:val="0"/>
                <w:szCs w:val="21"/>
              </w:rPr>
              <w:t>（</w:t>
            </w:r>
            <w:r>
              <w:rPr>
                <w:rFonts w:hint="eastAsia"/>
                <w:color w:val="auto"/>
                <w:kern w:val="0"/>
                <w:szCs w:val="21"/>
              </w:rPr>
              <w:t>5</w:t>
            </w:r>
            <w:r>
              <w:rPr>
                <w:rFonts w:hint="default"/>
                <w:color w:val="auto"/>
                <w:kern w:val="0"/>
                <w:szCs w:val="21"/>
              </w:rPr>
              <w:t>）项目建设区域</w:t>
            </w:r>
            <w:r>
              <w:rPr>
                <w:rFonts w:hint="eastAsia"/>
                <w:color w:val="auto"/>
                <w:kern w:val="0"/>
                <w:szCs w:val="21"/>
                <w:lang w:val="en-US" w:eastAsia="zh-CN"/>
              </w:rPr>
              <w:t>附近有县道</w:t>
            </w:r>
            <w:r>
              <w:rPr>
                <w:rFonts w:hint="default"/>
                <w:color w:val="auto"/>
                <w:kern w:val="0"/>
                <w:szCs w:val="21"/>
              </w:rPr>
              <w:t>公路经过、交通便利；区域水电供应均有保障。因此，项目选址能够满足本项目生产、生活需要，利于本项目的建设。</w:t>
            </w: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r>
              <w:rPr>
                <w:rFonts w:hint="default" w:ascii="宋体" w:hAnsi="宋体"/>
                <w:b/>
                <w:color w:val="auto"/>
                <w:kern w:val="0"/>
                <w:szCs w:val="21"/>
              </w:rPr>
              <w:t>综上分析，本项目选址合理可行。</w:t>
            </w: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2" w:firstLineChars="200"/>
              <w:jc w:val="left"/>
              <w:rPr>
                <w:rFonts w:hint="default" w:ascii="宋体" w:hAnsi="宋体"/>
                <w:b/>
                <w:color w:val="auto"/>
                <w:kern w:val="0"/>
                <w:szCs w:val="21"/>
              </w:rPr>
            </w:pPr>
          </w:p>
        </w:tc>
      </w:tr>
    </w:tbl>
    <w:p>
      <w:pPr>
        <w:widowControl/>
        <w:spacing w:line="360" w:lineRule="auto"/>
        <w:jc w:val="left"/>
        <w:rPr>
          <w:rFonts w:eastAsia="黑体"/>
          <w:color w:val="auto"/>
          <w:sz w:val="30"/>
        </w:rPr>
        <w:sectPr>
          <w:pgSz w:w="11906" w:h="16838"/>
          <w:pgMar w:top="1701" w:right="1531" w:bottom="1701" w:left="1531" w:header="851" w:footer="1077" w:gutter="0"/>
          <w:pgNumType w:fmt="numberInDash"/>
          <w:cols w:space="720" w:num="1"/>
          <w:docGrid w:linePitch="286" w:charSpace="0"/>
        </w:sectPr>
      </w:pPr>
    </w:p>
    <w:p>
      <w:pPr>
        <w:jc w:val="center"/>
        <w:outlineLvl w:val="0"/>
        <w:rPr>
          <w:rFonts w:ascii="黑体" w:hAnsi="黑体" w:eastAsia="黑体" w:cs="Times New Roman"/>
          <w:snapToGrid w:val="0"/>
          <w:color w:val="auto"/>
          <w:kern w:val="0"/>
          <w:sz w:val="30"/>
          <w:szCs w:val="30"/>
        </w:rPr>
      </w:pPr>
      <w:r>
        <w:rPr>
          <w:rFonts w:hint="eastAsia" w:ascii="黑体" w:hAnsi="黑体" w:eastAsia="黑体"/>
          <w:snapToGrid w:val="0"/>
          <w:color w:val="auto"/>
          <w:sz w:val="30"/>
          <w:szCs w:val="30"/>
        </w:rPr>
        <w:t>二、建设项目工程分析</w:t>
      </w:r>
    </w:p>
    <w:tbl>
      <w:tblPr>
        <w:tblStyle w:val="14"/>
        <w:tblW w:w="885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0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80" w:hRule="atLeast"/>
          <w:jc w:val="center"/>
        </w:trPr>
        <w:tc>
          <w:tcPr>
            <w:tcW w:w="823"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color w:val="auto"/>
                <w:sz w:val="21"/>
                <w:szCs w:val="21"/>
              </w:rPr>
              <w:t>建设内容</w:t>
            </w:r>
          </w:p>
        </w:tc>
        <w:tc>
          <w:tcPr>
            <w:tcW w:w="8036" w:type="dxa"/>
            <w:tcBorders>
              <w:top w:val="single" w:color="auto" w:sz="8" w:space="0"/>
              <w:left w:val="single" w:color="auto" w:sz="4" w:space="0"/>
              <w:bottom w:val="single" w:color="auto" w:sz="4" w:space="0"/>
              <w:right w:val="single" w:color="auto" w:sz="8" w:space="0"/>
            </w:tcBorders>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0" w:right="0"/>
              <w:jc w:val="left"/>
              <w:textAlignment w:val="auto"/>
              <w:rPr>
                <w:rFonts w:hint="default" w:ascii="黑体" w:hAnsi="黑体" w:eastAsia="黑体" w:cs="宋体"/>
                <w:bCs/>
                <w:color w:val="auto"/>
                <w:szCs w:val="21"/>
              </w:rPr>
            </w:pPr>
            <w:r>
              <w:rPr>
                <w:rFonts w:hint="eastAsia" w:ascii="黑体" w:hAnsi="黑体" w:eastAsia="黑体" w:cs="宋体"/>
                <w:bCs/>
                <w:color w:val="auto"/>
                <w:szCs w:val="21"/>
              </w:rPr>
              <w:t>1</w:t>
            </w:r>
            <w:r>
              <w:rPr>
                <w:rFonts w:hint="default" w:ascii="黑体" w:hAnsi="黑体" w:eastAsia="黑体" w:cs="宋体"/>
                <w:bCs/>
                <w:color w:val="auto"/>
                <w:szCs w:val="21"/>
              </w:rPr>
              <w:t>、项目由来</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eastAsia" w:cs="Arial"/>
                <w:color w:val="auto"/>
                <w:szCs w:val="21"/>
                <w:highlight w:val="none"/>
                <w:shd w:val="clear" w:color="auto" w:fill="FFFFFF"/>
              </w:rPr>
            </w:pPr>
            <w:r>
              <w:rPr>
                <w:rFonts w:hint="eastAsia" w:cs="Arial"/>
                <w:color w:val="auto"/>
                <w:szCs w:val="21"/>
                <w:highlight w:val="none"/>
                <w:shd w:val="clear" w:color="auto" w:fill="FFFFFF"/>
              </w:rPr>
              <w:t>随着社会经济快速发展、国家城镇化发展规划的实施，新城镇化、新农村，道路建设等各项建设的投资预算基本到位，在有力促进大规模基础设施建设发展的同时，助推了各地房地产、保障房、铁路及高速公路等一系列重点建设项目的投资，各种基础设施及工业、民用建筑等建设工程快速增加，而作为重要工程原材料的砂石料目前尚无有效替代品，其使用量剧增，明显推动砂石行业快速发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400" w:lineRule="exact"/>
              <w:ind w:left="0" w:right="0" w:firstLine="420"/>
              <w:jc w:val="left"/>
              <w:textAlignment w:val="auto"/>
              <w:rPr>
                <w:rFonts w:hint="default" w:ascii="Helvetica" w:hAnsi="Helvetica" w:eastAsia="Helvetica" w:cs="Helvetica"/>
                <w:i w:val="0"/>
                <w:iCs w:val="0"/>
                <w:caps w:val="0"/>
                <w:color w:val="auto"/>
                <w:spacing w:val="0"/>
                <w:sz w:val="21"/>
                <w:szCs w:val="21"/>
              </w:rPr>
            </w:pPr>
            <w:r>
              <w:rPr>
                <w:rFonts w:hint="eastAsia" w:cs="Arial"/>
                <w:color w:val="auto"/>
                <w:szCs w:val="21"/>
                <w:highlight w:val="none"/>
                <w:shd w:val="clear" w:color="auto" w:fill="FFFFFF"/>
              </w:rPr>
              <w:t>近几年，随着达州境内各项重大工程的实施，对砂石等建筑材料的需求愈加旺盛。</w:t>
            </w:r>
            <w:r>
              <w:rPr>
                <w:rFonts w:hint="eastAsia" w:cs="Arial"/>
                <w:color w:val="auto"/>
                <w:szCs w:val="21"/>
                <w:highlight w:val="none"/>
                <w:shd w:val="clear" w:color="auto" w:fill="FFFFFF"/>
                <w:lang w:val="en-US" w:eastAsia="zh-CN"/>
              </w:rPr>
              <w:t>根据调查，涉及穿越大竹县境内的大垫高速，</w:t>
            </w:r>
            <w:r>
              <w:rPr>
                <w:rFonts w:hint="default" w:cs="Arial"/>
                <w:color w:val="auto"/>
                <w:szCs w:val="21"/>
                <w:highlight w:val="none"/>
                <w:shd w:val="clear" w:color="auto" w:fill="FFFFFF"/>
                <w:lang w:val="en-US" w:eastAsia="zh-CN"/>
              </w:rPr>
              <w:t>总投资约90.38亿元。大竹至垫江高速公路，起于达州市大竹县牌坊乡附近，接G65包茂高速公路，对接规划待建的南充至大竹高速公路，经高穴镇、童家乡、天城镇，止于石子镇附近（川渝交界处），接重庆市规划待建的垫江至武隆高速公路。路线全长约34.1公里，全线采用双向六车道高速公路标准建设，设计速度100公里/小时，路基宽度33.5米。设置牌坊（枢纽）、高穴、童家、天城北等4处互通式立交，服务区1处。</w:t>
            </w:r>
            <w:r>
              <w:rPr>
                <w:rFonts w:hint="eastAsia" w:cs="Arial"/>
                <w:color w:val="auto"/>
                <w:szCs w:val="21"/>
                <w:highlight w:val="none"/>
                <w:shd w:val="clear" w:color="auto" w:fill="FFFFFF"/>
                <w:lang w:val="en-US" w:eastAsia="zh-CN"/>
              </w:rPr>
              <w:t>该工程的实施有力地促进了砂石材料需求的增长，激起新一轮的砂石行业投资热情。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400" w:lineRule="exact"/>
              <w:ind w:left="0" w:right="0" w:firstLine="420"/>
              <w:jc w:val="left"/>
              <w:textAlignment w:val="auto"/>
              <w:rPr>
                <w:rFonts w:hint="default" w:ascii="Helvetica" w:hAnsi="Helvetica" w:eastAsia="宋体" w:cs="Helvetica"/>
                <w:i w:val="0"/>
                <w:iCs w:val="0"/>
                <w:caps w:val="0"/>
                <w:color w:val="auto"/>
                <w:spacing w:val="0"/>
                <w:sz w:val="21"/>
                <w:szCs w:val="21"/>
                <w:lang w:val="en-US" w:eastAsia="zh-CN"/>
              </w:rPr>
            </w:pPr>
            <w:r>
              <w:rPr>
                <w:rFonts w:hint="eastAsia" w:ascii="Helvetica" w:hAnsi="Helvetica" w:eastAsia="宋体" w:cs="Helvetica"/>
                <w:i w:val="0"/>
                <w:iCs w:val="0"/>
                <w:caps w:val="0"/>
                <w:color w:val="auto"/>
                <w:spacing w:val="0"/>
                <w:sz w:val="21"/>
                <w:szCs w:val="21"/>
                <w:lang w:val="en-US" w:eastAsia="zh-CN"/>
              </w:rPr>
              <w:t>大竹县生财页岩砖厂</w:t>
            </w:r>
            <w:r>
              <w:rPr>
                <w:rFonts w:hint="eastAsia" w:cs="Arial"/>
                <w:color w:val="auto"/>
                <w:szCs w:val="21"/>
                <w:highlight w:val="none"/>
                <w:shd w:val="clear" w:color="auto" w:fill="FFFFFF"/>
                <w:lang w:val="en-US" w:eastAsia="zh-CN"/>
              </w:rPr>
              <w:t>最早成立于2000年，选址于大竹县莲印乡天生村11组建设有烧结砖厂，年产烧结砖2500万匹。后因近几年房屋建筑行业发展放缓，烧结砖市场需求低迷，该砖厂已于2023年停产并拆除了所有设施设备。</w:t>
            </w:r>
            <w:r>
              <w:rPr>
                <w:rFonts w:hint="eastAsia" w:ascii="Helvetica" w:hAnsi="Helvetica" w:eastAsia="宋体" w:cs="Helvetica"/>
                <w:i w:val="0"/>
                <w:iCs w:val="0"/>
                <w:caps w:val="0"/>
                <w:color w:val="auto"/>
                <w:spacing w:val="0"/>
                <w:sz w:val="21"/>
                <w:szCs w:val="21"/>
                <w:lang w:val="en-US" w:eastAsia="zh-CN"/>
              </w:rPr>
              <w:t>大竹县生财页岩砖厂</w:t>
            </w:r>
            <w:r>
              <w:rPr>
                <w:rFonts w:hint="eastAsia" w:ascii="Helvetica" w:hAnsi="Helvetica" w:cs="Helvetica"/>
                <w:i w:val="0"/>
                <w:iCs w:val="0"/>
                <w:caps w:val="0"/>
                <w:color w:val="auto"/>
                <w:spacing w:val="0"/>
                <w:sz w:val="21"/>
                <w:szCs w:val="21"/>
                <w:lang w:val="en-US" w:eastAsia="zh-CN"/>
              </w:rPr>
              <w:t>主动</w:t>
            </w:r>
            <w:r>
              <w:rPr>
                <w:rFonts w:hint="eastAsia" w:cs="Arial"/>
                <w:color w:val="auto"/>
                <w:szCs w:val="21"/>
                <w:shd w:val="clear" w:color="auto" w:fill="FFFFFF"/>
                <w:lang w:val="en-US" w:eastAsia="zh-CN"/>
              </w:rPr>
              <w:t>抓住市场机遇，拟投资150万元在已全面拆除的原砖厂厂址用地范围内，建设一个高品质砂石产品加工厂。该项目主要建设一个封闭式生产车间，设砂石料水洗加工生产线1条，采用“破碎+筛分+制砂+洗砂”工艺，设计年产高品质砂石产品约120万吨。</w:t>
            </w:r>
            <w:r>
              <w:rPr>
                <w:rFonts w:hint="eastAsia" w:cs="Arial"/>
                <w:color w:val="auto"/>
                <w:szCs w:val="21"/>
                <w:shd w:val="clear" w:color="auto" w:fill="FFFFFF"/>
              </w:rPr>
              <w:t>本项目所生产的</w:t>
            </w:r>
            <w:r>
              <w:rPr>
                <w:rFonts w:hint="eastAsia" w:cs="Arial"/>
                <w:color w:val="auto"/>
                <w:szCs w:val="21"/>
                <w:shd w:val="clear" w:color="auto" w:fill="FFFFFF"/>
                <w:lang w:val="en-US" w:eastAsia="zh-CN"/>
              </w:rPr>
              <w:t>高品质</w:t>
            </w:r>
            <w:r>
              <w:rPr>
                <w:rFonts w:hint="eastAsia" w:cs="Arial"/>
                <w:color w:val="auto"/>
                <w:szCs w:val="21"/>
                <w:shd w:val="clear" w:color="auto" w:fill="FFFFFF"/>
              </w:rPr>
              <w:t>砂石产品主要供给</w:t>
            </w:r>
            <w:r>
              <w:rPr>
                <w:rFonts w:hint="eastAsia" w:cs="Arial"/>
                <w:color w:val="auto"/>
                <w:szCs w:val="21"/>
                <w:shd w:val="clear" w:color="auto" w:fill="FFFFFF"/>
                <w:lang w:val="en-US" w:eastAsia="zh-CN"/>
              </w:rPr>
              <w:t>大垫高速</w:t>
            </w:r>
            <w:r>
              <w:rPr>
                <w:rFonts w:hint="eastAsia" w:cs="Arial"/>
                <w:color w:val="auto"/>
                <w:szCs w:val="21"/>
                <w:shd w:val="clear" w:color="auto" w:fill="FFFFFF"/>
              </w:rPr>
              <w:t>以及其他</w:t>
            </w:r>
            <w:r>
              <w:rPr>
                <w:rFonts w:hint="eastAsia" w:cs="Arial"/>
                <w:color w:val="auto"/>
                <w:szCs w:val="21"/>
                <w:shd w:val="clear" w:color="auto" w:fill="FFFFFF"/>
                <w:lang w:val="en-US" w:eastAsia="zh-CN"/>
              </w:rPr>
              <w:t>重点</w:t>
            </w:r>
            <w:r>
              <w:rPr>
                <w:rFonts w:hint="eastAsia" w:cs="Arial"/>
                <w:color w:val="auto"/>
                <w:szCs w:val="21"/>
                <w:shd w:val="clear" w:color="auto" w:fill="FFFFFF"/>
              </w:rPr>
              <w:t>工程</w:t>
            </w:r>
            <w:r>
              <w:rPr>
                <w:rFonts w:hint="eastAsia" w:cs="Arial"/>
                <w:color w:val="auto"/>
                <w:szCs w:val="21"/>
                <w:shd w:val="clear" w:color="auto" w:fill="FFFFFF"/>
                <w:lang w:eastAsia="zh-CN"/>
              </w:rPr>
              <w:t>，</w:t>
            </w:r>
            <w:r>
              <w:rPr>
                <w:rFonts w:hint="eastAsia" w:cs="Arial"/>
                <w:color w:val="auto"/>
                <w:szCs w:val="21"/>
                <w:shd w:val="clear" w:color="auto" w:fill="FFFFFF"/>
              </w:rPr>
              <w:t>原料主要</w:t>
            </w:r>
            <w:r>
              <w:rPr>
                <w:rFonts w:hint="eastAsia" w:cs="Arial"/>
                <w:color w:val="auto"/>
                <w:szCs w:val="21"/>
                <w:shd w:val="clear" w:color="auto" w:fill="FFFFFF"/>
                <w:lang w:val="en-US" w:eastAsia="zh-CN"/>
              </w:rPr>
              <w:t>为大竹县城西乡</w:t>
            </w:r>
            <w:r>
              <w:rPr>
                <w:rFonts w:hint="eastAsia" w:cs="Arial"/>
                <w:color w:val="auto"/>
                <w:szCs w:val="21"/>
                <w:shd w:val="clear" w:color="auto" w:fill="FFFFFF"/>
              </w:rPr>
              <w:t>九盘山矿山</w:t>
            </w:r>
            <w:r>
              <w:rPr>
                <w:rFonts w:hint="eastAsia" w:cs="Arial"/>
                <w:color w:val="auto"/>
                <w:szCs w:val="21"/>
                <w:shd w:val="clear" w:color="auto" w:fill="FFFFFF"/>
                <w:lang w:val="en-US" w:eastAsia="zh-CN"/>
              </w:rPr>
              <w:t>开采企业开采的块状矿石原料</w:t>
            </w:r>
            <w:r>
              <w:rPr>
                <w:rFonts w:hint="eastAsia" w:cs="Arial"/>
                <w:color w:val="auto"/>
                <w:szCs w:val="21"/>
                <w:shd w:val="clear" w:color="auto" w:fill="FFFFFF"/>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eastAsia"/>
                <w:color w:val="auto"/>
                <w:lang w:val="en-US" w:eastAsia="zh-CN"/>
              </w:rPr>
            </w:pPr>
            <w:r>
              <w:rPr>
                <w:rFonts w:hint="eastAsia" w:cs="Arial"/>
                <w:color w:val="auto"/>
                <w:szCs w:val="21"/>
                <w:shd w:val="clear" w:color="auto" w:fill="FFFFFF"/>
                <w:lang w:val="en-US" w:eastAsia="zh-CN"/>
              </w:rPr>
              <w:t>根据环评调查，</w:t>
            </w:r>
            <w:r>
              <w:rPr>
                <w:rFonts w:hint="default"/>
                <w:color w:val="auto"/>
              </w:rPr>
              <w:t>大竹县生财页岩砖厂于2000年6月建成</w:t>
            </w:r>
            <w:r>
              <w:rPr>
                <w:rFonts w:hint="eastAsia"/>
                <w:color w:val="auto"/>
                <w:lang w:eastAsia="zh-CN"/>
              </w:rPr>
              <w:t>，</w:t>
            </w:r>
            <w:r>
              <w:rPr>
                <w:rFonts w:hint="default"/>
                <w:color w:val="auto"/>
              </w:rPr>
              <w:t>主要进行</w:t>
            </w:r>
            <w:r>
              <w:rPr>
                <w:rFonts w:hint="eastAsia"/>
                <w:color w:val="auto"/>
                <w:lang w:val="en-US" w:eastAsia="zh-CN"/>
              </w:rPr>
              <w:t>烧结砖的</w:t>
            </w:r>
            <w:r>
              <w:rPr>
                <w:rFonts w:hint="default"/>
                <w:color w:val="auto"/>
              </w:rPr>
              <w:t>生产</w:t>
            </w:r>
            <w:r>
              <w:rPr>
                <w:rFonts w:hint="eastAsia"/>
                <w:color w:val="auto"/>
                <w:lang w:eastAsia="zh-CN"/>
              </w:rPr>
              <w:t>，</w:t>
            </w:r>
            <w:r>
              <w:rPr>
                <w:rFonts w:hint="eastAsia"/>
                <w:color w:val="auto"/>
                <w:lang w:val="en-US" w:eastAsia="zh-CN"/>
              </w:rPr>
              <w:t>设计</w:t>
            </w:r>
            <w:r>
              <w:rPr>
                <w:rFonts w:hint="default"/>
                <w:color w:val="auto"/>
              </w:rPr>
              <w:t>年产</w:t>
            </w:r>
            <w:r>
              <w:rPr>
                <w:rFonts w:hint="eastAsia"/>
                <w:color w:val="auto"/>
                <w:lang w:val="en-US" w:eastAsia="zh-CN"/>
              </w:rPr>
              <w:t>烧结砖</w:t>
            </w:r>
            <w:r>
              <w:rPr>
                <w:rFonts w:hint="default"/>
                <w:color w:val="auto"/>
              </w:rPr>
              <w:t>2500万匹</w:t>
            </w:r>
            <w:r>
              <w:rPr>
                <w:rFonts w:hint="eastAsia"/>
                <w:color w:val="auto"/>
                <w:lang w:eastAsia="zh-CN"/>
              </w:rPr>
              <w:t>。</w:t>
            </w:r>
            <w:r>
              <w:rPr>
                <w:rFonts w:hint="eastAsia"/>
                <w:color w:val="auto"/>
                <w:lang w:val="en-US" w:eastAsia="zh-CN"/>
              </w:rPr>
              <w:t>2016年4月25日，大竹县生财页岩砖取得了由原大竹县环境保护局颁发的《排放污染物许可证》（证书编号：S50086），准许排放污染物：SO</w:t>
            </w:r>
            <w:r>
              <w:rPr>
                <w:rFonts w:hint="eastAsia"/>
                <w:color w:val="auto"/>
                <w:vertAlign w:val="subscript"/>
                <w:lang w:val="en-US" w:eastAsia="zh-CN"/>
              </w:rPr>
              <w:t>2</w:t>
            </w:r>
            <w:r>
              <w:rPr>
                <w:rFonts w:hint="eastAsia"/>
                <w:color w:val="auto"/>
                <w:vertAlign w:val="baseline"/>
                <w:lang w:val="en-US" w:eastAsia="zh-CN"/>
              </w:rPr>
              <w:t>≤</w:t>
            </w:r>
            <w:r>
              <w:rPr>
                <w:rFonts w:hint="eastAsia"/>
                <w:color w:val="auto"/>
                <w:lang w:val="en-US" w:eastAsia="zh-CN"/>
              </w:rPr>
              <w:t>32.03吨/年、NO</w:t>
            </w:r>
            <w:r>
              <w:rPr>
                <w:rFonts w:hint="eastAsia"/>
                <w:color w:val="auto"/>
                <w:vertAlign w:val="subscript"/>
                <w:lang w:val="en-US" w:eastAsia="zh-CN"/>
              </w:rPr>
              <w:t>x</w:t>
            </w:r>
            <w:r>
              <w:rPr>
                <w:rFonts w:hint="eastAsia"/>
                <w:color w:val="auto"/>
                <w:vertAlign w:val="baseline"/>
                <w:lang w:val="en-US" w:eastAsia="zh-CN"/>
              </w:rPr>
              <w:t>≤</w:t>
            </w:r>
            <w:r>
              <w:rPr>
                <w:rFonts w:hint="eastAsia"/>
                <w:color w:val="auto"/>
                <w:lang w:val="en-US" w:eastAsia="zh-CN"/>
              </w:rPr>
              <w:t>21.35吨/年。</w:t>
            </w:r>
            <w:r>
              <w:rPr>
                <w:rFonts w:hint="default"/>
                <w:color w:val="auto"/>
              </w:rPr>
              <w:t>大竹县生财页岩砖厂</w:t>
            </w:r>
            <w:r>
              <w:rPr>
                <w:rFonts w:hint="eastAsia"/>
                <w:color w:val="auto"/>
                <w:lang w:val="en-US" w:eastAsia="zh-CN"/>
              </w:rPr>
              <w:t>满足污染物达标排放且环境风险可控的要求，但</w:t>
            </w:r>
            <w:r>
              <w:rPr>
                <w:rFonts w:hint="eastAsia"/>
                <w:color w:val="auto"/>
                <w:lang w:eastAsia="zh-CN"/>
              </w:rPr>
              <w:t>因不符合国家产业政策致使不符合补办环评手续条件，</w:t>
            </w:r>
            <w:r>
              <w:rPr>
                <w:rFonts w:hint="eastAsia"/>
                <w:color w:val="auto"/>
                <w:lang w:val="en-US" w:eastAsia="zh-CN"/>
              </w:rPr>
              <w:t>符合办理临时环保备案的条件。大竹县生财页岩砖厂于2016年12月委托专业机构编制了临时环保备案报告，完善了临时环保备案手续。</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eastAsia="宋体" w:cs="Arial"/>
                <w:color w:val="auto"/>
                <w:szCs w:val="21"/>
                <w:shd w:val="clear" w:color="auto" w:fill="FFFFFF"/>
                <w:lang w:val="en-US" w:eastAsia="zh-CN"/>
              </w:rPr>
            </w:pPr>
            <w:r>
              <w:rPr>
                <w:rFonts w:hint="eastAsia"/>
                <w:color w:val="auto"/>
                <w:lang w:val="en-US" w:eastAsia="zh-CN"/>
              </w:rPr>
              <w:t>本次砂石场项目建设前，该砖厂已全面拆除所有设施设备，仅留下待建设的闲置场地，无遗留的环境问题。因此，本项目与原砖厂项目除了同在一块场地之外无其他关系，二者之间也无设施设备的依托关系。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eastAsia="宋体" w:cs="Arial"/>
                <w:color w:val="auto"/>
                <w:szCs w:val="21"/>
                <w:highlight w:val="none"/>
                <w:shd w:val="clear" w:color="auto" w:fill="FFFFFF"/>
                <w:lang w:val="en-US" w:eastAsia="zh-CN"/>
              </w:rPr>
            </w:pPr>
            <w:r>
              <w:rPr>
                <w:rFonts w:hint="eastAsia" w:cs="Arial"/>
                <w:color w:val="auto"/>
                <w:szCs w:val="21"/>
                <w:shd w:val="clear" w:color="auto" w:fill="FFFFFF"/>
              </w:rPr>
              <w:t>为做好本项目的环境保护工作，根据《中华人民共和国环境影响评价法》和《建设项目环境保护管理条例》（国务院令第682号）的有关规定，该项目应当开展环境影响评价工作。根据《国民经济行业分类》（GB/T 4754-2017），本项目属于制造业中的 “C3039 其他建筑材料制造”</w:t>
            </w:r>
            <w:r>
              <w:rPr>
                <w:rFonts w:hint="eastAsia" w:cs="Arial"/>
                <w:color w:val="auto"/>
                <w:szCs w:val="21"/>
                <w:shd w:val="clear" w:color="auto" w:fill="FFFFFF"/>
                <w:lang w:eastAsia="zh-CN"/>
              </w:rPr>
              <w:t>、“</w:t>
            </w:r>
            <w:r>
              <w:rPr>
                <w:rFonts w:hint="eastAsia" w:cs="Arial"/>
                <w:color w:val="auto"/>
                <w:szCs w:val="21"/>
                <w:shd w:val="clear" w:color="auto" w:fill="FFFFFF"/>
                <w:lang w:val="en-US" w:eastAsia="zh-CN"/>
              </w:rPr>
              <w:t>C3099 其他非金属矿物制品制造</w:t>
            </w:r>
            <w:r>
              <w:rPr>
                <w:rFonts w:hint="eastAsia" w:cs="Arial"/>
                <w:color w:val="auto"/>
                <w:szCs w:val="21"/>
                <w:shd w:val="clear" w:color="auto" w:fill="FFFFFF"/>
                <w:lang w:eastAsia="zh-CN"/>
              </w:rPr>
              <w:t>”</w:t>
            </w:r>
            <w:r>
              <w:rPr>
                <w:rFonts w:hint="eastAsia" w:cs="Arial"/>
                <w:color w:val="auto"/>
                <w:szCs w:val="21"/>
                <w:shd w:val="clear" w:color="auto" w:fill="FFFFFF"/>
              </w:rPr>
              <w:t>类别。根据《建设项目环境影响评价分类管理名录（2021年版）》，该项目属于“二十七、非金属矿物制品业”的“56 砖瓦、石材等建筑材料制造”</w:t>
            </w:r>
            <w:r>
              <w:rPr>
                <w:rFonts w:hint="eastAsia" w:cs="Arial"/>
                <w:color w:val="auto"/>
                <w:szCs w:val="21"/>
                <w:shd w:val="clear" w:color="auto" w:fill="FFFFFF"/>
                <w:lang w:val="en-US" w:eastAsia="zh-CN"/>
              </w:rPr>
              <w:t>以及“</w:t>
            </w:r>
            <w:r>
              <w:rPr>
                <w:rFonts w:hint="eastAsia" w:ascii="宋体" w:hAnsi="宋体" w:cs="宋体"/>
                <w:color w:val="auto"/>
                <w:szCs w:val="21"/>
                <w:lang w:val="en-US" w:eastAsia="zh-CN"/>
              </w:rPr>
              <w:t>60耐火材料制品制造308;石墨及其他非金属矿物制品制造309</w:t>
            </w:r>
            <w:r>
              <w:rPr>
                <w:rFonts w:hint="eastAsia" w:cs="Arial"/>
                <w:color w:val="auto"/>
                <w:szCs w:val="21"/>
                <w:shd w:val="clear" w:color="auto" w:fill="FFFFFF"/>
                <w:lang w:val="en-US" w:eastAsia="zh-CN"/>
              </w:rPr>
              <w:t>”</w:t>
            </w:r>
            <w:r>
              <w:rPr>
                <w:rFonts w:hint="eastAsia" w:cs="Arial"/>
                <w:color w:val="auto"/>
                <w:szCs w:val="21"/>
                <w:shd w:val="clear" w:color="auto" w:fill="FFFFFF"/>
              </w:rPr>
              <w:t>，环评类别为编制环境影响报告表。</w:t>
            </w:r>
          </w:p>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Cs w:val="21"/>
              </w:rPr>
            </w:pPr>
            <w:r>
              <w:rPr>
                <w:rFonts w:hint="eastAsia" w:ascii="黑体" w:hAnsi="黑体" w:eastAsia="黑体" w:cs="宋体"/>
                <w:bCs/>
                <w:color w:val="auto"/>
                <w:szCs w:val="21"/>
              </w:rPr>
              <w:t>2</w:t>
            </w:r>
            <w:r>
              <w:rPr>
                <w:rFonts w:hint="default" w:ascii="黑体" w:hAnsi="黑体" w:eastAsia="黑体" w:cs="宋体"/>
                <w:bCs/>
                <w:color w:val="auto"/>
                <w:szCs w:val="21"/>
              </w:rPr>
              <w:t>、建设内容</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eastAsia="宋体" w:cs="宋体"/>
                <w:color w:val="auto"/>
                <w:kern w:val="0"/>
                <w:szCs w:val="21"/>
                <w:lang w:val="en-US" w:eastAsia="zh-CN"/>
              </w:rPr>
            </w:pPr>
            <w:r>
              <w:rPr>
                <w:rFonts w:hint="eastAsia" w:cs="宋体"/>
                <w:color w:val="auto"/>
                <w:kern w:val="0"/>
                <w:szCs w:val="21"/>
              </w:rPr>
              <w:t>本项目占地面积</w:t>
            </w:r>
            <w:r>
              <w:rPr>
                <w:rFonts w:hint="eastAsia" w:cs="宋体"/>
                <w:color w:val="auto"/>
                <w:kern w:val="0"/>
                <w:szCs w:val="21"/>
                <w:lang w:val="en-US" w:eastAsia="zh-CN"/>
              </w:rPr>
              <w:t>14.77</w:t>
            </w:r>
            <w:r>
              <w:rPr>
                <w:rFonts w:hint="eastAsia" w:cs="宋体"/>
                <w:color w:val="auto"/>
                <w:kern w:val="0"/>
                <w:szCs w:val="21"/>
              </w:rPr>
              <w:t>亩（约</w:t>
            </w:r>
            <w:r>
              <w:rPr>
                <w:rFonts w:hint="eastAsia" w:cs="宋体"/>
                <w:color w:val="auto"/>
                <w:kern w:val="0"/>
                <w:szCs w:val="21"/>
                <w:lang w:val="en-US" w:eastAsia="zh-CN"/>
              </w:rPr>
              <w:t>9852</w:t>
            </w:r>
            <w:r>
              <w:rPr>
                <w:rFonts w:hint="eastAsia" w:cs="宋体"/>
                <w:color w:val="auto"/>
                <w:kern w:val="0"/>
                <w:szCs w:val="21"/>
              </w:rPr>
              <w:t>m</w:t>
            </w:r>
            <w:r>
              <w:rPr>
                <w:rFonts w:hint="eastAsia" w:cs="宋体"/>
                <w:color w:val="auto"/>
                <w:kern w:val="0"/>
                <w:szCs w:val="21"/>
                <w:vertAlign w:val="superscript"/>
              </w:rPr>
              <w:t>2</w:t>
            </w:r>
            <w:r>
              <w:rPr>
                <w:rFonts w:hint="eastAsia" w:cs="宋体"/>
                <w:color w:val="auto"/>
                <w:kern w:val="0"/>
                <w:szCs w:val="21"/>
              </w:rPr>
              <w:t>），主要建设一个封闭式生产车间，建筑面积</w:t>
            </w:r>
            <w:r>
              <w:rPr>
                <w:rFonts w:hint="eastAsia" w:cs="宋体"/>
                <w:color w:val="auto"/>
                <w:kern w:val="0"/>
                <w:szCs w:val="21"/>
                <w:lang w:val="en-US" w:eastAsia="zh-CN"/>
              </w:rPr>
              <w:t>约21</w:t>
            </w:r>
            <w:r>
              <w:rPr>
                <w:rFonts w:hint="eastAsia" w:cs="宋体"/>
                <w:color w:val="auto"/>
                <w:kern w:val="0"/>
                <w:szCs w:val="21"/>
              </w:rPr>
              <w:t>00m</w:t>
            </w:r>
            <w:r>
              <w:rPr>
                <w:rFonts w:hint="eastAsia" w:cs="宋体"/>
                <w:color w:val="auto"/>
                <w:kern w:val="0"/>
                <w:szCs w:val="21"/>
                <w:vertAlign w:val="superscript"/>
              </w:rPr>
              <w:t>2</w:t>
            </w:r>
            <w:r>
              <w:rPr>
                <w:rFonts w:hint="eastAsia" w:cs="宋体"/>
                <w:color w:val="auto"/>
                <w:kern w:val="0"/>
                <w:szCs w:val="21"/>
              </w:rPr>
              <w:t>，车间内设砂石加工生产线</w:t>
            </w:r>
            <w:r>
              <w:rPr>
                <w:rFonts w:hint="eastAsia" w:cs="宋体"/>
                <w:color w:val="auto"/>
                <w:kern w:val="0"/>
                <w:szCs w:val="21"/>
                <w:lang w:val="en-US" w:eastAsia="zh-CN"/>
              </w:rPr>
              <w:t>一</w:t>
            </w:r>
            <w:r>
              <w:rPr>
                <w:rFonts w:hint="eastAsia" w:cs="宋体"/>
                <w:color w:val="auto"/>
                <w:kern w:val="0"/>
                <w:szCs w:val="21"/>
              </w:rPr>
              <w:t>条</w:t>
            </w:r>
            <w:r>
              <w:rPr>
                <w:rFonts w:hint="eastAsia" w:cs="宋体"/>
                <w:color w:val="auto"/>
                <w:kern w:val="0"/>
                <w:szCs w:val="21"/>
                <w:lang w:val="en-US" w:eastAsia="zh-CN"/>
              </w:rPr>
              <w:t>和产品库</w:t>
            </w:r>
            <w:r>
              <w:rPr>
                <w:rFonts w:hint="eastAsia" w:cs="宋体"/>
                <w:color w:val="auto"/>
                <w:kern w:val="0"/>
                <w:szCs w:val="21"/>
              </w:rPr>
              <w:t>，以及配套的废水处理等环保设施。预计年产</w:t>
            </w:r>
            <w:r>
              <w:rPr>
                <w:rFonts w:hint="eastAsia" w:cs="宋体"/>
                <w:color w:val="auto"/>
                <w:kern w:val="0"/>
                <w:szCs w:val="21"/>
                <w:lang w:val="en-US" w:eastAsia="zh-CN"/>
              </w:rPr>
              <w:t>高品质</w:t>
            </w:r>
            <w:r>
              <w:rPr>
                <w:rFonts w:hint="eastAsia" w:cs="宋体"/>
                <w:color w:val="auto"/>
                <w:kern w:val="0"/>
                <w:szCs w:val="21"/>
              </w:rPr>
              <w:t>砂石产品约</w:t>
            </w:r>
            <w:r>
              <w:rPr>
                <w:rFonts w:hint="default" w:cs="宋体"/>
                <w:color w:val="auto"/>
                <w:kern w:val="0"/>
                <w:szCs w:val="21"/>
              </w:rPr>
              <w:t>120万吨</w:t>
            </w:r>
            <w:r>
              <w:rPr>
                <w:rFonts w:hint="eastAsia" w:cs="宋体"/>
                <w:color w:val="auto"/>
                <w:kern w:val="0"/>
                <w:szCs w:val="21"/>
              </w:rPr>
              <w:t>。</w:t>
            </w:r>
            <w:r>
              <w:rPr>
                <w:rFonts w:hint="eastAsia" w:cs="宋体"/>
                <w:color w:val="auto"/>
                <w:kern w:val="0"/>
                <w:szCs w:val="21"/>
                <w:lang w:val="en-US" w:eastAsia="zh-CN"/>
              </w:rPr>
              <w:t>紧邻生产车间旁设置一个原料堆场，占地面积约8</w:t>
            </w:r>
            <w:r>
              <w:rPr>
                <w:rFonts w:hint="eastAsia" w:cs="宋体"/>
                <w:color w:val="auto"/>
                <w:kern w:val="0"/>
                <w:szCs w:val="21"/>
              </w:rPr>
              <w:t>00m</w:t>
            </w:r>
            <w:r>
              <w:rPr>
                <w:rFonts w:hint="eastAsia" w:cs="宋体"/>
                <w:color w:val="auto"/>
                <w:kern w:val="0"/>
                <w:szCs w:val="21"/>
                <w:vertAlign w:val="superscript"/>
              </w:rPr>
              <w:t>2</w:t>
            </w:r>
            <w:r>
              <w:rPr>
                <w:rFonts w:hint="eastAsia" w:cs="宋体"/>
                <w:color w:val="auto"/>
                <w:kern w:val="0"/>
                <w:szCs w:val="21"/>
                <w:lang w:val="en-US"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 w:val="24"/>
              </w:rPr>
            </w:pPr>
            <w:r>
              <w:rPr>
                <w:rFonts w:hint="eastAsia" w:cs="宋体"/>
                <w:color w:val="auto"/>
                <w:kern w:val="0"/>
                <w:szCs w:val="21"/>
              </w:rPr>
              <w:t>项目组成和可能产生的环境问题见下表。</w:t>
            </w:r>
          </w:p>
          <w:p>
            <w:pPr>
              <w:keepNext w:val="0"/>
              <w:keepLines w:val="0"/>
              <w:suppressLineNumbers w:val="0"/>
              <w:autoSpaceDE w:val="0"/>
              <w:autoSpaceDN w:val="0"/>
              <w:adjustRightInd w:val="0"/>
              <w:snapToGrid w:val="0"/>
              <w:spacing w:before="0" w:beforeAutospacing="0" w:after="0" w:afterAutospacing="0" w:line="400" w:lineRule="exact"/>
              <w:ind w:left="0" w:right="0" w:firstLine="360" w:firstLineChars="200"/>
              <w:jc w:val="center"/>
              <w:rPr>
                <w:rFonts w:hint="default"/>
                <w:color w:val="auto"/>
                <w:sz w:val="18"/>
                <w:szCs w:val="20"/>
              </w:rPr>
            </w:pPr>
            <w:r>
              <w:rPr>
                <w:rFonts w:hint="default" w:eastAsia="黑体"/>
                <w:bCs/>
                <w:color w:val="auto"/>
                <w:sz w:val="18"/>
                <w:szCs w:val="20"/>
              </w:rPr>
              <w:t>表</w:t>
            </w:r>
            <w:r>
              <w:rPr>
                <w:rFonts w:hint="eastAsia" w:eastAsia="黑体"/>
                <w:bCs/>
                <w:color w:val="auto"/>
                <w:sz w:val="18"/>
                <w:szCs w:val="20"/>
              </w:rPr>
              <w:t xml:space="preserve">2-1  </w:t>
            </w:r>
            <w:r>
              <w:rPr>
                <w:rFonts w:hint="default" w:eastAsia="黑体"/>
                <w:bCs/>
                <w:color w:val="auto"/>
                <w:sz w:val="18"/>
                <w:szCs w:val="20"/>
              </w:rPr>
              <w:t>项目组成及可能产生的主要环境问题</w:t>
            </w:r>
          </w:p>
          <w:tbl>
            <w:tblPr>
              <w:tblStyle w:val="14"/>
              <w:tblW w:w="78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498"/>
              <w:gridCol w:w="3780"/>
              <w:gridCol w:w="829"/>
              <w:gridCol w:w="1425"/>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80" w:type="dxa"/>
                  <w:vMerge w:val="restart"/>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b/>
                      <w:color w:val="auto"/>
                      <w:sz w:val="18"/>
                      <w:szCs w:val="18"/>
                    </w:rPr>
                  </w:pPr>
                  <w:r>
                    <w:rPr>
                      <w:rFonts w:hint="eastAsia" w:ascii="宋体" w:hAnsi="宋体"/>
                      <w:b/>
                      <w:color w:val="auto"/>
                      <w:sz w:val="18"/>
                      <w:szCs w:val="18"/>
                    </w:rPr>
                    <w:t>名称</w:t>
                  </w:r>
                </w:p>
              </w:tc>
              <w:tc>
                <w:tcPr>
                  <w:tcW w:w="4278" w:type="dxa"/>
                  <w:gridSpan w:val="2"/>
                  <w:vMerge w:val="restart"/>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b/>
                      <w:color w:val="auto"/>
                      <w:sz w:val="18"/>
                      <w:szCs w:val="18"/>
                    </w:rPr>
                  </w:pPr>
                  <w:r>
                    <w:rPr>
                      <w:rFonts w:hint="eastAsia" w:ascii="宋体" w:hAnsi="宋体"/>
                      <w:b/>
                      <w:color w:val="auto"/>
                      <w:sz w:val="18"/>
                      <w:szCs w:val="18"/>
                    </w:rPr>
                    <w:t>建设内容及规模</w:t>
                  </w:r>
                </w:p>
              </w:tc>
              <w:tc>
                <w:tcPr>
                  <w:tcW w:w="2254" w:type="dxa"/>
                  <w:gridSpan w:val="2"/>
                  <w:vAlign w:val="center"/>
                </w:tcPr>
                <w:p>
                  <w:pPr>
                    <w:keepNext w:val="0"/>
                    <w:keepLines w:val="0"/>
                    <w:suppressLineNumbers w:val="0"/>
                    <w:autoSpaceDE w:val="0"/>
                    <w:autoSpaceDN w:val="0"/>
                    <w:adjustRightInd w:val="0"/>
                    <w:spacing w:before="0" w:beforeAutospacing="0" w:after="0" w:afterAutospacing="0" w:line="280" w:lineRule="exact"/>
                    <w:ind w:left="-105" w:leftChars="-50" w:right="-105" w:rightChars="-50"/>
                    <w:jc w:val="center"/>
                    <w:rPr>
                      <w:rFonts w:hint="default"/>
                      <w:b/>
                      <w:color w:val="auto"/>
                      <w:sz w:val="18"/>
                      <w:szCs w:val="18"/>
                    </w:rPr>
                  </w:pPr>
                  <w:r>
                    <w:rPr>
                      <w:rFonts w:hint="eastAsia" w:ascii="宋体" w:hAnsi="宋体"/>
                      <w:b/>
                      <w:color w:val="auto"/>
                      <w:sz w:val="18"/>
                      <w:szCs w:val="18"/>
                    </w:rPr>
                    <w:t>可能产生的主要环境问题</w:t>
                  </w:r>
                </w:p>
              </w:tc>
              <w:tc>
                <w:tcPr>
                  <w:tcW w:w="605" w:type="dxa"/>
                  <w:vMerge w:val="restar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宋体" w:hAnsi="宋体" w:eastAsia="宋体"/>
                      <w:b/>
                      <w:color w:val="auto"/>
                      <w:sz w:val="18"/>
                      <w:szCs w:val="18"/>
                      <w:lang w:val="en-US" w:eastAsia="zh-CN"/>
                    </w:rPr>
                  </w:pPr>
                  <w:r>
                    <w:rPr>
                      <w:rFonts w:hint="eastAsia" w:ascii="宋体" w:hAnsi="宋体"/>
                      <w:b/>
                      <w:color w:val="auto"/>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b/>
                      <w:color w:val="auto"/>
                      <w:sz w:val="18"/>
                      <w:szCs w:val="18"/>
                    </w:rPr>
                  </w:pPr>
                </w:p>
              </w:tc>
              <w:tc>
                <w:tcPr>
                  <w:tcW w:w="4278" w:type="dxa"/>
                  <w:gridSpan w:val="2"/>
                  <w:vMerge w:val="continue"/>
                  <w:vAlign w:val="center"/>
                </w:tcPr>
                <w:p>
                  <w:pPr>
                    <w:keepNext w:val="0"/>
                    <w:keepLines w:val="0"/>
                    <w:widowControl/>
                    <w:suppressLineNumbers w:val="0"/>
                    <w:spacing w:before="0" w:beforeAutospacing="0" w:after="0" w:afterAutospacing="0"/>
                    <w:ind w:left="0" w:right="0"/>
                    <w:jc w:val="left"/>
                    <w:rPr>
                      <w:rFonts w:hint="default"/>
                      <w:b/>
                      <w:color w:val="auto"/>
                      <w:sz w:val="18"/>
                      <w:szCs w:val="18"/>
                    </w:rPr>
                  </w:pPr>
                </w:p>
              </w:tc>
              <w:tc>
                <w:tcPr>
                  <w:tcW w:w="829"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b/>
                      <w:color w:val="auto"/>
                      <w:sz w:val="18"/>
                      <w:szCs w:val="18"/>
                    </w:rPr>
                  </w:pPr>
                  <w:r>
                    <w:rPr>
                      <w:rFonts w:hint="eastAsia" w:ascii="宋体" w:hAnsi="宋体"/>
                      <w:b/>
                      <w:color w:val="auto"/>
                      <w:sz w:val="18"/>
                      <w:szCs w:val="18"/>
                    </w:rPr>
                    <w:t>施工期</w:t>
                  </w:r>
                </w:p>
              </w:tc>
              <w:tc>
                <w:tcPr>
                  <w:tcW w:w="1425" w:type="dxa"/>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b/>
                      <w:color w:val="auto"/>
                      <w:sz w:val="18"/>
                      <w:szCs w:val="18"/>
                    </w:rPr>
                  </w:pPr>
                  <w:r>
                    <w:rPr>
                      <w:rFonts w:hint="eastAsia" w:ascii="宋体" w:hAnsi="宋体"/>
                      <w:b/>
                      <w:color w:val="auto"/>
                      <w:sz w:val="18"/>
                      <w:szCs w:val="18"/>
                    </w:rPr>
                    <w:t>营运期</w:t>
                  </w:r>
                </w:p>
              </w:tc>
              <w:tc>
                <w:tcPr>
                  <w:tcW w:w="605"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0" w:leftChars="0" w:right="0" w:rightChars="0"/>
                    <w:jc w:val="center"/>
                    <w:textAlignment w:val="auto"/>
                    <w:rPr>
                      <w:rFonts w:hint="eastAsia" w:ascii="宋体" w:hAnsi="宋体"/>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80"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主体</w:t>
                  </w:r>
                </w:p>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工程</w:t>
                  </w:r>
                </w:p>
              </w:tc>
              <w:tc>
                <w:tcPr>
                  <w:tcW w:w="4278" w:type="dxa"/>
                  <w:gridSpan w:val="2"/>
                  <w:vAlign w:val="center"/>
                </w:tcPr>
                <w:p>
                  <w:pPr>
                    <w:keepNext w:val="0"/>
                    <w:keepLines w:val="0"/>
                    <w:suppressLineNumbers w:val="0"/>
                    <w:spacing w:before="0" w:beforeAutospacing="0" w:after="0" w:afterAutospacing="0" w:line="280" w:lineRule="exact"/>
                    <w:ind w:left="0" w:right="0"/>
                    <w:jc w:val="left"/>
                    <w:rPr>
                      <w:rFonts w:hint="default"/>
                      <w:color w:val="auto"/>
                      <w:kern w:val="0"/>
                      <w:sz w:val="18"/>
                      <w:szCs w:val="18"/>
                    </w:rPr>
                  </w:pPr>
                  <w:r>
                    <w:rPr>
                      <w:rFonts w:hint="eastAsia"/>
                      <w:color w:val="auto"/>
                      <w:kern w:val="0"/>
                      <w:sz w:val="18"/>
                      <w:szCs w:val="18"/>
                    </w:rPr>
                    <w:t>建设一个封闭式生产车间，占地约</w:t>
                  </w:r>
                  <w:r>
                    <w:rPr>
                      <w:rFonts w:hint="eastAsia"/>
                      <w:color w:val="auto"/>
                      <w:kern w:val="0"/>
                      <w:sz w:val="18"/>
                      <w:szCs w:val="18"/>
                      <w:lang w:val="en-US" w:eastAsia="zh-CN"/>
                    </w:rPr>
                    <w:t>21</w:t>
                  </w:r>
                  <w:r>
                    <w:rPr>
                      <w:rFonts w:hint="eastAsia"/>
                      <w:color w:val="auto"/>
                      <w:kern w:val="0"/>
                      <w:sz w:val="18"/>
                      <w:szCs w:val="18"/>
                    </w:rPr>
                    <w:t>00m</w:t>
                  </w:r>
                  <w:r>
                    <w:rPr>
                      <w:rFonts w:hint="eastAsia"/>
                      <w:color w:val="auto"/>
                      <w:kern w:val="0"/>
                      <w:sz w:val="18"/>
                      <w:szCs w:val="18"/>
                      <w:vertAlign w:val="superscript"/>
                    </w:rPr>
                    <w:t>2</w:t>
                  </w:r>
                  <w:r>
                    <w:rPr>
                      <w:rFonts w:hint="eastAsia"/>
                      <w:color w:val="auto"/>
                      <w:kern w:val="0"/>
                      <w:sz w:val="18"/>
                      <w:szCs w:val="18"/>
                    </w:rPr>
                    <w:t>，车间内设砂石水洗加工生产线1条</w:t>
                  </w:r>
                  <w:r>
                    <w:rPr>
                      <w:rFonts w:hint="eastAsia"/>
                      <w:color w:val="auto"/>
                      <w:kern w:val="0"/>
                      <w:sz w:val="18"/>
                      <w:szCs w:val="18"/>
                      <w:lang w:val="en-US" w:eastAsia="zh-CN"/>
                    </w:rPr>
                    <w:t>和产品库。生产线占地面积约1350m</w:t>
                  </w:r>
                  <w:r>
                    <w:rPr>
                      <w:rFonts w:hint="eastAsia"/>
                      <w:color w:val="auto"/>
                      <w:kern w:val="0"/>
                      <w:sz w:val="18"/>
                      <w:szCs w:val="18"/>
                      <w:vertAlign w:val="superscript"/>
                      <w:lang w:val="en-US" w:eastAsia="zh-CN"/>
                    </w:rPr>
                    <w:t>2</w:t>
                  </w:r>
                  <w:r>
                    <w:rPr>
                      <w:rFonts w:hint="eastAsia"/>
                      <w:color w:val="auto"/>
                      <w:kern w:val="0"/>
                      <w:sz w:val="18"/>
                      <w:szCs w:val="18"/>
                      <w:lang w:val="en-US" w:eastAsia="zh-CN"/>
                    </w:rPr>
                    <w:t>，</w:t>
                  </w:r>
                  <w:r>
                    <w:rPr>
                      <w:rFonts w:hint="eastAsia"/>
                      <w:color w:val="auto"/>
                      <w:kern w:val="0"/>
                      <w:sz w:val="18"/>
                      <w:szCs w:val="18"/>
                    </w:rPr>
                    <w:t>主要设备有</w:t>
                  </w:r>
                  <w:r>
                    <w:rPr>
                      <w:rFonts w:hint="eastAsia"/>
                      <w:color w:val="auto"/>
                      <w:kern w:val="0"/>
                      <w:sz w:val="18"/>
                      <w:szCs w:val="18"/>
                      <w:lang w:val="en-US" w:eastAsia="zh-CN"/>
                    </w:rPr>
                    <w:t>给料机、</w:t>
                  </w:r>
                  <w:r>
                    <w:rPr>
                      <w:rFonts w:hint="eastAsia"/>
                      <w:color w:val="auto"/>
                      <w:kern w:val="0"/>
                      <w:sz w:val="18"/>
                      <w:szCs w:val="18"/>
                    </w:rPr>
                    <w:t>颚破机、</w:t>
                  </w:r>
                  <w:r>
                    <w:rPr>
                      <w:rFonts w:hint="eastAsia"/>
                      <w:color w:val="auto"/>
                      <w:kern w:val="0"/>
                      <w:sz w:val="18"/>
                      <w:szCs w:val="18"/>
                      <w:lang w:val="en-US" w:eastAsia="zh-CN"/>
                    </w:rPr>
                    <w:t>反击破</w:t>
                  </w:r>
                  <w:r>
                    <w:rPr>
                      <w:rFonts w:hint="eastAsia"/>
                      <w:color w:val="auto"/>
                      <w:kern w:val="0"/>
                      <w:sz w:val="18"/>
                      <w:szCs w:val="18"/>
                    </w:rPr>
                    <w:t>、</w:t>
                  </w:r>
                  <w:r>
                    <w:rPr>
                      <w:rFonts w:hint="eastAsia"/>
                      <w:color w:val="auto"/>
                      <w:kern w:val="0"/>
                      <w:sz w:val="18"/>
                      <w:szCs w:val="18"/>
                      <w:lang w:val="en-US" w:eastAsia="zh-CN"/>
                    </w:rPr>
                    <w:t>立轴</w:t>
                  </w:r>
                  <w:r>
                    <w:rPr>
                      <w:rFonts w:hint="eastAsia"/>
                      <w:color w:val="auto"/>
                      <w:kern w:val="0"/>
                      <w:sz w:val="18"/>
                      <w:szCs w:val="18"/>
                    </w:rPr>
                    <w:t>冲击</w:t>
                  </w:r>
                  <w:r>
                    <w:rPr>
                      <w:rFonts w:hint="eastAsia"/>
                      <w:color w:val="auto"/>
                      <w:kern w:val="0"/>
                      <w:sz w:val="18"/>
                      <w:szCs w:val="18"/>
                      <w:lang w:val="en-US" w:eastAsia="zh-CN"/>
                    </w:rPr>
                    <w:t>式制砂机</w:t>
                  </w:r>
                  <w:r>
                    <w:rPr>
                      <w:rFonts w:hint="eastAsia"/>
                      <w:color w:val="auto"/>
                      <w:kern w:val="0"/>
                      <w:sz w:val="18"/>
                      <w:szCs w:val="18"/>
                    </w:rPr>
                    <w:t>、振动筛、</w:t>
                  </w:r>
                  <w:r>
                    <w:rPr>
                      <w:rFonts w:hint="eastAsia"/>
                      <w:color w:val="auto"/>
                      <w:kern w:val="0"/>
                      <w:sz w:val="18"/>
                      <w:szCs w:val="18"/>
                      <w:lang w:val="en-US" w:eastAsia="zh-CN"/>
                    </w:rPr>
                    <w:t>轮斗式</w:t>
                  </w:r>
                  <w:r>
                    <w:rPr>
                      <w:rFonts w:hint="eastAsia"/>
                      <w:color w:val="auto"/>
                      <w:kern w:val="0"/>
                      <w:sz w:val="18"/>
                      <w:szCs w:val="18"/>
                    </w:rPr>
                    <w:t>洗砂机、尾砂回收机等，均采取地上式安装，设计年产砂石料成品约</w:t>
                  </w:r>
                  <w:r>
                    <w:rPr>
                      <w:rFonts w:hint="default"/>
                      <w:color w:val="auto"/>
                      <w:kern w:val="0"/>
                      <w:sz w:val="18"/>
                      <w:szCs w:val="18"/>
                    </w:rPr>
                    <w:t>120</w:t>
                  </w:r>
                  <w:r>
                    <w:rPr>
                      <w:rFonts w:hint="eastAsia"/>
                      <w:color w:val="auto"/>
                      <w:kern w:val="0"/>
                      <w:sz w:val="18"/>
                      <w:szCs w:val="18"/>
                    </w:rPr>
                    <w:t>万吨</w:t>
                  </w:r>
                </w:p>
              </w:tc>
              <w:tc>
                <w:tcPr>
                  <w:tcW w:w="829" w:type="dxa"/>
                  <w:vMerge w:val="restart"/>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rPr>
                      <w:rFonts w:hint="default"/>
                      <w:color w:val="auto"/>
                      <w:sz w:val="18"/>
                      <w:szCs w:val="18"/>
                    </w:rPr>
                  </w:pPr>
                  <w:r>
                    <w:rPr>
                      <w:rFonts w:hint="eastAsia" w:ascii="宋体" w:hAnsi="宋体"/>
                      <w:color w:val="auto"/>
                      <w:sz w:val="18"/>
                      <w:szCs w:val="18"/>
                    </w:rPr>
                    <w:t>粉尘、废水、噪声、固废</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宋体" w:hAnsi="宋体" w:eastAsia="宋体"/>
                      <w:color w:val="auto"/>
                      <w:sz w:val="18"/>
                      <w:szCs w:val="18"/>
                      <w:lang w:val="en-US" w:eastAsia="zh-CN"/>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680" w:type="dxa"/>
                  <w:vMerge w:val="restart"/>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辅助</w:t>
                  </w:r>
                </w:p>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工程</w:t>
                  </w:r>
                </w:p>
              </w:tc>
              <w:tc>
                <w:tcPr>
                  <w:tcW w:w="4278" w:type="dxa"/>
                  <w:gridSpan w:val="2"/>
                  <w:vAlign w:val="center"/>
                </w:tcPr>
                <w:p>
                  <w:pPr>
                    <w:keepNext w:val="0"/>
                    <w:keepLines w:val="0"/>
                    <w:suppressLineNumbers w:val="0"/>
                    <w:spacing w:before="0" w:beforeAutospacing="0" w:after="0" w:afterAutospacing="0" w:line="280" w:lineRule="exact"/>
                    <w:ind w:left="0" w:right="0"/>
                    <w:jc w:val="left"/>
                    <w:rPr>
                      <w:rFonts w:hint="default"/>
                      <w:bCs/>
                      <w:color w:val="auto"/>
                      <w:kern w:val="0"/>
                      <w:sz w:val="18"/>
                      <w:szCs w:val="18"/>
                    </w:rPr>
                  </w:pPr>
                  <w:r>
                    <w:rPr>
                      <w:rFonts w:hint="eastAsia" w:ascii="宋体" w:hAnsi="宋体"/>
                      <w:color w:val="auto"/>
                      <w:sz w:val="18"/>
                      <w:szCs w:val="18"/>
                    </w:rPr>
                    <w:t>运输道路：依托附近公路开展运输作用</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噪声、扬尘</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宋体" w:hAnsi="宋体" w:eastAsia="宋体"/>
                      <w:color w:val="auto"/>
                      <w:sz w:val="18"/>
                      <w:szCs w:val="18"/>
                      <w:lang w:val="en-US" w:eastAsia="zh-CN"/>
                    </w:rPr>
                  </w:pPr>
                  <w:r>
                    <w:rPr>
                      <w:rFonts w:hint="eastAsia" w:ascii="宋体" w:hAnsi="宋体"/>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278" w:type="dxa"/>
                  <w:gridSpan w:val="2"/>
                  <w:vAlign w:val="center"/>
                </w:tcPr>
                <w:p>
                  <w:pPr>
                    <w:keepNext w:val="0"/>
                    <w:keepLines w:val="0"/>
                    <w:suppressLineNumbers w:val="0"/>
                    <w:spacing w:before="0" w:beforeAutospacing="0" w:after="0" w:afterAutospacing="0" w:line="280" w:lineRule="exact"/>
                    <w:ind w:left="0" w:right="0"/>
                    <w:jc w:val="left"/>
                    <w:rPr>
                      <w:rFonts w:hint="default"/>
                      <w:color w:val="auto"/>
                      <w:sz w:val="18"/>
                      <w:szCs w:val="18"/>
                    </w:rPr>
                  </w:pPr>
                  <w:r>
                    <w:rPr>
                      <w:rFonts w:hint="eastAsia" w:ascii="宋体" w:hAnsi="宋体"/>
                      <w:color w:val="auto"/>
                      <w:sz w:val="18"/>
                      <w:szCs w:val="18"/>
                      <w:lang w:val="en-US" w:eastAsia="zh-CN"/>
                    </w:rPr>
                    <w:t>机修</w:t>
                  </w:r>
                  <w:r>
                    <w:rPr>
                      <w:rFonts w:hint="eastAsia" w:ascii="宋体" w:hAnsi="宋体"/>
                      <w:color w:val="auto"/>
                      <w:sz w:val="18"/>
                      <w:szCs w:val="18"/>
                    </w:rPr>
                    <w:t>间：在</w:t>
                  </w:r>
                  <w:r>
                    <w:rPr>
                      <w:rFonts w:hint="eastAsia" w:ascii="宋体" w:hAnsi="宋体"/>
                      <w:color w:val="auto"/>
                      <w:sz w:val="18"/>
                      <w:szCs w:val="18"/>
                      <w:lang w:val="en-US" w:eastAsia="zh-CN"/>
                    </w:rPr>
                    <w:t>厂区</w:t>
                  </w:r>
                  <w:r>
                    <w:rPr>
                      <w:rFonts w:hint="eastAsia" w:ascii="宋体" w:hAnsi="宋体"/>
                      <w:color w:val="auto"/>
                      <w:sz w:val="18"/>
                      <w:szCs w:val="18"/>
                    </w:rPr>
                    <w:t>内</w:t>
                  </w:r>
                  <w:r>
                    <w:rPr>
                      <w:rFonts w:hint="eastAsia" w:ascii="宋体" w:hAnsi="宋体"/>
                      <w:color w:val="auto"/>
                      <w:sz w:val="18"/>
                      <w:szCs w:val="18"/>
                      <w:lang w:val="en-US" w:eastAsia="zh-CN"/>
                    </w:rPr>
                    <w:t>操控室旁边</w:t>
                  </w:r>
                  <w:r>
                    <w:rPr>
                      <w:rFonts w:hint="eastAsia" w:ascii="宋体" w:hAnsi="宋体"/>
                      <w:color w:val="auto"/>
                      <w:sz w:val="18"/>
                      <w:szCs w:val="18"/>
                    </w:rPr>
                    <w:t>设</w:t>
                  </w:r>
                  <w:r>
                    <w:rPr>
                      <w:rFonts w:hint="eastAsia"/>
                      <w:color w:val="auto"/>
                      <w:sz w:val="18"/>
                      <w:szCs w:val="18"/>
                    </w:rPr>
                    <w:t>1</w:t>
                  </w:r>
                  <w:r>
                    <w:rPr>
                      <w:rFonts w:hint="eastAsia" w:ascii="宋体" w:hAnsi="宋体"/>
                      <w:color w:val="auto"/>
                      <w:sz w:val="18"/>
                      <w:szCs w:val="18"/>
                    </w:rPr>
                    <w:t>个</w:t>
                  </w:r>
                  <w:r>
                    <w:rPr>
                      <w:rFonts w:hint="eastAsia" w:ascii="宋体" w:hAnsi="宋体"/>
                      <w:color w:val="auto"/>
                      <w:sz w:val="18"/>
                      <w:szCs w:val="18"/>
                      <w:lang w:val="en-US" w:eastAsia="zh-CN"/>
                    </w:rPr>
                    <w:t>机修</w:t>
                  </w:r>
                  <w:r>
                    <w:rPr>
                      <w:rFonts w:hint="eastAsia" w:ascii="宋体" w:hAnsi="宋体"/>
                      <w:color w:val="auto"/>
                      <w:sz w:val="18"/>
                      <w:szCs w:val="18"/>
                    </w:rPr>
                    <w:t>间，</w:t>
                  </w:r>
                  <w:r>
                    <w:rPr>
                      <w:rFonts w:hint="eastAsia" w:ascii="宋体" w:hAnsi="宋体"/>
                      <w:color w:val="auto"/>
                      <w:kern w:val="0"/>
                      <w:sz w:val="18"/>
                      <w:szCs w:val="18"/>
                    </w:rPr>
                    <w:t>占地约</w:t>
                  </w:r>
                  <w:r>
                    <w:rPr>
                      <w:rFonts w:hint="eastAsia" w:ascii="宋体" w:hAnsi="宋体"/>
                      <w:color w:val="auto"/>
                      <w:kern w:val="0"/>
                      <w:sz w:val="18"/>
                      <w:szCs w:val="18"/>
                      <w:lang w:val="en-US" w:eastAsia="zh-CN"/>
                    </w:rPr>
                    <w:t>15</w:t>
                  </w:r>
                  <w:r>
                    <w:rPr>
                      <w:rFonts w:hint="eastAsia"/>
                      <w:color w:val="auto"/>
                      <w:kern w:val="0"/>
                      <w:sz w:val="18"/>
                      <w:szCs w:val="18"/>
                    </w:rPr>
                    <w:t>m</w:t>
                  </w:r>
                  <w:r>
                    <w:rPr>
                      <w:rFonts w:hint="eastAsia"/>
                      <w:color w:val="auto"/>
                      <w:kern w:val="0"/>
                      <w:sz w:val="18"/>
                      <w:szCs w:val="18"/>
                      <w:vertAlign w:val="superscript"/>
                    </w:rPr>
                    <w:t>2</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废机油</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宋体" w:hAnsi="宋体"/>
                      <w:color w:val="auto"/>
                      <w:sz w:val="18"/>
                      <w:szCs w:val="18"/>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278" w:type="dxa"/>
                  <w:gridSpan w:val="2"/>
                  <w:vAlign w:val="center"/>
                </w:tcPr>
                <w:p>
                  <w:pPr>
                    <w:keepNext w:val="0"/>
                    <w:keepLines w:val="0"/>
                    <w:suppressLineNumbers w:val="0"/>
                    <w:spacing w:before="0" w:beforeAutospacing="0" w:after="0" w:afterAutospacing="0" w:line="280" w:lineRule="exact"/>
                    <w:ind w:left="0" w:right="0"/>
                    <w:jc w:val="left"/>
                    <w:rPr>
                      <w:rFonts w:hint="default"/>
                      <w:color w:val="auto"/>
                      <w:sz w:val="18"/>
                      <w:szCs w:val="18"/>
                    </w:rPr>
                  </w:pPr>
                  <w:r>
                    <w:rPr>
                      <w:rFonts w:hint="eastAsia" w:ascii="宋体" w:hAnsi="宋体"/>
                      <w:color w:val="auto"/>
                      <w:sz w:val="18"/>
                      <w:szCs w:val="18"/>
                    </w:rPr>
                    <w:t>原料堆场：在</w:t>
                  </w:r>
                  <w:r>
                    <w:rPr>
                      <w:rFonts w:hint="eastAsia" w:ascii="宋体" w:hAnsi="宋体"/>
                      <w:color w:val="auto"/>
                      <w:sz w:val="18"/>
                      <w:szCs w:val="18"/>
                      <w:lang w:val="en-US" w:eastAsia="zh-CN"/>
                    </w:rPr>
                    <w:t>厂区</w:t>
                  </w:r>
                  <w:r>
                    <w:rPr>
                      <w:rFonts w:hint="eastAsia" w:ascii="宋体" w:hAnsi="宋体"/>
                      <w:color w:val="auto"/>
                      <w:sz w:val="18"/>
                      <w:szCs w:val="18"/>
                    </w:rPr>
                    <w:t>内设</w:t>
                  </w:r>
                  <w:r>
                    <w:rPr>
                      <w:rFonts w:hint="eastAsia"/>
                      <w:color w:val="auto"/>
                      <w:sz w:val="18"/>
                      <w:szCs w:val="18"/>
                    </w:rPr>
                    <w:t>1</w:t>
                  </w:r>
                  <w:r>
                    <w:rPr>
                      <w:rFonts w:hint="eastAsia" w:ascii="宋体" w:hAnsi="宋体"/>
                      <w:color w:val="auto"/>
                      <w:sz w:val="18"/>
                      <w:szCs w:val="18"/>
                    </w:rPr>
                    <w:t>个原料堆场，</w:t>
                  </w:r>
                  <w:r>
                    <w:rPr>
                      <w:rFonts w:hint="eastAsia" w:ascii="宋体" w:hAnsi="宋体"/>
                      <w:color w:val="auto"/>
                      <w:sz w:val="18"/>
                      <w:szCs w:val="18"/>
                      <w:lang w:val="en-US" w:eastAsia="zh-CN"/>
                    </w:rPr>
                    <w:t>设置防流失围挡和防风抑尘网覆盖，</w:t>
                  </w:r>
                  <w:r>
                    <w:rPr>
                      <w:rFonts w:hint="eastAsia" w:ascii="宋体" w:hAnsi="宋体"/>
                      <w:color w:val="auto"/>
                      <w:sz w:val="18"/>
                      <w:szCs w:val="18"/>
                    </w:rPr>
                    <w:t>占地约</w:t>
                  </w:r>
                  <w:r>
                    <w:rPr>
                      <w:rFonts w:hint="default"/>
                      <w:color w:val="auto"/>
                      <w:sz w:val="18"/>
                      <w:szCs w:val="18"/>
                    </w:rPr>
                    <w:t>8</w:t>
                  </w:r>
                  <w:r>
                    <w:rPr>
                      <w:rFonts w:hint="eastAsia"/>
                      <w:color w:val="auto"/>
                      <w:sz w:val="18"/>
                      <w:szCs w:val="18"/>
                    </w:rPr>
                    <w:t>00m</w:t>
                  </w:r>
                  <w:r>
                    <w:rPr>
                      <w:rFonts w:hint="eastAsia"/>
                      <w:color w:val="auto"/>
                      <w:sz w:val="18"/>
                      <w:szCs w:val="18"/>
                      <w:vertAlign w:val="superscript"/>
                    </w:rPr>
                    <w:t>2</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噪声、粉尘</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宋体" w:hAnsi="宋体"/>
                      <w:color w:val="auto"/>
                      <w:sz w:val="18"/>
                      <w:szCs w:val="18"/>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278" w:type="dxa"/>
                  <w:gridSpan w:val="2"/>
                  <w:vAlign w:val="center"/>
                </w:tcPr>
                <w:p>
                  <w:pPr>
                    <w:keepNext w:val="0"/>
                    <w:keepLines w:val="0"/>
                    <w:suppressLineNumbers w:val="0"/>
                    <w:spacing w:before="0" w:beforeAutospacing="0" w:after="0" w:afterAutospacing="0" w:line="280" w:lineRule="exact"/>
                    <w:ind w:left="0" w:right="0"/>
                    <w:jc w:val="left"/>
                    <w:rPr>
                      <w:rFonts w:hint="default" w:eastAsia="宋体"/>
                      <w:bCs/>
                      <w:color w:val="auto"/>
                      <w:kern w:val="0"/>
                      <w:sz w:val="18"/>
                      <w:szCs w:val="18"/>
                      <w:lang w:val="en-US" w:eastAsia="zh-CN"/>
                    </w:rPr>
                  </w:pPr>
                  <w:r>
                    <w:rPr>
                      <w:rFonts w:hint="eastAsia" w:ascii="宋体" w:hAnsi="宋体"/>
                      <w:bCs/>
                      <w:color w:val="auto"/>
                      <w:kern w:val="0"/>
                      <w:sz w:val="18"/>
                      <w:szCs w:val="18"/>
                      <w:lang w:val="en-US" w:eastAsia="zh-CN"/>
                    </w:rPr>
                    <w:t>产品库</w:t>
                  </w:r>
                  <w:r>
                    <w:rPr>
                      <w:rFonts w:hint="eastAsia"/>
                      <w:bCs/>
                      <w:color w:val="auto"/>
                      <w:kern w:val="0"/>
                      <w:sz w:val="18"/>
                      <w:szCs w:val="18"/>
                    </w:rPr>
                    <w:t>：</w:t>
                  </w:r>
                  <w:r>
                    <w:rPr>
                      <w:rFonts w:hint="eastAsia"/>
                      <w:bCs/>
                      <w:color w:val="auto"/>
                      <w:kern w:val="0"/>
                      <w:sz w:val="18"/>
                      <w:szCs w:val="18"/>
                      <w:lang w:val="en-US" w:eastAsia="zh-CN"/>
                    </w:rPr>
                    <w:t>位于</w:t>
                  </w:r>
                  <w:r>
                    <w:rPr>
                      <w:rFonts w:hint="eastAsia"/>
                      <w:bCs/>
                      <w:color w:val="auto"/>
                      <w:kern w:val="0"/>
                      <w:sz w:val="18"/>
                      <w:szCs w:val="18"/>
                    </w:rPr>
                    <w:t>生产车间内</w:t>
                  </w:r>
                  <w:r>
                    <w:rPr>
                      <w:rFonts w:hint="eastAsia"/>
                      <w:bCs/>
                      <w:color w:val="auto"/>
                      <w:kern w:val="0"/>
                      <w:sz w:val="18"/>
                      <w:szCs w:val="18"/>
                      <w:lang w:eastAsia="zh-CN"/>
                    </w:rPr>
                    <w:t>，</w:t>
                  </w:r>
                  <w:r>
                    <w:rPr>
                      <w:rFonts w:hint="eastAsia"/>
                      <w:bCs/>
                      <w:color w:val="auto"/>
                      <w:kern w:val="0"/>
                      <w:sz w:val="18"/>
                      <w:szCs w:val="18"/>
                      <w:lang w:val="en-US" w:eastAsia="zh-CN"/>
                    </w:rPr>
                    <w:t>占地面积约600m</w:t>
                  </w:r>
                  <w:r>
                    <w:rPr>
                      <w:rFonts w:hint="eastAsia"/>
                      <w:bCs/>
                      <w:color w:val="auto"/>
                      <w:kern w:val="0"/>
                      <w:sz w:val="18"/>
                      <w:szCs w:val="18"/>
                      <w:vertAlign w:val="superscript"/>
                      <w:lang w:val="en-US" w:eastAsia="zh-CN"/>
                    </w:rPr>
                    <w:t>2</w:t>
                  </w:r>
                  <w:r>
                    <w:rPr>
                      <w:rFonts w:hint="eastAsia"/>
                      <w:bCs/>
                      <w:color w:val="auto"/>
                      <w:kern w:val="0"/>
                      <w:sz w:val="18"/>
                      <w:szCs w:val="18"/>
                      <w:lang w:val="en-US" w:eastAsia="zh-CN"/>
                    </w:rPr>
                    <w:t>；产品库设置三面围挡，各产品之间</w:t>
                  </w:r>
                  <w:r>
                    <w:rPr>
                      <w:rFonts w:hint="eastAsia"/>
                      <w:bCs/>
                      <w:color w:val="auto"/>
                      <w:kern w:val="0"/>
                      <w:sz w:val="18"/>
                      <w:szCs w:val="18"/>
                    </w:rPr>
                    <w:t>设</w:t>
                  </w:r>
                  <w:r>
                    <w:rPr>
                      <w:rFonts w:hint="eastAsia" w:ascii="宋体" w:hAnsi="宋体"/>
                      <w:bCs/>
                      <w:color w:val="auto"/>
                      <w:kern w:val="0"/>
                      <w:sz w:val="18"/>
                      <w:szCs w:val="18"/>
                    </w:rPr>
                    <w:t>实体墙体</w:t>
                  </w:r>
                  <w:r>
                    <w:rPr>
                      <w:rFonts w:hint="eastAsia" w:ascii="宋体" w:hAnsi="宋体"/>
                      <w:bCs/>
                      <w:color w:val="auto"/>
                      <w:kern w:val="0"/>
                      <w:sz w:val="18"/>
                      <w:szCs w:val="18"/>
                      <w:lang w:val="en-US" w:eastAsia="zh-CN"/>
                    </w:rPr>
                    <w:t>隔开，设运输车辆进出大门</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eastAsia" w:eastAsia="宋体"/>
                      <w:color w:val="auto"/>
                      <w:sz w:val="18"/>
                      <w:szCs w:val="18"/>
                      <w:lang w:eastAsia="zh-CN"/>
                    </w:rPr>
                  </w:pPr>
                  <w:r>
                    <w:rPr>
                      <w:rFonts w:hint="eastAsia" w:ascii="宋体" w:hAnsi="宋体"/>
                      <w:color w:val="auto"/>
                      <w:sz w:val="18"/>
                      <w:szCs w:val="18"/>
                    </w:rPr>
                    <w:t>噪声、</w:t>
                  </w:r>
                  <w:r>
                    <w:rPr>
                      <w:rFonts w:hint="eastAsia" w:ascii="宋体" w:hAnsi="宋体"/>
                      <w:color w:val="auto"/>
                      <w:sz w:val="18"/>
                      <w:szCs w:val="18"/>
                      <w:lang w:val="en-US" w:eastAsia="zh-CN"/>
                    </w:rPr>
                    <w:t>渗沥水</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宋体" w:hAnsi="宋体"/>
                      <w:color w:val="auto"/>
                      <w:sz w:val="18"/>
                      <w:szCs w:val="18"/>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680" w:type="dxa"/>
                  <w:vMerge w:val="restart"/>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公用</w:t>
                  </w:r>
                </w:p>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工程</w:t>
                  </w:r>
                </w:p>
              </w:tc>
              <w:tc>
                <w:tcPr>
                  <w:tcW w:w="4278" w:type="dxa"/>
                  <w:gridSpan w:val="2"/>
                  <w:vAlign w:val="center"/>
                </w:tcPr>
                <w:p>
                  <w:pPr>
                    <w:keepNext w:val="0"/>
                    <w:keepLines w:val="0"/>
                    <w:suppressLineNumbers w:val="0"/>
                    <w:spacing w:before="0" w:beforeAutospacing="0" w:after="0" w:afterAutospacing="0" w:line="280" w:lineRule="exact"/>
                    <w:ind w:left="0" w:right="0"/>
                    <w:jc w:val="left"/>
                    <w:rPr>
                      <w:rFonts w:hint="default" w:ascii="宋体" w:hAnsi="宋体"/>
                      <w:bCs/>
                      <w:color w:val="auto"/>
                      <w:spacing w:val="-6"/>
                      <w:kern w:val="0"/>
                      <w:sz w:val="18"/>
                      <w:szCs w:val="18"/>
                      <w:highlight w:val="none"/>
                    </w:rPr>
                  </w:pPr>
                  <w:r>
                    <w:rPr>
                      <w:rFonts w:hint="eastAsia" w:ascii="宋体" w:hAnsi="宋体"/>
                      <w:color w:val="auto"/>
                      <w:spacing w:val="-6"/>
                      <w:sz w:val="18"/>
                      <w:szCs w:val="18"/>
                      <w:highlight w:val="none"/>
                    </w:rPr>
                    <w:t>供水设施：生产用水主要为</w:t>
                  </w:r>
                  <w:r>
                    <w:rPr>
                      <w:rFonts w:hint="eastAsia" w:ascii="宋体" w:hAnsi="宋体"/>
                      <w:color w:val="auto"/>
                      <w:spacing w:val="-6"/>
                      <w:sz w:val="18"/>
                      <w:szCs w:val="18"/>
                      <w:highlight w:val="none"/>
                      <w:lang w:val="en-US" w:eastAsia="zh-CN"/>
                    </w:rPr>
                    <w:t>循环回用水和附近堰塘</w:t>
                  </w:r>
                  <w:r>
                    <w:rPr>
                      <w:rFonts w:hint="eastAsia" w:ascii="宋体" w:hAnsi="宋体"/>
                      <w:color w:val="auto"/>
                      <w:spacing w:val="-6"/>
                      <w:sz w:val="18"/>
                      <w:szCs w:val="18"/>
                      <w:highlight w:val="none"/>
                    </w:rPr>
                    <w:t>收集的降雨。生活用水为</w:t>
                  </w:r>
                  <w:r>
                    <w:rPr>
                      <w:rFonts w:hint="eastAsia" w:ascii="宋体" w:hAnsi="宋体"/>
                      <w:color w:val="auto"/>
                      <w:spacing w:val="-6"/>
                      <w:sz w:val="18"/>
                      <w:szCs w:val="18"/>
                      <w:highlight w:val="none"/>
                      <w:lang w:val="en-US" w:eastAsia="zh-CN"/>
                    </w:rPr>
                    <w:t>租用房屋原农户自打的</w:t>
                  </w:r>
                  <w:r>
                    <w:rPr>
                      <w:rFonts w:hint="eastAsia" w:ascii="宋体" w:hAnsi="宋体"/>
                      <w:color w:val="auto"/>
                      <w:spacing w:val="-6"/>
                      <w:sz w:val="18"/>
                      <w:szCs w:val="18"/>
                      <w:highlight w:val="none"/>
                    </w:rPr>
                    <w:t>井水</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color w:val="auto"/>
                      <w:sz w:val="18"/>
                      <w:szCs w:val="18"/>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278" w:type="dxa"/>
                  <w:gridSpan w:val="2"/>
                  <w:vAlign w:val="center"/>
                </w:tcPr>
                <w:p>
                  <w:pPr>
                    <w:keepNext w:val="0"/>
                    <w:keepLines w:val="0"/>
                    <w:suppressLineNumbers w:val="0"/>
                    <w:spacing w:before="0" w:beforeAutospacing="0" w:after="0" w:afterAutospacing="0" w:line="280" w:lineRule="exact"/>
                    <w:ind w:left="0" w:right="0"/>
                    <w:jc w:val="left"/>
                    <w:rPr>
                      <w:rFonts w:hint="default" w:eastAsia="宋体"/>
                      <w:bCs/>
                      <w:color w:val="auto"/>
                      <w:kern w:val="0"/>
                      <w:sz w:val="18"/>
                      <w:szCs w:val="18"/>
                      <w:lang w:val="en-US" w:eastAsia="zh-CN"/>
                    </w:rPr>
                  </w:pPr>
                  <w:r>
                    <w:rPr>
                      <w:rFonts w:hint="eastAsia" w:ascii="宋体" w:hAnsi="宋体"/>
                      <w:bCs/>
                      <w:color w:val="auto"/>
                      <w:spacing w:val="-4"/>
                      <w:sz w:val="18"/>
                      <w:szCs w:val="18"/>
                    </w:rPr>
                    <w:t>供电设施：电源为当地电网，厂区内设变压器</w:t>
                  </w:r>
                  <w:r>
                    <w:rPr>
                      <w:rFonts w:hint="default"/>
                      <w:bCs/>
                      <w:color w:val="auto"/>
                      <w:spacing w:val="-4"/>
                      <w:sz w:val="18"/>
                      <w:szCs w:val="18"/>
                    </w:rPr>
                    <w:t>2</w:t>
                  </w:r>
                  <w:r>
                    <w:rPr>
                      <w:rFonts w:hint="eastAsia" w:ascii="宋体" w:hAnsi="宋体"/>
                      <w:bCs/>
                      <w:color w:val="auto"/>
                      <w:spacing w:val="-4"/>
                      <w:sz w:val="18"/>
                      <w:szCs w:val="18"/>
                    </w:rPr>
                    <w:t>个</w:t>
                  </w:r>
                  <w:r>
                    <w:rPr>
                      <w:rFonts w:hint="eastAsia" w:ascii="宋体" w:hAnsi="宋体"/>
                      <w:bCs/>
                      <w:color w:val="auto"/>
                      <w:spacing w:val="-4"/>
                      <w:sz w:val="18"/>
                      <w:szCs w:val="18"/>
                      <w:lang w:eastAsia="zh-CN"/>
                    </w:rPr>
                    <w:t>，</w:t>
                  </w:r>
                  <w:r>
                    <w:rPr>
                      <w:rFonts w:hint="eastAsia" w:ascii="宋体" w:hAnsi="宋体"/>
                      <w:bCs/>
                      <w:color w:val="auto"/>
                      <w:spacing w:val="-4"/>
                      <w:sz w:val="18"/>
                      <w:szCs w:val="18"/>
                      <w:lang w:val="en-US" w:eastAsia="zh-CN"/>
                    </w:rPr>
                    <w:t>1250KVA和400KVA各1个</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噪声</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宋体" w:hAnsi="宋体"/>
                      <w:color w:val="auto"/>
                      <w:sz w:val="18"/>
                      <w:szCs w:val="18"/>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278" w:type="dxa"/>
                  <w:gridSpan w:val="2"/>
                  <w:vAlign w:val="center"/>
                </w:tcPr>
                <w:p>
                  <w:pPr>
                    <w:keepNext w:val="0"/>
                    <w:keepLines w:val="0"/>
                    <w:suppressLineNumbers w:val="0"/>
                    <w:spacing w:before="0" w:beforeAutospacing="0" w:after="0" w:afterAutospacing="0" w:line="280" w:lineRule="exact"/>
                    <w:ind w:left="0" w:right="0"/>
                    <w:jc w:val="left"/>
                    <w:rPr>
                      <w:rFonts w:hint="default" w:ascii="宋体" w:hAnsi="宋体"/>
                      <w:color w:val="auto"/>
                      <w:sz w:val="18"/>
                      <w:szCs w:val="18"/>
                      <w:lang w:val="en-US" w:eastAsia="zh-CN"/>
                    </w:rPr>
                  </w:pPr>
                  <w:r>
                    <w:rPr>
                      <w:rFonts w:hint="eastAsia" w:ascii="宋体" w:hAnsi="宋体"/>
                      <w:color w:val="auto"/>
                      <w:sz w:val="18"/>
                      <w:szCs w:val="18"/>
                    </w:rPr>
                    <w:t>排水设施：</w:t>
                  </w:r>
                  <w:r>
                    <w:rPr>
                      <w:rFonts w:hint="eastAsia" w:ascii="宋体" w:hAnsi="宋体"/>
                      <w:color w:val="auto"/>
                      <w:sz w:val="18"/>
                      <w:szCs w:val="18"/>
                      <w:lang w:val="en-US" w:eastAsia="zh-CN"/>
                    </w:rPr>
                    <w:t>厂区</w:t>
                  </w:r>
                  <w:r>
                    <w:rPr>
                      <w:rFonts w:hint="eastAsia" w:ascii="宋体" w:hAnsi="宋体"/>
                      <w:color w:val="auto"/>
                      <w:sz w:val="18"/>
                      <w:szCs w:val="18"/>
                    </w:rPr>
                    <w:t>实行雨污分流</w:t>
                  </w:r>
                  <w:r>
                    <w:rPr>
                      <w:rFonts w:hint="eastAsia" w:ascii="宋体" w:hAnsi="宋体"/>
                      <w:color w:val="auto"/>
                      <w:sz w:val="18"/>
                      <w:szCs w:val="18"/>
                      <w:lang w:val="en-US" w:eastAsia="zh-CN"/>
                    </w:rPr>
                    <w:t>排水</w:t>
                  </w:r>
                  <w:r>
                    <w:rPr>
                      <w:rFonts w:hint="eastAsia" w:ascii="宋体" w:hAnsi="宋体"/>
                      <w:color w:val="auto"/>
                      <w:sz w:val="18"/>
                      <w:szCs w:val="18"/>
                      <w:lang w:eastAsia="zh-CN"/>
                    </w:rPr>
                    <w:t>。</w:t>
                  </w:r>
                  <w:r>
                    <w:rPr>
                      <w:rFonts w:hint="eastAsia" w:ascii="宋体" w:hAnsi="宋体"/>
                      <w:color w:val="auto"/>
                      <w:sz w:val="18"/>
                      <w:szCs w:val="18"/>
                      <w:lang w:val="en-US" w:eastAsia="zh-CN"/>
                    </w:rPr>
                    <w:t>生产车间内洗砂废水收集处理后全部回用不外排。车间外厂区露天区域的散水以及产品渗沥水一起收集后，回用做厂区作喷雾降尘或生产补充水，不外排。厂区围墙外设雨水沟，将雨水引至附近公路边沟排放，避免进入厂区内。</w:t>
                  </w:r>
                </w:p>
                <w:p>
                  <w:pPr>
                    <w:keepNext w:val="0"/>
                    <w:keepLines w:val="0"/>
                    <w:suppressLineNumbers w:val="0"/>
                    <w:spacing w:before="0" w:beforeAutospacing="0" w:after="0" w:afterAutospacing="0" w:line="280" w:lineRule="exact"/>
                    <w:ind w:left="0" w:right="0"/>
                    <w:jc w:val="left"/>
                    <w:rPr>
                      <w:rFonts w:hint="default" w:eastAsia="宋体"/>
                      <w:bCs/>
                      <w:color w:val="auto"/>
                      <w:kern w:val="0"/>
                      <w:sz w:val="18"/>
                      <w:szCs w:val="18"/>
                      <w:lang w:val="en-US" w:eastAsia="zh-CN"/>
                    </w:rPr>
                  </w:pPr>
                  <w:r>
                    <w:rPr>
                      <w:rFonts w:hint="eastAsia" w:ascii="宋体" w:hAnsi="宋体"/>
                      <w:color w:val="auto"/>
                      <w:sz w:val="18"/>
                      <w:szCs w:val="18"/>
                    </w:rPr>
                    <w:t>生活污水设化粪池处理后，</w:t>
                  </w:r>
                  <w:r>
                    <w:rPr>
                      <w:rFonts w:hint="eastAsia" w:ascii="宋体" w:hAnsi="宋体"/>
                      <w:color w:val="auto"/>
                      <w:sz w:val="18"/>
                      <w:szCs w:val="18"/>
                      <w:lang w:val="en-US" w:eastAsia="zh-CN"/>
                    </w:rPr>
                    <w:t>由附近农户清掏做农肥</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eastAsia="宋体"/>
                      <w:color w:val="auto"/>
                      <w:sz w:val="18"/>
                      <w:szCs w:val="18"/>
                      <w:lang w:val="en-US" w:eastAsia="zh-CN"/>
                    </w:rPr>
                  </w:pPr>
                  <w:r>
                    <w:rPr>
                      <w:rFonts w:hint="default" w:ascii="宋体" w:hAnsi="宋体"/>
                      <w:color w:val="auto"/>
                      <w:sz w:val="18"/>
                      <w:szCs w:val="18"/>
                    </w:rPr>
                    <w:t>污泥</w:t>
                  </w:r>
                  <w:r>
                    <w:rPr>
                      <w:rFonts w:hint="eastAsia" w:ascii="宋体" w:hAnsi="宋体"/>
                      <w:color w:val="auto"/>
                      <w:sz w:val="18"/>
                      <w:szCs w:val="18"/>
                      <w:lang w:eastAsia="zh-CN"/>
                    </w:rPr>
                    <w:t>、</w:t>
                  </w:r>
                  <w:r>
                    <w:rPr>
                      <w:rFonts w:hint="eastAsia" w:ascii="宋体" w:hAnsi="宋体"/>
                      <w:color w:val="auto"/>
                      <w:sz w:val="18"/>
                      <w:szCs w:val="18"/>
                      <w:lang w:val="en-US" w:eastAsia="zh-CN"/>
                    </w:rPr>
                    <w:t>恶臭</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宋体" w:hAnsi="宋体"/>
                      <w:color w:val="auto"/>
                      <w:sz w:val="18"/>
                      <w:szCs w:val="18"/>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680" w:type="dxa"/>
                  <w:vMerge w:val="restart"/>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环保</w:t>
                  </w:r>
                </w:p>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工程</w:t>
                  </w:r>
                </w:p>
              </w:tc>
              <w:tc>
                <w:tcPr>
                  <w:tcW w:w="498" w:type="dxa"/>
                  <w:vMerge w:val="restart"/>
                  <w:vAlign w:val="center"/>
                </w:tcPr>
                <w:p>
                  <w:pPr>
                    <w:keepNext w:val="0"/>
                    <w:keepLines w:val="0"/>
                    <w:suppressLineNumbers w:val="0"/>
                    <w:spacing w:before="0" w:beforeAutospacing="0" w:after="0" w:afterAutospacing="0" w:line="280" w:lineRule="exact"/>
                    <w:ind w:left="-53" w:leftChars="-25" w:right="-53" w:rightChars="-25"/>
                    <w:jc w:val="center"/>
                    <w:rPr>
                      <w:rFonts w:hint="default"/>
                      <w:bCs/>
                      <w:color w:val="auto"/>
                      <w:kern w:val="0"/>
                      <w:sz w:val="18"/>
                      <w:szCs w:val="18"/>
                    </w:rPr>
                  </w:pPr>
                  <w:r>
                    <w:rPr>
                      <w:rFonts w:hint="eastAsia" w:ascii="宋体" w:hAnsi="宋体"/>
                      <w:bCs/>
                      <w:color w:val="auto"/>
                      <w:kern w:val="0"/>
                      <w:sz w:val="18"/>
                      <w:szCs w:val="18"/>
                    </w:rPr>
                    <w:t>废气</w:t>
                  </w:r>
                </w:p>
                <w:p>
                  <w:pPr>
                    <w:keepNext w:val="0"/>
                    <w:keepLines w:val="0"/>
                    <w:suppressLineNumbers w:val="0"/>
                    <w:spacing w:before="0" w:beforeAutospacing="0" w:after="0" w:afterAutospacing="0" w:line="280" w:lineRule="exact"/>
                    <w:ind w:left="-53" w:leftChars="-25" w:right="-53" w:rightChars="-25"/>
                    <w:jc w:val="center"/>
                    <w:rPr>
                      <w:rFonts w:hint="default"/>
                      <w:bCs/>
                      <w:color w:val="auto"/>
                      <w:kern w:val="0"/>
                      <w:sz w:val="18"/>
                      <w:szCs w:val="18"/>
                    </w:rPr>
                  </w:pPr>
                  <w:r>
                    <w:rPr>
                      <w:rFonts w:hint="eastAsia" w:ascii="宋体" w:hAnsi="宋体"/>
                      <w:bCs/>
                      <w:color w:val="auto"/>
                      <w:kern w:val="0"/>
                      <w:sz w:val="18"/>
                      <w:szCs w:val="18"/>
                    </w:rPr>
                    <w:t>处理</w:t>
                  </w:r>
                </w:p>
              </w:tc>
              <w:tc>
                <w:tcPr>
                  <w:tcW w:w="3780" w:type="dxa"/>
                  <w:vAlign w:val="center"/>
                </w:tcPr>
                <w:p>
                  <w:pPr>
                    <w:keepNext w:val="0"/>
                    <w:keepLines w:val="0"/>
                    <w:suppressLineNumbers w:val="0"/>
                    <w:spacing w:before="0" w:beforeAutospacing="0" w:after="0" w:afterAutospacing="0" w:line="280" w:lineRule="exact"/>
                    <w:ind w:left="0" w:right="0"/>
                    <w:jc w:val="left"/>
                    <w:rPr>
                      <w:rFonts w:hint="default" w:eastAsia="宋体"/>
                      <w:color w:val="auto"/>
                      <w:kern w:val="0"/>
                      <w:sz w:val="18"/>
                      <w:szCs w:val="18"/>
                      <w:lang w:val="en-US" w:eastAsia="zh-CN"/>
                    </w:rPr>
                  </w:pPr>
                  <w:r>
                    <w:rPr>
                      <w:rFonts w:hint="eastAsia" w:ascii="宋体" w:hAnsi="宋体"/>
                      <w:color w:val="auto"/>
                      <w:kern w:val="0"/>
                      <w:sz w:val="18"/>
                      <w:szCs w:val="18"/>
                    </w:rPr>
                    <w:t>原料卸料粉尘：</w:t>
                  </w:r>
                  <w:r>
                    <w:rPr>
                      <w:rFonts w:hint="eastAsia" w:ascii="宋体" w:hAnsi="宋体"/>
                      <w:color w:val="auto"/>
                      <w:kern w:val="0"/>
                      <w:sz w:val="18"/>
                      <w:szCs w:val="18"/>
                      <w:lang w:val="en-US" w:eastAsia="zh-CN"/>
                    </w:rPr>
                    <w:t>块状矿石原料堆放区设置防流失围挡和防风抑尘网覆盖，堆体高度应低于围挡高度。针对卸料作业采用雾炮机进行定点喷雾降尘。原料卸料完毕后采用防风抑尘网进行覆盖，生产时按需揭开防尘网，避免全部物料均处于裸露状态</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color w:val="auto"/>
                      <w:sz w:val="18"/>
                      <w:szCs w:val="18"/>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680" w:type="dxa"/>
                  <w:vMerge w:val="continue"/>
                  <w:vAlign w:val="center"/>
                </w:tcPr>
                <w:p>
                  <w:pPr>
                    <w:keepNext w:val="0"/>
                    <w:keepLines w:val="0"/>
                    <w:suppressLineNumbers w:val="0"/>
                    <w:spacing w:before="0" w:beforeAutospacing="0" w:after="0" w:afterAutospacing="0" w:line="280" w:lineRule="exact"/>
                    <w:ind w:left="0" w:right="0"/>
                    <w:jc w:val="center"/>
                    <w:rPr>
                      <w:rFonts w:hint="eastAsia" w:ascii="宋体" w:hAnsi="宋体"/>
                      <w:color w:val="auto"/>
                      <w:sz w:val="18"/>
                      <w:szCs w:val="18"/>
                    </w:rPr>
                  </w:pPr>
                </w:p>
              </w:tc>
              <w:tc>
                <w:tcPr>
                  <w:tcW w:w="498" w:type="dxa"/>
                  <w:vMerge w:val="continue"/>
                  <w:vAlign w:val="center"/>
                </w:tcPr>
                <w:p>
                  <w:pPr>
                    <w:keepNext w:val="0"/>
                    <w:keepLines w:val="0"/>
                    <w:suppressLineNumbers w:val="0"/>
                    <w:spacing w:before="0" w:beforeAutospacing="0" w:after="0" w:afterAutospacing="0" w:line="280" w:lineRule="exact"/>
                    <w:ind w:left="-53" w:leftChars="-25" w:right="-53" w:rightChars="-25"/>
                    <w:jc w:val="center"/>
                    <w:rPr>
                      <w:rFonts w:hint="eastAsia" w:ascii="宋体" w:hAnsi="宋体"/>
                      <w:bCs/>
                      <w:color w:val="auto"/>
                      <w:kern w:val="0"/>
                      <w:sz w:val="18"/>
                      <w:szCs w:val="18"/>
                    </w:rPr>
                  </w:pPr>
                </w:p>
              </w:tc>
              <w:tc>
                <w:tcPr>
                  <w:tcW w:w="3780" w:type="dxa"/>
                  <w:vAlign w:val="center"/>
                </w:tcPr>
                <w:p>
                  <w:pPr>
                    <w:keepNext w:val="0"/>
                    <w:keepLines w:val="0"/>
                    <w:suppressLineNumbers w:val="0"/>
                    <w:spacing w:before="0" w:beforeAutospacing="0" w:after="0" w:afterAutospacing="0" w:line="280" w:lineRule="exact"/>
                    <w:ind w:left="0" w:right="0"/>
                    <w:jc w:val="left"/>
                    <w:rPr>
                      <w:rFonts w:hint="default" w:ascii="宋体" w:hAnsi="宋体" w:eastAsia="宋体"/>
                      <w:color w:val="auto"/>
                      <w:kern w:val="0"/>
                      <w:sz w:val="18"/>
                      <w:szCs w:val="18"/>
                      <w:lang w:val="en-US" w:eastAsia="zh-CN"/>
                    </w:rPr>
                  </w:pPr>
                  <w:r>
                    <w:rPr>
                      <w:rFonts w:hint="eastAsia" w:ascii="宋体" w:hAnsi="宋体"/>
                      <w:color w:val="auto"/>
                      <w:kern w:val="0"/>
                      <w:sz w:val="18"/>
                      <w:szCs w:val="18"/>
                      <w:lang w:val="en-US" w:eastAsia="zh-CN"/>
                    </w:rPr>
                    <w:t>上料给料粉尘：设备布置在封闭式生产车间内，利用厂房阻隔粉尘外逸；在料斗落料处和振动给料过程均采取喷雾降尘措施</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eastAsia" w:eastAsia="宋体"/>
                      <w:color w:val="auto"/>
                      <w:sz w:val="18"/>
                      <w:szCs w:val="18"/>
                      <w:lang w:val="en-US" w:eastAsia="zh-CN"/>
                    </w:rPr>
                  </w:pPr>
                  <w:r>
                    <w:rPr>
                      <w:rFonts w:hint="eastAsia"/>
                      <w:color w:val="auto"/>
                      <w:sz w:val="18"/>
                      <w:szCs w:val="18"/>
                      <w:lang w:val="en-US" w:eastAsia="zh-CN"/>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color w:val="auto"/>
                      <w:sz w:val="18"/>
                      <w:szCs w:val="18"/>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continue"/>
                  <w:vAlign w:val="center"/>
                </w:tcPr>
                <w:p>
                  <w:pPr>
                    <w:keepNext w:val="0"/>
                    <w:keepLines w:val="0"/>
                    <w:widowControl/>
                    <w:suppressLineNumbers w:val="0"/>
                    <w:spacing w:before="0" w:beforeAutospacing="0" w:after="0" w:afterAutospacing="0"/>
                    <w:ind w:left="0" w:right="0"/>
                    <w:jc w:val="left"/>
                    <w:rPr>
                      <w:rFonts w:hint="default"/>
                      <w:bCs/>
                      <w:color w:val="auto"/>
                      <w:kern w:val="0"/>
                      <w:sz w:val="18"/>
                      <w:szCs w:val="18"/>
                    </w:rPr>
                  </w:pPr>
                </w:p>
              </w:tc>
              <w:tc>
                <w:tcPr>
                  <w:tcW w:w="3780" w:type="dxa"/>
                  <w:vAlign w:val="center"/>
                </w:tcPr>
                <w:p>
                  <w:pPr>
                    <w:keepNext w:val="0"/>
                    <w:keepLines w:val="0"/>
                    <w:suppressLineNumbers w:val="0"/>
                    <w:spacing w:before="0" w:beforeAutospacing="0" w:after="0" w:afterAutospacing="0" w:line="280" w:lineRule="exact"/>
                    <w:ind w:left="0" w:right="0"/>
                    <w:jc w:val="left"/>
                    <w:rPr>
                      <w:rFonts w:hint="default" w:ascii="宋体" w:hAnsi="宋体"/>
                      <w:color w:val="auto"/>
                      <w:kern w:val="0"/>
                      <w:sz w:val="18"/>
                      <w:szCs w:val="18"/>
                    </w:rPr>
                  </w:pPr>
                  <w:r>
                    <w:rPr>
                      <w:rFonts w:hint="eastAsia" w:ascii="宋体" w:hAnsi="宋体"/>
                      <w:color w:val="auto"/>
                      <w:kern w:val="0"/>
                      <w:sz w:val="18"/>
                      <w:szCs w:val="18"/>
                    </w:rPr>
                    <w:t>皮带</w:t>
                  </w:r>
                  <w:r>
                    <w:rPr>
                      <w:rFonts w:hint="eastAsia" w:ascii="宋体" w:hAnsi="宋体"/>
                      <w:color w:val="auto"/>
                      <w:kern w:val="0"/>
                      <w:sz w:val="18"/>
                      <w:szCs w:val="18"/>
                      <w:lang w:val="en-US" w:eastAsia="zh-CN"/>
                    </w:rPr>
                    <w:t>送料及缓冲料仓落料</w:t>
                  </w:r>
                  <w:r>
                    <w:rPr>
                      <w:rFonts w:hint="eastAsia" w:ascii="宋体" w:hAnsi="宋体"/>
                      <w:color w:val="auto"/>
                      <w:kern w:val="0"/>
                      <w:sz w:val="18"/>
                      <w:szCs w:val="18"/>
                    </w:rPr>
                    <w:t>粉尘：</w:t>
                  </w:r>
                  <w:r>
                    <w:rPr>
                      <w:rFonts w:hint="eastAsia" w:ascii="宋体" w:hAnsi="宋体"/>
                      <w:color w:val="auto"/>
                      <w:kern w:val="0"/>
                      <w:sz w:val="18"/>
                      <w:szCs w:val="18"/>
                      <w:lang w:val="en-US" w:eastAsia="zh-CN"/>
                    </w:rPr>
                    <w:t>生产线的输送皮带以及缓冲料仓均位于封闭式车间内，利用厂房阻隔粉尘外逸；在皮带两端缓冲料仓落料处，均采取喷雾降尘措施；加强皮带输送机维护保养，避免异常抖动起尘</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ascii="宋体" w:hAnsi="宋体"/>
                      <w:color w:val="auto"/>
                      <w:sz w:val="18"/>
                      <w:szCs w:val="18"/>
                    </w:rPr>
                  </w:pPr>
                  <w:r>
                    <w:rPr>
                      <w:rFonts w:hint="eastAsia"/>
                      <w:color w:val="auto"/>
                      <w:sz w:val="18"/>
                      <w:szCs w:val="18"/>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color w:val="auto"/>
                      <w:sz w:val="18"/>
                      <w:szCs w:val="18"/>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continue"/>
                  <w:vAlign w:val="center"/>
                </w:tcPr>
                <w:p>
                  <w:pPr>
                    <w:keepNext w:val="0"/>
                    <w:keepLines w:val="0"/>
                    <w:widowControl/>
                    <w:suppressLineNumbers w:val="0"/>
                    <w:spacing w:before="0" w:beforeAutospacing="0" w:after="0" w:afterAutospacing="0"/>
                    <w:ind w:left="0" w:right="0"/>
                    <w:jc w:val="left"/>
                    <w:rPr>
                      <w:rFonts w:hint="default"/>
                      <w:bCs/>
                      <w:color w:val="auto"/>
                      <w:kern w:val="0"/>
                      <w:sz w:val="18"/>
                      <w:szCs w:val="18"/>
                    </w:rPr>
                  </w:pPr>
                </w:p>
              </w:tc>
              <w:tc>
                <w:tcPr>
                  <w:tcW w:w="3780" w:type="dxa"/>
                  <w:vAlign w:val="center"/>
                </w:tcPr>
                <w:p>
                  <w:pPr>
                    <w:keepNext w:val="0"/>
                    <w:keepLines w:val="0"/>
                    <w:suppressLineNumbers w:val="0"/>
                    <w:spacing w:before="0" w:beforeAutospacing="0" w:after="0" w:afterAutospacing="0" w:line="280" w:lineRule="exact"/>
                    <w:ind w:left="0" w:right="0"/>
                    <w:jc w:val="left"/>
                    <w:rPr>
                      <w:rFonts w:hint="default"/>
                      <w:b/>
                      <w:color w:val="auto"/>
                      <w:kern w:val="0"/>
                      <w:sz w:val="18"/>
                      <w:szCs w:val="18"/>
                    </w:rPr>
                  </w:pPr>
                  <w:r>
                    <w:rPr>
                      <w:rFonts w:hint="eastAsia" w:ascii="宋体" w:hAnsi="宋体"/>
                      <w:color w:val="auto"/>
                      <w:kern w:val="0"/>
                      <w:sz w:val="18"/>
                      <w:szCs w:val="18"/>
                      <w:lang w:val="en-US" w:eastAsia="zh-CN"/>
                    </w:rPr>
                    <w:t>颚破和反击破</w:t>
                  </w:r>
                  <w:r>
                    <w:rPr>
                      <w:rFonts w:hint="eastAsia" w:ascii="宋体" w:hAnsi="宋体"/>
                      <w:color w:val="auto"/>
                      <w:kern w:val="0"/>
                      <w:sz w:val="18"/>
                      <w:szCs w:val="18"/>
                    </w:rPr>
                    <w:t>粉尘：采用密闭型</w:t>
                  </w:r>
                  <w:r>
                    <w:rPr>
                      <w:rFonts w:hint="eastAsia" w:ascii="宋体" w:hAnsi="宋体"/>
                      <w:color w:val="auto"/>
                      <w:kern w:val="0"/>
                      <w:sz w:val="18"/>
                      <w:szCs w:val="18"/>
                      <w:lang w:val="en-US" w:eastAsia="zh-CN"/>
                    </w:rPr>
                    <w:t>破碎</w:t>
                  </w:r>
                  <w:r>
                    <w:rPr>
                      <w:rFonts w:hint="eastAsia" w:ascii="宋体" w:hAnsi="宋体"/>
                      <w:color w:val="auto"/>
                      <w:kern w:val="0"/>
                      <w:sz w:val="18"/>
                      <w:szCs w:val="18"/>
                    </w:rPr>
                    <w:t>设备，</w:t>
                  </w:r>
                  <w:r>
                    <w:rPr>
                      <w:rFonts w:hint="eastAsia" w:ascii="宋体" w:hAnsi="宋体"/>
                      <w:color w:val="auto"/>
                      <w:kern w:val="0"/>
                      <w:sz w:val="18"/>
                      <w:szCs w:val="18"/>
                      <w:lang w:val="en-US" w:eastAsia="zh-CN"/>
                    </w:rPr>
                    <w:t>并</w:t>
                  </w:r>
                  <w:r>
                    <w:rPr>
                      <w:rFonts w:hint="eastAsia" w:ascii="宋体" w:hAnsi="宋体"/>
                      <w:color w:val="auto"/>
                      <w:kern w:val="0"/>
                      <w:sz w:val="18"/>
                      <w:szCs w:val="18"/>
                    </w:rPr>
                    <w:t>将设备布置在封闭式车间内</w:t>
                  </w:r>
                  <w:r>
                    <w:rPr>
                      <w:rFonts w:hint="eastAsia" w:ascii="宋体" w:hAnsi="宋体"/>
                      <w:color w:val="auto"/>
                      <w:kern w:val="0"/>
                      <w:sz w:val="18"/>
                      <w:szCs w:val="18"/>
                      <w:lang w:eastAsia="zh-CN"/>
                    </w:rPr>
                    <w:t>；</w:t>
                  </w:r>
                  <w:r>
                    <w:rPr>
                      <w:rFonts w:hint="eastAsia" w:ascii="宋体" w:hAnsi="宋体"/>
                      <w:color w:val="auto"/>
                      <w:kern w:val="0"/>
                      <w:sz w:val="18"/>
                      <w:szCs w:val="18"/>
                      <w:lang w:val="en-US" w:eastAsia="zh-CN"/>
                    </w:rPr>
                    <w:t>在设备进料口采取喷雾降尘的方式，降低粉尘产生</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宋体" w:hAnsi="宋体"/>
                      <w:color w:val="auto"/>
                      <w:sz w:val="18"/>
                      <w:szCs w:val="18"/>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continue"/>
                  <w:vAlign w:val="center"/>
                </w:tcPr>
                <w:p>
                  <w:pPr>
                    <w:keepNext w:val="0"/>
                    <w:keepLines w:val="0"/>
                    <w:widowControl/>
                    <w:suppressLineNumbers w:val="0"/>
                    <w:spacing w:before="0" w:beforeAutospacing="0" w:after="0" w:afterAutospacing="0"/>
                    <w:ind w:left="0" w:right="0"/>
                    <w:jc w:val="left"/>
                    <w:rPr>
                      <w:rFonts w:hint="default"/>
                      <w:bCs/>
                      <w:color w:val="auto"/>
                      <w:kern w:val="0"/>
                      <w:sz w:val="18"/>
                      <w:szCs w:val="18"/>
                    </w:rPr>
                  </w:pPr>
                </w:p>
              </w:tc>
              <w:tc>
                <w:tcPr>
                  <w:tcW w:w="3780" w:type="dxa"/>
                  <w:vAlign w:val="center"/>
                </w:tcPr>
                <w:p>
                  <w:pPr>
                    <w:keepNext w:val="0"/>
                    <w:keepLines w:val="0"/>
                    <w:suppressLineNumbers w:val="0"/>
                    <w:spacing w:before="0" w:beforeAutospacing="0" w:after="0" w:afterAutospacing="0" w:line="280" w:lineRule="exact"/>
                    <w:ind w:left="0" w:right="0"/>
                    <w:jc w:val="left"/>
                    <w:rPr>
                      <w:rFonts w:hint="default" w:eastAsia="宋体"/>
                      <w:color w:val="auto"/>
                      <w:kern w:val="0"/>
                      <w:sz w:val="18"/>
                      <w:szCs w:val="18"/>
                      <w:lang w:val="en-US" w:eastAsia="zh-CN"/>
                    </w:rPr>
                  </w:pPr>
                  <w:r>
                    <w:rPr>
                      <w:rFonts w:hint="eastAsia" w:ascii="宋体" w:hAnsi="宋体"/>
                      <w:color w:val="auto"/>
                      <w:kern w:val="0"/>
                      <w:sz w:val="18"/>
                      <w:szCs w:val="18"/>
                    </w:rPr>
                    <w:t>振动筛分</w:t>
                  </w:r>
                  <w:r>
                    <w:rPr>
                      <w:rFonts w:hint="eastAsia" w:ascii="宋体" w:hAnsi="宋体"/>
                      <w:color w:val="auto"/>
                      <w:kern w:val="0"/>
                      <w:sz w:val="18"/>
                      <w:szCs w:val="18"/>
                      <w:lang w:val="en-US" w:eastAsia="zh-CN"/>
                    </w:rPr>
                    <w:t>及制砂</w:t>
                  </w:r>
                  <w:r>
                    <w:rPr>
                      <w:rFonts w:hint="eastAsia" w:ascii="宋体" w:hAnsi="宋体"/>
                      <w:color w:val="auto"/>
                      <w:kern w:val="0"/>
                      <w:sz w:val="18"/>
                      <w:szCs w:val="18"/>
                    </w:rPr>
                    <w:t>粉尘：</w:t>
                  </w:r>
                  <w:r>
                    <w:rPr>
                      <w:rFonts w:hint="eastAsia" w:ascii="宋体" w:hAnsi="宋体"/>
                      <w:color w:val="auto"/>
                      <w:kern w:val="0"/>
                      <w:sz w:val="18"/>
                      <w:szCs w:val="18"/>
                      <w:lang w:val="en-US" w:eastAsia="zh-CN"/>
                    </w:rPr>
                    <w:t>采用密闭型制砂设备，并布置在封闭式车间内；在</w:t>
                  </w:r>
                  <w:r>
                    <w:rPr>
                      <w:rFonts w:hint="eastAsia" w:ascii="宋体" w:hAnsi="宋体"/>
                      <w:color w:val="auto"/>
                      <w:kern w:val="0"/>
                      <w:sz w:val="18"/>
                      <w:szCs w:val="18"/>
                    </w:rPr>
                    <w:t>振动筛分环节采取不间断冲水</w:t>
                  </w:r>
                  <w:r>
                    <w:rPr>
                      <w:rFonts w:hint="eastAsia" w:ascii="宋体" w:hAnsi="宋体"/>
                      <w:color w:val="auto"/>
                      <w:kern w:val="0"/>
                      <w:sz w:val="18"/>
                      <w:szCs w:val="18"/>
                      <w:lang w:val="en-US" w:eastAsia="zh-CN"/>
                    </w:rPr>
                    <w:t>的</w:t>
                  </w:r>
                  <w:r>
                    <w:rPr>
                      <w:rFonts w:hint="eastAsia" w:ascii="宋体" w:hAnsi="宋体"/>
                      <w:color w:val="auto"/>
                      <w:kern w:val="0"/>
                      <w:sz w:val="18"/>
                      <w:szCs w:val="18"/>
                    </w:rPr>
                    <w:t>湿法</w:t>
                  </w:r>
                  <w:r>
                    <w:rPr>
                      <w:rFonts w:hint="eastAsia" w:ascii="宋体" w:hAnsi="宋体"/>
                      <w:color w:val="auto"/>
                      <w:kern w:val="0"/>
                      <w:sz w:val="18"/>
                      <w:szCs w:val="18"/>
                      <w:lang w:val="en-US" w:eastAsia="zh-CN"/>
                    </w:rPr>
                    <w:t>生产</w:t>
                  </w:r>
                  <w:r>
                    <w:rPr>
                      <w:rFonts w:hint="eastAsia" w:ascii="宋体" w:hAnsi="宋体"/>
                      <w:color w:val="auto"/>
                      <w:kern w:val="0"/>
                      <w:sz w:val="18"/>
                      <w:szCs w:val="18"/>
                    </w:rPr>
                    <w:t>工艺</w:t>
                  </w:r>
                  <w:r>
                    <w:rPr>
                      <w:rFonts w:hint="eastAsia" w:ascii="宋体" w:hAnsi="宋体"/>
                      <w:color w:val="auto"/>
                      <w:kern w:val="0"/>
                      <w:sz w:val="18"/>
                      <w:szCs w:val="18"/>
                      <w:lang w:eastAsia="zh-CN"/>
                    </w:rPr>
                    <w:t>，</w:t>
                  </w:r>
                  <w:r>
                    <w:rPr>
                      <w:rFonts w:hint="eastAsia" w:ascii="宋体" w:hAnsi="宋体"/>
                      <w:color w:val="auto"/>
                      <w:kern w:val="0"/>
                      <w:sz w:val="18"/>
                      <w:szCs w:val="18"/>
                      <w:lang w:val="en-US" w:eastAsia="zh-CN"/>
                    </w:rPr>
                    <w:t>由于振动筛分水洗后物料含水率较高，因此在振动筛及制砂环节均无粉尘产生</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eastAsia" w:eastAsia="宋体"/>
                      <w:color w:val="auto"/>
                      <w:sz w:val="18"/>
                      <w:szCs w:val="18"/>
                      <w:lang w:eastAsia="zh-CN"/>
                    </w:rPr>
                  </w:pPr>
                  <w:r>
                    <w:rPr>
                      <w:rFonts w:hint="eastAsia"/>
                      <w:color w:val="auto"/>
                      <w:sz w:val="18"/>
                      <w:szCs w:val="18"/>
                      <w:lang w:val="en-US" w:eastAsia="zh-CN"/>
                    </w:rPr>
                    <w:t>废水</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color w:val="auto"/>
                      <w:sz w:val="18"/>
                      <w:szCs w:val="18"/>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continue"/>
                  <w:vAlign w:val="center"/>
                </w:tcPr>
                <w:p>
                  <w:pPr>
                    <w:keepNext w:val="0"/>
                    <w:keepLines w:val="0"/>
                    <w:widowControl/>
                    <w:suppressLineNumbers w:val="0"/>
                    <w:spacing w:before="0" w:beforeAutospacing="0" w:after="0" w:afterAutospacing="0"/>
                    <w:ind w:left="0" w:right="0"/>
                    <w:jc w:val="left"/>
                    <w:rPr>
                      <w:rFonts w:hint="default"/>
                      <w:bCs/>
                      <w:color w:val="auto"/>
                      <w:kern w:val="0"/>
                      <w:sz w:val="18"/>
                      <w:szCs w:val="18"/>
                    </w:rPr>
                  </w:pPr>
                </w:p>
              </w:tc>
              <w:tc>
                <w:tcPr>
                  <w:tcW w:w="37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default" w:ascii="宋体" w:hAnsi="宋体"/>
                      <w:b/>
                      <w:color w:val="auto"/>
                      <w:kern w:val="0"/>
                      <w:sz w:val="18"/>
                      <w:szCs w:val="18"/>
                    </w:rPr>
                  </w:pPr>
                  <w:r>
                    <w:rPr>
                      <w:rFonts w:hint="eastAsia" w:ascii="宋体" w:hAnsi="宋体"/>
                      <w:color w:val="auto"/>
                      <w:kern w:val="0"/>
                      <w:sz w:val="18"/>
                      <w:szCs w:val="18"/>
                      <w:lang w:val="en-US" w:eastAsia="zh-CN"/>
                    </w:rPr>
                    <w:t>产品库粉尘</w:t>
                  </w:r>
                  <w:r>
                    <w:rPr>
                      <w:rFonts w:hint="eastAsia" w:ascii="宋体" w:hAnsi="宋体"/>
                      <w:color w:val="auto"/>
                      <w:kern w:val="0"/>
                      <w:sz w:val="18"/>
                      <w:szCs w:val="18"/>
                    </w:rPr>
                    <w:t>：</w:t>
                  </w:r>
                  <w:r>
                    <w:rPr>
                      <w:rFonts w:hint="eastAsia" w:ascii="宋体" w:hAnsi="宋体"/>
                      <w:color w:val="auto"/>
                      <w:kern w:val="0"/>
                      <w:sz w:val="18"/>
                      <w:szCs w:val="18"/>
                      <w:lang w:val="en-US" w:eastAsia="zh-CN"/>
                    </w:rPr>
                    <w:t>产品库布置在封闭式生产车间内，并设置三面围挡；项目产品为湿法生产工艺的砂石产品，自身含水不易起尘</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continue"/>
                  <w:vAlign w:val="center"/>
                </w:tcPr>
                <w:p>
                  <w:pPr>
                    <w:keepNext w:val="0"/>
                    <w:keepLines w:val="0"/>
                    <w:widowControl/>
                    <w:suppressLineNumbers w:val="0"/>
                    <w:spacing w:before="0" w:beforeAutospacing="0" w:after="0" w:afterAutospacing="0"/>
                    <w:ind w:left="0" w:right="0"/>
                    <w:jc w:val="left"/>
                    <w:rPr>
                      <w:rFonts w:hint="default"/>
                      <w:bCs/>
                      <w:color w:val="auto"/>
                      <w:kern w:val="0"/>
                      <w:sz w:val="18"/>
                      <w:szCs w:val="18"/>
                    </w:rPr>
                  </w:pPr>
                </w:p>
              </w:tc>
              <w:tc>
                <w:tcPr>
                  <w:tcW w:w="37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jc w:val="left"/>
                    <w:textAlignment w:val="auto"/>
                    <w:rPr>
                      <w:rFonts w:hint="default" w:ascii="宋体" w:hAnsi="宋体"/>
                      <w:b/>
                      <w:color w:val="auto"/>
                      <w:spacing w:val="-4"/>
                      <w:kern w:val="0"/>
                      <w:sz w:val="18"/>
                      <w:szCs w:val="18"/>
                    </w:rPr>
                  </w:pPr>
                  <w:r>
                    <w:rPr>
                      <w:rFonts w:hint="eastAsia" w:ascii="宋体" w:hAnsi="宋体"/>
                      <w:color w:val="auto"/>
                      <w:kern w:val="0"/>
                      <w:sz w:val="18"/>
                      <w:szCs w:val="18"/>
                      <w:lang w:val="en-US" w:eastAsia="zh-CN"/>
                    </w:rPr>
                    <w:t>运输扬尘：对厂区地面进行水泥硬化处理，厂区车辆运输进出口设置车辆冲洗设施，加强运输车辆防尘冲洗，车辆加盖篷布密闭运输</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ascii="宋体" w:hAnsi="宋体"/>
                      <w:color w:val="auto"/>
                      <w:sz w:val="18"/>
                      <w:szCs w:val="18"/>
                    </w:rPr>
                  </w:pPr>
                  <w:r>
                    <w:rPr>
                      <w:rFonts w:hint="default" w:ascii="宋体" w:hAnsi="宋体"/>
                      <w:color w:val="auto"/>
                      <w:sz w:val="18"/>
                      <w:szCs w:val="18"/>
                    </w:rPr>
                    <w:t>废水</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restart"/>
                  <w:vAlign w:val="center"/>
                </w:tcPr>
                <w:p>
                  <w:pPr>
                    <w:keepNext w:val="0"/>
                    <w:keepLines w:val="0"/>
                    <w:suppressLineNumbers w:val="0"/>
                    <w:spacing w:before="0" w:beforeAutospacing="0" w:after="0" w:afterAutospacing="0" w:line="280" w:lineRule="exact"/>
                    <w:ind w:left="-53" w:leftChars="-25" w:right="-53" w:rightChars="-25"/>
                    <w:jc w:val="center"/>
                    <w:rPr>
                      <w:rFonts w:hint="default"/>
                      <w:color w:val="auto"/>
                      <w:sz w:val="18"/>
                      <w:szCs w:val="18"/>
                    </w:rPr>
                  </w:pPr>
                  <w:r>
                    <w:rPr>
                      <w:rFonts w:hint="eastAsia" w:ascii="宋体" w:hAnsi="宋体"/>
                      <w:color w:val="auto"/>
                      <w:sz w:val="18"/>
                      <w:szCs w:val="18"/>
                    </w:rPr>
                    <w:t>废水</w:t>
                  </w:r>
                </w:p>
                <w:p>
                  <w:pPr>
                    <w:keepNext w:val="0"/>
                    <w:keepLines w:val="0"/>
                    <w:suppressLineNumbers w:val="0"/>
                    <w:spacing w:before="0" w:beforeAutospacing="0" w:after="0" w:afterAutospacing="0" w:line="280" w:lineRule="exact"/>
                    <w:ind w:left="-53" w:leftChars="-25" w:right="-53" w:rightChars="-25"/>
                    <w:jc w:val="center"/>
                    <w:rPr>
                      <w:rFonts w:hint="default"/>
                      <w:color w:val="auto"/>
                      <w:sz w:val="18"/>
                      <w:szCs w:val="18"/>
                    </w:rPr>
                  </w:pPr>
                  <w:r>
                    <w:rPr>
                      <w:rFonts w:hint="eastAsia" w:ascii="宋体" w:hAnsi="宋体"/>
                      <w:color w:val="auto"/>
                      <w:sz w:val="18"/>
                      <w:szCs w:val="18"/>
                    </w:rPr>
                    <w:t>处理</w:t>
                  </w:r>
                </w:p>
              </w:tc>
              <w:tc>
                <w:tcPr>
                  <w:tcW w:w="3780" w:type="dxa"/>
                  <w:vAlign w:val="center"/>
                </w:tcPr>
                <w:p>
                  <w:pPr>
                    <w:keepNext w:val="0"/>
                    <w:keepLines w:val="0"/>
                    <w:suppressLineNumbers w:val="0"/>
                    <w:spacing w:before="0" w:beforeAutospacing="0" w:after="0" w:afterAutospacing="0" w:line="280" w:lineRule="exact"/>
                    <w:ind w:left="-42" w:right="0"/>
                    <w:jc w:val="left"/>
                    <w:rPr>
                      <w:rFonts w:hint="default"/>
                      <w:color w:val="auto"/>
                      <w:sz w:val="18"/>
                      <w:szCs w:val="18"/>
                    </w:rPr>
                  </w:pPr>
                  <w:r>
                    <w:rPr>
                      <w:rFonts w:hint="eastAsia" w:ascii="宋体" w:hAnsi="宋体"/>
                      <w:color w:val="auto"/>
                      <w:sz w:val="18"/>
                      <w:szCs w:val="18"/>
                    </w:rPr>
                    <w:t>洗砂废水：设废水处理系统1套，包括污水</w:t>
                  </w:r>
                  <w:r>
                    <w:rPr>
                      <w:rFonts w:hint="eastAsia" w:ascii="宋体" w:hAnsi="宋体"/>
                      <w:color w:val="auto"/>
                      <w:sz w:val="18"/>
                      <w:szCs w:val="18"/>
                      <w:lang w:val="en-US" w:eastAsia="zh-CN"/>
                    </w:rPr>
                    <w:t>收集池（容积40m</w:t>
                  </w:r>
                  <w:r>
                    <w:rPr>
                      <w:rFonts w:hint="eastAsia" w:ascii="宋体" w:hAnsi="宋体"/>
                      <w:color w:val="auto"/>
                      <w:sz w:val="18"/>
                      <w:szCs w:val="18"/>
                      <w:vertAlign w:val="superscript"/>
                      <w:lang w:val="en-US" w:eastAsia="zh-CN"/>
                    </w:rPr>
                    <w:t>3</w:t>
                  </w:r>
                  <w:r>
                    <w:rPr>
                      <w:rFonts w:hint="eastAsia" w:ascii="宋体" w:hAnsi="宋体"/>
                      <w:color w:val="auto"/>
                      <w:sz w:val="18"/>
                      <w:szCs w:val="18"/>
                      <w:lang w:val="en-US" w:eastAsia="zh-CN"/>
                    </w:rPr>
                    <w:t>）</w:t>
                  </w:r>
                  <w:r>
                    <w:rPr>
                      <w:rFonts w:hint="eastAsia" w:ascii="宋体" w:hAnsi="宋体"/>
                      <w:color w:val="auto"/>
                      <w:sz w:val="18"/>
                      <w:szCs w:val="18"/>
                    </w:rPr>
                    <w:t>、</w:t>
                  </w:r>
                  <w:r>
                    <w:rPr>
                      <w:rFonts w:hint="eastAsia" w:ascii="宋体" w:hAnsi="宋体"/>
                      <w:color w:val="auto"/>
                      <w:sz w:val="18"/>
                      <w:szCs w:val="18"/>
                      <w:lang w:val="en-US" w:eastAsia="zh-CN"/>
                    </w:rPr>
                    <w:t>沉淀罐（容积300m</w:t>
                  </w:r>
                  <w:r>
                    <w:rPr>
                      <w:rFonts w:hint="eastAsia" w:ascii="宋体" w:hAnsi="宋体"/>
                      <w:color w:val="auto"/>
                      <w:sz w:val="18"/>
                      <w:szCs w:val="18"/>
                      <w:vertAlign w:val="superscript"/>
                      <w:lang w:val="en-US" w:eastAsia="zh-CN"/>
                    </w:rPr>
                    <w:t>3</w:t>
                  </w:r>
                  <w:r>
                    <w:rPr>
                      <w:rFonts w:hint="eastAsia" w:ascii="宋体" w:hAnsi="宋体"/>
                      <w:color w:val="auto"/>
                      <w:sz w:val="18"/>
                      <w:szCs w:val="18"/>
                      <w:lang w:val="en-US" w:eastAsia="zh-CN"/>
                    </w:rPr>
                    <w:t>）</w:t>
                  </w:r>
                  <w:r>
                    <w:rPr>
                      <w:rFonts w:hint="eastAsia" w:ascii="宋体" w:hAnsi="宋体"/>
                      <w:color w:val="auto"/>
                      <w:sz w:val="18"/>
                      <w:szCs w:val="18"/>
                    </w:rPr>
                    <w:t>和清水池</w:t>
                  </w:r>
                  <w:r>
                    <w:rPr>
                      <w:rFonts w:hint="eastAsia" w:ascii="宋体" w:hAnsi="宋体"/>
                      <w:color w:val="auto"/>
                      <w:sz w:val="18"/>
                      <w:szCs w:val="18"/>
                      <w:lang w:val="en-US" w:eastAsia="zh-CN"/>
                    </w:rPr>
                    <w:t>（容积350m</w:t>
                  </w:r>
                  <w:r>
                    <w:rPr>
                      <w:rFonts w:hint="eastAsia" w:ascii="宋体" w:hAnsi="宋体"/>
                      <w:color w:val="auto"/>
                      <w:sz w:val="18"/>
                      <w:szCs w:val="18"/>
                      <w:vertAlign w:val="superscript"/>
                      <w:lang w:val="en-US" w:eastAsia="zh-CN"/>
                    </w:rPr>
                    <w:t>3</w:t>
                  </w:r>
                  <w:r>
                    <w:rPr>
                      <w:rFonts w:hint="eastAsia" w:ascii="宋体" w:hAnsi="宋体"/>
                      <w:color w:val="auto"/>
                      <w:sz w:val="18"/>
                      <w:szCs w:val="18"/>
                      <w:lang w:val="en-US" w:eastAsia="zh-CN"/>
                    </w:rPr>
                    <w:t>）</w:t>
                  </w:r>
                  <w:r>
                    <w:rPr>
                      <w:rFonts w:hint="eastAsia" w:ascii="宋体" w:hAnsi="宋体"/>
                      <w:color w:val="auto"/>
                      <w:sz w:val="18"/>
                      <w:szCs w:val="18"/>
                    </w:rPr>
                    <w:t>，容积共</w:t>
                  </w:r>
                  <w:r>
                    <w:rPr>
                      <w:rFonts w:hint="eastAsia" w:ascii="宋体" w:hAnsi="宋体"/>
                      <w:color w:val="auto"/>
                      <w:sz w:val="18"/>
                      <w:szCs w:val="18"/>
                      <w:lang w:val="en-US" w:eastAsia="zh-CN"/>
                    </w:rPr>
                    <w:t>69</w:t>
                  </w:r>
                  <w:r>
                    <w:rPr>
                      <w:rFonts w:hint="default" w:ascii="宋体" w:hAnsi="宋体"/>
                      <w:color w:val="auto"/>
                      <w:sz w:val="18"/>
                      <w:szCs w:val="18"/>
                    </w:rPr>
                    <w:t>0m</w:t>
                  </w:r>
                  <w:r>
                    <w:rPr>
                      <w:rFonts w:hint="default" w:ascii="宋体" w:hAnsi="宋体"/>
                      <w:color w:val="auto"/>
                      <w:sz w:val="18"/>
                      <w:szCs w:val="18"/>
                      <w:vertAlign w:val="superscript"/>
                    </w:rPr>
                    <w:t>3</w:t>
                  </w:r>
                  <w:r>
                    <w:rPr>
                      <w:rFonts w:hint="default" w:ascii="宋体" w:hAnsi="宋体"/>
                      <w:color w:val="auto"/>
                      <w:sz w:val="18"/>
                      <w:szCs w:val="18"/>
                    </w:rPr>
                    <w:t>，配套</w:t>
                  </w:r>
                  <w:r>
                    <w:rPr>
                      <w:rFonts w:hint="eastAsia" w:ascii="宋体" w:hAnsi="宋体"/>
                      <w:color w:val="auto"/>
                      <w:sz w:val="18"/>
                      <w:szCs w:val="18"/>
                    </w:rPr>
                    <w:t>加药机、加药</w:t>
                  </w:r>
                  <w:r>
                    <w:rPr>
                      <w:rFonts w:hint="eastAsia" w:ascii="宋体" w:hAnsi="宋体"/>
                      <w:color w:val="auto"/>
                      <w:sz w:val="18"/>
                      <w:szCs w:val="18"/>
                      <w:lang w:val="en-US" w:eastAsia="zh-CN"/>
                    </w:rPr>
                    <w:t>罐</w:t>
                  </w:r>
                  <w:r>
                    <w:rPr>
                      <w:rFonts w:hint="eastAsia" w:ascii="宋体" w:hAnsi="宋体"/>
                      <w:color w:val="auto"/>
                      <w:sz w:val="18"/>
                      <w:szCs w:val="18"/>
                    </w:rPr>
                    <w:t>及水泵等，采用“絮凝沉淀</w:t>
                  </w:r>
                  <w:r>
                    <w:rPr>
                      <w:rFonts w:hint="eastAsia" w:ascii="宋体" w:hAnsi="宋体"/>
                      <w:color w:val="auto"/>
                      <w:sz w:val="18"/>
                      <w:szCs w:val="18"/>
                      <w:lang w:val="en-US" w:eastAsia="zh-CN"/>
                    </w:rPr>
                    <w:t>+板框压滤</w:t>
                  </w:r>
                  <w:r>
                    <w:rPr>
                      <w:rFonts w:hint="eastAsia" w:ascii="宋体" w:hAnsi="宋体"/>
                      <w:color w:val="auto"/>
                      <w:sz w:val="18"/>
                      <w:szCs w:val="18"/>
                    </w:rPr>
                    <w:t>”工艺，处理后全部回用不外排</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eastAsia="宋体"/>
                      <w:color w:val="auto"/>
                      <w:sz w:val="18"/>
                      <w:szCs w:val="18"/>
                      <w:lang w:val="en-US" w:eastAsia="zh-CN"/>
                    </w:rPr>
                  </w:pPr>
                  <w:r>
                    <w:rPr>
                      <w:rFonts w:hint="eastAsia" w:ascii="宋体" w:hAnsi="宋体"/>
                      <w:color w:val="auto"/>
                      <w:sz w:val="18"/>
                      <w:szCs w:val="18"/>
                      <w:lang w:val="en-US" w:eastAsia="zh-CN"/>
                    </w:rPr>
                    <w:t>干化泥饼</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3780" w:type="dxa"/>
                  <w:vAlign w:val="center"/>
                </w:tcPr>
                <w:p>
                  <w:pPr>
                    <w:keepNext w:val="0"/>
                    <w:keepLines w:val="0"/>
                    <w:suppressLineNumbers w:val="0"/>
                    <w:spacing w:before="0" w:beforeAutospacing="0" w:after="0" w:afterAutospacing="0" w:line="280" w:lineRule="exact"/>
                    <w:ind w:left="-42" w:right="0"/>
                    <w:jc w:val="left"/>
                    <w:rPr>
                      <w:rFonts w:hint="default" w:ascii="宋体" w:hAnsi="宋体"/>
                      <w:b/>
                      <w:color w:val="auto"/>
                      <w:sz w:val="18"/>
                      <w:szCs w:val="18"/>
                    </w:rPr>
                  </w:pPr>
                  <w:r>
                    <w:rPr>
                      <w:rFonts w:hint="eastAsia" w:ascii="宋体" w:hAnsi="宋体"/>
                      <w:color w:val="auto"/>
                      <w:sz w:val="18"/>
                      <w:szCs w:val="18"/>
                    </w:rPr>
                    <w:t>产品渗沥水：设导水沟接</w:t>
                  </w:r>
                  <w:r>
                    <w:rPr>
                      <w:rFonts w:hint="eastAsia" w:ascii="宋体" w:hAnsi="宋体"/>
                      <w:color w:val="auto"/>
                      <w:sz w:val="18"/>
                      <w:szCs w:val="18"/>
                      <w:lang w:val="en-US" w:eastAsia="zh-CN"/>
                    </w:rPr>
                    <w:t>入厂区散水池（</w:t>
                  </w:r>
                  <w:r>
                    <w:rPr>
                      <w:rFonts w:hint="eastAsia"/>
                      <w:color w:val="auto"/>
                      <w:kern w:val="0"/>
                      <w:sz w:val="18"/>
                      <w:lang w:val="en-US" w:eastAsia="zh-CN"/>
                    </w:rPr>
                    <w:t>容积约</w:t>
                  </w:r>
                  <w:r>
                    <w:rPr>
                      <w:rFonts w:hint="eastAsia" w:ascii="宋体" w:hAnsi="宋体"/>
                      <w:color w:val="auto"/>
                      <w:sz w:val="18"/>
                      <w:szCs w:val="18"/>
                      <w:lang w:val="en-US" w:eastAsia="zh-CN"/>
                    </w:rPr>
                    <w:t>50m</w:t>
                  </w:r>
                  <w:r>
                    <w:rPr>
                      <w:rFonts w:hint="eastAsia" w:ascii="宋体" w:hAnsi="宋体"/>
                      <w:color w:val="auto"/>
                      <w:sz w:val="18"/>
                      <w:szCs w:val="18"/>
                      <w:vertAlign w:val="superscript"/>
                      <w:lang w:val="en-US" w:eastAsia="zh-CN"/>
                    </w:rPr>
                    <w:t>3</w:t>
                  </w:r>
                  <w:r>
                    <w:rPr>
                      <w:rFonts w:hint="eastAsia" w:ascii="宋体" w:hAnsi="宋体"/>
                      <w:color w:val="auto"/>
                      <w:sz w:val="18"/>
                      <w:szCs w:val="18"/>
                      <w:lang w:val="en-US" w:eastAsia="zh-CN"/>
                    </w:rPr>
                    <w:t>）</w:t>
                  </w:r>
                  <w:r>
                    <w:rPr>
                      <w:rFonts w:hint="eastAsia" w:ascii="宋体" w:hAnsi="宋体"/>
                      <w:color w:val="auto"/>
                      <w:sz w:val="18"/>
                      <w:szCs w:val="18"/>
                    </w:rPr>
                    <w:t>，处理后回用不外排</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ascii="宋体" w:hAnsi="宋体"/>
                      <w:color w:val="auto"/>
                      <w:sz w:val="18"/>
                      <w:szCs w:val="18"/>
                    </w:rPr>
                  </w:pPr>
                  <w:r>
                    <w:rPr>
                      <w:rFonts w:hint="eastAsia" w:ascii="宋体" w:hAnsi="宋体"/>
                      <w:color w:val="auto"/>
                      <w:sz w:val="18"/>
                      <w:szCs w:val="18"/>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3780" w:type="dxa"/>
                  <w:vAlign w:val="center"/>
                </w:tcPr>
                <w:p>
                  <w:pPr>
                    <w:keepNext w:val="0"/>
                    <w:keepLines w:val="0"/>
                    <w:suppressLineNumbers w:val="0"/>
                    <w:spacing w:before="0" w:beforeAutospacing="0" w:after="0" w:afterAutospacing="0" w:line="280" w:lineRule="exact"/>
                    <w:ind w:left="-42" w:right="0"/>
                    <w:jc w:val="left"/>
                    <w:rPr>
                      <w:rFonts w:hint="default"/>
                      <w:color w:val="auto"/>
                      <w:sz w:val="18"/>
                      <w:szCs w:val="18"/>
                    </w:rPr>
                  </w:pPr>
                  <w:r>
                    <w:rPr>
                      <w:rFonts w:hint="eastAsia"/>
                      <w:color w:val="auto"/>
                      <w:sz w:val="18"/>
                      <w:szCs w:val="18"/>
                      <w:lang w:val="en-US" w:eastAsia="zh-CN"/>
                    </w:rPr>
                    <w:t>车辆冲洗废水：建设废水沉淀池池</w:t>
                  </w:r>
                  <w:r>
                    <w:rPr>
                      <w:rFonts w:hint="default"/>
                      <w:color w:val="auto"/>
                      <w:sz w:val="18"/>
                      <w:szCs w:val="18"/>
                      <w:lang w:val="en-US" w:eastAsia="zh-CN"/>
                    </w:rPr>
                    <w:t>1</w:t>
                  </w:r>
                  <w:r>
                    <w:rPr>
                      <w:rFonts w:hint="eastAsia"/>
                      <w:color w:val="auto"/>
                      <w:sz w:val="18"/>
                      <w:szCs w:val="18"/>
                      <w:lang w:val="en-US" w:eastAsia="zh-CN"/>
                    </w:rPr>
                    <w:t>个（容积约</w:t>
                  </w:r>
                  <w:r>
                    <w:rPr>
                      <w:rFonts w:hint="default"/>
                      <w:color w:val="auto"/>
                      <w:sz w:val="18"/>
                      <w:szCs w:val="18"/>
                      <w:lang w:val="en-US" w:eastAsia="zh-CN"/>
                    </w:rPr>
                    <w:t>20m</w:t>
                  </w:r>
                  <w:r>
                    <w:rPr>
                      <w:rFonts w:hint="default"/>
                      <w:color w:val="auto"/>
                      <w:sz w:val="18"/>
                      <w:szCs w:val="18"/>
                      <w:vertAlign w:val="superscript"/>
                      <w:lang w:val="en-US" w:eastAsia="zh-CN"/>
                    </w:rPr>
                    <w:t>3</w:t>
                  </w:r>
                  <w:r>
                    <w:rPr>
                      <w:rFonts w:hint="eastAsia"/>
                      <w:color w:val="auto"/>
                      <w:sz w:val="18"/>
                      <w:szCs w:val="18"/>
                      <w:lang w:val="en-US" w:eastAsia="zh-CN"/>
                    </w:rPr>
                    <w:t>），收集处理后回用不外排</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3780" w:type="dxa"/>
                  <w:vAlign w:val="center"/>
                </w:tcPr>
                <w:p>
                  <w:pPr>
                    <w:keepNext w:val="0"/>
                    <w:keepLines w:val="0"/>
                    <w:suppressLineNumbers w:val="0"/>
                    <w:spacing w:before="0" w:beforeAutospacing="0" w:after="0" w:afterAutospacing="0" w:line="280" w:lineRule="exact"/>
                    <w:ind w:left="-42" w:right="0"/>
                    <w:jc w:val="left"/>
                    <w:rPr>
                      <w:rFonts w:hint="default"/>
                      <w:color w:val="auto"/>
                      <w:sz w:val="18"/>
                      <w:szCs w:val="18"/>
                    </w:rPr>
                  </w:pPr>
                  <w:r>
                    <w:rPr>
                      <w:rFonts w:hint="eastAsia"/>
                      <w:color w:val="auto"/>
                      <w:sz w:val="18"/>
                      <w:szCs w:val="18"/>
                      <w:lang w:val="en-US" w:eastAsia="zh-CN"/>
                    </w:rPr>
                    <w:t>场地散水：主要包括厂区露天区域受污染的初期雨水以及产品渗沥水。厂区内边沟将场地散排水收集至散水池（容积约50m</w:t>
                  </w:r>
                  <w:r>
                    <w:rPr>
                      <w:rFonts w:hint="eastAsia"/>
                      <w:color w:val="auto"/>
                      <w:sz w:val="18"/>
                      <w:szCs w:val="18"/>
                      <w:vertAlign w:val="superscript"/>
                      <w:lang w:val="en-US" w:eastAsia="zh-CN"/>
                    </w:rPr>
                    <w:t>3</w:t>
                  </w:r>
                  <w:r>
                    <w:rPr>
                      <w:rFonts w:hint="eastAsia"/>
                      <w:color w:val="auto"/>
                      <w:sz w:val="18"/>
                      <w:szCs w:val="18"/>
                      <w:lang w:val="en-US" w:eastAsia="zh-CN"/>
                    </w:rPr>
                    <w:t>），再泵回污水池进入废水处理系统，处理后回用不外排</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3780" w:type="dxa"/>
                  <w:vAlign w:val="center"/>
                </w:tcPr>
                <w:p>
                  <w:pPr>
                    <w:keepNext w:val="0"/>
                    <w:keepLines w:val="0"/>
                    <w:suppressLineNumbers w:val="0"/>
                    <w:spacing w:before="0" w:beforeAutospacing="0" w:after="0" w:afterAutospacing="0" w:line="280" w:lineRule="exact"/>
                    <w:ind w:left="-42" w:right="0"/>
                    <w:jc w:val="left"/>
                    <w:rPr>
                      <w:rFonts w:hint="default" w:eastAsia="宋体"/>
                      <w:color w:val="auto"/>
                      <w:sz w:val="18"/>
                      <w:szCs w:val="18"/>
                      <w:lang w:val="en-US" w:eastAsia="zh-CN"/>
                    </w:rPr>
                  </w:pPr>
                  <w:r>
                    <w:rPr>
                      <w:rFonts w:hint="eastAsia" w:ascii="宋体" w:hAnsi="宋体"/>
                      <w:color w:val="auto"/>
                      <w:sz w:val="18"/>
                      <w:szCs w:val="18"/>
                    </w:rPr>
                    <w:t>生活污水：设化粪池</w:t>
                  </w:r>
                  <w:r>
                    <w:rPr>
                      <w:rFonts w:hint="eastAsia"/>
                      <w:color w:val="auto"/>
                      <w:sz w:val="18"/>
                      <w:szCs w:val="18"/>
                    </w:rPr>
                    <w:t>1</w:t>
                  </w:r>
                  <w:r>
                    <w:rPr>
                      <w:rFonts w:hint="eastAsia" w:ascii="宋体" w:hAnsi="宋体"/>
                      <w:color w:val="auto"/>
                      <w:sz w:val="18"/>
                      <w:szCs w:val="18"/>
                    </w:rPr>
                    <w:t>个（容积</w:t>
                  </w:r>
                  <w:r>
                    <w:rPr>
                      <w:rFonts w:hint="default"/>
                      <w:color w:val="auto"/>
                      <w:sz w:val="18"/>
                      <w:szCs w:val="18"/>
                    </w:rPr>
                    <w:t>2</w:t>
                  </w:r>
                  <w:r>
                    <w:rPr>
                      <w:rFonts w:hint="eastAsia"/>
                      <w:color w:val="auto"/>
                      <w:sz w:val="18"/>
                      <w:szCs w:val="18"/>
                    </w:rPr>
                    <w:t>0</w:t>
                  </w:r>
                  <w:r>
                    <w:rPr>
                      <w:rFonts w:hint="eastAsia"/>
                      <w:bCs/>
                      <w:color w:val="auto"/>
                      <w:kern w:val="0"/>
                      <w:sz w:val="18"/>
                      <w:szCs w:val="18"/>
                    </w:rPr>
                    <w:t>m</w:t>
                  </w:r>
                  <w:r>
                    <w:rPr>
                      <w:rFonts w:hint="eastAsia"/>
                      <w:bCs/>
                      <w:color w:val="auto"/>
                      <w:kern w:val="0"/>
                      <w:sz w:val="18"/>
                      <w:szCs w:val="18"/>
                      <w:vertAlign w:val="superscript"/>
                    </w:rPr>
                    <w:t>3</w:t>
                  </w:r>
                  <w:r>
                    <w:rPr>
                      <w:rFonts w:hint="eastAsia" w:ascii="宋体" w:hAnsi="宋体"/>
                      <w:color w:val="auto"/>
                      <w:sz w:val="18"/>
                      <w:szCs w:val="18"/>
                    </w:rPr>
                    <w:t>）收集处理后，</w:t>
                  </w:r>
                  <w:r>
                    <w:rPr>
                      <w:rFonts w:hint="eastAsia" w:ascii="宋体" w:hAnsi="宋体"/>
                      <w:color w:val="auto"/>
                      <w:sz w:val="18"/>
                      <w:szCs w:val="18"/>
                      <w:lang w:val="en-US" w:eastAsia="zh-CN"/>
                    </w:rPr>
                    <w:t>由附近农户定期清掏做农肥使用</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恶臭</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Align w:val="center"/>
                </w:tcPr>
                <w:p>
                  <w:pPr>
                    <w:keepNext w:val="0"/>
                    <w:keepLines w:val="0"/>
                    <w:suppressLineNumbers w:val="0"/>
                    <w:spacing w:before="0" w:beforeAutospacing="0" w:after="0" w:afterAutospacing="0" w:line="280" w:lineRule="exact"/>
                    <w:ind w:left="-53" w:leftChars="-25" w:right="-53" w:rightChars="-25"/>
                    <w:jc w:val="center"/>
                    <w:rPr>
                      <w:rFonts w:hint="default"/>
                      <w:color w:val="auto"/>
                      <w:sz w:val="18"/>
                      <w:szCs w:val="18"/>
                    </w:rPr>
                  </w:pPr>
                  <w:r>
                    <w:rPr>
                      <w:rFonts w:hint="eastAsia" w:ascii="宋体" w:hAnsi="宋体"/>
                      <w:color w:val="auto"/>
                      <w:sz w:val="18"/>
                      <w:szCs w:val="18"/>
                    </w:rPr>
                    <w:t>噪声</w:t>
                  </w:r>
                </w:p>
                <w:p>
                  <w:pPr>
                    <w:keepNext w:val="0"/>
                    <w:keepLines w:val="0"/>
                    <w:suppressLineNumbers w:val="0"/>
                    <w:spacing w:before="0" w:beforeAutospacing="0" w:after="0" w:afterAutospacing="0" w:line="280" w:lineRule="exact"/>
                    <w:ind w:left="-53" w:leftChars="-25" w:right="-53" w:rightChars="-25"/>
                    <w:jc w:val="center"/>
                    <w:rPr>
                      <w:rFonts w:hint="default"/>
                      <w:color w:val="auto"/>
                      <w:sz w:val="18"/>
                      <w:szCs w:val="18"/>
                    </w:rPr>
                  </w:pPr>
                  <w:r>
                    <w:rPr>
                      <w:rFonts w:hint="eastAsia" w:ascii="宋体" w:hAnsi="宋体"/>
                      <w:color w:val="auto"/>
                      <w:sz w:val="18"/>
                      <w:szCs w:val="18"/>
                    </w:rPr>
                    <w:t>治理</w:t>
                  </w:r>
                </w:p>
              </w:tc>
              <w:tc>
                <w:tcPr>
                  <w:tcW w:w="3780" w:type="dxa"/>
                  <w:vAlign w:val="center"/>
                </w:tcPr>
                <w:p>
                  <w:pPr>
                    <w:keepNext w:val="0"/>
                    <w:keepLines w:val="0"/>
                    <w:suppressLineNumbers w:val="0"/>
                    <w:spacing w:before="0" w:beforeAutospacing="0" w:after="0" w:afterAutospacing="0" w:line="280" w:lineRule="exact"/>
                    <w:ind w:left="0" w:right="0"/>
                    <w:jc w:val="left"/>
                    <w:rPr>
                      <w:rFonts w:hint="default"/>
                      <w:color w:val="auto"/>
                      <w:sz w:val="18"/>
                      <w:szCs w:val="18"/>
                    </w:rPr>
                  </w:pPr>
                  <w:r>
                    <w:rPr>
                      <w:rFonts w:hint="eastAsia" w:ascii="宋体" w:hAnsi="宋体"/>
                      <w:color w:val="auto"/>
                      <w:sz w:val="18"/>
                      <w:szCs w:val="18"/>
                    </w:rPr>
                    <w:t>选用环保型低噪声设备、安装时采取基础减振</w:t>
                  </w:r>
                  <w:r>
                    <w:rPr>
                      <w:rFonts w:hint="eastAsia" w:ascii="宋体" w:hAnsi="宋体"/>
                      <w:color w:val="auto"/>
                      <w:sz w:val="18"/>
                      <w:szCs w:val="18"/>
                      <w:lang w:eastAsia="zh-CN"/>
                    </w:rPr>
                    <w:t>；</w:t>
                  </w:r>
                  <w:r>
                    <w:rPr>
                      <w:rFonts w:hint="eastAsia" w:ascii="宋体" w:hAnsi="宋体"/>
                      <w:color w:val="auto"/>
                      <w:sz w:val="18"/>
                      <w:szCs w:val="18"/>
                      <w:lang w:val="en-US" w:eastAsia="zh-CN"/>
                    </w:rPr>
                    <w:t>设备布置在车间内</w:t>
                  </w:r>
                  <w:r>
                    <w:rPr>
                      <w:rFonts w:hint="eastAsia" w:ascii="宋体" w:hAnsi="宋体"/>
                      <w:color w:val="auto"/>
                      <w:sz w:val="18"/>
                      <w:szCs w:val="18"/>
                    </w:rPr>
                    <w:t>建筑隔声；加强设备的维护保养；优化布局，尽量远离厂房边界；合理安排生产及运输作业时间</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restart"/>
                  <w:vAlign w:val="center"/>
                </w:tcPr>
                <w:p>
                  <w:pPr>
                    <w:keepNext w:val="0"/>
                    <w:keepLines w:val="0"/>
                    <w:suppressLineNumbers w:val="0"/>
                    <w:spacing w:before="0" w:beforeAutospacing="0" w:after="0" w:afterAutospacing="0" w:line="280" w:lineRule="exact"/>
                    <w:ind w:left="-53" w:leftChars="-25" w:right="-53" w:rightChars="-25"/>
                    <w:jc w:val="center"/>
                    <w:rPr>
                      <w:rFonts w:hint="default"/>
                      <w:color w:val="auto"/>
                      <w:sz w:val="18"/>
                      <w:szCs w:val="18"/>
                    </w:rPr>
                  </w:pPr>
                  <w:r>
                    <w:rPr>
                      <w:rFonts w:hint="eastAsia" w:ascii="宋体" w:hAnsi="宋体"/>
                      <w:color w:val="auto"/>
                      <w:sz w:val="18"/>
                      <w:szCs w:val="18"/>
                    </w:rPr>
                    <w:t>固废</w:t>
                  </w:r>
                </w:p>
                <w:p>
                  <w:pPr>
                    <w:keepNext w:val="0"/>
                    <w:keepLines w:val="0"/>
                    <w:suppressLineNumbers w:val="0"/>
                    <w:spacing w:before="0" w:beforeAutospacing="0" w:after="0" w:afterAutospacing="0" w:line="280" w:lineRule="exact"/>
                    <w:ind w:left="-53" w:leftChars="-25" w:right="-53" w:rightChars="-25"/>
                    <w:jc w:val="center"/>
                    <w:rPr>
                      <w:rFonts w:hint="default"/>
                      <w:color w:val="auto"/>
                      <w:sz w:val="18"/>
                      <w:szCs w:val="18"/>
                    </w:rPr>
                  </w:pPr>
                  <w:r>
                    <w:rPr>
                      <w:rFonts w:hint="eastAsia" w:ascii="宋体" w:hAnsi="宋体"/>
                      <w:color w:val="auto"/>
                      <w:sz w:val="18"/>
                      <w:szCs w:val="18"/>
                    </w:rPr>
                    <w:t>处置</w:t>
                  </w:r>
                </w:p>
              </w:tc>
              <w:tc>
                <w:tcPr>
                  <w:tcW w:w="3780" w:type="dxa"/>
                  <w:vAlign w:val="center"/>
                </w:tcPr>
                <w:p>
                  <w:pPr>
                    <w:keepNext w:val="0"/>
                    <w:keepLines w:val="0"/>
                    <w:suppressLineNumbers w:val="0"/>
                    <w:spacing w:before="0" w:beforeAutospacing="0" w:after="0" w:afterAutospacing="0" w:line="280" w:lineRule="exact"/>
                    <w:ind w:left="0" w:right="0"/>
                    <w:jc w:val="left"/>
                    <w:rPr>
                      <w:rFonts w:hint="default" w:eastAsia="宋体"/>
                      <w:color w:val="auto"/>
                      <w:sz w:val="18"/>
                      <w:szCs w:val="18"/>
                      <w:lang w:val="en-US" w:eastAsia="zh-CN"/>
                    </w:rPr>
                  </w:pPr>
                  <w:r>
                    <w:rPr>
                      <w:rFonts w:hint="eastAsia" w:ascii="宋体" w:hAnsi="宋体"/>
                      <w:color w:val="auto"/>
                      <w:sz w:val="18"/>
                      <w:szCs w:val="18"/>
                      <w:lang w:val="en-US" w:eastAsia="zh-CN"/>
                    </w:rPr>
                    <w:t>干化泥饼</w:t>
                  </w:r>
                  <w:r>
                    <w:rPr>
                      <w:rFonts w:hint="eastAsia" w:ascii="宋体" w:hAnsi="宋体"/>
                      <w:color w:val="auto"/>
                      <w:sz w:val="18"/>
                      <w:szCs w:val="18"/>
                    </w:rPr>
                    <w:t>：在板框压滤机下方设置一个泥饼暂存池</w:t>
                  </w:r>
                  <w:r>
                    <w:rPr>
                      <w:rFonts w:hint="eastAsia" w:ascii="宋体" w:hAnsi="宋体"/>
                      <w:color w:val="auto"/>
                      <w:sz w:val="18"/>
                      <w:szCs w:val="18"/>
                      <w:lang w:eastAsia="zh-CN"/>
                    </w:rPr>
                    <w:t>（</w:t>
                  </w:r>
                  <w:r>
                    <w:rPr>
                      <w:rFonts w:hint="eastAsia" w:ascii="宋体" w:hAnsi="宋体"/>
                      <w:color w:val="auto"/>
                      <w:sz w:val="18"/>
                      <w:szCs w:val="18"/>
                      <w:lang w:val="en-US" w:eastAsia="zh-CN"/>
                    </w:rPr>
                    <w:t>容积约20m</w:t>
                  </w:r>
                  <w:r>
                    <w:rPr>
                      <w:rFonts w:hint="eastAsia" w:ascii="宋体" w:hAnsi="宋体"/>
                      <w:color w:val="auto"/>
                      <w:sz w:val="18"/>
                      <w:szCs w:val="18"/>
                      <w:vertAlign w:val="superscript"/>
                      <w:lang w:val="en-US" w:eastAsia="zh-CN"/>
                    </w:rPr>
                    <w:t>3</w:t>
                  </w:r>
                  <w:r>
                    <w:rPr>
                      <w:rFonts w:hint="eastAsia" w:ascii="宋体" w:hAnsi="宋体"/>
                      <w:color w:val="auto"/>
                      <w:sz w:val="18"/>
                      <w:szCs w:val="18"/>
                      <w:lang w:eastAsia="zh-CN"/>
                    </w:rPr>
                    <w:t>）</w:t>
                  </w:r>
                  <w:r>
                    <w:rPr>
                      <w:rFonts w:hint="eastAsia" w:ascii="宋体" w:hAnsi="宋体"/>
                      <w:color w:val="auto"/>
                      <w:sz w:val="18"/>
                      <w:szCs w:val="18"/>
                    </w:rPr>
                    <w:t>，暂存池应采取地面硬化并设置三面围挡，确保防雨淋、防流失、防渗；在暂存池的敞口面设置截排水沟，避免场地散水进入暂存池，冲刷干化泥饼。定期拉运干化泥饼至附近砖厂或者建材厂做原料再利用</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eastAsia="宋体"/>
                      <w:color w:val="auto"/>
                      <w:sz w:val="18"/>
                      <w:szCs w:val="18"/>
                      <w:lang w:val="en-US" w:eastAsia="zh-CN"/>
                    </w:rPr>
                  </w:pPr>
                  <w:r>
                    <w:rPr>
                      <w:rFonts w:hint="eastAsia" w:ascii="宋体" w:hAnsi="宋体"/>
                      <w:color w:val="auto"/>
                      <w:sz w:val="18"/>
                      <w:szCs w:val="18"/>
                      <w:lang w:val="en-US" w:eastAsia="zh-CN"/>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3780" w:type="dxa"/>
                  <w:vAlign w:val="center"/>
                </w:tcPr>
                <w:p>
                  <w:pPr>
                    <w:keepNext w:val="0"/>
                    <w:keepLines w:val="0"/>
                    <w:suppressLineNumbers w:val="0"/>
                    <w:spacing w:before="0" w:beforeAutospacing="0" w:after="0" w:afterAutospacing="0" w:line="280" w:lineRule="exact"/>
                    <w:ind w:left="0" w:right="0"/>
                    <w:jc w:val="left"/>
                    <w:rPr>
                      <w:rFonts w:hint="default" w:ascii="宋体" w:hAnsi="宋体"/>
                      <w:color w:val="auto"/>
                      <w:sz w:val="18"/>
                      <w:szCs w:val="18"/>
                    </w:rPr>
                  </w:pPr>
                  <w:r>
                    <w:rPr>
                      <w:rFonts w:hint="eastAsia" w:ascii="宋体" w:hAnsi="宋体"/>
                      <w:color w:val="auto"/>
                      <w:sz w:val="18"/>
                      <w:szCs w:val="18"/>
                    </w:rPr>
                    <w:t>废包装材料：统一收集后外售至废品回收站</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ascii="宋体" w:hAnsi="宋体"/>
                      <w:color w:val="auto"/>
                      <w:sz w:val="18"/>
                      <w:szCs w:val="18"/>
                    </w:rPr>
                  </w:pPr>
                  <w:r>
                    <w:rPr>
                      <w:rFonts w:hint="eastAsia" w:ascii="宋体" w:hAnsi="宋体"/>
                      <w:color w:val="auto"/>
                      <w:sz w:val="18"/>
                      <w:szCs w:val="18"/>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3780" w:type="dxa"/>
                  <w:vAlign w:val="center"/>
                </w:tcPr>
                <w:p>
                  <w:pPr>
                    <w:keepNext w:val="0"/>
                    <w:keepLines w:val="0"/>
                    <w:suppressLineNumbers w:val="0"/>
                    <w:spacing w:before="0" w:beforeAutospacing="0" w:after="0" w:afterAutospacing="0" w:line="280" w:lineRule="exact"/>
                    <w:ind w:left="0" w:right="0"/>
                    <w:jc w:val="left"/>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振动给料分离的泥：收集后由原料运输车辆统一运回出售矿石的矿山企业用于采空区回填</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eastAsia" w:ascii="宋体" w:hAnsi="宋体" w:eastAsia="宋体"/>
                      <w:color w:val="auto"/>
                      <w:sz w:val="18"/>
                      <w:szCs w:val="18"/>
                      <w:lang w:val="en-US" w:eastAsia="zh-CN"/>
                    </w:rPr>
                  </w:pPr>
                  <w:r>
                    <w:rPr>
                      <w:rFonts w:hint="eastAsia" w:ascii="宋体" w:hAnsi="宋体"/>
                      <w:color w:val="auto"/>
                      <w:sz w:val="18"/>
                      <w:szCs w:val="18"/>
                      <w:lang w:val="en-US" w:eastAsia="zh-CN"/>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eastAsia" w:eastAsia="宋体"/>
                      <w:color w:val="auto"/>
                      <w:sz w:val="18"/>
                      <w:szCs w:val="18"/>
                      <w:lang w:val="en-US" w:eastAsia="zh-CN"/>
                    </w:rPr>
                  </w:pPr>
                  <w:r>
                    <w:rPr>
                      <w:rFonts w:hint="eastAsia"/>
                      <w:color w:val="auto"/>
                      <w:sz w:val="18"/>
                      <w:szCs w:val="18"/>
                      <w:lang w:val="en-US" w:eastAsia="zh-CN"/>
                    </w:rPr>
                    <w:t>铁制</w:t>
                  </w:r>
                </w:p>
              </w:tc>
              <w:tc>
                <w:tcPr>
                  <w:tcW w:w="498"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3780" w:type="dxa"/>
                  <w:vAlign w:val="center"/>
                </w:tcPr>
                <w:p>
                  <w:pPr>
                    <w:keepNext w:val="0"/>
                    <w:keepLines w:val="0"/>
                    <w:suppressLineNumbers w:val="0"/>
                    <w:spacing w:before="0" w:beforeAutospacing="0" w:after="0" w:afterAutospacing="0" w:line="280" w:lineRule="exact"/>
                    <w:ind w:left="0" w:right="0"/>
                    <w:jc w:val="left"/>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铁质废物：定期收集后外售废品回收站</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eastAsia" w:ascii="宋体" w:hAnsi="宋体" w:eastAsia="宋体"/>
                      <w:color w:val="auto"/>
                      <w:sz w:val="18"/>
                      <w:szCs w:val="18"/>
                      <w:lang w:val="en-US" w:eastAsia="zh-CN"/>
                    </w:rPr>
                  </w:pPr>
                  <w:r>
                    <w:rPr>
                      <w:rFonts w:hint="eastAsia" w:ascii="宋体" w:hAnsi="宋体"/>
                      <w:color w:val="auto"/>
                      <w:sz w:val="18"/>
                      <w:szCs w:val="18"/>
                      <w:lang w:val="en-US" w:eastAsia="zh-CN"/>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宋体" w:hAnsi="宋体"/>
                      <w:color w:val="auto"/>
                      <w:sz w:val="18"/>
                      <w:szCs w:val="18"/>
                      <w:lang w:val="en-US" w:eastAsia="zh-CN"/>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3780" w:type="dxa"/>
                  <w:vAlign w:val="center"/>
                </w:tcPr>
                <w:p>
                  <w:pPr>
                    <w:keepNext w:val="0"/>
                    <w:keepLines w:val="0"/>
                    <w:suppressLineNumbers w:val="0"/>
                    <w:spacing w:before="0" w:beforeAutospacing="0" w:after="0" w:afterAutospacing="0" w:line="280" w:lineRule="exact"/>
                    <w:ind w:left="0" w:right="0"/>
                    <w:jc w:val="left"/>
                    <w:rPr>
                      <w:rFonts w:hint="default"/>
                      <w:color w:val="auto"/>
                      <w:sz w:val="18"/>
                      <w:szCs w:val="18"/>
                    </w:rPr>
                  </w:pPr>
                  <w:r>
                    <w:rPr>
                      <w:rFonts w:hint="eastAsia" w:ascii="宋体" w:hAnsi="宋体"/>
                      <w:color w:val="auto"/>
                      <w:sz w:val="18"/>
                      <w:szCs w:val="18"/>
                    </w:rPr>
                    <w:t>危险废物：按照《危险废物贮存污染物控制标准》（</w:t>
                  </w:r>
                  <w:r>
                    <w:rPr>
                      <w:rFonts w:hint="eastAsia"/>
                      <w:color w:val="auto"/>
                      <w:sz w:val="18"/>
                      <w:szCs w:val="18"/>
                    </w:rPr>
                    <w:t>GB 18597-2023</w:t>
                  </w:r>
                  <w:r>
                    <w:rPr>
                      <w:rFonts w:hint="eastAsia" w:ascii="宋体" w:hAnsi="宋体"/>
                      <w:color w:val="auto"/>
                      <w:sz w:val="18"/>
                      <w:szCs w:val="18"/>
                    </w:rPr>
                    <w:t>）的最新要求，设置规范的危废间，建筑面积</w:t>
                  </w:r>
                  <w:r>
                    <w:rPr>
                      <w:rFonts w:hint="eastAsia"/>
                      <w:color w:val="auto"/>
                      <w:sz w:val="18"/>
                      <w:szCs w:val="18"/>
                    </w:rPr>
                    <w:t>5m</w:t>
                  </w:r>
                  <w:r>
                    <w:rPr>
                      <w:rFonts w:hint="default"/>
                      <w:color w:val="auto"/>
                      <w:sz w:val="18"/>
                      <w:szCs w:val="18"/>
                      <w:vertAlign w:val="superscript"/>
                    </w:rPr>
                    <w:t>2</w:t>
                  </w:r>
                  <w:r>
                    <w:rPr>
                      <w:rFonts w:hint="eastAsia" w:ascii="宋体" w:hAnsi="宋体"/>
                      <w:color w:val="auto"/>
                      <w:sz w:val="18"/>
                      <w:szCs w:val="18"/>
                    </w:rPr>
                    <w:t xml:space="preserve">，落实防风、防雨、防晒、防渗、防漏、防腐等环境污染防治措施，并按《危险废物识别标志设置技术规范》 </w:t>
                  </w:r>
                  <w:r>
                    <w:rPr>
                      <w:rFonts w:hint="eastAsia"/>
                      <w:color w:val="auto"/>
                      <w:sz w:val="18"/>
                      <w:szCs w:val="18"/>
                    </w:rPr>
                    <w:t>(HJ 1276-2022)</w:t>
                  </w:r>
                  <w:r>
                    <w:rPr>
                      <w:rFonts w:hint="eastAsia" w:ascii="宋体" w:hAnsi="宋体"/>
                      <w:color w:val="auto"/>
                      <w:sz w:val="18"/>
                      <w:szCs w:val="18"/>
                    </w:rPr>
                    <w:t>的要求张贴标识标牌等，建立危废台账，委托有资质的单位回收处理</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ascii="宋体" w:hAnsi="宋体"/>
                      <w:color w:val="auto"/>
                      <w:sz w:val="18"/>
                      <w:szCs w:val="18"/>
                    </w:rPr>
                    <w:t>环境风险</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68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98"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3780" w:type="dxa"/>
                  <w:vAlign w:val="center"/>
                </w:tcPr>
                <w:p>
                  <w:pPr>
                    <w:keepNext w:val="0"/>
                    <w:keepLines w:val="0"/>
                    <w:suppressLineNumbers w:val="0"/>
                    <w:spacing w:before="0" w:beforeAutospacing="0" w:after="0" w:afterAutospacing="0" w:line="280" w:lineRule="exact"/>
                    <w:ind w:left="0" w:right="0"/>
                    <w:jc w:val="left"/>
                    <w:rPr>
                      <w:rFonts w:hint="default"/>
                      <w:color w:val="auto"/>
                      <w:sz w:val="18"/>
                      <w:szCs w:val="18"/>
                    </w:rPr>
                  </w:pPr>
                  <w:r>
                    <w:rPr>
                      <w:rFonts w:hint="eastAsia" w:ascii="宋体" w:hAnsi="宋体"/>
                      <w:color w:val="auto"/>
                      <w:sz w:val="18"/>
                      <w:szCs w:val="18"/>
                    </w:rPr>
                    <w:t>生活垃圾：袋装收集后运至附近场镇生活垃圾集中收集点，由环卫负责清运</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宋体" w:hAnsi="宋体"/>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 w:hRule="atLeast"/>
                <w:jc w:val="center"/>
              </w:trPr>
              <w:tc>
                <w:tcPr>
                  <w:tcW w:w="680" w:type="dxa"/>
                  <w:vAlign w:val="center"/>
                </w:tcPr>
                <w:p>
                  <w:pPr>
                    <w:keepNext w:val="0"/>
                    <w:keepLines w:val="0"/>
                    <w:suppressLineNumbers w:val="0"/>
                    <w:spacing w:before="0" w:beforeAutospacing="0" w:after="0" w:afterAutospacing="0" w:line="280" w:lineRule="exact"/>
                    <w:ind w:left="-53" w:leftChars="-25" w:right="-53" w:rightChars="-25"/>
                    <w:jc w:val="center"/>
                    <w:rPr>
                      <w:rFonts w:hint="default"/>
                      <w:color w:val="auto"/>
                      <w:sz w:val="18"/>
                      <w:szCs w:val="18"/>
                    </w:rPr>
                  </w:pPr>
                  <w:r>
                    <w:rPr>
                      <w:rFonts w:hint="eastAsia" w:ascii="宋体" w:hAnsi="宋体"/>
                      <w:color w:val="auto"/>
                      <w:sz w:val="18"/>
                      <w:szCs w:val="18"/>
                    </w:rPr>
                    <w:t>办公及生活</w:t>
                  </w:r>
                </w:p>
              </w:tc>
              <w:tc>
                <w:tcPr>
                  <w:tcW w:w="4278" w:type="dxa"/>
                  <w:gridSpan w:val="2"/>
                  <w:vAlign w:val="center"/>
                </w:tcPr>
                <w:p>
                  <w:pPr>
                    <w:keepNext w:val="0"/>
                    <w:keepLines w:val="0"/>
                    <w:suppressLineNumbers w:val="0"/>
                    <w:spacing w:before="0" w:beforeAutospacing="0" w:after="0" w:afterAutospacing="0" w:line="280" w:lineRule="exact"/>
                    <w:ind w:left="0" w:right="0"/>
                    <w:jc w:val="left"/>
                    <w:rPr>
                      <w:rFonts w:hint="default"/>
                      <w:color w:val="auto"/>
                      <w:sz w:val="18"/>
                      <w:szCs w:val="18"/>
                      <w:vertAlign w:val="superscript"/>
                    </w:rPr>
                  </w:pPr>
                  <w:r>
                    <w:rPr>
                      <w:rFonts w:hint="eastAsia" w:ascii="宋体" w:hAnsi="宋体"/>
                      <w:color w:val="auto"/>
                      <w:sz w:val="18"/>
                      <w:szCs w:val="18"/>
                      <w:lang w:val="en-US" w:eastAsia="zh-CN"/>
                    </w:rPr>
                    <w:t>租用厂区西面的闲置农户房屋2栋，建筑面积约200</w:t>
                  </w:r>
                  <w:r>
                    <w:rPr>
                      <w:rFonts w:hint="default"/>
                      <w:color w:val="auto"/>
                      <w:sz w:val="18"/>
                      <w:szCs w:val="18"/>
                    </w:rPr>
                    <w:t>m</w:t>
                  </w:r>
                  <w:r>
                    <w:rPr>
                      <w:rFonts w:hint="default"/>
                      <w:color w:val="auto"/>
                      <w:sz w:val="18"/>
                      <w:szCs w:val="18"/>
                      <w:vertAlign w:val="superscript"/>
                    </w:rPr>
                    <w:t>2</w:t>
                  </w:r>
                  <w:r>
                    <w:rPr>
                      <w:rFonts w:hint="default" w:ascii="宋体" w:hAnsi="宋体"/>
                      <w:color w:val="auto"/>
                      <w:sz w:val="18"/>
                      <w:szCs w:val="18"/>
                    </w:rPr>
                    <w:t>，</w:t>
                  </w:r>
                  <w:r>
                    <w:rPr>
                      <w:rFonts w:hint="eastAsia" w:ascii="宋体" w:hAnsi="宋体"/>
                      <w:color w:val="auto"/>
                      <w:sz w:val="18"/>
                      <w:szCs w:val="18"/>
                      <w:lang w:val="en-US" w:eastAsia="zh-CN"/>
                    </w:rPr>
                    <w:t>做办公生活用房。设办公室、值班室及会议室等，不设职工食堂和住宿。厂区大门进出口设活动板房式门卫室1间，建筑面积5</w:t>
                  </w:r>
                  <w:r>
                    <w:rPr>
                      <w:rFonts w:hint="default"/>
                      <w:color w:val="auto"/>
                      <w:sz w:val="18"/>
                      <w:szCs w:val="18"/>
                    </w:rPr>
                    <w:t>m</w:t>
                  </w:r>
                  <w:r>
                    <w:rPr>
                      <w:rFonts w:hint="default"/>
                      <w:color w:val="auto"/>
                      <w:sz w:val="18"/>
                      <w:szCs w:val="18"/>
                      <w:vertAlign w:val="superscript"/>
                    </w:rPr>
                    <w:t>2</w:t>
                  </w:r>
                </w:p>
              </w:tc>
              <w:tc>
                <w:tcPr>
                  <w:tcW w:w="82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1425" w:type="dxa"/>
                  <w:vAlign w:val="center"/>
                </w:tcPr>
                <w:p>
                  <w:pPr>
                    <w:keepNext w:val="0"/>
                    <w:keepLines w:val="0"/>
                    <w:suppressLineNumbers w:val="0"/>
                    <w:spacing w:before="0" w:beforeAutospacing="0" w:after="0" w:afterAutospacing="0" w:line="280" w:lineRule="exact"/>
                    <w:ind w:left="-105" w:leftChars="-50" w:right="-105" w:rightChars="-50"/>
                    <w:jc w:val="center"/>
                    <w:rPr>
                      <w:rFonts w:hint="default"/>
                      <w:color w:val="auto"/>
                      <w:sz w:val="18"/>
                      <w:szCs w:val="18"/>
                    </w:rPr>
                  </w:pPr>
                  <w:r>
                    <w:rPr>
                      <w:rFonts w:hint="eastAsia" w:ascii="宋体" w:hAnsi="宋体"/>
                      <w:color w:val="auto"/>
                      <w:sz w:val="18"/>
                      <w:szCs w:val="18"/>
                    </w:rPr>
                    <w:t>生活垃圾、生活污水</w:t>
                  </w:r>
                </w:p>
              </w:tc>
              <w:tc>
                <w:tcPr>
                  <w:tcW w:w="605" w:type="dxa"/>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leftChars="0" w:right="0" w:rightChars="0"/>
                    <w:jc w:val="center"/>
                    <w:textAlignment w:val="auto"/>
                    <w:rPr>
                      <w:rFonts w:hint="eastAsia" w:ascii="宋体" w:hAnsi="宋体" w:eastAsia="宋体"/>
                      <w:color w:val="auto"/>
                      <w:sz w:val="18"/>
                      <w:szCs w:val="18"/>
                      <w:lang w:val="en-US" w:eastAsia="zh-CN"/>
                    </w:rPr>
                  </w:pPr>
                  <w:r>
                    <w:rPr>
                      <w:rFonts w:hint="eastAsia" w:ascii="宋体" w:hAnsi="宋体"/>
                      <w:color w:val="auto"/>
                      <w:sz w:val="18"/>
                      <w:szCs w:val="18"/>
                      <w:lang w:val="en-US" w:eastAsia="zh-CN"/>
                    </w:rPr>
                    <w:t>租用</w:t>
                  </w:r>
                </w:p>
              </w:tc>
            </w:tr>
          </w:tbl>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2</w:t>
            </w:r>
            <w:r>
              <w:rPr>
                <w:rFonts w:hint="default" w:ascii="黑体" w:hAnsi="黑体" w:eastAsia="黑体" w:cs="宋体"/>
                <w:bCs/>
                <w:color w:val="auto"/>
                <w:sz w:val="22"/>
                <w:szCs w:val="22"/>
              </w:rPr>
              <w:t>、产品方案及产能</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cs="宋体"/>
                <w:color w:val="auto"/>
                <w:kern w:val="0"/>
                <w:szCs w:val="21"/>
              </w:rPr>
              <w:t>本项目</w:t>
            </w:r>
            <w:r>
              <w:rPr>
                <w:rFonts w:hint="eastAsia" w:cs="宋体"/>
                <w:color w:val="auto"/>
                <w:kern w:val="0"/>
                <w:szCs w:val="21"/>
              </w:rPr>
              <w:t>不进行矿山开采，</w:t>
            </w:r>
            <w:r>
              <w:rPr>
                <w:rFonts w:hint="eastAsia" w:cs="宋体"/>
                <w:color w:val="auto"/>
                <w:kern w:val="0"/>
                <w:szCs w:val="21"/>
                <w:lang w:val="en-US" w:eastAsia="zh-CN"/>
              </w:rPr>
              <w:t>砂石生产所用</w:t>
            </w:r>
            <w:r>
              <w:rPr>
                <w:rFonts w:hint="eastAsia" w:cs="宋体"/>
                <w:color w:val="auto"/>
                <w:kern w:val="0"/>
                <w:szCs w:val="21"/>
              </w:rPr>
              <w:t>原料主要外购于</w:t>
            </w:r>
            <w:r>
              <w:rPr>
                <w:rFonts w:hint="eastAsia" w:cs="宋体"/>
                <w:color w:val="auto"/>
                <w:kern w:val="0"/>
                <w:szCs w:val="21"/>
                <w:lang w:val="en-US" w:eastAsia="zh-CN"/>
              </w:rPr>
              <w:t>九盘山上矿山企业开采的块状砂石料</w:t>
            </w:r>
            <w:r>
              <w:rPr>
                <w:rFonts w:hint="eastAsia" w:cs="宋体"/>
                <w:color w:val="auto"/>
                <w:kern w:val="0"/>
                <w:szCs w:val="21"/>
              </w:rPr>
              <w:t>，采用汽车运输至原料堆场暂存后，再进行</w:t>
            </w:r>
            <w:r>
              <w:rPr>
                <w:rFonts w:hint="eastAsia" w:cs="宋体"/>
                <w:color w:val="auto"/>
                <w:kern w:val="0"/>
                <w:szCs w:val="21"/>
                <w:lang w:val="en-US" w:eastAsia="zh-CN"/>
              </w:rPr>
              <w:t>水洗加工</w:t>
            </w:r>
            <w:r>
              <w:rPr>
                <w:rFonts w:hint="eastAsia" w:cs="宋体"/>
                <w:color w:val="auto"/>
                <w:kern w:val="0"/>
                <w:szCs w:val="21"/>
              </w:rPr>
              <w:t>得到项目所需的成品砂石料。</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根据行业经验系数，1.0m</w:t>
            </w:r>
            <w:r>
              <w:rPr>
                <w:rFonts w:hint="eastAsia" w:cs="宋体"/>
                <w:color w:val="auto"/>
                <w:kern w:val="0"/>
                <w:szCs w:val="21"/>
                <w:vertAlign w:val="superscript"/>
              </w:rPr>
              <w:t>3</w:t>
            </w:r>
            <w:r>
              <w:rPr>
                <w:rFonts w:hint="eastAsia" w:cs="宋体"/>
                <w:color w:val="auto"/>
                <w:kern w:val="0"/>
                <w:szCs w:val="21"/>
              </w:rPr>
              <w:t>机砂的重量约1.2~1.6t，1.0m</w:t>
            </w:r>
            <w:r>
              <w:rPr>
                <w:rFonts w:hint="eastAsia" w:cs="宋体"/>
                <w:color w:val="auto"/>
                <w:kern w:val="0"/>
                <w:szCs w:val="21"/>
                <w:vertAlign w:val="superscript"/>
              </w:rPr>
              <w:t>3</w:t>
            </w:r>
            <w:r>
              <w:rPr>
                <w:rFonts w:hint="eastAsia" w:cs="宋体"/>
                <w:color w:val="auto"/>
                <w:kern w:val="0"/>
                <w:szCs w:val="21"/>
              </w:rPr>
              <w:t>碎石的重量约1.3~1.7t；本次环评机砂及碎石容重均按1.5t/m</w:t>
            </w:r>
            <w:r>
              <w:rPr>
                <w:rFonts w:hint="eastAsia" w:cs="宋体"/>
                <w:color w:val="auto"/>
                <w:kern w:val="0"/>
                <w:szCs w:val="21"/>
                <w:vertAlign w:val="superscript"/>
              </w:rPr>
              <w:t>3</w:t>
            </w:r>
            <w:r>
              <w:rPr>
                <w:rFonts w:hint="eastAsia" w:cs="宋体"/>
                <w:color w:val="auto"/>
                <w:kern w:val="0"/>
                <w:szCs w:val="21"/>
              </w:rPr>
              <w:t>计，则</w:t>
            </w:r>
            <w:r>
              <w:rPr>
                <w:rFonts w:hint="default" w:cs="宋体"/>
                <w:color w:val="auto"/>
                <w:kern w:val="0"/>
                <w:szCs w:val="21"/>
              </w:rPr>
              <w:t>120</w:t>
            </w:r>
            <w:r>
              <w:rPr>
                <w:rFonts w:hint="eastAsia" w:cs="宋体"/>
                <w:color w:val="auto"/>
                <w:kern w:val="0"/>
                <w:szCs w:val="21"/>
              </w:rPr>
              <w:t>万吨砂石产品约</w:t>
            </w:r>
            <w:r>
              <w:rPr>
                <w:rFonts w:hint="default" w:cs="宋体"/>
                <w:color w:val="auto"/>
                <w:kern w:val="0"/>
                <w:szCs w:val="21"/>
              </w:rPr>
              <w:t>80</w:t>
            </w:r>
            <w:r>
              <w:rPr>
                <w:rFonts w:hint="eastAsia" w:cs="宋体"/>
                <w:color w:val="auto"/>
                <w:kern w:val="0"/>
                <w:szCs w:val="21"/>
              </w:rPr>
              <w:t>万m</w:t>
            </w:r>
            <w:r>
              <w:rPr>
                <w:rFonts w:hint="eastAsia" w:cs="宋体"/>
                <w:color w:val="auto"/>
                <w:kern w:val="0"/>
                <w:szCs w:val="21"/>
                <w:vertAlign w:val="superscript"/>
              </w:rPr>
              <w:t>3</w:t>
            </w:r>
            <w:r>
              <w:rPr>
                <w:rFonts w:hint="eastAsia" w:cs="宋体"/>
                <w:color w:val="auto"/>
                <w:kern w:val="0"/>
                <w:szCs w:val="21"/>
              </w:rPr>
              <w:t>。项目建筑用砂执行《建设用砂》</w:t>
            </w:r>
            <w:r>
              <w:rPr>
                <w:rFonts w:hint="eastAsia" w:cs="宋体"/>
                <w:color w:val="auto"/>
                <w:kern w:val="0"/>
                <w:szCs w:val="21"/>
                <w:lang w:eastAsia="zh-CN"/>
              </w:rPr>
              <w:t>（</w:t>
            </w:r>
            <w:r>
              <w:rPr>
                <w:rFonts w:hint="eastAsia" w:cs="宋体"/>
                <w:color w:val="auto"/>
                <w:kern w:val="0"/>
                <w:szCs w:val="21"/>
              </w:rPr>
              <w:t>GB/T14684-2011</w:t>
            </w:r>
            <w:r>
              <w:rPr>
                <w:rFonts w:hint="eastAsia" w:cs="宋体"/>
                <w:color w:val="auto"/>
                <w:kern w:val="0"/>
                <w:szCs w:val="21"/>
                <w:lang w:eastAsia="zh-CN"/>
              </w:rPr>
              <w:t>）</w:t>
            </w:r>
            <w:r>
              <w:rPr>
                <w:rFonts w:hint="eastAsia" w:cs="宋体"/>
                <w:color w:val="auto"/>
                <w:kern w:val="0"/>
                <w:szCs w:val="21"/>
              </w:rPr>
              <w:t>；建筑用碎石执行《建筑用卵石、碎石》</w:t>
            </w:r>
            <w:r>
              <w:rPr>
                <w:rFonts w:hint="eastAsia" w:cs="宋体"/>
                <w:color w:val="auto"/>
                <w:kern w:val="0"/>
                <w:szCs w:val="21"/>
                <w:lang w:eastAsia="zh-CN"/>
              </w:rPr>
              <w:t>（</w:t>
            </w:r>
            <w:r>
              <w:rPr>
                <w:rFonts w:hint="eastAsia" w:cs="宋体"/>
                <w:color w:val="auto"/>
                <w:kern w:val="0"/>
                <w:szCs w:val="21"/>
              </w:rPr>
              <w:t>GB/T14685-2011</w:t>
            </w:r>
            <w:r>
              <w:rPr>
                <w:rFonts w:hint="eastAsia" w:cs="宋体"/>
                <w:color w:val="auto"/>
                <w:kern w:val="0"/>
                <w:szCs w:val="21"/>
                <w:lang w:eastAsia="zh-CN"/>
              </w:rPr>
              <w:t>）</w:t>
            </w:r>
            <w:r>
              <w:rPr>
                <w:rFonts w:hint="eastAsia" w:cs="宋体"/>
                <w:color w:val="auto"/>
                <w:kern w:val="0"/>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sz w:val="24"/>
              </w:rPr>
            </w:pPr>
            <w:r>
              <w:rPr>
                <w:rFonts w:hint="eastAsia" w:cs="宋体"/>
                <w:color w:val="auto"/>
                <w:kern w:val="0"/>
                <w:szCs w:val="21"/>
              </w:rPr>
              <w:t>项目主要</w:t>
            </w:r>
            <w:r>
              <w:rPr>
                <w:rFonts w:hint="default" w:cs="宋体"/>
                <w:color w:val="auto"/>
                <w:kern w:val="0"/>
                <w:szCs w:val="21"/>
              </w:rPr>
              <w:t>产品方案</w:t>
            </w:r>
            <w:r>
              <w:rPr>
                <w:rFonts w:hint="eastAsia" w:cs="宋体"/>
                <w:color w:val="auto"/>
                <w:kern w:val="0"/>
                <w:szCs w:val="21"/>
              </w:rPr>
              <w:t>如下</w:t>
            </w:r>
            <w:r>
              <w:rPr>
                <w:rFonts w:hint="default" w:cs="宋体"/>
                <w:color w:val="auto"/>
                <w:kern w:val="0"/>
                <w:szCs w:val="21"/>
              </w:rPr>
              <w:t>所示。</w:t>
            </w:r>
          </w:p>
          <w:p>
            <w:pPr>
              <w:keepNext w:val="0"/>
              <w:keepLines w:val="0"/>
              <w:suppressLineNumbers w:val="0"/>
              <w:spacing w:before="0" w:beforeAutospacing="0" w:after="0" w:afterAutospacing="0" w:line="400" w:lineRule="exact"/>
              <w:ind w:left="0" w:right="0"/>
              <w:jc w:val="center"/>
              <w:rPr>
                <w:rFonts w:hint="default" w:eastAsia="黑体"/>
                <w:color w:val="auto"/>
                <w:sz w:val="18"/>
                <w:szCs w:val="21"/>
              </w:rPr>
            </w:pPr>
            <w:r>
              <w:rPr>
                <w:rFonts w:hint="eastAsia" w:ascii="黑体" w:hAnsi="黑体" w:eastAsia="黑体"/>
                <w:color w:val="auto"/>
                <w:sz w:val="18"/>
              </w:rPr>
              <w:t>表</w:t>
            </w:r>
            <w:r>
              <w:rPr>
                <w:rFonts w:hint="eastAsia" w:eastAsia="黑体"/>
                <w:color w:val="auto"/>
                <w:sz w:val="18"/>
              </w:rPr>
              <w:t>2-</w:t>
            </w:r>
            <w:r>
              <w:rPr>
                <w:rFonts w:hint="default" w:eastAsia="黑体"/>
                <w:color w:val="auto"/>
                <w:sz w:val="18"/>
              </w:rPr>
              <w:t xml:space="preserve">2   </w:t>
            </w:r>
            <w:r>
              <w:rPr>
                <w:rFonts w:hint="eastAsia" w:ascii="黑体" w:hAnsi="黑体" w:eastAsia="黑体"/>
                <w:color w:val="auto"/>
                <w:sz w:val="18"/>
              </w:rPr>
              <w:t>主要产品规格及产能</w:t>
            </w:r>
          </w:p>
          <w:tbl>
            <w:tblPr>
              <w:tblStyle w:val="14"/>
              <w:tblW w:w="76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473"/>
              <w:gridCol w:w="2575"/>
              <w:gridCol w:w="1875"/>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06" w:type="dxa"/>
                  <w:vAlign w:val="center"/>
                </w:tcPr>
                <w:p>
                  <w:pPr>
                    <w:keepNext w:val="0"/>
                    <w:keepLines w:val="0"/>
                    <w:suppressLineNumbers w:val="0"/>
                    <w:spacing w:before="0" w:beforeAutospacing="0" w:after="0" w:afterAutospacing="0" w:line="340" w:lineRule="exact"/>
                    <w:ind w:left="0" w:right="0"/>
                    <w:jc w:val="center"/>
                    <w:rPr>
                      <w:rFonts w:hint="default"/>
                      <w:b/>
                      <w:bCs/>
                      <w:color w:val="auto"/>
                      <w:sz w:val="18"/>
                    </w:rPr>
                  </w:pPr>
                  <w:r>
                    <w:rPr>
                      <w:rFonts w:hint="eastAsia" w:ascii="宋体" w:hAnsi="宋体"/>
                      <w:b/>
                      <w:bCs/>
                      <w:color w:val="auto"/>
                      <w:sz w:val="18"/>
                    </w:rPr>
                    <w:t>序号</w:t>
                  </w:r>
                </w:p>
              </w:tc>
              <w:tc>
                <w:tcPr>
                  <w:tcW w:w="1473" w:type="dxa"/>
                  <w:vAlign w:val="center"/>
                </w:tcPr>
                <w:p>
                  <w:pPr>
                    <w:keepNext w:val="0"/>
                    <w:keepLines w:val="0"/>
                    <w:suppressLineNumbers w:val="0"/>
                    <w:spacing w:before="0" w:beforeAutospacing="0" w:after="0" w:afterAutospacing="0" w:line="340" w:lineRule="exact"/>
                    <w:ind w:left="0" w:right="0"/>
                    <w:jc w:val="center"/>
                    <w:rPr>
                      <w:rFonts w:hint="default"/>
                      <w:b/>
                      <w:bCs/>
                      <w:color w:val="auto"/>
                      <w:sz w:val="18"/>
                    </w:rPr>
                  </w:pPr>
                  <w:r>
                    <w:rPr>
                      <w:rFonts w:hint="eastAsia" w:ascii="宋体" w:hAnsi="宋体"/>
                      <w:b/>
                      <w:bCs/>
                      <w:color w:val="auto"/>
                      <w:sz w:val="18"/>
                    </w:rPr>
                    <w:t>产品名称</w:t>
                  </w:r>
                </w:p>
              </w:tc>
              <w:tc>
                <w:tcPr>
                  <w:tcW w:w="2575" w:type="dxa"/>
                  <w:vAlign w:val="center"/>
                </w:tcPr>
                <w:p>
                  <w:pPr>
                    <w:keepNext w:val="0"/>
                    <w:keepLines w:val="0"/>
                    <w:suppressLineNumbers w:val="0"/>
                    <w:spacing w:before="0" w:beforeAutospacing="0" w:after="0" w:afterAutospacing="0" w:line="340" w:lineRule="exact"/>
                    <w:ind w:left="0" w:right="0"/>
                    <w:jc w:val="center"/>
                    <w:rPr>
                      <w:rFonts w:hint="default"/>
                      <w:b/>
                      <w:bCs/>
                      <w:color w:val="auto"/>
                      <w:sz w:val="18"/>
                    </w:rPr>
                  </w:pPr>
                  <w:r>
                    <w:rPr>
                      <w:rFonts w:hint="eastAsia" w:ascii="宋体" w:hAnsi="宋体"/>
                      <w:b/>
                      <w:bCs/>
                      <w:color w:val="auto"/>
                      <w:sz w:val="18"/>
                    </w:rPr>
                    <w:t>粒径</w:t>
                  </w:r>
                </w:p>
              </w:tc>
              <w:tc>
                <w:tcPr>
                  <w:tcW w:w="1875" w:type="dxa"/>
                  <w:vAlign w:val="center"/>
                </w:tcPr>
                <w:p>
                  <w:pPr>
                    <w:keepNext w:val="0"/>
                    <w:keepLines w:val="0"/>
                    <w:suppressLineNumbers w:val="0"/>
                    <w:spacing w:before="0" w:beforeAutospacing="0" w:after="0" w:afterAutospacing="0" w:line="340" w:lineRule="exact"/>
                    <w:ind w:left="0" w:right="0"/>
                    <w:jc w:val="center"/>
                    <w:rPr>
                      <w:rFonts w:hint="default"/>
                      <w:b/>
                      <w:bCs/>
                      <w:color w:val="auto"/>
                      <w:sz w:val="18"/>
                    </w:rPr>
                  </w:pPr>
                  <w:r>
                    <w:rPr>
                      <w:rFonts w:hint="eastAsia" w:ascii="宋体" w:hAnsi="宋体"/>
                      <w:b/>
                      <w:bCs/>
                      <w:color w:val="auto"/>
                      <w:sz w:val="18"/>
                    </w:rPr>
                    <w:t>产能</w:t>
                  </w:r>
                </w:p>
              </w:tc>
              <w:tc>
                <w:tcPr>
                  <w:tcW w:w="983" w:type="dxa"/>
                  <w:vAlign w:val="center"/>
                </w:tcPr>
                <w:p>
                  <w:pPr>
                    <w:keepNext w:val="0"/>
                    <w:keepLines w:val="0"/>
                    <w:suppressLineNumbers w:val="0"/>
                    <w:spacing w:before="0" w:beforeAutospacing="0" w:after="0" w:afterAutospacing="0" w:line="340" w:lineRule="exact"/>
                    <w:ind w:left="0" w:right="0"/>
                    <w:jc w:val="center"/>
                    <w:rPr>
                      <w:rFonts w:hint="default"/>
                      <w:b/>
                      <w:bCs/>
                      <w:color w:val="auto"/>
                      <w:sz w:val="18"/>
                    </w:rPr>
                  </w:pPr>
                  <w:r>
                    <w:rPr>
                      <w:rFonts w:hint="eastAsia" w:ascii="宋体" w:hAnsi="宋体"/>
                      <w:b/>
                      <w:bCs/>
                      <w:color w:val="auto"/>
                      <w:sz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06" w:type="dxa"/>
                  <w:vAlign w:val="center"/>
                </w:tcPr>
                <w:p>
                  <w:pPr>
                    <w:keepNext w:val="0"/>
                    <w:keepLines w:val="0"/>
                    <w:suppressLineNumbers w:val="0"/>
                    <w:spacing w:before="0" w:beforeAutospacing="0" w:after="0" w:afterAutospacing="0" w:line="340" w:lineRule="exact"/>
                    <w:ind w:left="0" w:right="0"/>
                    <w:jc w:val="center"/>
                    <w:rPr>
                      <w:rFonts w:hint="default"/>
                      <w:color w:val="auto"/>
                      <w:sz w:val="18"/>
                    </w:rPr>
                  </w:pPr>
                  <w:r>
                    <w:rPr>
                      <w:rFonts w:hint="default"/>
                      <w:color w:val="auto"/>
                      <w:sz w:val="18"/>
                    </w:rPr>
                    <w:t>1</w:t>
                  </w:r>
                </w:p>
              </w:tc>
              <w:tc>
                <w:tcPr>
                  <w:tcW w:w="1473" w:type="dxa"/>
                  <w:vAlign w:val="center"/>
                </w:tcPr>
                <w:p>
                  <w:pPr>
                    <w:keepNext w:val="0"/>
                    <w:keepLines w:val="0"/>
                    <w:suppressLineNumbers w:val="0"/>
                    <w:spacing w:before="0" w:beforeAutospacing="0" w:after="0" w:afterAutospacing="0" w:line="340" w:lineRule="exact"/>
                    <w:ind w:left="0" w:right="0"/>
                    <w:jc w:val="center"/>
                    <w:rPr>
                      <w:rFonts w:hint="default"/>
                      <w:color w:val="auto"/>
                      <w:sz w:val="18"/>
                    </w:rPr>
                  </w:pPr>
                  <w:r>
                    <w:rPr>
                      <w:rFonts w:hint="eastAsia" w:ascii="宋体" w:hAnsi="宋体"/>
                      <w:color w:val="auto"/>
                      <w:sz w:val="18"/>
                    </w:rPr>
                    <w:t>碎石</w:t>
                  </w:r>
                </w:p>
              </w:tc>
              <w:tc>
                <w:tcPr>
                  <w:tcW w:w="2575" w:type="dxa"/>
                  <w:vAlign w:val="center"/>
                </w:tcPr>
                <w:p>
                  <w:pPr>
                    <w:keepNext w:val="0"/>
                    <w:keepLines w:val="0"/>
                    <w:suppressLineNumbers w:val="0"/>
                    <w:spacing w:before="0" w:beforeAutospacing="0" w:after="0" w:afterAutospacing="0" w:line="340" w:lineRule="exact"/>
                    <w:ind w:left="0" w:right="0"/>
                    <w:jc w:val="center"/>
                    <w:rPr>
                      <w:rFonts w:hint="default"/>
                      <w:color w:val="auto"/>
                      <w:sz w:val="18"/>
                    </w:rPr>
                  </w:pPr>
                  <w:r>
                    <w:rPr>
                      <w:rFonts w:hint="default"/>
                      <w:color w:val="auto"/>
                      <w:sz w:val="18"/>
                      <w:lang w:val="en-US" w:eastAsia="zh-CN"/>
                    </w:rPr>
                    <w:t>19</w:t>
                  </w:r>
                  <w:r>
                    <w:rPr>
                      <w:rFonts w:hint="eastAsia"/>
                      <w:color w:val="auto"/>
                      <w:sz w:val="18"/>
                      <w:lang w:val="en-US" w:eastAsia="zh-CN"/>
                    </w:rPr>
                    <w:t>~</w:t>
                  </w:r>
                  <w:r>
                    <w:rPr>
                      <w:rFonts w:hint="default"/>
                      <w:color w:val="auto"/>
                      <w:sz w:val="18"/>
                      <w:lang w:val="en-US" w:eastAsia="zh-CN"/>
                    </w:rPr>
                    <w:t>31.5</w:t>
                  </w:r>
                  <w:r>
                    <w:rPr>
                      <w:rFonts w:hint="default"/>
                      <w:color w:val="auto"/>
                      <w:sz w:val="18"/>
                    </w:rPr>
                    <w:t>mm</w:t>
                  </w:r>
                </w:p>
              </w:tc>
              <w:tc>
                <w:tcPr>
                  <w:tcW w:w="1875" w:type="dxa"/>
                  <w:vAlign w:val="center"/>
                </w:tcPr>
                <w:p>
                  <w:pPr>
                    <w:keepNext w:val="0"/>
                    <w:keepLines w:val="0"/>
                    <w:suppressLineNumbers w:val="0"/>
                    <w:spacing w:before="0" w:beforeAutospacing="0" w:after="0" w:afterAutospacing="0" w:line="340" w:lineRule="exact"/>
                    <w:ind w:left="0" w:right="0"/>
                    <w:jc w:val="center"/>
                    <w:rPr>
                      <w:rFonts w:hint="default"/>
                      <w:color w:val="auto"/>
                      <w:sz w:val="18"/>
                    </w:rPr>
                  </w:pPr>
                  <w:r>
                    <w:rPr>
                      <w:rFonts w:hint="default"/>
                      <w:color w:val="auto"/>
                      <w:sz w:val="18"/>
                    </w:rPr>
                    <w:t>3</w:t>
                  </w:r>
                  <w:r>
                    <w:rPr>
                      <w:rFonts w:hint="eastAsia"/>
                      <w:color w:val="auto"/>
                      <w:sz w:val="18"/>
                      <w:lang w:val="en-US" w:eastAsia="zh-CN"/>
                    </w:rPr>
                    <w:t>0</w:t>
                  </w:r>
                  <w:r>
                    <w:rPr>
                      <w:rFonts w:hint="default"/>
                      <w:color w:val="auto"/>
                      <w:sz w:val="18"/>
                    </w:rPr>
                    <w:t>0</w:t>
                  </w:r>
                  <w:r>
                    <w:rPr>
                      <w:rFonts w:hint="eastAsia"/>
                      <w:color w:val="auto"/>
                      <w:sz w:val="18"/>
                    </w:rPr>
                    <w:t>000t/a</w:t>
                  </w:r>
                </w:p>
              </w:tc>
              <w:tc>
                <w:tcPr>
                  <w:tcW w:w="983" w:type="dxa"/>
                  <w:vAlign w:val="center"/>
                </w:tcPr>
                <w:p>
                  <w:pPr>
                    <w:keepNext w:val="0"/>
                    <w:keepLines w:val="0"/>
                    <w:suppressLineNumbers w:val="0"/>
                    <w:spacing w:before="0" w:beforeAutospacing="0" w:after="0" w:afterAutospacing="0" w:line="340" w:lineRule="exact"/>
                    <w:ind w:left="0" w:right="0"/>
                    <w:jc w:val="center"/>
                    <w:rPr>
                      <w:rFonts w:hint="default"/>
                      <w:color w:val="auto"/>
                      <w:sz w:val="18"/>
                    </w:rPr>
                  </w:pPr>
                  <w:r>
                    <w:rPr>
                      <w:rFonts w:hint="eastAsia"/>
                      <w:color w:val="auto"/>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06" w:type="dxa"/>
                  <w:vAlign w:val="center"/>
                </w:tcPr>
                <w:p>
                  <w:pPr>
                    <w:keepNext w:val="0"/>
                    <w:keepLines w:val="0"/>
                    <w:suppressLineNumbers w:val="0"/>
                    <w:spacing w:before="0" w:beforeAutospacing="0" w:after="0" w:afterAutospacing="0" w:line="340" w:lineRule="exact"/>
                    <w:ind w:left="0" w:right="0"/>
                    <w:jc w:val="center"/>
                    <w:rPr>
                      <w:rFonts w:hint="default"/>
                      <w:color w:val="auto"/>
                      <w:sz w:val="18"/>
                    </w:rPr>
                  </w:pPr>
                  <w:r>
                    <w:rPr>
                      <w:rFonts w:hint="eastAsia"/>
                      <w:color w:val="auto"/>
                      <w:sz w:val="18"/>
                    </w:rPr>
                    <w:t>2</w:t>
                  </w:r>
                </w:p>
              </w:tc>
              <w:tc>
                <w:tcPr>
                  <w:tcW w:w="1473" w:type="dxa"/>
                  <w:vAlign w:val="center"/>
                </w:tcPr>
                <w:p>
                  <w:pPr>
                    <w:keepNext w:val="0"/>
                    <w:keepLines w:val="0"/>
                    <w:suppressLineNumbers w:val="0"/>
                    <w:spacing w:before="0" w:beforeAutospacing="0" w:after="0" w:afterAutospacing="0" w:line="340" w:lineRule="exact"/>
                    <w:ind w:left="0" w:right="0"/>
                    <w:jc w:val="center"/>
                    <w:rPr>
                      <w:rFonts w:hint="default" w:ascii="宋体" w:hAnsi="宋体"/>
                      <w:color w:val="auto"/>
                      <w:sz w:val="18"/>
                    </w:rPr>
                  </w:pPr>
                  <w:r>
                    <w:rPr>
                      <w:rFonts w:hint="eastAsia" w:ascii="宋体" w:hAnsi="宋体"/>
                      <w:color w:val="auto"/>
                      <w:sz w:val="18"/>
                    </w:rPr>
                    <w:t>碎石</w:t>
                  </w:r>
                </w:p>
              </w:tc>
              <w:tc>
                <w:tcPr>
                  <w:tcW w:w="2575" w:type="dxa"/>
                  <w:vAlign w:val="center"/>
                </w:tcPr>
                <w:p>
                  <w:pPr>
                    <w:keepNext w:val="0"/>
                    <w:keepLines w:val="0"/>
                    <w:suppressLineNumbers w:val="0"/>
                    <w:spacing w:before="0" w:beforeAutospacing="0" w:after="0" w:afterAutospacing="0" w:line="340" w:lineRule="exact"/>
                    <w:ind w:left="0" w:right="0"/>
                    <w:jc w:val="center"/>
                    <w:rPr>
                      <w:rFonts w:hint="default"/>
                      <w:color w:val="auto"/>
                      <w:sz w:val="18"/>
                    </w:rPr>
                  </w:pPr>
                  <w:r>
                    <w:rPr>
                      <w:rFonts w:hint="eastAsia"/>
                      <w:color w:val="auto"/>
                      <w:sz w:val="18"/>
                      <w:lang w:val="en-US" w:eastAsia="zh-CN"/>
                    </w:rPr>
                    <w:t>9</w:t>
                  </w:r>
                  <w:r>
                    <w:rPr>
                      <w:rFonts w:hint="default"/>
                      <w:color w:val="auto"/>
                      <w:sz w:val="18"/>
                      <w:lang w:val="en-US" w:eastAsia="zh-CN"/>
                    </w:rPr>
                    <w:t>.5</w:t>
                  </w:r>
                  <w:r>
                    <w:rPr>
                      <w:rFonts w:hint="eastAsia"/>
                      <w:color w:val="auto"/>
                      <w:sz w:val="18"/>
                      <w:lang w:val="en-US" w:eastAsia="zh-CN"/>
                    </w:rPr>
                    <w:t>~</w:t>
                  </w:r>
                  <w:r>
                    <w:rPr>
                      <w:rFonts w:hint="default"/>
                      <w:color w:val="auto"/>
                      <w:sz w:val="18"/>
                      <w:lang w:val="en-US" w:eastAsia="zh-CN"/>
                    </w:rPr>
                    <w:t>19</w:t>
                  </w:r>
                  <w:r>
                    <w:rPr>
                      <w:rFonts w:hint="default"/>
                      <w:color w:val="auto"/>
                      <w:sz w:val="18"/>
                    </w:rPr>
                    <w:t>mm</w:t>
                  </w:r>
                </w:p>
              </w:tc>
              <w:tc>
                <w:tcPr>
                  <w:tcW w:w="1875" w:type="dxa"/>
                  <w:vAlign w:val="center"/>
                </w:tcPr>
                <w:p>
                  <w:pPr>
                    <w:keepNext w:val="0"/>
                    <w:keepLines w:val="0"/>
                    <w:suppressLineNumbers w:val="0"/>
                    <w:spacing w:before="0" w:beforeAutospacing="0" w:after="0" w:afterAutospacing="0" w:line="340" w:lineRule="exact"/>
                    <w:ind w:left="0" w:right="0"/>
                    <w:jc w:val="center"/>
                    <w:rPr>
                      <w:rFonts w:hint="default" w:ascii="宋体" w:hAnsi="宋体"/>
                      <w:color w:val="auto"/>
                      <w:sz w:val="18"/>
                    </w:rPr>
                  </w:pPr>
                  <w:r>
                    <w:rPr>
                      <w:rFonts w:hint="default"/>
                      <w:color w:val="auto"/>
                      <w:sz w:val="18"/>
                    </w:rPr>
                    <w:t>3</w:t>
                  </w:r>
                  <w:r>
                    <w:rPr>
                      <w:rFonts w:hint="eastAsia"/>
                      <w:color w:val="auto"/>
                      <w:sz w:val="18"/>
                      <w:lang w:val="en-US" w:eastAsia="zh-CN"/>
                    </w:rPr>
                    <w:t>0</w:t>
                  </w:r>
                  <w:r>
                    <w:rPr>
                      <w:rFonts w:hint="default"/>
                      <w:color w:val="auto"/>
                      <w:sz w:val="18"/>
                    </w:rPr>
                    <w:t>0</w:t>
                  </w:r>
                  <w:r>
                    <w:rPr>
                      <w:rFonts w:hint="eastAsia"/>
                      <w:color w:val="auto"/>
                      <w:sz w:val="18"/>
                    </w:rPr>
                    <w:t>000t/a</w:t>
                  </w:r>
                </w:p>
              </w:tc>
              <w:tc>
                <w:tcPr>
                  <w:tcW w:w="983" w:type="dxa"/>
                  <w:vAlign w:val="center"/>
                </w:tcPr>
                <w:p>
                  <w:pPr>
                    <w:keepNext w:val="0"/>
                    <w:keepLines w:val="0"/>
                    <w:suppressLineNumbers w:val="0"/>
                    <w:spacing w:before="0" w:beforeAutospacing="0" w:after="0" w:afterAutospacing="0" w:line="340" w:lineRule="exact"/>
                    <w:ind w:left="0" w:right="0"/>
                    <w:jc w:val="center"/>
                    <w:rPr>
                      <w:rFonts w:hint="default" w:ascii="宋体" w:hAnsi="宋体"/>
                      <w:color w:val="auto"/>
                      <w:sz w:val="18"/>
                    </w:rPr>
                  </w:pPr>
                  <w:r>
                    <w:rPr>
                      <w:rFonts w:hint="eastAsia"/>
                      <w:color w:val="auto"/>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06" w:type="dxa"/>
                  <w:vAlign w:val="center"/>
                </w:tcPr>
                <w:p>
                  <w:pPr>
                    <w:keepNext w:val="0"/>
                    <w:keepLines w:val="0"/>
                    <w:suppressLineNumbers w:val="0"/>
                    <w:spacing w:before="0" w:beforeAutospacing="0" w:after="0" w:afterAutospacing="0" w:line="340" w:lineRule="exact"/>
                    <w:ind w:left="0" w:right="0"/>
                    <w:jc w:val="center"/>
                    <w:rPr>
                      <w:rFonts w:hint="eastAsia" w:ascii="宋体" w:hAnsi="宋体" w:eastAsia="宋体"/>
                      <w:color w:val="auto"/>
                      <w:sz w:val="18"/>
                      <w:lang w:val="en-US" w:eastAsia="zh-CN"/>
                    </w:rPr>
                  </w:pPr>
                  <w:r>
                    <w:rPr>
                      <w:rFonts w:hint="eastAsia" w:ascii="宋体" w:hAnsi="宋体"/>
                      <w:color w:val="auto"/>
                      <w:sz w:val="18"/>
                      <w:lang w:val="en-US" w:eastAsia="zh-CN"/>
                    </w:rPr>
                    <w:t>3</w:t>
                  </w:r>
                </w:p>
              </w:tc>
              <w:tc>
                <w:tcPr>
                  <w:tcW w:w="1473" w:type="dxa"/>
                  <w:vAlign w:val="center"/>
                </w:tcPr>
                <w:p>
                  <w:pPr>
                    <w:keepNext w:val="0"/>
                    <w:keepLines w:val="0"/>
                    <w:suppressLineNumbers w:val="0"/>
                    <w:spacing w:before="0" w:beforeAutospacing="0" w:after="0" w:afterAutospacing="0" w:line="340" w:lineRule="exact"/>
                    <w:ind w:left="0" w:right="0"/>
                    <w:jc w:val="center"/>
                    <w:rPr>
                      <w:rFonts w:hint="default"/>
                      <w:color w:val="auto"/>
                      <w:sz w:val="18"/>
                    </w:rPr>
                  </w:pPr>
                  <w:r>
                    <w:rPr>
                      <w:rFonts w:hint="default"/>
                      <w:color w:val="auto"/>
                      <w:sz w:val="18"/>
                    </w:rPr>
                    <w:t>米石</w:t>
                  </w:r>
                </w:p>
              </w:tc>
              <w:tc>
                <w:tcPr>
                  <w:tcW w:w="2575" w:type="dxa"/>
                  <w:vAlign w:val="center"/>
                </w:tcPr>
                <w:p>
                  <w:pPr>
                    <w:keepNext w:val="0"/>
                    <w:keepLines w:val="0"/>
                    <w:suppressLineNumbers w:val="0"/>
                    <w:spacing w:before="0" w:beforeAutospacing="0" w:after="0" w:afterAutospacing="0" w:line="340" w:lineRule="exact"/>
                    <w:ind w:left="0" w:right="0"/>
                    <w:jc w:val="center"/>
                    <w:rPr>
                      <w:rFonts w:hint="default"/>
                      <w:color w:val="auto"/>
                      <w:sz w:val="18"/>
                    </w:rPr>
                  </w:pPr>
                  <w:r>
                    <w:rPr>
                      <w:rFonts w:hint="default"/>
                      <w:color w:val="auto"/>
                      <w:sz w:val="18"/>
                      <w:lang w:val="en-US" w:eastAsia="zh-CN"/>
                    </w:rPr>
                    <w:t>4.75</w:t>
                  </w:r>
                  <w:r>
                    <w:rPr>
                      <w:rFonts w:hint="eastAsia"/>
                      <w:color w:val="auto"/>
                      <w:sz w:val="18"/>
                      <w:lang w:val="en-US" w:eastAsia="zh-CN"/>
                    </w:rPr>
                    <w:t>~</w:t>
                  </w:r>
                  <w:r>
                    <w:rPr>
                      <w:rFonts w:hint="default"/>
                      <w:color w:val="auto"/>
                      <w:sz w:val="18"/>
                      <w:lang w:val="en-US" w:eastAsia="zh-CN"/>
                    </w:rPr>
                    <w:t>9.5</w:t>
                  </w:r>
                  <w:r>
                    <w:rPr>
                      <w:rFonts w:hint="default"/>
                      <w:color w:val="auto"/>
                      <w:sz w:val="18"/>
                    </w:rPr>
                    <w:t>mm</w:t>
                  </w:r>
                </w:p>
              </w:tc>
              <w:tc>
                <w:tcPr>
                  <w:tcW w:w="1875" w:type="dxa"/>
                  <w:vAlign w:val="center"/>
                </w:tcPr>
                <w:p>
                  <w:pPr>
                    <w:keepNext w:val="0"/>
                    <w:keepLines w:val="0"/>
                    <w:suppressLineNumbers w:val="0"/>
                    <w:spacing w:before="0" w:beforeAutospacing="0" w:after="0" w:afterAutospacing="0" w:line="340" w:lineRule="exact"/>
                    <w:ind w:left="0" w:right="0"/>
                    <w:jc w:val="center"/>
                    <w:rPr>
                      <w:rFonts w:hint="default"/>
                      <w:color w:val="auto"/>
                      <w:sz w:val="18"/>
                    </w:rPr>
                  </w:pPr>
                  <w:r>
                    <w:rPr>
                      <w:rFonts w:hint="default"/>
                      <w:color w:val="auto"/>
                      <w:sz w:val="18"/>
                    </w:rPr>
                    <w:t>3</w:t>
                  </w:r>
                  <w:r>
                    <w:rPr>
                      <w:rFonts w:hint="eastAsia"/>
                      <w:color w:val="auto"/>
                      <w:sz w:val="18"/>
                      <w:lang w:val="en-US" w:eastAsia="zh-CN"/>
                    </w:rPr>
                    <w:t>0</w:t>
                  </w:r>
                  <w:r>
                    <w:rPr>
                      <w:rFonts w:hint="default"/>
                      <w:color w:val="auto"/>
                      <w:sz w:val="18"/>
                    </w:rPr>
                    <w:t>0</w:t>
                  </w:r>
                  <w:r>
                    <w:rPr>
                      <w:rFonts w:hint="eastAsia"/>
                      <w:color w:val="auto"/>
                      <w:sz w:val="18"/>
                    </w:rPr>
                    <w:t>000t/a</w:t>
                  </w:r>
                </w:p>
              </w:tc>
              <w:tc>
                <w:tcPr>
                  <w:tcW w:w="983" w:type="dxa"/>
                  <w:vAlign w:val="center"/>
                </w:tcPr>
                <w:p>
                  <w:pPr>
                    <w:keepNext w:val="0"/>
                    <w:keepLines w:val="0"/>
                    <w:suppressLineNumbers w:val="0"/>
                    <w:spacing w:before="0" w:beforeAutospacing="0" w:after="0" w:afterAutospacing="0" w:line="340" w:lineRule="exact"/>
                    <w:ind w:left="0" w:right="0"/>
                    <w:jc w:val="center"/>
                    <w:rPr>
                      <w:rFonts w:hint="eastAsia" w:eastAsia="宋体"/>
                      <w:color w:val="auto"/>
                      <w:sz w:val="18"/>
                      <w:lang w:val="en-US" w:eastAsia="zh-CN"/>
                    </w:rPr>
                  </w:pPr>
                  <w:r>
                    <w:rPr>
                      <w:rFonts w:hint="eastAsia"/>
                      <w:color w:val="auto"/>
                      <w:sz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706" w:type="dxa"/>
                  <w:vAlign w:val="center"/>
                </w:tcPr>
                <w:p>
                  <w:pPr>
                    <w:keepNext w:val="0"/>
                    <w:keepLines w:val="0"/>
                    <w:suppressLineNumbers w:val="0"/>
                    <w:spacing w:before="0" w:beforeAutospacing="0" w:after="0" w:afterAutospacing="0" w:line="340" w:lineRule="exact"/>
                    <w:ind w:left="0" w:right="0"/>
                    <w:jc w:val="center"/>
                    <w:rPr>
                      <w:rFonts w:hint="eastAsia" w:eastAsia="宋体"/>
                      <w:color w:val="auto"/>
                      <w:sz w:val="18"/>
                      <w:lang w:val="en-US" w:eastAsia="zh-CN"/>
                    </w:rPr>
                  </w:pPr>
                  <w:r>
                    <w:rPr>
                      <w:rFonts w:hint="eastAsia"/>
                      <w:color w:val="auto"/>
                      <w:sz w:val="18"/>
                      <w:lang w:val="en-US" w:eastAsia="zh-CN"/>
                    </w:rPr>
                    <w:t>4</w:t>
                  </w:r>
                </w:p>
              </w:tc>
              <w:tc>
                <w:tcPr>
                  <w:tcW w:w="1473" w:type="dxa"/>
                  <w:vAlign w:val="center"/>
                </w:tcPr>
                <w:p>
                  <w:pPr>
                    <w:keepNext w:val="0"/>
                    <w:keepLines w:val="0"/>
                    <w:suppressLineNumbers w:val="0"/>
                    <w:spacing w:before="0" w:beforeAutospacing="0" w:after="0" w:afterAutospacing="0" w:line="340" w:lineRule="exact"/>
                    <w:ind w:left="0" w:right="0"/>
                    <w:jc w:val="center"/>
                    <w:rPr>
                      <w:rFonts w:hint="default"/>
                      <w:color w:val="auto"/>
                      <w:sz w:val="18"/>
                    </w:rPr>
                  </w:pPr>
                  <w:r>
                    <w:rPr>
                      <w:rFonts w:hint="eastAsia" w:ascii="宋体" w:hAnsi="宋体"/>
                      <w:color w:val="auto"/>
                      <w:sz w:val="18"/>
                    </w:rPr>
                    <w:t>机制砂</w:t>
                  </w:r>
                </w:p>
              </w:tc>
              <w:tc>
                <w:tcPr>
                  <w:tcW w:w="2575" w:type="dxa"/>
                  <w:vAlign w:val="center"/>
                </w:tcPr>
                <w:p>
                  <w:pPr>
                    <w:keepNext w:val="0"/>
                    <w:keepLines w:val="0"/>
                    <w:suppressLineNumbers w:val="0"/>
                    <w:spacing w:before="0" w:beforeAutospacing="0" w:after="0" w:afterAutospacing="0" w:line="340" w:lineRule="exact"/>
                    <w:ind w:left="0" w:right="0"/>
                    <w:jc w:val="center"/>
                    <w:rPr>
                      <w:rFonts w:hint="default"/>
                      <w:color w:val="auto"/>
                      <w:sz w:val="18"/>
                    </w:rPr>
                  </w:pPr>
                  <w:r>
                    <w:rPr>
                      <w:rFonts w:hint="default"/>
                      <w:color w:val="auto"/>
                      <w:sz w:val="18"/>
                      <w:lang w:val="en-US" w:eastAsia="zh-CN"/>
                    </w:rPr>
                    <w:t>0</w:t>
                  </w:r>
                  <w:r>
                    <w:rPr>
                      <w:rFonts w:hint="eastAsia"/>
                      <w:color w:val="auto"/>
                      <w:sz w:val="18"/>
                      <w:lang w:val="en-US" w:eastAsia="zh-CN"/>
                    </w:rPr>
                    <w:t>~</w:t>
                  </w:r>
                  <w:r>
                    <w:rPr>
                      <w:rFonts w:hint="default"/>
                      <w:color w:val="auto"/>
                      <w:sz w:val="18"/>
                      <w:lang w:val="en-US" w:eastAsia="zh-CN"/>
                    </w:rPr>
                    <w:t>4.75</w:t>
                  </w:r>
                  <w:r>
                    <w:rPr>
                      <w:rFonts w:hint="default"/>
                      <w:color w:val="auto"/>
                      <w:sz w:val="18"/>
                    </w:rPr>
                    <w:t>mm</w:t>
                  </w:r>
                </w:p>
              </w:tc>
              <w:tc>
                <w:tcPr>
                  <w:tcW w:w="1875" w:type="dxa"/>
                  <w:vAlign w:val="center"/>
                </w:tcPr>
                <w:p>
                  <w:pPr>
                    <w:keepNext w:val="0"/>
                    <w:keepLines w:val="0"/>
                    <w:suppressLineNumbers w:val="0"/>
                    <w:spacing w:before="0" w:beforeAutospacing="0" w:after="0" w:afterAutospacing="0" w:line="340" w:lineRule="exact"/>
                    <w:ind w:left="0" w:right="0"/>
                    <w:jc w:val="center"/>
                    <w:rPr>
                      <w:rFonts w:hint="default"/>
                      <w:color w:val="auto"/>
                      <w:sz w:val="18"/>
                    </w:rPr>
                  </w:pPr>
                  <w:r>
                    <w:rPr>
                      <w:rFonts w:hint="default"/>
                      <w:color w:val="auto"/>
                      <w:sz w:val="18"/>
                    </w:rPr>
                    <w:t>3</w:t>
                  </w:r>
                  <w:r>
                    <w:rPr>
                      <w:rFonts w:hint="eastAsia"/>
                      <w:color w:val="auto"/>
                      <w:sz w:val="18"/>
                      <w:lang w:val="en-US" w:eastAsia="zh-CN"/>
                    </w:rPr>
                    <w:t>0</w:t>
                  </w:r>
                  <w:r>
                    <w:rPr>
                      <w:rFonts w:hint="default"/>
                      <w:color w:val="auto"/>
                      <w:sz w:val="18"/>
                    </w:rPr>
                    <w:t>0</w:t>
                  </w:r>
                  <w:r>
                    <w:rPr>
                      <w:rFonts w:hint="eastAsia"/>
                      <w:color w:val="auto"/>
                      <w:sz w:val="18"/>
                    </w:rPr>
                    <w:t>000t/a</w:t>
                  </w:r>
                </w:p>
              </w:tc>
              <w:tc>
                <w:tcPr>
                  <w:tcW w:w="983" w:type="dxa"/>
                  <w:vAlign w:val="center"/>
                </w:tcPr>
                <w:p>
                  <w:pPr>
                    <w:keepNext w:val="0"/>
                    <w:keepLines w:val="0"/>
                    <w:suppressLineNumbers w:val="0"/>
                    <w:spacing w:before="0" w:beforeAutospacing="0" w:after="0" w:afterAutospacing="0" w:line="340" w:lineRule="exact"/>
                    <w:ind w:left="0" w:right="0"/>
                    <w:jc w:val="center"/>
                    <w:rPr>
                      <w:rFonts w:hint="default"/>
                      <w:color w:val="auto"/>
                      <w:sz w:val="18"/>
                    </w:rPr>
                  </w:pPr>
                  <w:r>
                    <w:rPr>
                      <w:rFonts w:hint="eastAsia"/>
                      <w:color w:val="auto"/>
                      <w:sz w:val="18"/>
                    </w:rPr>
                    <w:t>/</w:t>
                  </w:r>
                </w:p>
              </w:tc>
            </w:tr>
          </w:tbl>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3</w:t>
            </w:r>
            <w:r>
              <w:rPr>
                <w:rFonts w:hint="default" w:ascii="黑体" w:hAnsi="黑体" w:eastAsia="黑体" w:cs="宋体"/>
                <w:bCs/>
                <w:color w:val="auto"/>
                <w:sz w:val="22"/>
                <w:szCs w:val="22"/>
              </w:rPr>
              <w:t>、主要生产单元及工艺</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本项目主要生产单元为砂石加工生产线，工艺流程为：给料机送料→</w:t>
            </w:r>
            <w:r>
              <w:rPr>
                <w:rFonts w:hint="eastAsia" w:cs="宋体"/>
                <w:color w:val="auto"/>
                <w:kern w:val="0"/>
                <w:szCs w:val="21"/>
                <w:lang w:val="en-US" w:eastAsia="zh-CN"/>
              </w:rPr>
              <w:t>除铁</w:t>
            </w:r>
            <w:r>
              <w:rPr>
                <w:rFonts w:hint="eastAsia" w:cs="宋体"/>
                <w:color w:val="auto"/>
                <w:kern w:val="0"/>
                <w:szCs w:val="21"/>
              </w:rPr>
              <w:t>→颚破→</w:t>
            </w:r>
            <w:r>
              <w:rPr>
                <w:rFonts w:hint="eastAsia" w:cs="宋体"/>
                <w:color w:val="auto"/>
                <w:kern w:val="0"/>
                <w:szCs w:val="21"/>
                <w:lang w:val="en-US" w:eastAsia="zh-CN"/>
              </w:rPr>
              <w:t>中间料仓</w:t>
            </w:r>
            <w:r>
              <w:rPr>
                <w:rFonts w:hint="eastAsia" w:cs="宋体"/>
                <w:color w:val="auto"/>
                <w:kern w:val="0"/>
                <w:szCs w:val="21"/>
              </w:rPr>
              <w:t>→</w:t>
            </w:r>
            <w:r>
              <w:rPr>
                <w:rFonts w:hint="eastAsia" w:cs="宋体"/>
                <w:color w:val="auto"/>
                <w:kern w:val="0"/>
                <w:szCs w:val="21"/>
                <w:lang w:val="en-US" w:eastAsia="zh-CN"/>
              </w:rPr>
              <w:t>反击破</w:t>
            </w:r>
            <w:r>
              <w:rPr>
                <w:rFonts w:hint="eastAsia" w:cs="宋体"/>
                <w:color w:val="auto"/>
                <w:kern w:val="0"/>
                <w:szCs w:val="21"/>
              </w:rPr>
              <w:t>→</w:t>
            </w:r>
            <w:r>
              <w:rPr>
                <w:rFonts w:hint="eastAsia" w:cs="宋体"/>
                <w:color w:val="auto"/>
                <w:kern w:val="0"/>
                <w:szCs w:val="21"/>
                <w:lang w:val="en-US" w:eastAsia="zh-CN"/>
              </w:rPr>
              <w:t>一级</w:t>
            </w:r>
            <w:r>
              <w:rPr>
                <w:rFonts w:hint="eastAsia" w:cs="宋体"/>
                <w:color w:val="auto"/>
                <w:kern w:val="0"/>
                <w:szCs w:val="21"/>
              </w:rPr>
              <w:t>振动筛（冲水）→</w:t>
            </w:r>
            <w:r>
              <w:rPr>
                <w:rFonts w:hint="eastAsia" w:cs="宋体"/>
                <w:color w:val="auto"/>
                <w:kern w:val="0"/>
                <w:szCs w:val="21"/>
                <w:lang w:val="en-US" w:eastAsia="zh-CN"/>
              </w:rPr>
              <w:t>立轴</w:t>
            </w:r>
            <w:r>
              <w:rPr>
                <w:rFonts w:hint="eastAsia" w:cs="宋体"/>
                <w:color w:val="auto"/>
                <w:kern w:val="0"/>
                <w:szCs w:val="21"/>
              </w:rPr>
              <w:t>冲击式</w:t>
            </w:r>
            <w:r>
              <w:rPr>
                <w:rFonts w:hint="eastAsia" w:cs="宋体"/>
                <w:color w:val="auto"/>
                <w:kern w:val="0"/>
                <w:szCs w:val="21"/>
                <w:lang w:val="en-US" w:eastAsia="zh-CN"/>
              </w:rPr>
              <w:t>制砂机</w:t>
            </w:r>
            <w:r>
              <w:rPr>
                <w:rFonts w:hint="eastAsia" w:cs="宋体"/>
                <w:color w:val="auto"/>
                <w:kern w:val="0"/>
                <w:szCs w:val="21"/>
              </w:rPr>
              <w:t>→</w:t>
            </w:r>
            <w:r>
              <w:rPr>
                <w:rFonts w:hint="eastAsia" w:cs="宋体"/>
                <w:color w:val="auto"/>
                <w:kern w:val="0"/>
                <w:szCs w:val="21"/>
                <w:lang w:val="en-US" w:eastAsia="zh-CN"/>
              </w:rPr>
              <w:t>二级</w:t>
            </w:r>
            <w:r>
              <w:rPr>
                <w:rFonts w:hint="eastAsia" w:cs="宋体"/>
                <w:color w:val="auto"/>
                <w:kern w:val="0"/>
                <w:szCs w:val="21"/>
              </w:rPr>
              <w:t>振动筛（冲水）→</w:t>
            </w:r>
            <w:r>
              <w:rPr>
                <w:rFonts w:hint="eastAsia" w:cs="宋体"/>
                <w:color w:val="auto"/>
                <w:kern w:val="0"/>
                <w:szCs w:val="21"/>
                <w:lang w:val="en-US" w:eastAsia="zh-CN"/>
              </w:rPr>
              <w:t>碎石产品库</w:t>
            </w:r>
            <w:r>
              <w:rPr>
                <w:rFonts w:hint="eastAsia" w:cs="宋体"/>
                <w:color w:val="auto"/>
                <w:kern w:val="0"/>
                <w:szCs w:val="21"/>
              </w:rPr>
              <w:t>→外运出售</w:t>
            </w:r>
            <w:r>
              <w:rPr>
                <w:rFonts w:hint="eastAsia" w:cs="宋体"/>
                <w:color w:val="auto"/>
                <w:kern w:val="0"/>
                <w:szCs w:val="21"/>
                <w:lang w:eastAsia="zh-CN"/>
              </w:rPr>
              <w:t>；</w:t>
            </w:r>
            <w:r>
              <w:rPr>
                <w:rFonts w:hint="eastAsia" w:cs="宋体"/>
                <w:color w:val="auto"/>
                <w:kern w:val="0"/>
                <w:szCs w:val="21"/>
                <w:lang w:val="en-US" w:eastAsia="zh-CN"/>
              </w:rPr>
              <w:t>二级</w:t>
            </w:r>
            <w:r>
              <w:rPr>
                <w:rFonts w:hint="eastAsia" w:cs="宋体"/>
                <w:color w:val="auto"/>
                <w:kern w:val="0"/>
                <w:szCs w:val="21"/>
              </w:rPr>
              <w:t>振动筛（冲水）→</w:t>
            </w:r>
            <w:r>
              <w:rPr>
                <w:rFonts w:hint="eastAsia" w:cs="宋体"/>
                <w:color w:val="auto"/>
                <w:kern w:val="0"/>
                <w:szCs w:val="21"/>
                <w:lang w:val="en-US" w:eastAsia="zh-CN"/>
              </w:rPr>
              <w:t>轮斗式</w:t>
            </w:r>
            <w:r>
              <w:rPr>
                <w:rFonts w:hint="eastAsia" w:cs="宋体"/>
                <w:color w:val="auto"/>
                <w:kern w:val="0"/>
                <w:szCs w:val="21"/>
              </w:rPr>
              <w:t>洗砂→尾砂回收→</w:t>
            </w:r>
            <w:r>
              <w:rPr>
                <w:rFonts w:hint="eastAsia" w:cs="宋体"/>
                <w:color w:val="auto"/>
                <w:kern w:val="0"/>
                <w:szCs w:val="21"/>
                <w:lang w:val="en-US" w:eastAsia="zh-CN"/>
              </w:rPr>
              <w:t>机砂产品库</w:t>
            </w:r>
            <w:r>
              <w:rPr>
                <w:rFonts w:hint="eastAsia" w:cs="宋体"/>
                <w:color w:val="auto"/>
                <w:kern w:val="0"/>
                <w:szCs w:val="21"/>
              </w:rPr>
              <w:t>→外运出售。</w:t>
            </w:r>
          </w:p>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4</w:t>
            </w:r>
            <w:r>
              <w:rPr>
                <w:rFonts w:hint="default" w:ascii="黑体" w:hAnsi="黑体" w:eastAsia="黑体" w:cs="宋体"/>
                <w:bCs/>
                <w:color w:val="auto"/>
                <w:sz w:val="22"/>
                <w:szCs w:val="22"/>
              </w:rPr>
              <w:t>、主要生产设施及参数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bCs/>
                <w:color w:val="auto"/>
                <w:szCs w:val="21"/>
                <w:lang w:val="en-US" w:eastAsia="zh-CN"/>
              </w:rPr>
            </w:pPr>
            <w:r>
              <w:rPr>
                <w:rFonts w:hint="eastAsia"/>
                <w:bCs/>
                <w:color w:val="auto"/>
                <w:szCs w:val="21"/>
                <w:lang w:val="en-US" w:eastAsia="zh-CN"/>
              </w:rPr>
              <w:t>本项目所有设施设备全部为新购设备。</w:t>
            </w:r>
          </w:p>
          <w:p>
            <w:pPr>
              <w:keepNext w:val="0"/>
              <w:keepLines w:val="0"/>
              <w:suppressLineNumbers w:val="0"/>
              <w:spacing w:before="0" w:beforeAutospacing="0" w:after="0" w:afterAutospacing="0" w:line="400" w:lineRule="exact"/>
              <w:ind w:left="0" w:right="0"/>
              <w:jc w:val="center"/>
              <w:rPr>
                <w:rFonts w:hint="default" w:eastAsia="黑体"/>
                <w:bCs/>
                <w:color w:val="auto"/>
                <w:sz w:val="18"/>
                <w:szCs w:val="20"/>
              </w:rPr>
            </w:pPr>
            <w:r>
              <w:rPr>
                <w:rFonts w:hint="default" w:eastAsia="黑体"/>
                <w:bCs/>
                <w:color w:val="auto"/>
                <w:sz w:val="18"/>
                <w:szCs w:val="20"/>
              </w:rPr>
              <w:t>表</w:t>
            </w:r>
            <w:r>
              <w:rPr>
                <w:rFonts w:hint="eastAsia" w:eastAsia="黑体"/>
                <w:bCs/>
                <w:color w:val="auto"/>
                <w:sz w:val="18"/>
                <w:szCs w:val="20"/>
              </w:rPr>
              <w:t>2-</w:t>
            </w:r>
            <w:r>
              <w:rPr>
                <w:rFonts w:hint="default" w:eastAsia="黑体"/>
                <w:bCs/>
                <w:color w:val="auto"/>
                <w:sz w:val="18"/>
                <w:szCs w:val="20"/>
              </w:rPr>
              <w:t>3   主要生产设备清单</w:t>
            </w:r>
          </w:p>
          <w:tbl>
            <w:tblPr>
              <w:tblStyle w:val="14"/>
              <w:tblW w:w="71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731"/>
              <w:gridCol w:w="2455"/>
              <w:gridCol w:w="763"/>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73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设备名称</w:t>
                  </w:r>
                </w:p>
              </w:tc>
              <w:tc>
                <w:tcPr>
                  <w:tcW w:w="2455"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型号</w:t>
                  </w:r>
                </w:p>
              </w:tc>
              <w:tc>
                <w:tcPr>
                  <w:tcW w:w="763"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数量</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振动</w:t>
                  </w:r>
                  <w:r>
                    <w:rPr>
                      <w:rFonts w:hint="default" w:ascii="Times New Roman" w:hAnsi="Times New Roman" w:cs="Times New Roman"/>
                      <w:color w:val="auto"/>
                      <w:sz w:val="18"/>
                      <w:szCs w:val="18"/>
                    </w:rPr>
                    <w:t>给料机</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ZSW1550</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给料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除铁器</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除铁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3</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颚式破碎机</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PE900*1200</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中间料仓</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ZG1020</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个</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缓冲存料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5</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反击式</w:t>
                  </w:r>
                  <w:r>
                    <w:rPr>
                      <w:rFonts w:hint="default" w:ascii="Times New Roman" w:hAnsi="Times New Roman" w:cs="Times New Roman"/>
                      <w:color w:val="auto"/>
                      <w:sz w:val="18"/>
                      <w:szCs w:val="18"/>
                    </w:rPr>
                    <w:t>破碎机</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PF</w:t>
                  </w:r>
                  <w:r>
                    <w:rPr>
                      <w:rFonts w:hint="default" w:ascii="Times New Roman" w:hAnsi="Times New Roman" w:cs="Times New Roman"/>
                      <w:color w:val="auto"/>
                      <w:sz w:val="18"/>
                      <w:szCs w:val="18"/>
                    </w:rPr>
                    <w:t>16</w:t>
                  </w:r>
                  <w:r>
                    <w:rPr>
                      <w:rFonts w:hint="default"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rPr>
                    <w:t>0</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6</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立轴</w:t>
                  </w:r>
                  <w:r>
                    <w:rPr>
                      <w:rFonts w:hint="default" w:ascii="Times New Roman" w:hAnsi="Times New Roman" w:cs="Times New Roman"/>
                      <w:color w:val="auto"/>
                      <w:sz w:val="18"/>
                      <w:szCs w:val="18"/>
                    </w:rPr>
                    <w:t>冲击式</w:t>
                  </w:r>
                  <w:r>
                    <w:rPr>
                      <w:rFonts w:hint="default" w:ascii="Times New Roman" w:hAnsi="Times New Roman" w:cs="Times New Roman"/>
                      <w:color w:val="auto"/>
                      <w:sz w:val="18"/>
                      <w:szCs w:val="18"/>
                      <w:lang w:val="en-US" w:eastAsia="zh-CN"/>
                    </w:rPr>
                    <w:t>制砂机</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6XL1156</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破碎、制砂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7</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振动筛分机</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2Y</w:t>
                  </w:r>
                  <w:r>
                    <w:rPr>
                      <w:rFonts w:hint="default" w:ascii="Times New Roman" w:hAnsi="Times New Roman" w:cs="Times New Roman"/>
                      <w:color w:val="auto"/>
                      <w:sz w:val="18"/>
                      <w:szCs w:val="18"/>
                      <w:lang w:val="en-US" w:eastAsia="zh-CN"/>
                    </w:rPr>
                    <w:t>Z</w:t>
                  </w:r>
                  <w:r>
                    <w:rPr>
                      <w:rFonts w:hint="default" w:ascii="Times New Roman" w:hAnsi="Times New Roman" w:cs="Times New Roman"/>
                      <w:color w:val="auto"/>
                      <w:sz w:val="18"/>
                      <w:szCs w:val="18"/>
                    </w:rPr>
                    <w:t>2770</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筛分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8</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振动筛分机</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4Y</w:t>
                  </w:r>
                  <w:r>
                    <w:rPr>
                      <w:rFonts w:hint="default" w:ascii="Times New Roman" w:hAnsi="Times New Roman" w:cs="Times New Roman"/>
                      <w:color w:val="auto"/>
                      <w:sz w:val="18"/>
                      <w:szCs w:val="18"/>
                      <w:lang w:val="en-US" w:eastAsia="zh-CN"/>
                    </w:rPr>
                    <w:t>Z</w:t>
                  </w:r>
                  <w:r>
                    <w:rPr>
                      <w:rFonts w:hint="default" w:ascii="Times New Roman" w:hAnsi="Times New Roman" w:cs="Times New Roman"/>
                      <w:color w:val="auto"/>
                      <w:sz w:val="18"/>
                      <w:szCs w:val="18"/>
                    </w:rPr>
                    <w:t>2770</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筛分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9</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轮斗式</w:t>
                  </w:r>
                  <w:r>
                    <w:rPr>
                      <w:rFonts w:hint="default" w:ascii="Times New Roman" w:hAnsi="Times New Roman" w:cs="Times New Roman"/>
                      <w:color w:val="auto"/>
                      <w:sz w:val="18"/>
                      <w:szCs w:val="18"/>
                    </w:rPr>
                    <w:t>洗砂机</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XS3228</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rPr>
                    <w:t>台</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洗砂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尾砂回收机</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TSH2455</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回收尾砂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11</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传送皮带</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10条</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物料输送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雾化喷淋设施</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多套</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喷淋降尘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3</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板框压滤机</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vertAlign w:val="superscript"/>
                    </w:rPr>
                  </w:pPr>
                  <w:r>
                    <w:rPr>
                      <w:rFonts w:hint="default" w:ascii="Times New Roman" w:hAnsi="Times New Roman" w:cs="Times New Roman"/>
                      <w:color w:val="auto"/>
                      <w:sz w:val="18"/>
                      <w:szCs w:val="18"/>
                    </w:rPr>
                    <w:t>250m</w:t>
                  </w:r>
                  <w:r>
                    <w:rPr>
                      <w:rFonts w:hint="default" w:ascii="Times New Roman" w:hAnsi="Times New Roman" w:cs="Times New Roman"/>
                      <w:color w:val="auto"/>
                      <w:sz w:val="18"/>
                      <w:szCs w:val="18"/>
                      <w:vertAlign w:val="superscript"/>
                    </w:rPr>
                    <w:t>2</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rPr>
                    <w:t>台</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泥沙压滤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4</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加药罐</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自带搅拌溶解装置，计量泵</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套</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640"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5</w:t>
                  </w:r>
                </w:p>
              </w:tc>
              <w:tc>
                <w:tcPr>
                  <w:tcW w:w="173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装载机</w:t>
                  </w:r>
                </w:p>
              </w:tc>
              <w:tc>
                <w:tcPr>
                  <w:tcW w:w="24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2台</w:t>
                  </w:r>
                </w:p>
              </w:tc>
              <w:tc>
                <w:tcPr>
                  <w:tcW w:w="15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原料及成品装载</w:t>
                  </w:r>
                </w:p>
              </w:tc>
            </w:tr>
          </w:tbl>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5</w:t>
            </w:r>
            <w:r>
              <w:rPr>
                <w:rFonts w:hint="default" w:ascii="黑体" w:hAnsi="黑体" w:eastAsia="黑体" w:cs="宋体"/>
                <w:bCs/>
                <w:color w:val="auto"/>
                <w:sz w:val="22"/>
                <w:szCs w:val="22"/>
              </w:rPr>
              <w:t>、主要原辅材料种类及用量</w:t>
            </w:r>
          </w:p>
          <w:p>
            <w:pPr>
              <w:keepNext w:val="0"/>
              <w:keepLines w:val="0"/>
              <w:suppressLineNumbers w:val="0"/>
              <w:spacing w:before="0" w:beforeAutospacing="0" w:after="0" w:afterAutospacing="0" w:line="500" w:lineRule="exact"/>
              <w:ind w:left="0" w:right="0" w:firstLine="420" w:firstLineChars="200"/>
              <w:rPr>
                <w:rFonts w:hint="default"/>
                <w:bCs/>
                <w:color w:val="auto"/>
                <w:szCs w:val="21"/>
              </w:rPr>
            </w:pPr>
            <w:r>
              <w:rPr>
                <w:rFonts w:hint="default"/>
                <w:bCs/>
                <w:color w:val="auto"/>
                <w:szCs w:val="21"/>
              </w:rPr>
              <w:t>项目</w:t>
            </w:r>
            <w:r>
              <w:rPr>
                <w:rFonts w:hint="eastAsia"/>
                <w:bCs/>
                <w:color w:val="auto"/>
                <w:szCs w:val="21"/>
              </w:rPr>
              <w:t>主要原辅材料及能耗情况</w:t>
            </w:r>
            <w:r>
              <w:rPr>
                <w:rFonts w:hint="default"/>
                <w:bCs/>
                <w:color w:val="auto"/>
                <w:szCs w:val="21"/>
              </w:rPr>
              <w:t>见</w:t>
            </w:r>
            <w:r>
              <w:rPr>
                <w:rFonts w:hint="eastAsia"/>
                <w:bCs/>
                <w:color w:val="auto"/>
                <w:szCs w:val="21"/>
              </w:rPr>
              <w:t>下表</w:t>
            </w:r>
            <w:r>
              <w:rPr>
                <w:rFonts w:hint="default"/>
                <w:bCs/>
                <w:color w:val="auto"/>
                <w:szCs w:val="21"/>
              </w:rPr>
              <w:t>。</w:t>
            </w:r>
          </w:p>
          <w:p>
            <w:pPr>
              <w:keepNext w:val="0"/>
              <w:keepLines w:val="0"/>
              <w:suppressLineNumbers w:val="0"/>
              <w:spacing w:before="0" w:beforeAutospacing="0" w:after="0" w:afterAutospacing="0" w:line="440" w:lineRule="exact"/>
              <w:ind w:left="210" w:right="0"/>
              <w:jc w:val="center"/>
              <w:rPr>
                <w:rFonts w:hint="default" w:eastAsia="黑体"/>
                <w:bCs/>
                <w:color w:val="auto"/>
                <w:sz w:val="18"/>
                <w:szCs w:val="21"/>
              </w:rPr>
            </w:pPr>
            <w:r>
              <w:rPr>
                <w:rFonts w:hint="default" w:eastAsia="黑体"/>
                <w:bCs/>
                <w:color w:val="auto"/>
                <w:sz w:val="18"/>
                <w:szCs w:val="21"/>
              </w:rPr>
              <w:t>表</w:t>
            </w:r>
            <w:r>
              <w:rPr>
                <w:rFonts w:hint="eastAsia" w:eastAsia="黑体"/>
                <w:bCs/>
                <w:color w:val="auto"/>
                <w:sz w:val="18"/>
                <w:szCs w:val="21"/>
              </w:rPr>
              <w:t>2-</w:t>
            </w:r>
            <w:r>
              <w:rPr>
                <w:rFonts w:hint="default" w:eastAsia="黑体"/>
                <w:bCs/>
                <w:color w:val="auto"/>
                <w:sz w:val="18"/>
                <w:szCs w:val="21"/>
              </w:rPr>
              <w:t>4</w:t>
            </w:r>
            <w:r>
              <w:rPr>
                <w:rFonts w:hint="eastAsia" w:eastAsia="黑体"/>
                <w:bCs/>
                <w:color w:val="auto"/>
                <w:sz w:val="18"/>
                <w:szCs w:val="21"/>
              </w:rPr>
              <w:t xml:space="preserve">     主要</w:t>
            </w:r>
            <w:r>
              <w:rPr>
                <w:rFonts w:hint="default" w:eastAsia="黑体"/>
                <w:bCs/>
                <w:color w:val="auto"/>
                <w:sz w:val="18"/>
                <w:szCs w:val="21"/>
              </w:rPr>
              <w:t>原辅材料</w:t>
            </w:r>
            <w:r>
              <w:rPr>
                <w:rFonts w:hint="eastAsia" w:eastAsia="黑体"/>
                <w:bCs/>
                <w:color w:val="auto"/>
                <w:sz w:val="18"/>
                <w:szCs w:val="21"/>
              </w:rPr>
              <w:t>及能耗情况表</w:t>
            </w:r>
          </w:p>
          <w:tbl>
            <w:tblPr>
              <w:tblStyle w:val="14"/>
              <w:tblW w:w="7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198"/>
              <w:gridCol w:w="1116"/>
              <w:gridCol w:w="1255"/>
              <w:gridCol w:w="1230"/>
              <w:gridCol w:w="1376"/>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类别</w:t>
                  </w:r>
                </w:p>
              </w:tc>
              <w:tc>
                <w:tcPr>
                  <w:tcW w:w="11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名称</w:t>
                  </w:r>
                </w:p>
              </w:tc>
              <w:tc>
                <w:tcPr>
                  <w:tcW w:w="11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年耗量</w:t>
                  </w: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来源</w:t>
                  </w:r>
                </w:p>
              </w:tc>
              <w:tc>
                <w:tcPr>
                  <w:tcW w:w="12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成分</w:t>
                  </w:r>
                </w:p>
              </w:tc>
              <w:tc>
                <w:tcPr>
                  <w:tcW w:w="13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规格包装形式</w:t>
                  </w:r>
                </w:p>
              </w:tc>
              <w:tc>
                <w:tcPr>
                  <w:tcW w:w="9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使用工序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原辅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材料</w:t>
                  </w:r>
                </w:p>
              </w:tc>
              <w:tc>
                <w:tcPr>
                  <w:tcW w:w="11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lang w:val="en-US" w:eastAsia="zh-CN"/>
                    </w:rPr>
                  </w:pPr>
                  <w:r>
                    <w:rPr>
                      <w:rFonts w:hint="eastAsia"/>
                      <w:color w:val="auto"/>
                      <w:sz w:val="18"/>
                      <w:szCs w:val="18"/>
                      <w:lang w:val="en-US" w:eastAsia="zh-CN"/>
                    </w:rPr>
                    <w:t>块状矿石料</w:t>
                  </w:r>
                </w:p>
              </w:tc>
              <w:tc>
                <w:tcPr>
                  <w:tcW w:w="11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lang w:val="en-US" w:eastAsia="zh-CN"/>
                    </w:rPr>
                    <w:t>1228437.83</w:t>
                  </w:r>
                  <w:r>
                    <w:rPr>
                      <w:rFonts w:hint="eastAsia"/>
                      <w:color w:val="auto"/>
                      <w:sz w:val="18"/>
                      <w:szCs w:val="18"/>
                    </w:rPr>
                    <w:t>吨/年</w:t>
                  </w: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default"/>
                      <w:color w:val="auto"/>
                      <w:sz w:val="18"/>
                      <w:szCs w:val="18"/>
                    </w:rPr>
                    <w:t>附近矿山</w:t>
                  </w:r>
                </w:p>
              </w:tc>
              <w:tc>
                <w:tcPr>
                  <w:tcW w:w="12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CaCO</w:t>
                  </w:r>
                  <w:r>
                    <w:rPr>
                      <w:rFonts w:hint="eastAsia"/>
                      <w:color w:val="auto"/>
                      <w:sz w:val="18"/>
                      <w:szCs w:val="18"/>
                      <w:vertAlign w:val="subscript"/>
                    </w:rPr>
                    <w:t>3</w:t>
                  </w:r>
                  <w:r>
                    <w:rPr>
                      <w:rFonts w:hint="eastAsia"/>
                      <w:color w:val="auto"/>
                      <w:sz w:val="18"/>
                      <w:szCs w:val="18"/>
                    </w:rPr>
                    <w:t>、SiO</w:t>
                  </w:r>
                  <w:r>
                    <w:rPr>
                      <w:rFonts w:hint="eastAsia"/>
                      <w:color w:val="auto"/>
                      <w:sz w:val="18"/>
                      <w:szCs w:val="18"/>
                      <w:vertAlign w:val="subscript"/>
                    </w:rPr>
                    <w:t>2</w:t>
                  </w:r>
                </w:p>
              </w:tc>
              <w:tc>
                <w:tcPr>
                  <w:tcW w:w="13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汽车装载运输</w:t>
                  </w:r>
                </w:p>
              </w:tc>
              <w:tc>
                <w:tcPr>
                  <w:tcW w:w="9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原料加工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65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p>
              </w:tc>
              <w:tc>
                <w:tcPr>
                  <w:tcW w:w="11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聚合氯化铝（PAC）</w:t>
                  </w:r>
                </w:p>
              </w:tc>
              <w:tc>
                <w:tcPr>
                  <w:tcW w:w="11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default"/>
                      <w:color w:val="auto"/>
                      <w:sz w:val="18"/>
                      <w:szCs w:val="18"/>
                    </w:rPr>
                    <w:t>5.6</w:t>
                  </w:r>
                  <w:r>
                    <w:rPr>
                      <w:rFonts w:hint="eastAsia"/>
                      <w:color w:val="auto"/>
                      <w:sz w:val="18"/>
                      <w:szCs w:val="18"/>
                    </w:rPr>
                    <w:t>吨/年</w:t>
                  </w: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外购</w:t>
                  </w:r>
                </w:p>
              </w:tc>
              <w:tc>
                <w:tcPr>
                  <w:tcW w:w="12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聚合氯化铝</w:t>
                  </w:r>
                </w:p>
              </w:tc>
              <w:tc>
                <w:tcPr>
                  <w:tcW w:w="13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袋装，25kg</w:t>
                  </w:r>
                </w:p>
              </w:tc>
              <w:tc>
                <w:tcPr>
                  <w:tcW w:w="9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废水处理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p>
              </w:tc>
              <w:tc>
                <w:tcPr>
                  <w:tcW w:w="11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聚丙烯酰胺（PA</w:t>
                  </w:r>
                  <w:r>
                    <w:rPr>
                      <w:rFonts w:hint="default"/>
                      <w:color w:val="auto"/>
                      <w:sz w:val="18"/>
                      <w:szCs w:val="18"/>
                    </w:rPr>
                    <w:t>M</w:t>
                  </w:r>
                  <w:r>
                    <w:rPr>
                      <w:rFonts w:hint="eastAsia"/>
                      <w:color w:val="auto"/>
                      <w:sz w:val="18"/>
                      <w:szCs w:val="18"/>
                    </w:rPr>
                    <w:t>）</w:t>
                  </w:r>
                </w:p>
              </w:tc>
              <w:tc>
                <w:tcPr>
                  <w:tcW w:w="11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default"/>
                      <w:color w:val="auto"/>
                      <w:sz w:val="18"/>
                      <w:szCs w:val="18"/>
                    </w:rPr>
                    <w:t>16.8</w:t>
                  </w:r>
                  <w:r>
                    <w:rPr>
                      <w:rFonts w:hint="eastAsia"/>
                      <w:color w:val="auto"/>
                      <w:sz w:val="18"/>
                      <w:szCs w:val="18"/>
                    </w:rPr>
                    <w:t>吨/年</w:t>
                  </w: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外购</w:t>
                  </w:r>
                </w:p>
              </w:tc>
              <w:tc>
                <w:tcPr>
                  <w:tcW w:w="12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聚丙烯酰胺</w:t>
                  </w:r>
                </w:p>
              </w:tc>
              <w:tc>
                <w:tcPr>
                  <w:tcW w:w="13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袋装，25kg</w:t>
                  </w:r>
                </w:p>
              </w:tc>
              <w:tc>
                <w:tcPr>
                  <w:tcW w:w="9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废水处理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p>
              </w:tc>
              <w:tc>
                <w:tcPr>
                  <w:tcW w:w="11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润滑油</w:t>
                  </w:r>
                </w:p>
              </w:tc>
              <w:tc>
                <w:tcPr>
                  <w:tcW w:w="11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0.2吨</w:t>
                  </w: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外购</w:t>
                  </w:r>
                </w:p>
              </w:tc>
              <w:tc>
                <w:tcPr>
                  <w:tcW w:w="12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复杂烷烃类</w:t>
                  </w:r>
                </w:p>
              </w:tc>
              <w:tc>
                <w:tcPr>
                  <w:tcW w:w="13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桶装，15L</w:t>
                  </w:r>
                </w:p>
              </w:tc>
              <w:tc>
                <w:tcPr>
                  <w:tcW w:w="9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设备润滑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能源</w:t>
                  </w:r>
                </w:p>
              </w:tc>
              <w:tc>
                <w:tcPr>
                  <w:tcW w:w="11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用水</w:t>
                  </w:r>
                </w:p>
              </w:tc>
              <w:tc>
                <w:tcPr>
                  <w:tcW w:w="11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lang w:val="en-US" w:eastAsia="zh-CN"/>
                    </w:rPr>
                    <w:t>72507.2</w:t>
                  </w:r>
                  <w:r>
                    <w:rPr>
                      <w:rFonts w:hint="eastAsia"/>
                      <w:color w:val="auto"/>
                      <w:sz w:val="18"/>
                      <w:szCs w:val="18"/>
                    </w:rPr>
                    <w:t>吨</w:t>
                  </w: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降雨</w:t>
                  </w:r>
                </w:p>
              </w:tc>
              <w:tc>
                <w:tcPr>
                  <w:tcW w:w="12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H2O</w:t>
                  </w:r>
                </w:p>
              </w:tc>
              <w:tc>
                <w:tcPr>
                  <w:tcW w:w="13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w:t>
                  </w:r>
                </w:p>
              </w:tc>
              <w:tc>
                <w:tcPr>
                  <w:tcW w:w="9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生产生活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p>
              </w:tc>
              <w:tc>
                <w:tcPr>
                  <w:tcW w:w="11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电能</w:t>
                  </w:r>
                </w:p>
              </w:tc>
              <w:tc>
                <w:tcPr>
                  <w:tcW w:w="11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default"/>
                      <w:color w:val="auto"/>
                      <w:sz w:val="18"/>
                      <w:szCs w:val="18"/>
                    </w:rPr>
                    <w:t>80</w:t>
                  </w:r>
                  <w:r>
                    <w:rPr>
                      <w:rFonts w:hint="eastAsia"/>
                      <w:color w:val="auto"/>
                      <w:sz w:val="18"/>
                      <w:szCs w:val="18"/>
                    </w:rPr>
                    <w:t>万kW·h</w:t>
                  </w:r>
                </w:p>
              </w:tc>
              <w:tc>
                <w:tcPr>
                  <w:tcW w:w="12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市政电网</w:t>
                  </w:r>
                </w:p>
              </w:tc>
              <w:tc>
                <w:tcPr>
                  <w:tcW w:w="123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w:t>
                  </w:r>
                </w:p>
              </w:tc>
              <w:tc>
                <w:tcPr>
                  <w:tcW w:w="137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w:t>
                  </w:r>
                </w:p>
              </w:tc>
              <w:tc>
                <w:tcPr>
                  <w:tcW w:w="9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rPr>
                  </w:pPr>
                  <w:r>
                    <w:rPr>
                      <w:rFonts w:hint="eastAsia"/>
                      <w:color w:val="auto"/>
                      <w:sz w:val="18"/>
                      <w:szCs w:val="18"/>
                    </w:rPr>
                    <w:t>生产生活</w:t>
                  </w:r>
                </w:p>
              </w:tc>
            </w:tr>
          </w:tbl>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6</w:t>
            </w:r>
            <w:r>
              <w:rPr>
                <w:rFonts w:hint="default" w:ascii="黑体" w:hAnsi="黑体" w:eastAsia="黑体" w:cs="宋体"/>
                <w:bCs/>
                <w:color w:val="auto"/>
                <w:sz w:val="22"/>
                <w:szCs w:val="22"/>
              </w:rPr>
              <w:t>、物料平衡分析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营运期物料平衡见下表。</w:t>
            </w:r>
          </w:p>
          <w:p>
            <w:pPr>
              <w:keepNext w:val="0"/>
              <w:keepLines w:val="0"/>
              <w:suppressLineNumbers w:val="0"/>
              <w:spacing w:before="0" w:beforeAutospacing="0" w:after="0" w:afterAutospacing="0" w:line="400" w:lineRule="exact"/>
              <w:ind w:left="55" w:leftChars="26" w:right="55" w:rightChars="26"/>
              <w:jc w:val="center"/>
              <w:rPr>
                <w:rFonts w:hint="default" w:eastAsia="黑体"/>
                <w:bCs/>
                <w:color w:val="auto"/>
                <w:sz w:val="18"/>
                <w:szCs w:val="18"/>
              </w:rPr>
            </w:pPr>
          </w:p>
          <w:p>
            <w:pPr>
              <w:keepNext w:val="0"/>
              <w:keepLines w:val="0"/>
              <w:suppressLineNumbers w:val="0"/>
              <w:spacing w:before="0" w:beforeAutospacing="0" w:after="0" w:afterAutospacing="0" w:line="400" w:lineRule="exact"/>
              <w:ind w:left="55" w:leftChars="26" w:right="55" w:rightChars="26"/>
              <w:jc w:val="center"/>
              <w:rPr>
                <w:rFonts w:hint="default" w:eastAsia="黑体"/>
                <w:bCs/>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100" w:lineRule="exact"/>
              <w:ind w:left="55" w:leftChars="26" w:right="55" w:rightChars="26"/>
              <w:jc w:val="center"/>
              <w:textAlignment w:val="auto"/>
              <w:rPr>
                <w:rFonts w:hint="default" w:eastAsia="黑体"/>
                <w:bCs/>
                <w:color w:val="auto"/>
                <w:sz w:val="18"/>
                <w:szCs w:val="18"/>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100" w:lineRule="exact"/>
              <w:ind w:left="55" w:leftChars="26" w:right="55" w:rightChars="26"/>
              <w:jc w:val="center"/>
              <w:textAlignment w:val="auto"/>
              <w:rPr>
                <w:rFonts w:hint="default" w:eastAsia="黑体"/>
                <w:bCs/>
                <w:color w:val="auto"/>
                <w:sz w:val="18"/>
                <w:szCs w:val="18"/>
              </w:rPr>
            </w:pPr>
          </w:p>
          <w:p>
            <w:pPr>
              <w:keepNext w:val="0"/>
              <w:keepLines w:val="0"/>
              <w:suppressLineNumbers w:val="0"/>
              <w:spacing w:before="0" w:beforeAutospacing="0" w:after="0" w:afterAutospacing="0" w:line="400" w:lineRule="exact"/>
              <w:ind w:left="55" w:leftChars="26" w:right="55" w:rightChars="26"/>
              <w:jc w:val="center"/>
              <w:rPr>
                <w:rFonts w:hint="default" w:eastAsia="黑体"/>
                <w:bCs/>
                <w:color w:val="auto"/>
                <w:sz w:val="18"/>
                <w:szCs w:val="18"/>
              </w:rPr>
            </w:pPr>
            <w:r>
              <w:rPr>
                <w:rFonts w:hint="default" w:eastAsia="黑体"/>
                <w:bCs/>
                <w:color w:val="auto"/>
                <w:sz w:val="18"/>
                <w:szCs w:val="18"/>
              </w:rPr>
              <w:t>表</w:t>
            </w:r>
            <w:r>
              <w:rPr>
                <w:rFonts w:hint="eastAsia" w:eastAsia="黑体"/>
                <w:bCs/>
                <w:color w:val="auto"/>
                <w:sz w:val="18"/>
                <w:szCs w:val="18"/>
              </w:rPr>
              <w:t>2-</w:t>
            </w:r>
            <w:r>
              <w:rPr>
                <w:rFonts w:hint="default" w:eastAsia="黑体"/>
                <w:bCs/>
                <w:color w:val="auto"/>
                <w:sz w:val="18"/>
                <w:szCs w:val="18"/>
              </w:rPr>
              <w:t>5</w:t>
            </w:r>
            <w:r>
              <w:rPr>
                <w:rFonts w:hint="eastAsia" w:eastAsia="黑体"/>
                <w:bCs/>
                <w:color w:val="auto"/>
                <w:sz w:val="18"/>
                <w:szCs w:val="18"/>
              </w:rPr>
              <w:t xml:space="preserve"> </w:t>
            </w:r>
            <w:r>
              <w:rPr>
                <w:rFonts w:hint="default" w:eastAsia="黑体"/>
                <w:bCs/>
                <w:color w:val="auto"/>
                <w:sz w:val="18"/>
                <w:szCs w:val="18"/>
              </w:rPr>
              <w:t xml:space="preserve">   营运期物料平衡表</w:t>
            </w:r>
          </w:p>
          <w:tbl>
            <w:tblPr>
              <w:tblStyle w:val="14"/>
              <w:tblW w:w="77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1720"/>
              <w:gridCol w:w="2188"/>
              <w:gridCol w:w="2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584" w:type="dxa"/>
                  <w:gridSpan w:val="2"/>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rPr>
                  </w:pPr>
                  <w:r>
                    <w:rPr>
                      <w:rFonts w:hint="eastAsia" w:asciiTheme="minorEastAsia" w:hAnsiTheme="minorEastAsia" w:eastAsiaTheme="minorEastAsia" w:cstheme="minorEastAsia"/>
                      <w:b w:val="0"/>
                      <w:bCs/>
                      <w:color w:val="auto"/>
                      <w:sz w:val="18"/>
                      <w:szCs w:val="18"/>
                    </w:rPr>
                    <w:t>投入</w:t>
                  </w:r>
                </w:p>
              </w:tc>
              <w:tc>
                <w:tcPr>
                  <w:tcW w:w="4195" w:type="dxa"/>
                  <w:gridSpan w:val="2"/>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rPr>
                  </w:pPr>
                  <w:r>
                    <w:rPr>
                      <w:rFonts w:hint="eastAsia" w:asciiTheme="minorEastAsia" w:hAnsiTheme="minorEastAsia" w:eastAsiaTheme="minorEastAsia" w:cstheme="minorEastAsia"/>
                      <w:b w:val="0"/>
                      <w:bCs/>
                      <w:color w:val="auto"/>
                      <w:sz w:val="18"/>
                      <w:szCs w:val="18"/>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64"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rPr>
                  </w:pPr>
                  <w:r>
                    <w:rPr>
                      <w:rFonts w:hint="eastAsia" w:asciiTheme="minorEastAsia" w:hAnsiTheme="minorEastAsia" w:eastAsiaTheme="minorEastAsia" w:cstheme="minorEastAsia"/>
                      <w:b w:val="0"/>
                      <w:bCs/>
                      <w:color w:val="auto"/>
                      <w:sz w:val="18"/>
                      <w:szCs w:val="18"/>
                    </w:rPr>
                    <w:t>原料</w:t>
                  </w:r>
                </w:p>
              </w:tc>
              <w:tc>
                <w:tcPr>
                  <w:tcW w:w="1720"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rPr>
                  </w:pPr>
                  <w:r>
                    <w:rPr>
                      <w:rFonts w:hint="eastAsia" w:asciiTheme="minorEastAsia" w:hAnsiTheme="minorEastAsia" w:eastAsiaTheme="minorEastAsia" w:cstheme="minorEastAsia"/>
                      <w:b w:val="0"/>
                      <w:bCs/>
                      <w:color w:val="auto"/>
                      <w:sz w:val="18"/>
                      <w:szCs w:val="18"/>
                    </w:rPr>
                    <w:t>投入量（t/a）</w:t>
                  </w:r>
                </w:p>
              </w:tc>
              <w:tc>
                <w:tcPr>
                  <w:tcW w:w="2188"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rPr>
                  </w:pPr>
                  <w:r>
                    <w:rPr>
                      <w:rFonts w:hint="eastAsia" w:asciiTheme="minorEastAsia" w:hAnsiTheme="minorEastAsia" w:eastAsiaTheme="minorEastAsia" w:cstheme="minorEastAsia"/>
                      <w:b w:val="0"/>
                      <w:bCs/>
                      <w:color w:val="auto"/>
                      <w:sz w:val="18"/>
                      <w:szCs w:val="18"/>
                    </w:rPr>
                    <w:t>产品</w:t>
                  </w:r>
                </w:p>
              </w:tc>
              <w:tc>
                <w:tcPr>
                  <w:tcW w:w="2007"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rPr>
                  </w:pPr>
                  <w:r>
                    <w:rPr>
                      <w:rFonts w:hint="eastAsia" w:asciiTheme="minorEastAsia" w:hAnsiTheme="minorEastAsia" w:eastAsiaTheme="minorEastAsia" w:cstheme="minorEastAsia"/>
                      <w:b w:val="0"/>
                      <w:bCs/>
                      <w:color w:val="auto"/>
                      <w:sz w:val="18"/>
                      <w:szCs w:val="18"/>
                    </w:rPr>
                    <w:t>产出量（t/a）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64"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矿石及洞渣料等</w:t>
                  </w:r>
                </w:p>
              </w:tc>
              <w:tc>
                <w:tcPr>
                  <w:tcW w:w="1720"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1228437.83</w:t>
                  </w:r>
                </w:p>
              </w:tc>
              <w:tc>
                <w:tcPr>
                  <w:tcW w:w="2188"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砂石料产品（干基）</w:t>
                  </w:r>
                </w:p>
              </w:tc>
              <w:tc>
                <w:tcPr>
                  <w:tcW w:w="2007"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1167000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64"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p>
              </w:tc>
              <w:tc>
                <w:tcPr>
                  <w:tcW w:w="1720"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p>
              </w:tc>
              <w:tc>
                <w:tcPr>
                  <w:tcW w:w="2188"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振动给料产生的泥</w:t>
                  </w:r>
                </w:p>
              </w:tc>
              <w:tc>
                <w:tcPr>
                  <w:tcW w:w="2007"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36853.11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64"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p>
              </w:tc>
              <w:tc>
                <w:tcPr>
                  <w:tcW w:w="1720"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p>
              </w:tc>
              <w:tc>
                <w:tcPr>
                  <w:tcW w:w="2188"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干化泥饼（干基）</w:t>
                  </w:r>
                </w:p>
              </w:tc>
              <w:tc>
                <w:tcPr>
                  <w:tcW w:w="2007"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24568.74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64"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p>
              </w:tc>
              <w:tc>
                <w:tcPr>
                  <w:tcW w:w="1720"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p>
              </w:tc>
              <w:tc>
                <w:tcPr>
                  <w:tcW w:w="2188"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粉尘</w:t>
                  </w:r>
                </w:p>
              </w:tc>
              <w:tc>
                <w:tcPr>
                  <w:tcW w:w="2007"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15.97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64"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p>
              </w:tc>
              <w:tc>
                <w:tcPr>
                  <w:tcW w:w="1720"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p>
              </w:tc>
              <w:tc>
                <w:tcPr>
                  <w:tcW w:w="2188"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铁质废物</w:t>
                  </w:r>
                </w:p>
              </w:tc>
              <w:tc>
                <w:tcPr>
                  <w:tcW w:w="2007"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jc w:val="center"/>
              </w:trPr>
              <w:tc>
                <w:tcPr>
                  <w:tcW w:w="1864"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rPr>
                  </w:pPr>
                  <w:r>
                    <w:rPr>
                      <w:rFonts w:hint="eastAsia" w:asciiTheme="minorEastAsia" w:hAnsiTheme="minorEastAsia" w:eastAsiaTheme="minorEastAsia" w:cstheme="minorEastAsia"/>
                      <w:b w:val="0"/>
                      <w:bCs/>
                      <w:color w:val="auto"/>
                      <w:sz w:val="18"/>
                      <w:szCs w:val="18"/>
                    </w:rPr>
                    <w:t>合计</w:t>
                  </w:r>
                </w:p>
              </w:tc>
              <w:tc>
                <w:tcPr>
                  <w:tcW w:w="1720"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1228437.83</w:t>
                  </w:r>
                </w:p>
              </w:tc>
              <w:tc>
                <w:tcPr>
                  <w:tcW w:w="2188"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合计</w:t>
                  </w:r>
                </w:p>
              </w:tc>
              <w:tc>
                <w:tcPr>
                  <w:tcW w:w="2007" w:type="dxa"/>
                  <w:vAlign w:val="center"/>
                </w:tcPr>
                <w:p>
                  <w:pPr>
                    <w:pStyle w:val="7"/>
                    <w:keepNext/>
                    <w:keepLines/>
                    <w:pageBreakBefore w:val="0"/>
                    <w:widowControl w:val="0"/>
                    <w:suppressLineNumbers w:val="0"/>
                    <w:kinsoku/>
                    <w:wordWrap/>
                    <w:overflowPunct/>
                    <w:topLinePunct w:val="0"/>
                    <w:autoSpaceDE w:val="0"/>
                    <w:autoSpaceDN w:val="0"/>
                    <w:bidi w:val="0"/>
                    <w:adjustRightInd/>
                    <w:snapToGrid/>
                    <w:spacing w:before="0" w:after="0" w:line="260" w:lineRule="exact"/>
                    <w:ind w:left="0" w:right="0"/>
                    <w:jc w:val="center"/>
                    <w:textAlignment w:val="auto"/>
                    <w:outlineLvl w:val="5"/>
                    <w:rPr>
                      <w:rFonts w:hint="eastAsia" w:asciiTheme="minorEastAsia" w:hAnsiTheme="minorEastAsia" w:eastAsiaTheme="minorEastAsia" w:cstheme="minorEastAsia"/>
                      <w:b w:val="0"/>
                      <w:bCs/>
                      <w:color w:val="auto"/>
                      <w:sz w:val="18"/>
                      <w:szCs w:val="18"/>
                      <w:lang w:val="en-US" w:eastAsia="zh-CN"/>
                    </w:rPr>
                  </w:pPr>
                  <w:r>
                    <w:rPr>
                      <w:rFonts w:hint="eastAsia" w:asciiTheme="minorEastAsia" w:hAnsiTheme="minorEastAsia" w:eastAsiaTheme="minorEastAsia" w:cstheme="minorEastAsia"/>
                      <w:b w:val="0"/>
                      <w:bCs/>
                      <w:color w:val="auto"/>
                      <w:sz w:val="18"/>
                      <w:szCs w:val="18"/>
                      <w:lang w:val="en-US" w:eastAsia="zh-CN"/>
                    </w:rPr>
                    <w:t>1228437.83</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宋体"/>
                <w:b/>
                <w:bCs/>
                <w:color w:val="auto"/>
                <w:sz w:val="16"/>
                <w:szCs w:val="20"/>
                <w:lang w:val="en-US" w:eastAsia="zh-CN"/>
              </w:rPr>
            </w:pPr>
            <w:r>
              <w:rPr>
                <w:rFonts w:hint="eastAsia"/>
                <w:b/>
                <w:bCs/>
                <w:color w:val="auto"/>
                <w:sz w:val="16"/>
                <w:szCs w:val="20"/>
                <w:lang w:val="en-US" w:eastAsia="zh-CN"/>
              </w:rPr>
              <w:t xml:space="preserve">  注：本项目砂石料产品产量120万吨，为含水砂石料的量。物料平衡的砂石料产品量以不含水的干基量计。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b/>
                <w:bCs/>
                <w:color w:val="auto"/>
              </w:rPr>
            </w:pPr>
            <w:r>
              <w:rPr>
                <w:rFonts w:hint="eastAsia"/>
                <w:b/>
                <w:bCs/>
                <w:color w:val="auto"/>
              </w:rPr>
              <w:t>7</w:t>
            </w:r>
            <w:r>
              <w:rPr>
                <w:rFonts w:hint="default"/>
                <w:b/>
                <w:bCs/>
                <w:color w:val="auto"/>
              </w:rPr>
              <w:t>、水平衡分析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rPr>
            </w:pPr>
            <w:r>
              <w:rPr>
                <w:rFonts w:hint="eastAsia" w:ascii="宋体" w:hAnsi="宋体"/>
                <w:color w:val="auto"/>
                <w:kern w:val="0"/>
              </w:rPr>
              <w:t>根据工程分析，项目营运期用水环节包括生产线工艺用水、</w:t>
            </w:r>
            <w:r>
              <w:rPr>
                <w:rFonts w:hint="eastAsia" w:ascii="宋体" w:hAnsi="宋体"/>
                <w:color w:val="auto"/>
                <w:kern w:val="0"/>
                <w:lang w:val="en-US" w:eastAsia="zh-CN"/>
              </w:rPr>
              <w:t>车间防尘用水、</w:t>
            </w:r>
            <w:r>
              <w:rPr>
                <w:rFonts w:hint="eastAsia" w:ascii="宋体" w:hAnsi="宋体"/>
                <w:color w:val="auto"/>
                <w:kern w:val="0"/>
              </w:rPr>
              <w:t>车辆进出冲洗用水以及员工生活用水。</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b/>
                <w:color w:val="auto"/>
                <w:kern w:val="0"/>
              </w:rPr>
            </w:pPr>
            <w:r>
              <w:rPr>
                <w:rFonts w:hint="eastAsia" w:ascii="宋体" w:hAnsi="宋体"/>
                <w:b/>
                <w:color w:val="auto"/>
                <w:kern w:val="0"/>
              </w:rPr>
              <w:t>①喷雾防尘用水</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rPr>
            </w:pPr>
            <w:r>
              <w:rPr>
                <w:rFonts w:hint="eastAsia" w:ascii="宋体" w:hAnsi="宋体"/>
                <w:color w:val="auto"/>
                <w:kern w:val="0"/>
              </w:rPr>
              <w:t>本项目采用湿法生产工艺，在振动筛分处采取不间断冲水</w:t>
            </w:r>
            <w:r>
              <w:rPr>
                <w:rFonts w:hint="eastAsia" w:ascii="宋体" w:hAnsi="宋体"/>
                <w:color w:val="auto"/>
                <w:kern w:val="0"/>
                <w:lang w:val="en-US" w:eastAsia="zh-CN"/>
              </w:rPr>
              <w:t>的方式，进行物料冲洗的同时</w:t>
            </w:r>
            <w:r>
              <w:rPr>
                <w:rFonts w:hint="eastAsia" w:ascii="宋体" w:hAnsi="宋体"/>
                <w:color w:val="auto"/>
                <w:kern w:val="0"/>
              </w:rPr>
              <w:t>能够抑制粉尘产生</w:t>
            </w:r>
            <w:r>
              <w:rPr>
                <w:rFonts w:hint="eastAsia" w:ascii="宋体" w:hAnsi="宋体"/>
                <w:color w:val="auto"/>
                <w:kern w:val="0"/>
                <w:lang w:eastAsia="zh-CN"/>
              </w:rPr>
              <w:t>；</w:t>
            </w:r>
            <w:r>
              <w:rPr>
                <w:rFonts w:hint="eastAsia" w:ascii="宋体" w:hAnsi="宋体"/>
                <w:color w:val="auto"/>
                <w:kern w:val="0"/>
                <w:lang w:val="en-US" w:eastAsia="zh-CN"/>
              </w:rPr>
              <w:t>产品为含水的湿物料本身不会起尘</w:t>
            </w:r>
            <w:r>
              <w:rPr>
                <w:rFonts w:hint="eastAsia" w:ascii="宋体" w:hAnsi="宋体"/>
                <w:color w:val="auto"/>
                <w:kern w:val="0"/>
                <w:lang w:eastAsia="zh-CN"/>
              </w:rPr>
              <w:t>。</w:t>
            </w:r>
            <w:r>
              <w:rPr>
                <w:rFonts w:hint="eastAsia" w:ascii="宋体" w:hAnsi="宋体"/>
                <w:color w:val="auto"/>
                <w:kern w:val="0"/>
              </w:rPr>
              <w:t>运营期产生粉尘的环节主要有原料卸料、</w:t>
            </w:r>
            <w:r>
              <w:rPr>
                <w:rFonts w:hint="eastAsia" w:ascii="宋体" w:hAnsi="宋体"/>
                <w:color w:val="auto"/>
                <w:kern w:val="0"/>
                <w:lang w:val="en-US" w:eastAsia="zh-CN"/>
              </w:rPr>
              <w:t>上料振动给料、</w:t>
            </w:r>
            <w:r>
              <w:rPr>
                <w:rFonts w:hint="eastAsia" w:ascii="宋体" w:hAnsi="宋体"/>
                <w:color w:val="auto"/>
                <w:kern w:val="0"/>
              </w:rPr>
              <w:t>颚式破碎</w:t>
            </w:r>
            <w:r>
              <w:rPr>
                <w:rFonts w:hint="eastAsia" w:ascii="宋体" w:hAnsi="宋体"/>
                <w:color w:val="auto"/>
                <w:kern w:val="0"/>
                <w:lang w:eastAsia="zh-CN"/>
              </w:rPr>
              <w:t>、</w:t>
            </w:r>
            <w:r>
              <w:rPr>
                <w:rFonts w:hint="eastAsia" w:ascii="宋体" w:hAnsi="宋体"/>
                <w:color w:val="auto"/>
                <w:kern w:val="0"/>
                <w:lang w:val="en-US" w:eastAsia="zh-CN"/>
              </w:rPr>
              <w:t>中间料仓</w:t>
            </w:r>
            <w:r>
              <w:rPr>
                <w:rFonts w:hint="eastAsia" w:ascii="宋体" w:hAnsi="宋体"/>
                <w:color w:val="auto"/>
                <w:kern w:val="0"/>
                <w:lang w:eastAsia="zh-CN"/>
              </w:rPr>
              <w:t>、</w:t>
            </w:r>
            <w:r>
              <w:rPr>
                <w:rFonts w:hint="eastAsia" w:ascii="宋体" w:hAnsi="宋体"/>
                <w:color w:val="auto"/>
                <w:kern w:val="0"/>
                <w:lang w:val="en-US" w:eastAsia="zh-CN"/>
              </w:rPr>
              <w:t>反击式</w:t>
            </w:r>
            <w:r>
              <w:rPr>
                <w:rFonts w:hint="eastAsia" w:ascii="宋体" w:hAnsi="宋体"/>
                <w:color w:val="auto"/>
                <w:kern w:val="0"/>
              </w:rPr>
              <w:t>破碎环节</w:t>
            </w:r>
            <w:r>
              <w:rPr>
                <w:rFonts w:hint="eastAsia" w:ascii="宋体" w:hAnsi="宋体"/>
                <w:color w:val="auto"/>
                <w:kern w:val="0"/>
                <w:lang w:val="en-US" w:eastAsia="zh-CN"/>
              </w:rPr>
              <w:t>以及皮带输送</w:t>
            </w:r>
            <w:r>
              <w:rPr>
                <w:rFonts w:hint="eastAsia" w:ascii="宋体" w:hAnsi="宋体"/>
                <w:color w:val="auto"/>
                <w:kern w:val="0"/>
              </w:rPr>
              <w:t>。项目原料含水率较低，本次环评不考虑其含水情况。</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b/>
                <w:color w:val="auto"/>
                <w:kern w:val="0"/>
              </w:rPr>
            </w:pPr>
            <w:r>
              <w:rPr>
                <w:rFonts w:hint="eastAsia" w:ascii="宋体" w:hAnsi="宋体"/>
                <w:color w:val="auto"/>
                <w:kern w:val="0"/>
              </w:rPr>
              <w:t>项目设计在原料卸料、</w:t>
            </w:r>
            <w:r>
              <w:rPr>
                <w:rFonts w:hint="eastAsia" w:ascii="宋体" w:hAnsi="宋体"/>
                <w:color w:val="auto"/>
                <w:kern w:val="0"/>
                <w:lang w:val="en-US" w:eastAsia="zh-CN"/>
              </w:rPr>
              <w:t>上料给料、中间料仓、颚破、反击破及制砂机进出料端以及输送皮带两端落料</w:t>
            </w:r>
            <w:r>
              <w:rPr>
                <w:rFonts w:hint="eastAsia" w:ascii="宋体" w:hAnsi="宋体"/>
                <w:color w:val="auto"/>
                <w:kern w:val="0"/>
              </w:rPr>
              <w:t>等处采用高效喷雾装置防尘。根据建设单位介绍，本项目建成后拟在生产车间内共设置</w:t>
            </w:r>
            <w:r>
              <w:rPr>
                <w:rFonts w:hint="eastAsia"/>
                <w:color w:val="auto"/>
                <w:kern w:val="0"/>
                <w:lang w:val="en-US" w:eastAsia="zh-CN"/>
              </w:rPr>
              <w:t>50</w:t>
            </w:r>
            <w:r>
              <w:rPr>
                <w:rFonts w:hint="eastAsia" w:ascii="宋体" w:hAnsi="宋体"/>
                <w:color w:val="auto"/>
                <w:kern w:val="0"/>
              </w:rPr>
              <w:t>个防尘喷雾喷头。通过查询资料，通常情况下防尘雾化喷头的流量为</w:t>
            </w:r>
            <w:r>
              <w:rPr>
                <w:rFonts w:hint="eastAsia"/>
                <w:color w:val="auto"/>
                <w:kern w:val="0"/>
              </w:rPr>
              <w:t>5L/h</w:t>
            </w:r>
            <w:r>
              <w:rPr>
                <w:rFonts w:hint="eastAsia" w:ascii="宋体" w:hAnsi="宋体"/>
                <w:color w:val="auto"/>
                <w:kern w:val="0"/>
              </w:rPr>
              <w:t>至</w:t>
            </w:r>
            <w:r>
              <w:rPr>
                <w:rFonts w:hint="eastAsia"/>
                <w:color w:val="auto"/>
                <w:kern w:val="0"/>
              </w:rPr>
              <w:t>50L/h</w:t>
            </w:r>
            <w:r>
              <w:rPr>
                <w:rFonts w:hint="eastAsia" w:ascii="宋体" w:hAnsi="宋体"/>
                <w:color w:val="auto"/>
                <w:kern w:val="0"/>
              </w:rPr>
              <w:t>不等。根据建设单位介绍，本项目喷雾喷头用水量约</w:t>
            </w:r>
            <w:r>
              <w:rPr>
                <w:rFonts w:hint="eastAsia"/>
                <w:color w:val="auto"/>
                <w:kern w:val="0"/>
              </w:rPr>
              <w:t>20L/h</w:t>
            </w:r>
            <w:r>
              <w:rPr>
                <w:rFonts w:hint="eastAsia" w:ascii="宋体" w:hAnsi="宋体"/>
                <w:color w:val="auto"/>
                <w:kern w:val="0"/>
              </w:rPr>
              <w:t>•个，日运行时间为</w:t>
            </w:r>
            <w:r>
              <w:rPr>
                <w:rFonts w:hint="default"/>
                <w:color w:val="auto"/>
                <w:kern w:val="0"/>
              </w:rPr>
              <w:t>10</w:t>
            </w:r>
            <w:r>
              <w:rPr>
                <w:rFonts w:hint="eastAsia"/>
                <w:color w:val="auto"/>
                <w:kern w:val="0"/>
              </w:rPr>
              <w:t>h</w:t>
            </w:r>
            <w:r>
              <w:rPr>
                <w:rFonts w:hint="eastAsia" w:ascii="宋体" w:hAnsi="宋体"/>
                <w:color w:val="auto"/>
                <w:kern w:val="0"/>
              </w:rPr>
              <w:t>，经计算项目生产车间内防尘喷雾用水量为</w:t>
            </w:r>
            <w:r>
              <w:rPr>
                <w:rFonts w:hint="eastAsia"/>
                <w:color w:val="auto"/>
                <w:kern w:val="0"/>
                <w:lang w:val="en-US" w:eastAsia="zh-CN"/>
              </w:rPr>
              <w:t>10</w:t>
            </w:r>
            <w:r>
              <w:rPr>
                <w:rFonts w:hint="eastAsia"/>
                <w:color w:val="auto"/>
                <w:kern w:val="0"/>
              </w:rPr>
              <w:t>m</w:t>
            </w:r>
            <w:r>
              <w:rPr>
                <w:rFonts w:hint="eastAsia"/>
                <w:color w:val="auto"/>
                <w:kern w:val="0"/>
                <w:vertAlign w:val="superscript"/>
              </w:rPr>
              <w:t>3</w:t>
            </w:r>
            <w:r>
              <w:rPr>
                <w:rFonts w:hint="eastAsia"/>
                <w:color w:val="auto"/>
                <w:kern w:val="0"/>
              </w:rPr>
              <w:t>/d</w:t>
            </w:r>
            <w:r>
              <w:rPr>
                <w:rFonts w:hint="eastAsia" w:ascii="宋体" w:hAnsi="宋体"/>
                <w:color w:val="auto"/>
                <w:kern w:val="0"/>
              </w:rPr>
              <w:t>。喷雾降尘水全部蒸发损耗，不会形成径流废水。</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b/>
                <w:color w:val="auto"/>
                <w:kern w:val="0"/>
              </w:rPr>
            </w:pPr>
            <w:r>
              <w:rPr>
                <w:rFonts w:hint="eastAsia" w:ascii="宋体" w:hAnsi="宋体"/>
                <w:b/>
                <w:color w:val="auto"/>
                <w:kern w:val="0"/>
              </w:rPr>
              <w:t>②生产线用水</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default" w:ascii="宋体" w:hAnsi="宋体" w:eastAsia="宋体"/>
                <w:color w:val="auto"/>
                <w:kern w:val="0"/>
                <w:lang w:val="en-US" w:eastAsia="zh-CN"/>
              </w:rPr>
            </w:pPr>
            <w:r>
              <w:rPr>
                <w:rFonts w:hint="eastAsia" w:ascii="宋体" w:hAnsi="宋体"/>
                <w:color w:val="auto"/>
                <w:kern w:val="0"/>
                <w:lang w:val="en-US" w:eastAsia="zh-CN"/>
              </w:rPr>
              <w:t>本</w:t>
            </w:r>
            <w:r>
              <w:rPr>
                <w:rFonts w:hint="eastAsia" w:ascii="宋体" w:hAnsi="宋体"/>
                <w:color w:val="auto"/>
                <w:kern w:val="0"/>
              </w:rPr>
              <w:t>项目生产线用水主要是振动筛分环节冲水。</w:t>
            </w:r>
            <w:r>
              <w:rPr>
                <w:rFonts w:hint="eastAsia" w:ascii="宋体" w:hAnsi="宋体"/>
                <w:color w:val="auto"/>
                <w:kern w:val="0"/>
                <w:lang w:val="en-US" w:eastAsia="zh-CN"/>
              </w:rPr>
              <w:t>振动筛冲水主要是为工艺上清洗物料需要。</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default" w:ascii="宋体" w:hAnsi="宋体" w:eastAsia="宋体"/>
                <w:color w:val="auto"/>
                <w:kern w:val="0"/>
                <w:lang w:val="en-US" w:eastAsia="zh-CN"/>
              </w:rPr>
            </w:pPr>
            <w:r>
              <w:rPr>
                <w:rFonts w:hint="eastAsia" w:ascii="宋体" w:hAnsi="宋体"/>
                <w:color w:val="auto"/>
                <w:kern w:val="0"/>
              </w:rPr>
              <w:t>项目原料</w:t>
            </w:r>
            <w:r>
              <w:rPr>
                <w:rFonts w:hint="eastAsia" w:ascii="宋体" w:hAnsi="宋体"/>
                <w:color w:val="auto"/>
                <w:kern w:val="0"/>
                <w:lang w:val="en-US" w:eastAsia="zh-CN"/>
              </w:rPr>
              <w:t>为</w:t>
            </w:r>
            <w:r>
              <w:rPr>
                <w:rFonts w:hint="eastAsia" w:ascii="宋体" w:hAnsi="宋体"/>
                <w:color w:val="auto"/>
                <w:kern w:val="0"/>
              </w:rPr>
              <w:t>附近矿山企业</w:t>
            </w:r>
            <w:r>
              <w:rPr>
                <w:rFonts w:hint="eastAsia" w:ascii="宋体" w:hAnsi="宋体"/>
                <w:color w:val="auto"/>
                <w:kern w:val="0"/>
                <w:lang w:val="en-US" w:eastAsia="zh-CN"/>
              </w:rPr>
              <w:t>的块状矿石原料，含泥量一般在</w:t>
            </w:r>
            <w:r>
              <w:rPr>
                <w:rFonts w:hint="default" w:ascii="Times New Roman" w:hAnsi="Times New Roman" w:cs="Times New Roman"/>
                <w:color w:val="auto"/>
                <w:kern w:val="0"/>
                <w:lang w:val="en-US" w:eastAsia="zh-CN"/>
              </w:rPr>
              <w:t>2%~5%</w:t>
            </w:r>
            <w:r>
              <w:rPr>
                <w:rFonts w:hint="default" w:ascii="Times New Roman" w:hAnsi="Times New Roman" w:cs="Times New Roman"/>
                <w:color w:val="auto"/>
                <w:kern w:val="0"/>
              </w:rPr>
              <w:t>，</w:t>
            </w:r>
            <w:r>
              <w:rPr>
                <w:rFonts w:hint="eastAsia" w:ascii="宋体" w:hAnsi="宋体"/>
                <w:color w:val="auto"/>
                <w:kern w:val="0"/>
              </w:rPr>
              <w:t>水洗加工的用水量与原料的含泥量、粒度以及洗砂机的种类等都有关。根据建设单位介绍</w:t>
            </w:r>
            <w:r>
              <w:rPr>
                <w:rFonts w:hint="eastAsia" w:ascii="宋体" w:hAnsi="宋体"/>
                <w:color w:val="auto"/>
                <w:kern w:val="0"/>
                <w:lang w:eastAsia="zh-CN"/>
              </w:rPr>
              <w:t>，</w:t>
            </w:r>
            <w:r>
              <w:rPr>
                <w:rFonts w:hint="eastAsia" w:ascii="宋体" w:hAnsi="宋体"/>
                <w:color w:val="auto"/>
                <w:kern w:val="0"/>
              </w:rPr>
              <w:t>本项目生产过程水洗用水量约</w:t>
            </w:r>
            <w:r>
              <w:rPr>
                <w:rFonts w:hint="eastAsia"/>
                <w:color w:val="auto"/>
                <w:kern w:val="0"/>
              </w:rPr>
              <w:t>1.</w:t>
            </w:r>
            <w:r>
              <w:rPr>
                <w:rFonts w:hint="default"/>
                <w:color w:val="auto"/>
                <w:kern w:val="0"/>
              </w:rPr>
              <w:t>0</w:t>
            </w:r>
            <w:r>
              <w:rPr>
                <w:rFonts w:hint="eastAsia"/>
                <w:color w:val="auto"/>
                <w:kern w:val="0"/>
              </w:rPr>
              <w:t>m</w:t>
            </w:r>
            <w:r>
              <w:rPr>
                <w:rFonts w:hint="eastAsia"/>
                <w:color w:val="auto"/>
                <w:kern w:val="0"/>
                <w:vertAlign w:val="superscript"/>
              </w:rPr>
              <w:t>3</w:t>
            </w:r>
            <w:r>
              <w:rPr>
                <w:rFonts w:hint="eastAsia"/>
                <w:color w:val="auto"/>
                <w:kern w:val="0"/>
              </w:rPr>
              <w:t>/t-</w:t>
            </w:r>
            <w:r>
              <w:rPr>
                <w:rFonts w:hint="eastAsia" w:ascii="宋体" w:hAnsi="宋体"/>
                <w:color w:val="auto"/>
                <w:kern w:val="0"/>
              </w:rPr>
              <w:t>原料。</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rPr>
              <w:t>根据</w:t>
            </w:r>
            <w:r>
              <w:rPr>
                <w:rFonts w:hint="default" w:ascii="Times New Roman" w:hAnsi="Times New Roman" w:cs="Times New Roman"/>
                <w:color w:val="auto"/>
                <w:kern w:val="0"/>
                <w:lang w:val="en-US" w:eastAsia="zh-CN"/>
              </w:rPr>
              <w:t>项目工程分析，项目原料总量为</w:t>
            </w:r>
            <w:r>
              <w:rPr>
                <w:rFonts w:hint="eastAsia" w:cs="Times New Roman"/>
                <w:color w:val="auto"/>
                <w:kern w:val="0"/>
                <w:lang w:val="en-US" w:eastAsia="zh-CN"/>
              </w:rPr>
              <w:t>1228437.83</w:t>
            </w:r>
            <w:r>
              <w:rPr>
                <w:rFonts w:hint="default" w:ascii="Times New Roman" w:hAnsi="Times New Roman" w:cs="Times New Roman"/>
                <w:color w:val="auto"/>
                <w:kern w:val="0"/>
                <w:lang w:val="en-US" w:eastAsia="zh-CN"/>
              </w:rPr>
              <w:t>t/a（3838.</w:t>
            </w:r>
            <w:r>
              <w:rPr>
                <w:rFonts w:hint="eastAsia" w:cs="Times New Roman"/>
                <w:color w:val="auto"/>
                <w:kern w:val="0"/>
                <w:lang w:val="en-US" w:eastAsia="zh-CN"/>
              </w:rPr>
              <w:t>86</w:t>
            </w:r>
            <w:r>
              <w:rPr>
                <w:rFonts w:hint="default" w:ascii="Times New Roman" w:hAnsi="Times New Roman" w:cs="Times New Roman"/>
                <w:color w:val="auto"/>
                <w:kern w:val="0"/>
                <w:lang w:val="en-US" w:eastAsia="zh-CN"/>
              </w:rPr>
              <w:t>t/d），</w:t>
            </w:r>
            <w:r>
              <w:rPr>
                <w:rFonts w:hint="eastAsia" w:cs="Times New Roman"/>
                <w:color w:val="auto"/>
                <w:kern w:val="0"/>
                <w:lang w:val="en-US" w:eastAsia="zh-CN"/>
              </w:rPr>
              <w:t>则</w:t>
            </w:r>
            <w:r>
              <w:rPr>
                <w:rFonts w:hint="eastAsia" w:ascii="Times New Roman" w:hAnsi="Times New Roman" w:cs="Times New Roman"/>
                <w:color w:val="auto"/>
                <w:kern w:val="0"/>
                <w:lang w:val="en-US" w:eastAsia="zh-CN"/>
              </w:rPr>
              <w:t>两级振动筛处的冲水用量为</w:t>
            </w:r>
            <w:r>
              <w:rPr>
                <w:rFonts w:hint="eastAsia" w:cs="Times New Roman"/>
                <w:color w:val="auto"/>
                <w:kern w:val="0"/>
                <w:lang w:val="en-US" w:eastAsia="zh-CN"/>
              </w:rPr>
              <w:t>3838.86</w:t>
            </w:r>
            <w:r>
              <w:rPr>
                <w:rFonts w:hint="default" w:ascii="Times New Roman" w:hAnsi="Times New Roman" w:cs="Times New Roman"/>
                <w:color w:val="auto"/>
                <w:kern w:val="0"/>
                <w:lang w:val="en-US" w:eastAsia="zh-CN"/>
              </w:rPr>
              <w:t>m</w:t>
            </w:r>
            <w:r>
              <w:rPr>
                <w:rFonts w:hint="default" w:ascii="Times New Roman" w:hAnsi="Times New Roman" w:cs="Times New Roman"/>
                <w:color w:val="auto"/>
                <w:kern w:val="0"/>
                <w:vertAlign w:val="superscript"/>
                <w:lang w:val="en-US" w:eastAsia="zh-CN"/>
              </w:rPr>
              <w:t>3</w:t>
            </w:r>
            <w:r>
              <w:rPr>
                <w:rFonts w:hint="default" w:ascii="Times New Roman" w:hAnsi="Times New Roman" w:cs="Times New Roman"/>
                <w:color w:val="auto"/>
                <w:kern w:val="0"/>
                <w:lang w:val="en-US" w:eastAsia="zh-CN"/>
              </w:rPr>
              <w:t>/d</w:t>
            </w:r>
            <w:r>
              <w:rPr>
                <w:rFonts w:hint="eastAsia" w:cs="Times New Roman"/>
                <w:color w:val="auto"/>
                <w:kern w:val="0"/>
                <w:lang w:val="en-US" w:eastAsia="zh-CN"/>
              </w:rPr>
              <w:t>。</w:t>
            </w:r>
          </w:p>
          <w:p>
            <w:pPr>
              <w:keepNext w:val="0"/>
              <w:keepLines w:val="0"/>
              <w:suppressLineNumbers w:val="0"/>
              <w:autoSpaceDE w:val="0"/>
              <w:autoSpaceDN w:val="0"/>
              <w:adjustRightInd w:val="0"/>
              <w:snapToGrid w:val="0"/>
              <w:spacing w:before="0" w:beforeAutospacing="0" w:after="0" w:afterAutospacing="0" w:line="404" w:lineRule="exact"/>
              <w:ind w:left="0" w:right="0" w:firstLine="422" w:firstLineChars="200"/>
              <w:jc w:val="left"/>
              <w:rPr>
                <w:rFonts w:hint="eastAsia" w:ascii="宋体" w:hAnsi="宋体"/>
                <w:b/>
                <w:color w:val="auto"/>
                <w:kern w:val="0"/>
                <w:lang w:eastAsia="zh-CN"/>
              </w:rPr>
            </w:pPr>
            <w:r>
              <w:rPr>
                <w:rFonts w:hint="eastAsia" w:ascii="宋体" w:hAnsi="宋体"/>
                <w:b/>
                <w:color w:val="auto"/>
                <w:kern w:val="0"/>
              </w:rPr>
              <w:t>产品</w:t>
            </w:r>
            <w:r>
              <w:rPr>
                <w:rFonts w:hint="eastAsia" w:ascii="宋体" w:hAnsi="宋体"/>
                <w:b/>
                <w:color w:val="auto"/>
                <w:kern w:val="0"/>
                <w:lang w:val="en-US" w:eastAsia="zh-CN"/>
              </w:rPr>
              <w:t>带走及</w:t>
            </w:r>
            <w:r>
              <w:rPr>
                <w:rFonts w:hint="eastAsia" w:ascii="宋体" w:hAnsi="宋体"/>
                <w:b/>
                <w:color w:val="auto"/>
                <w:kern w:val="0"/>
              </w:rPr>
              <w:t>渗沥水</w:t>
            </w:r>
            <w:r>
              <w:rPr>
                <w:rFonts w:hint="eastAsia" w:ascii="宋体" w:hAnsi="宋体"/>
                <w:b/>
                <w:color w:val="auto"/>
                <w:kern w:val="0"/>
                <w:lang w:eastAsia="zh-CN"/>
              </w:rPr>
              <w:t>：</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eastAsia" w:ascii="宋体" w:hAnsi="宋体"/>
                <w:color w:val="auto"/>
                <w:kern w:val="0"/>
              </w:rPr>
            </w:pPr>
            <w:r>
              <w:rPr>
                <w:rFonts w:hint="eastAsia" w:ascii="宋体" w:hAnsi="宋体"/>
                <w:color w:val="auto"/>
                <w:kern w:val="0"/>
                <w:lang w:val="en-US" w:eastAsia="zh-CN"/>
              </w:rPr>
              <w:t>项目水洗加工完成的碎石及砂等产品离开生产线时会带走一定的水分。</w:t>
            </w:r>
            <w:r>
              <w:rPr>
                <w:rFonts w:hint="eastAsia" w:ascii="宋体" w:hAnsi="宋体"/>
                <w:color w:val="auto"/>
                <w:kern w:val="0"/>
              </w:rPr>
              <w:t>根据</w:t>
            </w:r>
            <w:r>
              <w:rPr>
                <w:rFonts w:hint="eastAsia" w:ascii="宋体" w:hAnsi="宋体"/>
                <w:color w:val="auto"/>
                <w:kern w:val="0"/>
                <w:lang w:val="en-US" w:eastAsia="zh-CN"/>
              </w:rPr>
              <w:t>工程</w:t>
            </w:r>
            <w:r>
              <w:rPr>
                <w:rFonts w:hint="eastAsia" w:ascii="宋体" w:hAnsi="宋体"/>
                <w:color w:val="auto"/>
                <w:kern w:val="0"/>
              </w:rPr>
              <w:t>分析，碎石产品离开生产线时含水率约</w:t>
            </w:r>
            <w:r>
              <w:rPr>
                <w:rFonts w:hint="eastAsia"/>
                <w:color w:val="auto"/>
                <w:kern w:val="0"/>
              </w:rPr>
              <w:t>10%</w:t>
            </w:r>
            <w:r>
              <w:rPr>
                <w:rFonts w:hint="eastAsia" w:ascii="宋体" w:hAnsi="宋体"/>
                <w:color w:val="auto"/>
                <w:kern w:val="0"/>
              </w:rPr>
              <w:t>，机制砂离开生产线时含水率约</w:t>
            </w:r>
            <w:r>
              <w:rPr>
                <w:rFonts w:hint="eastAsia"/>
                <w:color w:val="auto"/>
                <w:kern w:val="0"/>
              </w:rPr>
              <w:t>20%</w:t>
            </w:r>
            <w:r>
              <w:rPr>
                <w:rFonts w:hint="eastAsia" w:ascii="宋体" w:hAnsi="宋体"/>
                <w:color w:val="auto"/>
                <w:kern w:val="0"/>
                <w:lang w:eastAsia="zh-CN"/>
              </w:rPr>
              <w:t>。</w:t>
            </w:r>
            <w:r>
              <w:rPr>
                <w:rFonts w:hint="eastAsia" w:ascii="宋体" w:hAnsi="宋体"/>
                <w:color w:val="auto"/>
                <w:kern w:val="0"/>
                <w:lang w:val="en-US" w:eastAsia="zh-CN"/>
              </w:rPr>
              <w:t>经计算，项目碎石产品每日产量（干基）为</w:t>
            </w:r>
            <w:r>
              <w:rPr>
                <w:rFonts w:hint="default" w:ascii="Times New Roman" w:hAnsi="Times New Roman" w:cs="Times New Roman"/>
                <w:color w:val="auto"/>
                <w:kern w:val="0"/>
                <w:lang w:val="en-US" w:eastAsia="zh-CN"/>
              </w:rPr>
              <w:t>2756.25t/d</w:t>
            </w:r>
            <w:r>
              <w:rPr>
                <w:rFonts w:hint="eastAsia" w:ascii="Times New Roman" w:hAnsi="Times New Roman" w:cs="Times New Roman"/>
                <w:color w:val="auto"/>
                <w:kern w:val="0"/>
                <w:lang w:val="en-US" w:eastAsia="zh-CN"/>
              </w:rPr>
              <w:t>，离开生产线时带走水分306.25m</w:t>
            </w:r>
            <w:r>
              <w:rPr>
                <w:rFonts w:hint="eastAsia" w:ascii="Times New Roman" w:hAnsi="Times New Roman" w:cs="Times New Roman"/>
                <w:color w:val="auto"/>
                <w:kern w:val="0"/>
                <w:vertAlign w:val="superscript"/>
                <w:lang w:val="en-US" w:eastAsia="zh-CN"/>
              </w:rPr>
              <w:t>3</w:t>
            </w:r>
            <w:r>
              <w:rPr>
                <w:rFonts w:hint="eastAsia" w:ascii="Times New Roman" w:hAnsi="Times New Roman" w:cs="Times New Roman"/>
                <w:color w:val="auto"/>
                <w:kern w:val="0"/>
                <w:lang w:val="en-US" w:eastAsia="zh-CN"/>
              </w:rPr>
              <w:t>/d，</w:t>
            </w:r>
            <w:r>
              <w:rPr>
                <w:rFonts w:hint="eastAsia" w:ascii="宋体" w:hAnsi="宋体"/>
                <w:color w:val="auto"/>
                <w:kern w:val="0"/>
                <w:lang w:val="en-US" w:eastAsia="zh-CN"/>
              </w:rPr>
              <w:t>机制砂产品每日产量（干基）为</w:t>
            </w:r>
            <w:r>
              <w:rPr>
                <w:rFonts w:hint="eastAsia" w:cs="Times New Roman"/>
                <w:color w:val="auto"/>
                <w:kern w:val="0"/>
                <w:lang w:val="en-US" w:eastAsia="zh-CN"/>
              </w:rPr>
              <w:t>890.63</w:t>
            </w:r>
            <w:r>
              <w:rPr>
                <w:rFonts w:hint="default" w:ascii="Times New Roman" w:hAnsi="Times New Roman" w:cs="Times New Roman"/>
                <w:color w:val="auto"/>
                <w:kern w:val="0"/>
                <w:lang w:val="en-US" w:eastAsia="zh-CN"/>
              </w:rPr>
              <w:t>t/d</w:t>
            </w:r>
            <w:r>
              <w:rPr>
                <w:rFonts w:hint="eastAsia" w:ascii="Times New Roman" w:hAnsi="Times New Roman" w:cs="Times New Roman"/>
                <w:color w:val="auto"/>
                <w:kern w:val="0"/>
                <w:lang w:val="en-US" w:eastAsia="zh-CN"/>
              </w:rPr>
              <w:t>，离开生产线时带走水分</w:t>
            </w:r>
            <w:r>
              <w:rPr>
                <w:rFonts w:hint="eastAsia" w:cs="Times New Roman"/>
                <w:color w:val="auto"/>
                <w:kern w:val="0"/>
                <w:lang w:val="en-US" w:eastAsia="zh-CN"/>
              </w:rPr>
              <w:t>222.66</w:t>
            </w:r>
            <w:r>
              <w:rPr>
                <w:rFonts w:hint="eastAsia" w:ascii="Times New Roman" w:hAnsi="Times New Roman" w:cs="Times New Roman"/>
                <w:color w:val="auto"/>
                <w:kern w:val="0"/>
                <w:lang w:val="en-US" w:eastAsia="zh-CN"/>
              </w:rPr>
              <w:t>m</w:t>
            </w:r>
            <w:r>
              <w:rPr>
                <w:rFonts w:hint="eastAsia" w:ascii="Times New Roman" w:hAnsi="Times New Roman" w:cs="Times New Roman"/>
                <w:color w:val="auto"/>
                <w:kern w:val="0"/>
                <w:vertAlign w:val="superscript"/>
                <w:lang w:val="en-US" w:eastAsia="zh-CN"/>
              </w:rPr>
              <w:t>3</w:t>
            </w:r>
            <w:r>
              <w:rPr>
                <w:rFonts w:hint="eastAsia" w:ascii="Times New Roman" w:hAnsi="Times New Roman" w:cs="Times New Roman"/>
                <w:color w:val="auto"/>
                <w:kern w:val="0"/>
                <w:lang w:val="en-US" w:eastAsia="zh-CN"/>
              </w:rPr>
              <w:t>/d</w:t>
            </w:r>
            <w:r>
              <w:rPr>
                <w:rFonts w:hint="eastAsia" w:cs="Times New Roman"/>
                <w:color w:val="auto"/>
                <w:kern w:val="0"/>
                <w:lang w:val="en-US" w:eastAsia="zh-CN"/>
              </w:rPr>
              <w:t>，</w:t>
            </w:r>
            <w:r>
              <w:rPr>
                <w:rFonts w:hint="eastAsia" w:ascii="宋体" w:hAnsi="宋体"/>
                <w:color w:val="auto"/>
                <w:kern w:val="0"/>
              </w:rPr>
              <w:t>总共带走水量为</w:t>
            </w:r>
            <w:r>
              <w:rPr>
                <w:rFonts w:hint="eastAsia"/>
                <w:color w:val="auto"/>
                <w:kern w:val="0"/>
                <w:lang w:val="en-US" w:eastAsia="zh-CN"/>
              </w:rPr>
              <w:t>528.91</w:t>
            </w:r>
            <w:r>
              <w:rPr>
                <w:rFonts w:hint="eastAsia"/>
                <w:color w:val="auto"/>
                <w:kern w:val="0"/>
              </w:rPr>
              <w:t>m</w:t>
            </w:r>
            <w:r>
              <w:rPr>
                <w:rFonts w:hint="eastAsia"/>
                <w:color w:val="auto"/>
                <w:kern w:val="0"/>
                <w:vertAlign w:val="superscript"/>
              </w:rPr>
              <w:t>3</w:t>
            </w:r>
            <w:r>
              <w:rPr>
                <w:rFonts w:hint="eastAsia"/>
                <w:color w:val="auto"/>
                <w:kern w:val="0"/>
              </w:rPr>
              <w:t>/d</w:t>
            </w:r>
            <w:r>
              <w:rPr>
                <w:rFonts w:hint="eastAsia" w:ascii="宋体" w:hAnsi="宋体"/>
                <w:color w:val="auto"/>
                <w:kern w:val="0"/>
              </w:rPr>
              <w:t>。</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eastAsia" w:ascii="宋体" w:hAnsi="宋体"/>
                <w:color w:val="auto"/>
                <w:kern w:val="0"/>
              </w:rPr>
            </w:pPr>
            <w:r>
              <w:rPr>
                <w:rFonts w:hint="eastAsia" w:ascii="宋体" w:hAnsi="宋体"/>
                <w:color w:val="auto"/>
                <w:kern w:val="0"/>
              </w:rPr>
              <w:t>砂石料产品在堆场堆存过程会产生一定量的渗沥水。项目外售的</w:t>
            </w:r>
            <w:r>
              <w:rPr>
                <w:rFonts w:hint="eastAsia" w:ascii="宋体" w:hAnsi="宋体"/>
                <w:color w:val="auto"/>
                <w:kern w:val="0"/>
                <w:lang w:val="en-US" w:eastAsia="zh-CN"/>
              </w:rPr>
              <w:t>碎石</w:t>
            </w:r>
            <w:r>
              <w:rPr>
                <w:rFonts w:hint="eastAsia" w:ascii="宋体" w:hAnsi="宋体"/>
                <w:color w:val="auto"/>
                <w:kern w:val="0"/>
              </w:rPr>
              <w:t>含水率取</w:t>
            </w:r>
            <w:r>
              <w:rPr>
                <w:rFonts w:hint="eastAsia"/>
                <w:color w:val="auto"/>
                <w:kern w:val="0"/>
              </w:rPr>
              <w:t>2%</w:t>
            </w:r>
            <w:r>
              <w:rPr>
                <w:rFonts w:hint="eastAsia" w:ascii="宋体" w:hAnsi="宋体"/>
                <w:color w:val="auto"/>
                <w:kern w:val="0"/>
              </w:rPr>
              <w:t>，</w:t>
            </w:r>
            <w:r>
              <w:rPr>
                <w:rFonts w:hint="eastAsia" w:ascii="宋体" w:hAnsi="宋体"/>
                <w:color w:val="auto"/>
                <w:kern w:val="0"/>
                <w:lang w:val="en-US" w:eastAsia="zh-CN"/>
              </w:rPr>
              <w:t>机砂含水率取5%，</w:t>
            </w:r>
            <w:r>
              <w:rPr>
                <w:rFonts w:hint="eastAsia" w:ascii="宋体" w:hAnsi="宋体"/>
                <w:color w:val="auto"/>
                <w:kern w:val="0"/>
              </w:rPr>
              <w:t>则</w:t>
            </w:r>
            <w:r>
              <w:rPr>
                <w:rFonts w:hint="eastAsia" w:ascii="宋体" w:hAnsi="宋体"/>
                <w:color w:val="auto"/>
                <w:kern w:val="0"/>
                <w:lang w:val="en-US" w:eastAsia="zh-CN"/>
              </w:rPr>
              <w:t>砂石产品</w:t>
            </w:r>
            <w:r>
              <w:rPr>
                <w:rFonts w:hint="eastAsia" w:ascii="宋体" w:hAnsi="宋体"/>
                <w:color w:val="auto"/>
                <w:kern w:val="0"/>
              </w:rPr>
              <w:t>外售时带走水量约</w:t>
            </w:r>
            <w:r>
              <w:rPr>
                <w:rFonts w:hint="default" w:ascii="Times New Roman" w:hAnsi="Times New Roman" w:cs="Times New Roman"/>
                <w:color w:val="auto"/>
                <w:kern w:val="0"/>
                <w:lang w:val="en-US" w:eastAsia="zh-CN"/>
              </w:rPr>
              <w:t>103.</w:t>
            </w:r>
            <w:r>
              <w:rPr>
                <w:rFonts w:hint="eastAsia"/>
                <w:color w:val="auto"/>
                <w:kern w:val="0"/>
                <w:lang w:val="en-US" w:eastAsia="zh-CN"/>
              </w:rPr>
              <w:t>13</w:t>
            </w:r>
            <w:r>
              <w:rPr>
                <w:rFonts w:hint="eastAsia"/>
                <w:color w:val="auto"/>
                <w:kern w:val="0"/>
              </w:rPr>
              <w:t>m</w:t>
            </w:r>
            <w:r>
              <w:rPr>
                <w:rFonts w:hint="eastAsia"/>
                <w:color w:val="auto"/>
                <w:kern w:val="0"/>
                <w:vertAlign w:val="superscript"/>
              </w:rPr>
              <w:t>3</w:t>
            </w:r>
            <w:r>
              <w:rPr>
                <w:rFonts w:hint="eastAsia"/>
                <w:color w:val="auto"/>
                <w:kern w:val="0"/>
              </w:rPr>
              <w:t>/d</w:t>
            </w:r>
            <w:r>
              <w:rPr>
                <w:rFonts w:hint="eastAsia" w:ascii="宋体" w:hAnsi="宋体"/>
                <w:color w:val="auto"/>
                <w:kern w:val="0"/>
              </w:rPr>
              <w:t>。经计算，砂石产品产生的渗沥水为</w:t>
            </w:r>
            <w:r>
              <w:rPr>
                <w:rFonts w:hint="eastAsia"/>
                <w:color w:val="auto"/>
                <w:kern w:val="0"/>
                <w:lang w:val="en-US" w:eastAsia="zh-CN"/>
              </w:rPr>
              <w:t>425.78</w:t>
            </w:r>
            <w:r>
              <w:rPr>
                <w:rFonts w:hint="eastAsia"/>
                <w:color w:val="auto"/>
                <w:kern w:val="0"/>
              </w:rPr>
              <w:t>m</w:t>
            </w:r>
            <w:r>
              <w:rPr>
                <w:rFonts w:hint="eastAsia"/>
                <w:color w:val="auto"/>
                <w:kern w:val="0"/>
                <w:vertAlign w:val="superscript"/>
              </w:rPr>
              <w:t>3</w:t>
            </w:r>
            <w:r>
              <w:rPr>
                <w:rFonts w:hint="eastAsia"/>
                <w:color w:val="auto"/>
                <w:kern w:val="0"/>
              </w:rPr>
              <w:t>/d</w:t>
            </w:r>
            <w:r>
              <w:rPr>
                <w:rFonts w:hint="eastAsia" w:ascii="宋体" w:hAnsi="宋体"/>
                <w:color w:val="auto"/>
                <w:kern w:val="0"/>
              </w:rPr>
              <w:t>。成品堆场设渗沥水导水沟，排入</w:t>
            </w:r>
            <w:r>
              <w:rPr>
                <w:rFonts w:hint="eastAsia" w:ascii="宋体" w:hAnsi="宋体"/>
                <w:color w:val="auto"/>
                <w:kern w:val="0"/>
                <w:lang w:val="en-US" w:eastAsia="zh-CN"/>
              </w:rPr>
              <w:t>场地散水收集池再经液位控制器及时泵至废水处理系统处理后回用</w:t>
            </w:r>
            <w:r>
              <w:rPr>
                <w:rFonts w:hint="eastAsia" w:ascii="宋体" w:hAnsi="宋体"/>
                <w:color w:val="auto"/>
                <w:kern w:val="0"/>
              </w:rPr>
              <w:t>。</w:t>
            </w:r>
          </w:p>
          <w:p>
            <w:pPr>
              <w:keepNext w:val="0"/>
              <w:keepLines w:val="0"/>
              <w:suppressLineNumbers w:val="0"/>
              <w:autoSpaceDE w:val="0"/>
              <w:autoSpaceDN w:val="0"/>
              <w:adjustRightInd w:val="0"/>
              <w:snapToGrid w:val="0"/>
              <w:spacing w:before="0" w:beforeAutospacing="0" w:after="0" w:afterAutospacing="0" w:line="404" w:lineRule="exact"/>
              <w:ind w:left="0" w:right="0" w:firstLine="422" w:firstLineChars="200"/>
              <w:jc w:val="left"/>
              <w:rPr>
                <w:rFonts w:hint="default" w:ascii="宋体" w:hAnsi="宋体" w:eastAsia="宋体"/>
                <w:color w:val="auto"/>
                <w:kern w:val="0"/>
                <w:lang w:val="en-US" w:eastAsia="zh-CN"/>
              </w:rPr>
            </w:pPr>
            <w:r>
              <w:rPr>
                <w:rFonts w:hint="eastAsia" w:ascii="宋体" w:hAnsi="宋体"/>
                <w:b/>
                <w:bCs/>
                <w:color w:val="auto"/>
                <w:kern w:val="0"/>
                <w:lang w:val="en-US" w:eastAsia="zh-CN"/>
              </w:rPr>
              <w:t>因此，项目</w:t>
            </w:r>
            <w:r>
              <w:rPr>
                <w:rFonts w:hint="eastAsia" w:cs="Times New Roman"/>
                <w:b/>
                <w:bCs/>
                <w:color w:val="auto"/>
                <w:kern w:val="0"/>
                <w:lang w:val="en-US" w:eastAsia="zh-CN"/>
              </w:rPr>
              <w:t>生产线工艺用水总量为3838.86</w:t>
            </w:r>
            <w:r>
              <w:rPr>
                <w:rFonts w:hint="default" w:ascii="Times New Roman" w:hAnsi="Times New Roman" w:cs="Times New Roman"/>
                <w:b/>
                <w:bCs/>
                <w:color w:val="auto"/>
                <w:kern w:val="0"/>
                <w:lang w:val="en-US" w:eastAsia="zh-CN"/>
              </w:rPr>
              <w:t>m</w:t>
            </w:r>
            <w:r>
              <w:rPr>
                <w:rFonts w:hint="default" w:ascii="Times New Roman" w:hAnsi="Times New Roman" w:cs="Times New Roman"/>
                <w:b/>
                <w:bCs/>
                <w:color w:val="auto"/>
                <w:kern w:val="0"/>
                <w:vertAlign w:val="superscript"/>
                <w:lang w:val="en-US" w:eastAsia="zh-CN"/>
              </w:rPr>
              <w:t>3</w:t>
            </w:r>
            <w:r>
              <w:rPr>
                <w:rFonts w:hint="default" w:ascii="Times New Roman" w:hAnsi="Times New Roman" w:cs="Times New Roman"/>
                <w:b/>
                <w:bCs/>
                <w:color w:val="auto"/>
                <w:kern w:val="0"/>
                <w:lang w:val="en-US" w:eastAsia="zh-CN"/>
              </w:rPr>
              <w:t>/d</w:t>
            </w:r>
            <w:r>
              <w:rPr>
                <w:rFonts w:hint="eastAsia" w:cs="Times New Roman"/>
                <w:b/>
                <w:bCs/>
                <w:color w:val="auto"/>
                <w:kern w:val="0"/>
                <w:lang w:val="en-US" w:eastAsia="zh-CN"/>
              </w:rPr>
              <w:t>，产品离开生产线时带走水分</w:t>
            </w:r>
            <w:r>
              <w:rPr>
                <w:rFonts w:hint="eastAsia"/>
                <w:b/>
                <w:bCs/>
                <w:color w:val="auto"/>
                <w:kern w:val="0"/>
                <w:lang w:val="en-US" w:eastAsia="zh-CN"/>
              </w:rPr>
              <w:t>528.91</w:t>
            </w:r>
            <w:r>
              <w:rPr>
                <w:rFonts w:hint="eastAsia"/>
                <w:b/>
                <w:bCs/>
                <w:color w:val="auto"/>
                <w:kern w:val="0"/>
              </w:rPr>
              <w:t>m</w:t>
            </w:r>
            <w:r>
              <w:rPr>
                <w:rFonts w:hint="eastAsia"/>
                <w:b/>
                <w:bCs/>
                <w:color w:val="auto"/>
                <w:kern w:val="0"/>
                <w:vertAlign w:val="superscript"/>
              </w:rPr>
              <w:t>3</w:t>
            </w:r>
            <w:r>
              <w:rPr>
                <w:rFonts w:hint="eastAsia"/>
                <w:b/>
                <w:bCs/>
                <w:color w:val="auto"/>
                <w:kern w:val="0"/>
              </w:rPr>
              <w:t>/d</w:t>
            </w:r>
            <w:r>
              <w:rPr>
                <w:rFonts w:hint="eastAsia"/>
                <w:b/>
                <w:bCs/>
                <w:color w:val="auto"/>
                <w:kern w:val="0"/>
                <w:lang w:eastAsia="zh-CN"/>
              </w:rPr>
              <w:t>，</w:t>
            </w:r>
            <w:r>
              <w:rPr>
                <w:rFonts w:hint="eastAsia"/>
                <w:b/>
                <w:bCs/>
                <w:color w:val="auto"/>
                <w:kern w:val="0"/>
                <w:lang w:val="en-US" w:eastAsia="zh-CN"/>
              </w:rPr>
              <w:t>堆存过程产生的</w:t>
            </w:r>
            <w:r>
              <w:rPr>
                <w:rFonts w:hint="eastAsia" w:ascii="宋体" w:hAnsi="宋体"/>
                <w:b/>
                <w:bCs/>
                <w:color w:val="auto"/>
                <w:kern w:val="0"/>
              </w:rPr>
              <w:t>渗沥水</w:t>
            </w:r>
            <w:r>
              <w:rPr>
                <w:rFonts w:hint="eastAsia" w:ascii="宋体" w:hAnsi="宋体"/>
                <w:b/>
                <w:bCs/>
                <w:color w:val="auto"/>
                <w:kern w:val="0"/>
                <w:lang w:val="en-US" w:eastAsia="zh-CN"/>
              </w:rPr>
              <w:t>约</w:t>
            </w:r>
            <w:r>
              <w:rPr>
                <w:rFonts w:hint="eastAsia"/>
                <w:b/>
                <w:bCs/>
                <w:color w:val="auto"/>
                <w:kern w:val="0"/>
                <w:lang w:val="en-US" w:eastAsia="zh-CN"/>
              </w:rPr>
              <w:t>425.78</w:t>
            </w:r>
            <w:r>
              <w:rPr>
                <w:rFonts w:hint="eastAsia"/>
                <w:b/>
                <w:bCs/>
                <w:color w:val="auto"/>
                <w:kern w:val="0"/>
              </w:rPr>
              <w:t>m</w:t>
            </w:r>
            <w:r>
              <w:rPr>
                <w:rFonts w:hint="eastAsia"/>
                <w:b/>
                <w:bCs/>
                <w:color w:val="auto"/>
                <w:kern w:val="0"/>
                <w:vertAlign w:val="superscript"/>
              </w:rPr>
              <w:t>3</w:t>
            </w:r>
            <w:r>
              <w:rPr>
                <w:rFonts w:hint="eastAsia"/>
                <w:b/>
                <w:bCs/>
                <w:color w:val="auto"/>
                <w:kern w:val="0"/>
              </w:rPr>
              <w:t>/d</w:t>
            </w:r>
            <w:r>
              <w:rPr>
                <w:rFonts w:hint="eastAsia"/>
                <w:b/>
                <w:bCs/>
                <w:color w:val="auto"/>
                <w:kern w:val="0"/>
                <w:lang w:eastAsia="zh-CN"/>
              </w:rPr>
              <w:t>，</w:t>
            </w:r>
            <w:r>
              <w:rPr>
                <w:rFonts w:hint="eastAsia"/>
                <w:b/>
                <w:bCs/>
                <w:color w:val="auto"/>
                <w:kern w:val="0"/>
                <w:lang w:val="en-US" w:eastAsia="zh-CN"/>
              </w:rPr>
              <w:t>收集后进入废水处理系统</w:t>
            </w:r>
            <w:r>
              <w:rPr>
                <w:rFonts w:hint="eastAsia"/>
                <w:b/>
                <w:bCs/>
                <w:color w:val="auto"/>
                <w:kern w:val="0"/>
                <w:lang w:eastAsia="zh-CN"/>
              </w:rPr>
              <w:t>，</w:t>
            </w:r>
            <w:r>
              <w:rPr>
                <w:rFonts w:hint="eastAsia"/>
                <w:b/>
                <w:bCs/>
                <w:color w:val="auto"/>
                <w:kern w:val="0"/>
                <w:lang w:val="en-US" w:eastAsia="zh-CN"/>
              </w:rPr>
              <w:t>产品外售时带走水分</w:t>
            </w:r>
            <w:r>
              <w:rPr>
                <w:rFonts w:hint="default" w:ascii="Times New Roman" w:hAnsi="Times New Roman" w:cs="Times New Roman"/>
                <w:b/>
                <w:bCs/>
                <w:color w:val="auto"/>
                <w:kern w:val="0"/>
                <w:lang w:val="en-US" w:eastAsia="zh-CN"/>
              </w:rPr>
              <w:t>103.</w:t>
            </w:r>
            <w:r>
              <w:rPr>
                <w:rFonts w:hint="eastAsia"/>
                <w:b/>
                <w:bCs/>
                <w:color w:val="auto"/>
                <w:kern w:val="0"/>
                <w:lang w:val="en-US" w:eastAsia="zh-CN"/>
              </w:rPr>
              <w:t>13</w:t>
            </w:r>
            <w:r>
              <w:rPr>
                <w:rFonts w:hint="eastAsia"/>
                <w:b/>
                <w:bCs/>
                <w:color w:val="auto"/>
                <w:kern w:val="0"/>
              </w:rPr>
              <w:t>m</w:t>
            </w:r>
            <w:r>
              <w:rPr>
                <w:rFonts w:hint="eastAsia"/>
                <w:b/>
                <w:bCs/>
                <w:color w:val="auto"/>
                <w:kern w:val="0"/>
                <w:vertAlign w:val="superscript"/>
              </w:rPr>
              <w:t>3</w:t>
            </w:r>
            <w:r>
              <w:rPr>
                <w:rFonts w:hint="eastAsia"/>
                <w:b/>
                <w:bCs/>
                <w:color w:val="auto"/>
                <w:kern w:val="0"/>
              </w:rPr>
              <w:t>/d</w:t>
            </w:r>
            <w:r>
              <w:rPr>
                <w:rFonts w:hint="eastAsia"/>
                <w:b/>
                <w:bCs/>
                <w:color w:val="auto"/>
                <w:kern w:val="0"/>
                <w:lang w:eastAsia="zh-CN"/>
              </w:rPr>
              <w:t>，</w:t>
            </w:r>
            <w:r>
              <w:rPr>
                <w:rFonts w:hint="eastAsia"/>
                <w:b/>
                <w:bCs/>
                <w:color w:val="auto"/>
                <w:kern w:val="0"/>
                <w:lang w:val="en-US" w:eastAsia="zh-CN"/>
              </w:rPr>
              <w:t>则进入废水处理系统的废水量为3735.73</w:t>
            </w:r>
            <w:r>
              <w:rPr>
                <w:rFonts w:hint="default" w:ascii="Times New Roman" w:hAnsi="Times New Roman" w:cs="Times New Roman"/>
                <w:b/>
                <w:bCs/>
                <w:color w:val="auto"/>
                <w:kern w:val="0"/>
                <w:lang w:val="en-US" w:eastAsia="zh-CN"/>
              </w:rPr>
              <w:t>m</w:t>
            </w:r>
            <w:r>
              <w:rPr>
                <w:rFonts w:hint="default" w:ascii="Times New Roman" w:hAnsi="Times New Roman" w:cs="Times New Roman"/>
                <w:b/>
                <w:bCs/>
                <w:color w:val="auto"/>
                <w:kern w:val="0"/>
                <w:vertAlign w:val="superscript"/>
                <w:lang w:val="en-US" w:eastAsia="zh-CN"/>
              </w:rPr>
              <w:t>3</w:t>
            </w:r>
            <w:r>
              <w:rPr>
                <w:rFonts w:hint="default" w:ascii="Times New Roman" w:hAnsi="Times New Roman" w:cs="Times New Roman"/>
                <w:b/>
                <w:bCs/>
                <w:color w:val="auto"/>
                <w:kern w:val="0"/>
                <w:lang w:val="en-US" w:eastAsia="zh-CN"/>
              </w:rPr>
              <w:t>/d</w:t>
            </w:r>
            <w:r>
              <w:rPr>
                <w:rFonts w:hint="eastAsia" w:cs="Times New Roman"/>
                <w:b/>
                <w:bCs/>
                <w:color w:val="auto"/>
                <w:kern w:val="0"/>
                <w:lang w:val="en-US" w:eastAsia="zh-CN"/>
              </w:rPr>
              <w:t>（约</w:t>
            </w:r>
            <w:r>
              <w:rPr>
                <w:rFonts w:hint="eastAsia"/>
                <w:b/>
                <w:bCs/>
                <w:color w:val="auto"/>
                <w:kern w:val="0"/>
                <w:lang w:val="en-US" w:eastAsia="zh-CN"/>
              </w:rPr>
              <w:t>373.57</w:t>
            </w:r>
            <w:r>
              <w:rPr>
                <w:rFonts w:hint="default" w:ascii="Times New Roman" w:hAnsi="Times New Roman" w:cs="Times New Roman"/>
                <w:b/>
                <w:bCs/>
                <w:color w:val="auto"/>
                <w:kern w:val="0"/>
                <w:lang w:val="en-US" w:eastAsia="zh-CN"/>
              </w:rPr>
              <w:t>m</w:t>
            </w:r>
            <w:r>
              <w:rPr>
                <w:rFonts w:hint="default" w:ascii="Times New Roman" w:hAnsi="Times New Roman" w:cs="Times New Roman"/>
                <w:b/>
                <w:bCs/>
                <w:color w:val="auto"/>
                <w:kern w:val="0"/>
                <w:vertAlign w:val="superscript"/>
                <w:lang w:val="en-US" w:eastAsia="zh-CN"/>
              </w:rPr>
              <w:t>3</w:t>
            </w:r>
            <w:r>
              <w:rPr>
                <w:rFonts w:hint="default" w:ascii="Times New Roman" w:hAnsi="Times New Roman" w:cs="Times New Roman"/>
                <w:b/>
                <w:bCs/>
                <w:color w:val="auto"/>
                <w:kern w:val="0"/>
                <w:lang w:val="en-US" w:eastAsia="zh-CN"/>
              </w:rPr>
              <w:t>/</w:t>
            </w:r>
            <w:r>
              <w:rPr>
                <w:rFonts w:hint="eastAsia" w:cs="Times New Roman"/>
                <w:b/>
                <w:bCs/>
                <w:color w:val="auto"/>
                <w:kern w:val="0"/>
                <w:lang w:val="en-US" w:eastAsia="zh-CN"/>
              </w:rPr>
              <w:t>h）。</w:t>
            </w:r>
          </w:p>
          <w:p>
            <w:pPr>
              <w:keepNext w:val="0"/>
              <w:keepLines w:val="0"/>
              <w:suppressLineNumbers w:val="0"/>
              <w:autoSpaceDE w:val="0"/>
              <w:autoSpaceDN w:val="0"/>
              <w:adjustRightInd w:val="0"/>
              <w:snapToGrid w:val="0"/>
              <w:spacing w:before="0" w:beforeAutospacing="0" w:after="0" w:afterAutospacing="0" w:line="404" w:lineRule="exact"/>
              <w:ind w:left="0" w:right="0" w:firstLine="422" w:firstLineChars="200"/>
              <w:jc w:val="left"/>
              <w:rPr>
                <w:rFonts w:hint="default" w:ascii="Times New Roman" w:hAnsi="Times New Roman" w:cs="Times New Roman"/>
                <w:color w:val="auto"/>
                <w:kern w:val="0"/>
              </w:rPr>
            </w:pPr>
            <w:r>
              <w:rPr>
                <w:rFonts w:hint="default" w:ascii="Times New Roman" w:hAnsi="Times New Roman" w:cs="Times New Roman"/>
                <w:b/>
                <w:color w:val="auto"/>
                <w:kern w:val="0"/>
              </w:rPr>
              <w:t>泥浆压滤水</w:t>
            </w:r>
            <w:r>
              <w:rPr>
                <w:rFonts w:hint="default" w:ascii="Times New Roman" w:hAnsi="Times New Roman" w:cs="Times New Roman"/>
                <w:b/>
                <w:color w:val="auto"/>
                <w:kern w:val="0"/>
                <w:lang w:eastAsia="zh-CN"/>
              </w:rPr>
              <w:t>：</w:t>
            </w:r>
            <w:r>
              <w:rPr>
                <w:rFonts w:hint="default" w:ascii="Times New Roman" w:hAnsi="Times New Roman" w:cs="Times New Roman"/>
                <w:color w:val="auto"/>
                <w:kern w:val="0"/>
              </w:rPr>
              <w:t>洗砂废水</w:t>
            </w:r>
            <w:r>
              <w:rPr>
                <w:rFonts w:hint="default" w:ascii="Times New Roman" w:hAnsi="Times New Roman" w:cs="Times New Roman"/>
                <w:color w:val="auto"/>
                <w:kern w:val="0"/>
                <w:lang w:val="en-US" w:eastAsia="zh-CN"/>
              </w:rPr>
              <w:t>进入废水处理系统时，</w:t>
            </w:r>
            <w:r>
              <w:rPr>
                <w:rFonts w:hint="default" w:ascii="Times New Roman" w:hAnsi="Times New Roman" w:cs="Times New Roman"/>
                <w:color w:val="auto"/>
                <w:kern w:val="0"/>
              </w:rPr>
              <w:t>会夹带</w:t>
            </w:r>
            <w:r>
              <w:rPr>
                <w:rFonts w:hint="default" w:ascii="Times New Roman" w:hAnsi="Times New Roman" w:cs="Times New Roman"/>
                <w:color w:val="auto"/>
                <w:kern w:val="0"/>
                <w:lang w:val="en-US" w:eastAsia="zh-CN"/>
              </w:rPr>
              <w:t>少量泥沙</w:t>
            </w:r>
            <w:r>
              <w:rPr>
                <w:rFonts w:hint="eastAsia" w:ascii="Times New Roman" w:hAnsi="Times New Roman" w:cs="Times New Roman"/>
                <w:color w:val="auto"/>
                <w:kern w:val="0"/>
                <w:lang w:val="en-US" w:eastAsia="zh-CN"/>
              </w:rPr>
              <w:t>（</w:t>
            </w:r>
            <w:r>
              <w:rPr>
                <w:rFonts w:hint="default" w:ascii="Times New Roman" w:hAnsi="Times New Roman" w:cs="Times New Roman"/>
                <w:color w:val="auto"/>
                <w:kern w:val="0"/>
                <w:lang w:val="en-US" w:eastAsia="zh-CN"/>
              </w:rPr>
              <w:t>24568.70t/a</w:t>
            </w:r>
            <w:r>
              <w:rPr>
                <w:rFonts w:hint="eastAsia" w:ascii="Times New Roman" w:hAnsi="Times New Roman" w:cs="Times New Roman"/>
                <w:color w:val="auto"/>
                <w:kern w:val="0"/>
                <w:lang w:val="en-US" w:eastAsia="zh-CN"/>
              </w:rPr>
              <w:t>）</w:t>
            </w:r>
            <w:r>
              <w:rPr>
                <w:rFonts w:hint="default" w:ascii="Times New Roman" w:hAnsi="Times New Roman" w:cs="Times New Roman"/>
                <w:color w:val="auto"/>
                <w:kern w:val="0"/>
              </w:rPr>
              <w:t>进入废水处理池并在</w:t>
            </w:r>
            <w:r>
              <w:rPr>
                <w:rFonts w:hint="default" w:ascii="Times New Roman" w:hAnsi="Times New Roman" w:cs="Times New Roman"/>
                <w:color w:val="auto"/>
                <w:kern w:val="0"/>
                <w:lang w:val="en-US" w:eastAsia="zh-CN"/>
              </w:rPr>
              <w:t>罐底</w:t>
            </w:r>
            <w:r>
              <w:rPr>
                <w:rFonts w:hint="default" w:ascii="Times New Roman" w:hAnsi="Times New Roman" w:cs="Times New Roman"/>
                <w:color w:val="auto"/>
                <w:kern w:val="0"/>
              </w:rPr>
              <w:t>沉淀</w:t>
            </w:r>
            <w:r>
              <w:rPr>
                <w:rFonts w:hint="eastAsia" w:ascii="Times New Roman" w:hAnsi="Times New Roman" w:cs="Times New Roman"/>
                <w:color w:val="auto"/>
                <w:kern w:val="0"/>
                <w:lang w:eastAsia="zh-CN"/>
              </w:rPr>
              <w:t>（</w:t>
            </w:r>
            <w:r>
              <w:rPr>
                <w:rFonts w:hint="eastAsia" w:ascii="Times New Roman" w:hAnsi="Times New Roman" w:cs="Times New Roman"/>
                <w:color w:val="auto"/>
                <w:kern w:val="0"/>
                <w:lang w:val="en-US" w:eastAsia="zh-CN"/>
              </w:rPr>
              <w:t>含水率取90%</w:t>
            </w:r>
            <w:r>
              <w:rPr>
                <w:rFonts w:hint="eastAsia" w:ascii="Times New Roman" w:hAnsi="Times New Roman" w:cs="Times New Roman"/>
                <w:color w:val="auto"/>
                <w:kern w:val="0"/>
                <w:lang w:eastAsia="zh-CN"/>
              </w:rPr>
              <w:t>）</w:t>
            </w:r>
            <w:r>
              <w:rPr>
                <w:rFonts w:hint="default" w:ascii="Times New Roman" w:hAnsi="Times New Roman" w:cs="Times New Roman"/>
                <w:color w:val="auto"/>
                <w:kern w:val="0"/>
              </w:rPr>
              <w:t>，</w:t>
            </w:r>
            <w:r>
              <w:rPr>
                <w:rFonts w:hint="default" w:ascii="Times New Roman" w:hAnsi="Times New Roman" w:cs="Times New Roman"/>
                <w:color w:val="auto"/>
                <w:kern w:val="0"/>
                <w:lang w:val="en-US" w:eastAsia="zh-CN"/>
              </w:rPr>
              <w:t>通过污泥泵泵至</w:t>
            </w:r>
            <w:r>
              <w:rPr>
                <w:rFonts w:hint="default" w:ascii="Times New Roman" w:hAnsi="Times New Roman" w:cs="Times New Roman"/>
                <w:color w:val="auto"/>
                <w:kern w:val="0"/>
              </w:rPr>
              <w:t>板框压滤机压滤</w:t>
            </w:r>
            <w:r>
              <w:rPr>
                <w:rFonts w:hint="default" w:ascii="Times New Roman" w:hAnsi="Times New Roman" w:cs="Times New Roman"/>
                <w:color w:val="auto"/>
                <w:kern w:val="0"/>
                <w:lang w:val="en-US" w:eastAsia="zh-CN"/>
              </w:rPr>
              <w:t>形成干化</w:t>
            </w:r>
            <w:r>
              <w:rPr>
                <w:rFonts w:hint="default" w:ascii="Times New Roman" w:hAnsi="Times New Roman" w:cs="Times New Roman"/>
                <w:color w:val="auto"/>
                <w:kern w:val="0"/>
              </w:rPr>
              <w:t>泥饼</w:t>
            </w:r>
            <w:r>
              <w:rPr>
                <w:rFonts w:hint="default" w:ascii="Times New Roman" w:hAnsi="Times New Roman" w:cs="Times New Roman"/>
                <w:color w:val="auto"/>
                <w:kern w:val="0"/>
                <w:lang w:val="en-US" w:eastAsia="zh-CN"/>
              </w:rPr>
              <w:t>外运利用</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含水率</w:t>
            </w:r>
            <w:r>
              <w:rPr>
                <w:rFonts w:hint="default" w:ascii="Times New Roman" w:hAnsi="Times New Roman" w:cs="Times New Roman"/>
                <w:color w:val="auto"/>
                <w:kern w:val="0"/>
                <w:lang w:val="en-US" w:eastAsia="zh-CN"/>
              </w:rPr>
              <w:t>约</w:t>
            </w:r>
            <w:r>
              <w:rPr>
                <w:rFonts w:hint="default" w:ascii="Times New Roman" w:hAnsi="Times New Roman" w:cs="Times New Roman"/>
                <w:color w:val="auto"/>
                <w:kern w:val="0"/>
              </w:rPr>
              <w:t>60%。根据</w:t>
            </w:r>
            <w:r>
              <w:rPr>
                <w:rFonts w:hint="default" w:ascii="Times New Roman" w:hAnsi="Times New Roman" w:cs="Times New Roman"/>
                <w:color w:val="auto"/>
                <w:kern w:val="0"/>
                <w:lang w:val="en-US" w:eastAsia="zh-CN"/>
              </w:rPr>
              <w:t>工程分析</w:t>
            </w:r>
            <w:r>
              <w:rPr>
                <w:rFonts w:hint="default" w:ascii="Times New Roman" w:hAnsi="Times New Roman" w:cs="Times New Roman"/>
                <w:color w:val="auto"/>
                <w:kern w:val="0"/>
              </w:rPr>
              <w:t>，本项目原料平均含泥量约</w:t>
            </w:r>
            <w:r>
              <w:rPr>
                <w:rFonts w:hint="default" w:ascii="Times New Roman" w:hAnsi="Times New Roman" w:cs="Times New Roman"/>
                <w:color w:val="auto"/>
                <w:kern w:val="0"/>
                <w:lang w:val="en-US" w:eastAsia="zh-CN"/>
              </w:rPr>
              <w:t>5</w:t>
            </w:r>
            <w:r>
              <w:rPr>
                <w:rFonts w:hint="default" w:ascii="Times New Roman" w:hAnsi="Times New Roman" w:cs="Times New Roman"/>
                <w:color w:val="auto"/>
                <w:kern w:val="0"/>
              </w:rPr>
              <w:t>%，则</w:t>
            </w:r>
            <w:r>
              <w:rPr>
                <w:rFonts w:hint="default" w:ascii="Times New Roman" w:hAnsi="Times New Roman" w:cs="Times New Roman"/>
                <w:color w:val="auto"/>
                <w:kern w:val="0"/>
                <w:lang w:val="en-US" w:eastAsia="zh-CN"/>
              </w:rPr>
              <w:t>原料总</w:t>
            </w:r>
            <w:r>
              <w:rPr>
                <w:rFonts w:hint="default" w:ascii="Times New Roman" w:hAnsi="Times New Roman" w:cs="Times New Roman"/>
                <w:color w:val="auto"/>
                <w:kern w:val="0"/>
              </w:rPr>
              <w:t>含泥约</w:t>
            </w:r>
            <w:r>
              <w:rPr>
                <w:rFonts w:hint="default" w:ascii="Times New Roman" w:hAnsi="Times New Roman" w:cs="Times New Roman"/>
                <w:color w:val="auto"/>
                <w:kern w:val="0"/>
                <w:lang w:val="en-US" w:eastAsia="zh-CN"/>
              </w:rPr>
              <w:t>61421.76</w:t>
            </w:r>
            <w:r>
              <w:rPr>
                <w:rFonts w:hint="default" w:ascii="Times New Roman" w:hAnsi="Times New Roman" w:cs="Times New Roman"/>
                <w:color w:val="auto"/>
                <w:kern w:val="0"/>
              </w:rPr>
              <w:t>t/a。</w:t>
            </w:r>
            <w:r>
              <w:rPr>
                <w:rFonts w:hint="default" w:ascii="Times New Roman" w:hAnsi="Times New Roman" w:cs="Times New Roman"/>
                <w:color w:val="auto"/>
                <w:kern w:val="0"/>
                <w:lang w:val="en-US" w:eastAsia="zh-CN"/>
              </w:rPr>
              <w:t>振动给料环节分离出约60%的泥土36853.06t/a，则进入废水系统中的干基泥沙量约24568.70t/a。</w:t>
            </w:r>
            <w:r>
              <w:rPr>
                <w:rFonts w:hint="default" w:ascii="Times New Roman" w:hAnsi="Times New Roman" w:cs="Times New Roman"/>
                <w:color w:val="auto"/>
                <w:kern w:val="0"/>
              </w:rPr>
              <w:t>压滤后</w:t>
            </w:r>
            <w:r>
              <w:rPr>
                <w:rFonts w:hint="default" w:ascii="Times New Roman" w:hAnsi="Times New Roman" w:cs="Times New Roman"/>
                <w:color w:val="auto"/>
                <w:kern w:val="0"/>
                <w:lang w:val="en-US" w:eastAsia="zh-CN"/>
              </w:rPr>
              <w:t>成为</w:t>
            </w:r>
            <w:r>
              <w:rPr>
                <w:rFonts w:hint="default" w:ascii="Times New Roman" w:hAnsi="Times New Roman" w:cs="Times New Roman"/>
                <w:color w:val="auto"/>
                <w:kern w:val="0"/>
              </w:rPr>
              <w:t>含水60%的</w:t>
            </w:r>
            <w:r>
              <w:rPr>
                <w:rFonts w:hint="default" w:ascii="Times New Roman" w:hAnsi="Times New Roman" w:cs="Times New Roman"/>
                <w:color w:val="auto"/>
                <w:kern w:val="0"/>
                <w:lang w:val="en-US" w:eastAsia="zh-CN"/>
              </w:rPr>
              <w:t>干化</w:t>
            </w:r>
            <w:r>
              <w:rPr>
                <w:rFonts w:hint="default" w:ascii="Times New Roman" w:hAnsi="Times New Roman" w:cs="Times New Roman"/>
                <w:color w:val="auto"/>
                <w:kern w:val="0"/>
              </w:rPr>
              <w:t>泥饼量约</w:t>
            </w:r>
            <w:r>
              <w:rPr>
                <w:rFonts w:hint="default" w:ascii="Times New Roman" w:hAnsi="Times New Roman" w:cs="Times New Roman"/>
                <w:color w:val="auto"/>
                <w:kern w:val="0"/>
                <w:lang w:val="en-US" w:eastAsia="zh-CN"/>
              </w:rPr>
              <w:t>61421.76</w:t>
            </w:r>
            <w:r>
              <w:rPr>
                <w:rFonts w:hint="default" w:ascii="Times New Roman" w:hAnsi="Times New Roman" w:cs="Times New Roman"/>
                <w:color w:val="auto"/>
                <w:kern w:val="0"/>
              </w:rPr>
              <w:t>t/a（约</w:t>
            </w:r>
            <w:r>
              <w:rPr>
                <w:rFonts w:hint="default" w:ascii="Times New Roman" w:hAnsi="Times New Roman" w:cs="Times New Roman"/>
                <w:color w:val="auto"/>
                <w:kern w:val="0"/>
                <w:lang w:val="en-US" w:eastAsia="zh-CN"/>
              </w:rPr>
              <w:t>191.94</w:t>
            </w:r>
            <w:r>
              <w:rPr>
                <w:rFonts w:hint="default" w:ascii="Times New Roman" w:hAnsi="Times New Roman" w:cs="Times New Roman"/>
                <w:color w:val="auto"/>
                <w:kern w:val="0"/>
              </w:rPr>
              <w:t>t/d）。泥饼带走水分约</w:t>
            </w:r>
            <w:r>
              <w:rPr>
                <w:rFonts w:hint="default" w:ascii="Times New Roman" w:hAnsi="Times New Roman" w:cs="Times New Roman"/>
                <w:color w:val="auto"/>
                <w:kern w:val="0"/>
                <w:lang w:val="en-US" w:eastAsia="zh-CN"/>
              </w:rPr>
              <w:t>36853.06</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/a（约</w:t>
            </w:r>
            <w:r>
              <w:rPr>
                <w:rFonts w:hint="default" w:ascii="Times New Roman" w:hAnsi="Times New Roman" w:cs="Times New Roman"/>
                <w:color w:val="auto"/>
                <w:kern w:val="0"/>
                <w:lang w:val="en-US" w:eastAsia="zh-CN"/>
              </w:rPr>
              <w:t>115.16</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/d）。压滤水直接返回洗砂废水处理设施的清水池回用生产。</w:t>
            </w:r>
          </w:p>
          <w:p>
            <w:pPr>
              <w:keepNext w:val="0"/>
              <w:keepLines w:val="0"/>
              <w:suppressLineNumbers w:val="0"/>
              <w:autoSpaceDE w:val="0"/>
              <w:autoSpaceDN w:val="0"/>
              <w:adjustRightInd w:val="0"/>
              <w:snapToGrid w:val="0"/>
              <w:spacing w:before="0" w:beforeAutospacing="0" w:after="0" w:afterAutospacing="0" w:line="404" w:lineRule="exact"/>
              <w:ind w:left="0" w:right="0" w:firstLine="422" w:firstLineChars="200"/>
              <w:jc w:val="left"/>
              <w:rPr>
                <w:rFonts w:hint="default" w:ascii="宋体" w:hAnsi="宋体"/>
                <w:b/>
                <w:color w:val="auto"/>
                <w:kern w:val="0"/>
                <w:lang w:val="en-US"/>
              </w:rPr>
            </w:pPr>
            <w:r>
              <w:rPr>
                <w:rFonts w:hint="eastAsia" w:ascii="宋体" w:hAnsi="宋体"/>
                <w:b/>
                <w:color w:val="auto"/>
                <w:kern w:val="0"/>
              </w:rPr>
              <w:t>综上分析，项目生产线</w:t>
            </w:r>
            <w:r>
              <w:rPr>
                <w:rFonts w:hint="eastAsia" w:cs="Times New Roman"/>
                <w:b/>
                <w:bCs/>
                <w:color w:val="auto"/>
                <w:kern w:val="0"/>
                <w:lang w:val="en-US" w:eastAsia="zh-CN"/>
              </w:rPr>
              <w:t>工艺用水总量为3838.86</w:t>
            </w:r>
            <w:r>
              <w:rPr>
                <w:rFonts w:hint="default" w:ascii="Times New Roman" w:hAnsi="Times New Roman" w:cs="Times New Roman"/>
                <w:b/>
                <w:bCs/>
                <w:color w:val="auto"/>
                <w:kern w:val="0"/>
                <w:lang w:val="en-US" w:eastAsia="zh-CN"/>
              </w:rPr>
              <w:t>m</w:t>
            </w:r>
            <w:r>
              <w:rPr>
                <w:rFonts w:hint="default" w:ascii="Times New Roman" w:hAnsi="Times New Roman" w:cs="Times New Roman"/>
                <w:b/>
                <w:bCs/>
                <w:color w:val="auto"/>
                <w:kern w:val="0"/>
                <w:vertAlign w:val="superscript"/>
                <w:lang w:val="en-US" w:eastAsia="zh-CN"/>
              </w:rPr>
              <w:t>3</w:t>
            </w:r>
            <w:r>
              <w:rPr>
                <w:rFonts w:hint="default" w:ascii="Times New Roman" w:hAnsi="Times New Roman" w:cs="Times New Roman"/>
                <w:b/>
                <w:bCs/>
                <w:color w:val="auto"/>
                <w:kern w:val="0"/>
                <w:lang w:val="en-US" w:eastAsia="zh-CN"/>
              </w:rPr>
              <w:t>/d</w:t>
            </w:r>
            <w:r>
              <w:rPr>
                <w:rFonts w:hint="eastAsia" w:cs="Times New Roman"/>
                <w:b/>
                <w:bCs/>
                <w:color w:val="auto"/>
                <w:kern w:val="0"/>
                <w:lang w:val="en-US" w:eastAsia="zh-CN"/>
              </w:rPr>
              <w:t>（约383.89</w:t>
            </w:r>
            <w:r>
              <w:rPr>
                <w:rFonts w:hint="default" w:ascii="Times New Roman" w:hAnsi="Times New Roman" w:cs="Times New Roman"/>
                <w:b/>
                <w:bCs/>
                <w:color w:val="auto"/>
                <w:kern w:val="0"/>
                <w:lang w:val="en-US" w:eastAsia="zh-CN"/>
              </w:rPr>
              <w:t>m</w:t>
            </w:r>
            <w:r>
              <w:rPr>
                <w:rFonts w:hint="default" w:ascii="Times New Roman" w:hAnsi="Times New Roman" w:cs="Times New Roman"/>
                <w:b/>
                <w:bCs/>
                <w:color w:val="auto"/>
                <w:kern w:val="0"/>
                <w:vertAlign w:val="superscript"/>
                <w:lang w:val="en-US" w:eastAsia="zh-CN"/>
              </w:rPr>
              <w:t>3</w:t>
            </w:r>
            <w:r>
              <w:rPr>
                <w:rFonts w:hint="default" w:ascii="Times New Roman" w:hAnsi="Times New Roman" w:cs="Times New Roman"/>
                <w:b/>
                <w:bCs/>
                <w:color w:val="auto"/>
                <w:kern w:val="0"/>
                <w:lang w:val="en-US" w:eastAsia="zh-CN"/>
              </w:rPr>
              <w:t>/</w:t>
            </w:r>
            <w:r>
              <w:rPr>
                <w:rFonts w:hint="eastAsia" w:cs="Times New Roman"/>
                <w:b/>
                <w:bCs/>
                <w:color w:val="auto"/>
                <w:kern w:val="0"/>
                <w:lang w:val="en-US" w:eastAsia="zh-CN"/>
              </w:rPr>
              <w:t>h）、</w:t>
            </w:r>
            <w:r>
              <w:rPr>
                <w:rFonts w:hint="eastAsia"/>
                <w:b/>
                <w:bCs/>
                <w:color w:val="auto"/>
                <w:kern w:val="0"/>
                <w:lang w:val="en-US" w:eastAsia="zh-CN"/>
              </w:rPr>
              <w:t>废水量约3735.73</w:t>
            </w:r>
            <w:r>
              <w:rPr>
                <w:rFonts w:hint="default" w:ascii="Times New Roman" w:hAnsi="Times New Roman" w:cs="Times New Roman"/>
                <w:b/>
                <w:bCs/>
                <w:color w:val="auto"/>
                <w:kern w:val="0"/>
                <w:lang w:val="en-US" w:eastAsia="zh-CN"/>
              </w:rPr>
              <w:t>m</w:t>
            </w:r>
            <w:r>
              <w:rPr>
                <w:rFonts w:hint="default" w:ascii="Times New Roman" w:hAnsi="Times New Roman" w:cs="Times New Roman"/>
                <w:b/>
                <w:bCs/>
                <w:color w:val="auto"/>
                <w:kern w:val="0"/>
                <w:vertAlign w:val="superscript"/>
                <w:lang w:val="en-US" w:eastAsia="zh-CN"/>
              </w:rPr>
              <w:t>3</w:t>
            </w:r>
            <w:r>
              <w:rPr>
                <w:rFonts w:hint="default" w:ascii="Times New Roman" w:hAnsi="Times New Roman" w:cs="Times New Roman"/>
                <w:b/>
                <w:bCs/>
                <w:color w:val="auto"/>
                <w:kern w:val="0"/>
                <w:lang w:val="en-US" w:eastAsia="zh-CN"/>
              </w:rPr>
              <w:t>/d</w:t>
            </w:r>
            <w:r>
              <w:rPr>
                <w:rFonts w:hint="eastAsia" w:cs="Times New Roman"/>
                <w:b/>
                <w:bCs/>
                <w:color w:val="auto"/>
                <w:kern w:val="0"/>
                <w:lang w:val="en-US" w:eastAsia="zh-CN"/>
              </w:rPr>
              <w:t>（约</w:t>
            </w:r>
            <w:r>
              <w:rPr>
                <w:rFonts w:hint="eastAsia"/>
                <w:b/>
                <w:bCs/>
                <w:color w:val="auto"/>
                <w:kern w:val="0"/>
                <w:lang w:val="en-US" w:eastAsia="zh-CN"/>
              </w:rPr>
              <w:t>373.57</w:t>
            </w:r>
            <w:r>
              <w:rPr>
                <w:rFonts w:hint="default" w:ascii="Times New Roman" w:hAnsi="Times New Roman" w:cs="Times New Roman"/>
                <w:b/>
                <w:bCs/>
                <w:color w:val="auto"/>
                <w:kern w:val="0"/>
                <w:lang w:val="en-US" w:eastAsia="zh-CN"/>
              </w:rPr>
              <w:t>m</w:t>
            </w:r>
            <w:r>
              <w:rPr>
                <w:rFonts w:hint="default" w:ascii="Times New Roman" w:hAnsi="Times New Roman" w:cs="Times New Roman"/>
                <w:b/>
                <w:bCs/>
                <w:color w:val="auto"/>
                <w:kern w:val="0"/>
                <w:vertAlign w:val="superscript"/>
                <w:lang w:val="en-US" w:eastAsia="zh-CN"/>
              </w:rPr>
              <w:t>3</w:t>
            </w:r>
            <w:r>
              <w:rPr>
                <w:rFonts w:hint="default" w:ascii="Times New Roman" w:hAnsi="Times New Roman" w:cs="Times New Roman"/>
                <w:b/>
                <w:bCs/>
                <w:color w:val="auto"/>
                <w:kern w:val="0"/>
                <w:lang w:val="en-US" w:eastAsia="zh-CN"/>
              </w:rPr>
              <w:t>/</w:t>
            </w:r>
            <w:r>
              <w:rPr>
                <w:rFonts w:hint="eastAsia" w:cs="Times New Roman"/>
                <w:b/>
                <w:bCs/>
                <w:color w:val="auto"/>
                <w:kern w:val="0"/>
                <w:lang w:val="en-US" w:eastAsia="zh-CN"/>
              </w:rPr>
              <w:t>h），处理后最终进入清水池的循环回用水量为</w:t>
            </w:r>
            <w:r>
              <w:rPr>
                <w:rFonts w:hint="eastAsia"/>
                <w:b/>
                <w:bCs/>
                <w:color w:val="auto"/>
                <w:kern w:val="0"/>
                <w:lang w:val="en-US" w:eastAsia="zh-CN"/>
              </w:rPr>
              <w:t>3620.57</w:t>
            </w:r>
            <w:r>
              <w:rPr>
                <w:rFonts w:hint="default" w:ascii="Times New Roman" w:hAnsi="Times New Roman" w:cs="Times New Roman"/>
                <w:b/>
                <w:bCs/>
                <w:color w:val="auto"/>
                <w:kern w:val="0"/>
                <w:lang w:val="en-US" w:eastAsia="zh-CN"/>
              </w:rPr>
              <w:t>m</w:t>
            </w:r>
            <w:r>
              <w:rPr>
                <w:rFonts w:hint="default" w:ascii="Times New Roman" w:hAnsi="Times New Roman" w:cs="Times New Roman"/>
                <w:b/>
                <w:bCs/>
                <w:color w:val="auto"/>
                <w:kern w:val="0"/>
                <w:vertAlign w:val="superscript"/>
                <w:lang w:val="en-US" w:eastAsia="zh-CN"/>
              </w:rPr>
              <w:t>3</w:t>
            </w:r>
            <w:r>
              <w:rPr>
                <w:rFonts w:hint="default" w:ascii="Times New Roman" w:hAnsi="Times New Roman" w:cs="Times New Roman"/>
                <w:b/>
                <w:bCs/>
                <w:color w:val="auto"/>
                <w:kern w:val="0"/>
                <w:lang w:val="en-US" w:eastAsia="zh-CN"/>
              </w:rPr>
              <w:t>/d</w:t>
            </w:r>
            <w:r>
              <w:rPr>
                <w:rFonts w:hint="eastAsia" w:cs="Times New Roman"/>
                <w:b/>
                <w:bCs/>
                <w:color w:val="auto"/>
                <w:kern w:val="0"/>
                <w:lang w:val="en-US" w:eastAsia="zh-CN"/>
              </w:rPr>
              <w:t>（约</w:t>
            </w:r>
            <w:r>
              <w:rPr>
                <w:rFonts w:hint="eastAsia"/>
                <w:b/>
                <w:bCs/>
                <w:color w:val="auto"/>
                <w:kern w:val="0"/>
                <w:lang w:val="en-US" w:eastAsia="zh-CN"/>
              </w:rPr>
              <w:t>362.06</w:t>
            </w:r>
            <w:r>
              <w:rPr>
                <w:rFonts w:hint="default" w:ascii="Times New Roman" w:hAnsi="Times New Roman" w:cs="Times New Roman"/>
                <w:b/>
                <w:bCs/>
                <w:color w:val="auto"/>
                <w:kern w:val="0"/>
                <w:lang w:val="en-US" w:eastAsia="zh-CN"/>
              </w:rPr>
              <w:t>m</w:t>
            </w:r>
            <w:r>
              <w:rPr>
                <w:rFonts w:hint="default" w:ascii="Times New Roman" w:hAnsi="Times New Roman" w:cs="Times New Roman"/>
                <w:b/>
                <w:bCs/>
                <w:color w:val="auto"/>
                <w:kern w:val="0"/>
                <w:vertAlign w:val="superscript"/>
                <w:lang w:val="en-US" w:eastAsia="zh-CN"/>
              </w:rPr>
              <w:t>3</w:t>
            </w:r>
            <w:r>
              <w:rPr>
                <w:rFonts w:hint="default" w:ascii="Times New Roman" w:hAnsi="Times New Roman" w:cs="Times New Roman"/>
                <w:b/>
                <w:bCs/>
                <w:color w:val="auto"/>
                <w:kern w:val="0"/>
                <w:lang w:val="en-US" w:eastAsia="zh-CN"/>
              </w:rPr>
              <w:t>/</w:t>
            </w:r>
            <w:r>
              <w:rPr>
                <w:rFonts w:hint="eastAsia" w:cs="Times New Roman"/>
                <w:b/>
                <w:bCs/>
                <w:color w:val="auto"/>
                <w:kern w:val="0"/>
                <w:lang w:val="en-US" w:eastAsia="zh-CN"/>
              </w:rPr>
              <w:t>h）。</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b/>
                <w:color w:val="auto"/>
                <w:kern w:val="0"/>
              </w:rPr>
            </w:pPr>
            <w:r>
              <w:rPr>
                <w:rFonts w:hint="eastAsia" w:ascii="宋体" w:hAnsi="宋体"/>
                <w:b/>
                <w:color w:val="auto"/>
                <w:kern w:val="0"/>
                <w:lang w:val="en-US" w:eastAsia="zh-CN"/>
              </w:rPr>
              <w:t>③</w:t>
            </w:r>
            <w:r>
              <w:rPr>
                <w:rFonts w:hint="eastAsia" w:ascii="宋体" w:hAnsi="宋体"/>
                <w:b/>
                <w:color w:val="auto"/>
                <w:kern w:val="0"/>
              </w:rPr>
              <w:t>车辆冲洗用水</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rPr>
            </w:pPr>
            <w:r>
              <w:rPr>
                <w:rFonts w:hint="eastAsia" w:ascii="宋体" w:hAnsi="宋体"/>
                <w:color w:val="auto"/>
                <w:kern w:val="0"/>
              </w:rPr>
              <w:t>根据建设单位介绍，本项目原料和产品均依靠汽车运输，单车运载能力取</w:t>
            </w:r>
            <w:r>
              <w:rPr>
                <w:rFonts w:hint="default"/>
                <w:color w:val="auto"/>
                <w:kern w:val="0"/>
              </w:rPr>
              <w:t>3</w:t>
            </w:r>
            <w:r>
              <w:rPr>
                <w:rFonts w:hint="eastAsia"/>
                <w:color w:val="auto"/>
                <w:kern w:val="0"/>
              </w:rPr>
              <w:t>0t</w:t>
            </w:r>
            <w:r>
              <w:rPr>
                <w:rFonts w:hint="eastAsia" w:ascii="宋体" w:hAnsi="宋体"/>
                <w:color w:val="auto"/>
                <w:kern w:val="0"/>
              </w:rPr>
              <w:t>，年生产</w:t>
            </w:r>
            <w:r>
              <w:rPr>
                <w:rFonts w:hint="eastAsia"/>
                <w:color w:val="auto"/>
                <w:kern w:val="0"/>
              </w:rPr>
              <w:t>3</w:t>
            </w:r>
            <w:r>
              <w:rPr>
                <w:rFonts w:hint="eastAsia"/>
                <w:color w:val="auto"/>
                <w:kern w:val="0"/>
                <w:lang w:val="en-US" w:eastAsia="zh-CN"/>
              </w:rPr>
              <w:t>2</w:t>
            </w:r>
            <w:r>
              <w:rPr>
                <w:rFonts w:hint="eastAsia"/>
                <w:color w:val="auto"/>
                <w:kern w:val="0"/>
              </w:rPr>
              <w:t>0</w:t>
            </w:r>
            <w:r>
              <w:rPr>
                <w:rFonts w:hint="eastAsia" w:ascii="宋体" w:hAnsi="宋体"/>
                <w:color w:val="auto"/>
                <w:kern w:val="0"/>
              </w:rPr>
              <w:t>天，则运输车辆平均每天驶离项目区约</w:t>
            </w:r>
            <w:r>
              <w:rPr>
                <w:rFonts w:hint="default"/>
                <w:color w:val="auto"/>
                <w:kern w:val="0"/>
              </w:rPr>
              <w:t>2</w:t>
            </w:r>
            <w:r>
              <w:rPr>
                <w:rFonts w:hint="eastAsia"/>
                <w:color w:val="auto"/>
                <w:kern w:val="0"/>
                <w:lang w:val="en-US" w:eastAsia="zh-CN"/>
              </w:rPr>
              <w:t>5</w:t>
            </w:r>
            <w:r>
              <w:rPr>
                <w:rFonts w:hint="default"/>
                <w:color w:val="auto"/>
                <w:kern w:val="0"/>
              </w:rPr>
              <w:t>0</w:t>
            </w:r>
            <w:r>
              <w:rPr>
                <w:rFonts w:hint="eastAsia" w:ascii="宋体" w:hAnsi="宋体"/>
                <w:color w:val="auto"/>
                <w:kern w:val="0"/>
              </w:rPr>
              <w:t>次。根据经验数据，车辆冲洗用水约</w:t>
            </w:r>
            <w:r>
              <w:rPr>
                <w:rFonts w:hint="default"/>
                <w:color w:val="auto"/>
                <w:kern w:val="0"/>
              </w:rPr>
              <w:t>6</w:t>
            </w:r>
            <w:r>
              <w:rPr>
                <w:rFonts w:hint="eastAsia"/>
                <w:color w:val="auto"/>
                <w:kern w:val="0"/>
              </w:rPr>
              <w:t>0L/</w:t>
            </w:r>
            <w:r>
              <w:rPr>
                <w:rFonts w:hint="eastAsia" w:ascii="宋体" w:hAnsi="宋体"/>
                <w:color w:val="auto"/>
                <w:kern w:val="0"/>
              </w:rPr>
              <w:t>车·次，则车辆冲洗用水量为</w:t>
            </w:r>
            <w:r>
              <w:rPr>
                <w:rFonts w:hint="eastAsia"/>
                <w:color w:val="auto"/>
                <w:kern w:val="0"/>
                <w:lang w:val="en-US" w:eastAsia="zh-CN"/>
              </w:rPr>
              <w:t>15</w:t>
            </w:r>
            <w:r>
              <w:rPr>
                <w:rFonts w:hint="eastAsia"/>
                <w:color w:val="auto"/>
                <w:kern w:val="0"/>
              </w:rPr>
              <w:t>m</w:t>
            </w:r>
            <w:r>
              <w:rPr>
                <w:rFonts w:hint="eastAsia"/>
                <w:color w:val="auto"/>
                <w:kern w:val="0"/>
                <w:vertAlign w:val="superscript"/>
              </w:rPr>
              <w:t>3</w:t>
            </w:r>
            <w:r>
              <w:rPr>
                <w:rFonts w:hint="eastAsia"/>
                <w:color w:val="auto"/>
                <w:kern w:val="0"/>
              </w:rPr>
              <w:t>/d</w:t>
            </w:r>
            <w:r>
              <w:rPr>
                <w:rFonts w:hint="eastAsia" w:ascii="宋体" w:hAnsi="宋体"/>
                <w:color w:val="auto"/>
                <w:kern w:val="0"/>
              </w:rPr>
              <w:t>，冲洗废水产生系数按</w:t>
            </w:r>
            <w:r>
              <w:rPr>
                <w:rFonts w:hint="eastAsia"/>
                <w:color w:val="auto"/>
                <w:kern w:val="0"/>
              </w:rPr>
              <w:t>85%</w:t>
            </w:r>
            <w:r>
              <w:rPr>
                <w:rFonts w:hint="eastAsia" w:ascii="宋体" w:hAnsi="宋体"/>
                <w:color w:val="auto"/>
                <w:kern w:val="0"/>
              </w:rPr>
              <w:t>计，产生量为</w:t>
            </w:r>
            <w:r>
              <w:rPr>
                <w:rFonts w:hint="eastAsia"/>
                <w:color w:val="auto"/>
                <w:kern w:val="0"/>
                <w:lang w:val="en-US" w:eastAsia="zh-CN"/>
              </w:rPr>
              <w:t>12.75</w:t>
            </w:r>
            <w:r>
              <w:rPr>
                <w:rFonts w:hint="eastAsia"/>
                <w:color w:val="auto"/>
                <w:kern w:val="0"/>
              </w:rPr>
              <w:t>m</w:t>
            </w:r>
            <w:r>
              <w:rPr>
                <w:rFonts w:hint="eastAsia"/>
                <w:color w:val="auto"/>
                <w:kern w:val="0"/>
                <w:vertAlign w:val="superscript"/>
              </w:rPr>
              <w:t>3</w:t>
            </w:r>
            <w:r>
              <w:rPr>
                <w:rFonts w:hint="eastAsia"/>
                <w:color w:val="auto"/>
                <w:kern w:val="0"/>
              </w:rPr>
              <w:t>/d</w:t>
            </w:r>
            <w:r>
              <w:rPr>
                <w:rFonts w:hint="eastAsia" w:ascii="宋体" w:hAnsi="宋体"/>
                <w:color w:val="auto"/>
                <w:kern w:val="0"/>
              </w:rPr>
              <w:t>。车辆冲洗废水设</w:t>
            </w:r>
            <w:r>
              <w:rPr>
                <w:rFonts w:hint="eastAsia" w:ascii="宋体" w:hAnsi="宋体"/>
                <w:color w:val="auto"/>
                <w:kern w:val="0"/>
                <w:lang w:val="en-US" w:eastAsia="zh-CN"/>
              </w:rPr>
              <w:t>沉淀池</w:t>
            </w:r>
            <w:r>
              <w:rPr>
                <w:rFonts w:hint="eastAsia" w:ascii="宋体" w:hAnsi="宋体"/>
                <w:color w:val="auto"/>
                <w:kern w:val="0"/>
              </w:rPr>
              <w:t>收集</w:t>
            </w:r>
            <w:r>
              <w:rPr>
                <w:rFonts w:hint="eastAsia" w:ascii="宋体" w:hAnsi="宋体"/>
                <w:color w:val="auto"/>
                <w:kern w:val="0"/>
                <w:lang w:val="en-US" w:eastAsia="zh-CN"/>
              </w:rPr>
              <w:t>处理</w:t>
            </w:r>
            <w:r>
              <w:rPr>
                <w:rFonts w:hint="eastAsia" w:ascii="宋体" w:hAnsi="宋体"/>
                <w:color w:val="auto"/>
                <w:kern w:val="0"/>
              </w:rPr>
              <w:t>后回用。车辆冲洗补充水为</w:t>
            </w:r>
            <w:r>
              <w:rPr>
                <w:rFonts w:hint="default"/>
                <w:color w:val="auto"/>
                <w:kern w:val="0"/>
              </w:rPr>
              <w:t>2.</w:t>
            </w:r>
            <w:r>
              <w:rPr>
                <w:rFonts w:hint="eastAsia"/>
                <w:color w:val="auto"/>
                <w:kern w:val="0"/>
                <w:lang w:val="en-US" w:eastAsia="zh-CN"/>
              </w:rPr>
              <w:t>25</w:t>
            </w:r>
            <w:r>
              <w:rPr>
                <w:rFonts w:hint="eastAsia"/>
                <w:color w:val="auto"/>
                <w:kern w:val="0"/>
              </w:rPr>
              <w:t>m</w:t>
            </w:r>
            <w:r>
              <w:rPr>
                <w:rFonts w:hint="eastAsia"/>
                <w:color w:val="auto"/>
                <w:kern w:val="0"/>
                <w:vertAlign w:val="superscript"/>
              </w:rPr>
              <w:t>3</w:t>
            </w:r>
            <w:r>
              <w:rPr>
                <w:rFonts w:hint="eastAsia"/>
                <w:color w:val="auto"/>
                <w:kern w:val="0"/>
              </w:rPr>
              <w:t>/d</w:t>
            </w:r>
            <w:r>
              <w:rPr>
                <w:rFonts w:hint="eastAsia" w:ascii="宋体" w:hAnsi="宋体"/>
                <w:color w:val="auto"/>
                <w:kern w:val="0"/>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b/>
                <w:color w:val="auto"/>
                <w:kern w:val="0"/>
              </w:rPr>
            </w:pPr>
            <w:r>
              <w:rPr>
                <w:rFonts w:hint="eastAsia" w:ascii="宋体" w:hAnsi="宋体"/>
                <w:b/>
                <w:color w:val="auto"/>
                <w:kern w:val="0"/>
                <w:lang w:val="en-US" w:eastAsia="zh-CN"/>
              </w:rPr>
              <w:t>④</w:t>
            </w:r>
            <w:r>
              <w:rPr>
                <w:rFonts w:hint="eastAsia" w:ascii="宋体" w:hAnsi="宋体"/>
                <w:b/>
                <w:color w:val="auto"/>
                <w:kern w:val="0"/>
              </w:rPr>
              <w:t>生活用水</w:t>
            </w:r>
          </w:p>
          <w:p>
            <w:pPr>
              <w:keepNext w:val="0"/>
              <w:keepLines w:val="0"/>
              <w:suppressLineNumbers w:val="0"/>
              <w:spacing w:before="0" w:beforeAutospacing="0" w:after="0" w:afterAutospacing="0" w:line="400" w:lineRule="exact"/>
              <w:ind w:left="0" w:right="0" w:firstLine="420" w:firstLineChars="200"/>
              <w:rPr>
                <w:rFonts w:hint="eastAsia" w:ascii="宋体" w:hAnsi="宋体"/>
                <w:color w:val="auto"/>
                <w:kern w:val="0"/>
              </w:rPr>
            </w:pPr>
            <w:r>
              <w:rPr>
                <w:rFonts w:hint="eastAsia" w:ascii="宋体" w:hAnsi="宋体"/>
                <w:color w:val="auto"/>
                <w:kern w:val="0"/>
              </w:rPr>
              <w:t>项目建成后全厂工作人员</w:t>
            </w:r>
            <w:r>
              <w:rPr>
                <w:rFonts w:hint="default"/>
                <w:color w:val="auto"/>
                <w:kern w:val="0"/>
              </w:rPr>
              <w:t>20</w:t>
            </w:r>
            <w:r>
              <w:rPr>
                <w:rFonts w:hint="eastAsia" w:ascii="宋体" w:hAnsi="宋体"/>
                <w:color w:val="auto"/>
                <w:kern w:val="0"/>
              </w:rPr>
              <w:t>人，办公生活用房不设员工食宿。生活用水主要为办公用水、冲厕用水。根据四川省地方标准《用水定额》（川府函〔</w:t>
            </w:r>
            <w:r>
              <w:rPr>
                <w:rFonts w:hint="eastAsia"/>
                <w:color w:val="auto"/>
                <w:kern w:val="0"/>
              </w:rPr>
              <w:t>2021</w:t>
            </w:r>
            <w:r>
              <w:rPr>
                <w:rFonts w:hint="eastAsia" w:ascii="宋体" w:hAnsi="宋体"/>
                <w:color w:val="auto"/>
                <w:kern w:val="0"/>
              </w:rPr>
              <w:t>〕</w:t>
            </w:r>
            <w:r>
              <w:rPr>
                <w:rFonts w:hint="eastAsia"/>
                <w:color w:val="auto"/>
                <w:kern w:val="0"/>
              </w:rPr>
              <w:t>8</w:t>
            </w:r>
            <w:r>
              <w:rPr>
                <w:rFonts w:hint="eastAsia" w:ascii="宋体" w:hAnsi="宋体"/>
                <w:color w:val="auto"/>
                <w:kern w:val="0"/>
              </w:rPr>
              <w:t>号），员工生活用水取</w:t>
            </w:r>
            <w:r>
              <w:rPr>
                <w:rFonts w:hint="default"/>
                <w:color w:val="auto"/>
                <w:kern w:val="0"/>
              </w:rPr>
              <w:t>6</w:t>
            </w:r>
            <w:r>
              <w:rPr>
                <w:rFonts w:hint="eastAsia"/>
                <w:color w:val="auto"/>
                <w:kern w:val="0"/>
              </w:rPr>
              <w:t>0L/</w:t>
            </w:r>
            <w:r>
              <w:rPr>
                <w:rFonts w:hint="eastAsia" w:ascii="宋体" w:hAnsi="宋体"/>
                <w:color w:val="auto"/>
                <w:kern w:val="0"/>
              </w:rPr>
              <w:t>人·</w:t>
            </w:r>
            <w:r>
              <w:rPr>
                <w:rFonts w:hint="eastAsia"/>
                <w:color w:val="auto"/>
                <w:kern w:val="0"/>
              </w:rPr>
              <w:t>d</w:t>
            </w:r>
            <w:r>
              <w:rPr>
                <w:rFonts w:hint="eastAsia" w:ascii="宋体" w:hAnsi="宋体"/>
                <w:color w:val="auto"/>
                <w:kern w:val="0"/>
              </w:rPr>
              <w:t>，则项目生活用水量为</w:t>
            </w:r>
            <w:r>
              <w:rPr>
                <w:rFonts w:hint="eastAsia"/>
                <w:color w:val="auto"/>
                <w:kern w:val="0"/>
              </w:rPr>
              <w:t>1.2m</w:t>
            </w:r>
            <w:r>
              <w:rPr>
                <w:rFonts w:hint="eastAsia"/>
                <w:color w:val="auto"/>
                <w:kern w:val="0"/>
                <w:vertAlign w:val="superscript"/>
              </w:rPr>
              <w:t>3</w:t>
            </w:r>
            <w:r>
              <w:rPr>
                <w:rFonts w:hint="eastAsia"/>
                <w:color w:val="auto"/>
                <w:kern w:val="0"/>
              </w:rPr>
              <w:t>/d</w:t>
            </w:r>
            <w:r>
              <w:rPr>
                <w:rFonts w:hint="eastAsia" w:ascii="宋体" w:hAnsi="宋体"/>
                <w:color w:val="auto"/>
                <w:kern w:val="0"/>
              </w:rPr>
              <w:t>，产污系数按</w:t>
            </w:r>
            <w:r>
              <w:rPr>
                <w:rFonts w:hint="eastAsia"/>
                <w:color w:val="auto"/>
                <w:kern w:val="0"/>
              </w:rPr>
              <w:t>0.9</w:t>
            </w:r>
            <w:r>
              <w:rPr>
                <w:rFonts w:hint="eastAsia" w:ascii="宋体" w:hAnsi="宋体"/>
                <w:color w:val="auto"/>
                <w:kern w:val="0"/>
              </w:rPr>
              <w:t>计，则生活污水产生量约</w:t>
            </w:r>
            <w:r>
              <w:rPr>
                <w:rFonts w:hint="eastAsia"/>
                <w:color w:val="auto"/>
                <w:kern w:val="0"/>
              </w:rPr>
              <w:t>1.08m</w:t>
            </w:r>
            <w:r>
              <w:rPr>
                <w:rFonts w:hint="eastAsia"/>
                <w:color w:val="auto"/>
                <w:kern w:val="0"/>
                <w:vertAlign w:val="superscript"/>
              </w:rPr>
              <w:t>3</w:t>
            </w:r>
            <w:r>
              <w:rPr>
                <w:rFonts w:hint="eastAsia"/>
                <w:color w:val="auto"/>
                <w:kern w:val="0"/>
              </w:rPr>
              <w:t>/d</w:t>
            </w:r>
            <w:r>
              <w:rPr>
                <w:rFonts w:hint="eastAsia" w:ascii="宋体" w:hAnsi="宋体"/>
                <w:color w:val="auto"/>
                <w:kern w:val="0"/>
              </w:rPr>
              <w:t>。</w:t>
            </w:r>
          </w:p>
          <w:p>
            <w:pPr>
              <w:keepNext w:val="0"/>
              <w:keepLines w:val="0"/>
              <w:suppressLineNumbers w:val="0"/>
              <w:spacing w:before="0" w:beforeAutospacing="0" w:after="0" w:afterAutospacing="0" w:line="400" w:lineRule="exact"/>
              <w:ind w:left="0" w:right="0" w:firstLine="420" w:firstLineChars="200"/>
              <w:rPr>
                <w:rFonts w:hint="default" w:ascii="宋体" w:hAnsi="宋体"/>
                <w:color w:val="auto"/>
                <w:kern w:val="0"/>
              </w:rPr>
            </w:pPr>
          </w:p>
          <w:p>
            <w:pPr>
              <w:keepNext w:val="0"/>
              <w:keepLines w:val="0"/>
              <w:suppressLineNumbers w:val="0"/>
              <w:spacing w:before="0" w:beforeAutospacing="0" w:after="0" w:afterAutospacing="0" w:line="400" w:lineRule="exact"/>
              <w:ind w:left="0" w:right="0" w:firstLine="420" w:firstLineChars="200"/>
              <w:rPr>
                <w:rFonts w:hint="default" w:ascii="宋体" w:hAnsi="宋体"/>
                <w:color w:val="auto"/>
                <w:kern w:val="0"/>
              </w:rPr>
            </w:pPr>
          </w:p>
          <w:p>
            <w:pPr>
              <w:keepNext w:val="0"/>
              <w:keepLines w:val="0"/>
              <w:suppressLineNumbers w:val="0"/>
              <w:spacing w:before="0" w:beforeAutospacing="0" w:after="0" w:afterAutospacing="0" w:line="400" w:lineRule="exact"/>
              <w:ind w:left="0" w:right="0" w:firstLine="420" w:firstLineChars="200"/>
              <w:rPr>
                <w:rFonts w:hint="default" w:ascii="宋体" w:hAnsi="宋体"/>
                <w:color w:val="auto"/>
                <w:kern w:val="0"/>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default"/>
                <w:color w:val="auto"/>
              </w:rPr>
            </w:pPr>
            <w:r>
              <w:rPr>
                <w:rFonts w:hint="default"/>
                <w:color w:val="auto"/>
              </w:rPr>
              <mc:AlternateContent>
                <mc:Choice Requires="wps">
                  <w:drawing>
                    <wp:anchor distT="0" distB="0" distL="114300" distR="114300" simplePos="0" relativeHeight="251665408" behindDoc="0" locked="0" layoutInCell="1" allowOverlap="1">
                      <wp:simplePos x="0" y="0"/>
                      <wp:positionH relativeFrom="column">
                        <wp:posOffset>1005205</wp:posOffset>
                      </wp:positionH>
                      <wp:positionV relativeFrom="paragraph">
                        <wp:posOffset>4441825</wp:posOffset>
                      </wp:positionV>
                      <wp:extent cx="2462530" cy="278765"/>
                      <wp:effectExtent l="0" t="0" r="0" b="6985"/>
                      <wp:wrapNone/>
                      <wp:docPr id="2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462530" cy="278765"/>
                              </a:xfrm>
                              <a:prstGeom prst="rect">
                                <a:avLst/>
                              </a:prstGeom>
                              <a:noFill/>
                              <a:ln>
                                <a:noFill/>
                              </a:ln>
                              <a:effectLst/>
                            </wps:spPr>
                            <wps:txbx>
                              <w:txbxContent>
                                <w:p>
                                  <w:pPr>
                                    <w:autoSpaceDE w:val="0"/>
                                    <w:autoSpaceDN w:val="0"/>
                                    <w:adjustRightInd w:val="0"/>
                                    <w:snapToGrid w:val="0"/>
                                    <w:spacing w:line="320" w:lineRule="exact"/>
                                    <w:jc w:val="center"/>
                                    <w:rPr>
                                      <w:rFonts w:eastAsia="黑体"/>
                                      <w:kern w:val="0"/>
                                      <w:sz w:val="20"/>
                                      <w:szCs w:val="20"/>
                                    </w:rPr>
                                  </w:pPr>
                                  <w:r>
                                    <w:rPr>
                                      <w:rFonts w:eastAsia="黑体"/>
                                      <w:kern w:val="0"/>
                                      <w:sz w:val="20"/>
                                      <w:szCs w:val="20"/>
                                    </w:rPr>
                                    <w:t>图</w:t>
                                  </w:r>
                                  <w:r>
                                    <w:rPr>
                                      <w:rFonts w:hint="eastAsia" w:eastAsia="黑体"/>
                                      <w:kern w:val="0"/>
                                      <w:sz w:val="20"/>
                                      <w:szCs w:val="20"/>
                                    </w:rPr>
                                    <w:t>2-</w:t>
                                  </w:r>
                                  <w:r>
                                    <w:rPr>
                                      <w:rFonts w:eastAsia="黑体"/>
                                      <w:kern w:val="0"/>
                                      <w:sz w:val="20"/>
                                      <w:szCs w:val="20"/>
                                    </w:rPr>
                                    <w:t>1：</w:t>
                                  </w:r>
                                  <w:r>
                                    <w:rPr>
                                      <w:rFonts w:hint="eastAsia" w:eastAsia="黑体"/>
                                      <w:kern w:val="0"/>
                                      <w:sz w:val="20"/>
                                      <w:szCs w:val="20"/>
                                    </w:rPr>
                                    <w:t>项目厂区</w:t>
                                  </w:r>
                                  <w:r>
                                    <w:rPr>
                                      <w:rFonts w:eastAsia="黑体"/>
                                      <w:kern w:val="0"/>
                                      <w:sz w:val="20"/>
                                      <w:szCs w:val="20"/>
                                    </w:rPr>
                                    <w:t>水平衡图（单位：m</w:t>
                                  </w:r>
                                  <w:r>
                                    <w:rPr>
                                      <w:rFonts w:eastAsia="黑体"/>
                                      <w:kern w:val="0"/>
                                      <w:sz w:val="20"/>
                                      <w:szCs w:val="20"/>
                                      <w:vertAlign w:val="superscript"/>
                                    </w:rPr>
                                    <w:t>3</w:t>
                                  </w:r>
                                  <w:r>
                                    <w:rPr>
                                      <w:rFonts w:eastAsia="黑体"/>
                                      <w:kern w:val="0"/>
                                      <w:sz w:val="20"/>
                                      <w:szCs w:val="20"/>
                                    </w:rPr>
                                    <w:t>/d）</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79.15pt;margin-top:349.75pt;height:21.95pt;width:193.9pt;z-index:251665408;mso-width-relative:page;mso-height-relative:page;" filled="f" stroked="f" coordsize="21600,21600" o:gfxdata="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K8Vr3YAAAACwEAAA8AAAAAAAAAAQAgAAAAIgAAAGRycy9k&#10;b3ducmV2LnhtbFBLAQIUABQAAAAIAIdO4kDWGhscAgIAANYDAAAOAAAAAAAAAAEAIAAAACcBAABk&#10;cnMvZTJvRG9jLnhtbFBLBQYAAAAABgAGAFkBAACbBQAAAAA=&#10;">
                      <v:fill on="f" focussize="0,0"/>
                      <v:stroke on="f"/>
                      <v:imagedata o:title=""/>
                      <o:lock v:ext="edit" aspectratio="f"/>
                      <v:textbox>
                        <w:txbxContent>
                          <w:p>
                            <w:pPr>
                              <w:autoSpaceDE w:val="0"/>
                              <w:autoSpaceDN w:val="0"/>
                              <w:adjustRightInd w:val="0"/>
                              <w:snapToGrid w:val="0"/>
                              <w:spacing w:line="320" w:lineRule="exact"/>
                              <w:jc w:val="center"/>
                              <w:rPr>
                                <w:rFonts w:eastAsia="黑体"/>
                                <w:kern w:val="0"/>
                                <w:sz w:val="20"/>
                                <w:szCs w:val="20"/>
                              </w:rPr>
                            </w:pPr>
                            <w:r>
                              <w:rPr>
                                <w:rFonts w:eastAsia="黑体"/>
                                <w:kern w:val="0"/>
                                <w:sz w:val="20"/>
                                <w:szCs w:val="20"/>
                              </w:rPr>
                              <w:t>图</w:t>
                            </w:r>
                            <w:r>
                              <w:rPr>
                                <w:rFonts w:hint="eastAsia" w:eastAsia="黑体"/>
                                <w:kern w:val="0"/>
                                <w:sz w:val="20"/>
                                <w:szCs w:val="20"/>
                              </w:rPr>
                              <w:t>2-</w:t>
                            </w:r>
                            <w:r>
                              <w:rPr>
                                <w:rFonts w:eastAsia="黑体"/>
                                <w:kern w:val="0"/>
                                <w:sz w:val="20"/>
                                <w:szCs w:val="20"/>
                              </w:rPr>
                              <w:t>1：</w:t>
                            </w:r>
                            <w:r>
                              <w:rPr>
                                <w:rFonts w:hint="eastAsia" w:eastAsia="黑体"/>
                                <w:kern w:val="0"/>
                                <w:sz w:val="20"/>
                                <w:szCs w:val="20"/>
                              </w:rPr>
                              <w:t>项目厂区</w:t>
                            </w:r>
                            <w:r>
                              <w:rPr>
                                <w:rFonts w:eastAsia="黑体"/>
                                <w:kern w:val="0"/>
                                <w:sz w:val="20"/>
                                <w:szCs w:val="20"/>
                              </w:rPr>
                              <w:t>水平衡图（单位：m</w:t>
                            </w:r>
                            <w:r>
                              <w:rPr>
                                <w:rFonts w:eastAsia="黑体"/>
                                <w:kern w:val="0"/>
                                <w:sz w:val="20"/>
                                <w:szCs w:val="20"/>
                                <w:vertAlign w:val="superscript"/>
                              </w:rPr>
                              <w:t>3</w:t>
                            </w:r>
                            <w:r>
                              <w:rPr>
                                <w:rFonts w:eastAsia="黑体"/>
                                <w:kern w:val="0"/>
                                <w:sz w:val="20"/>
                                <w:szCs w:val="20"/>
                              </w:rPr>
                              <w:t>/d）</w:t>
                            </w:r>
                          </w:p>
                        </w:txbxContent>
                      </v:textbox>
                    </v:shape>
                  </w:pict>
                </mc:Fallback>
              </mc:AlternateContent>
            </w:r>
            <w:r>
              <w:rPr>
                <w:rFonts w:hint="default"/>
                <w:color w:val="auto"/>
              </w:rPr>
              <mc:AlternateContent>
                <mc:Choice Requires="wpg">
                  <w:drawing>
                    <wp:inline distT="0" distB="0" distL="114300" distR="114300">
                      <wp:extent cx="4316095" cy="4497705"/>
                      <wp:effectExtent l="0" t="0" r="0" b="0"/>
                      <wp:docPr id="100" name="组合 100"/>
                      <wp:cNvGraphicFramePr/>
                      <a:graphic xmlns:a="http://schemas.openxmlformats.org/drawingml/2006/main">
                        <a:graphicData uri="http://schemas.microsoft.com/office/word/2010/wordprocessingGroup">
                          <wpg:wgp>
                            <wpg:cNvGrpSpPr/>
                            <wpg:grpSpPr>
                              <a:xfrm>
                                <a:off x="0" y="0"/>
                                <a:ext cx="4316095" cy="4497705"/>
                                <a:chOff x="2771" y="2391"/>
                                <a:chExt cx="6797" cy="7083"/>
                              </a:xfrm>
                            </wpg:grpSpPr>
                            <wps:wsp>
                              <wps:cNvPr id="1" name="直接连接符 1"/>
                              <wps:cNvCnPr>
                                <a:cxnSpLocks noChangeAspect="1"/>
                              </wps:cNvCnPr>
                              <wps:spPr>
                                <a:xfrm>
                                  <a:off x="3959" y="3130"/>
                                  <a:ext cx="0" cy="3209"/>
                                </a:xfrm>
                                <a:prstGeom prst="line">
                                  <a:avLst/>
                                </a:prstGeom>
                                <a:ln w="12700" cap="flat" cmpd="sng">
                                  <a:solidFill>
                                    <a:srgbClr val="0000FF"/>
                                  </a:solidFill>
                                  <a:prstDash val="solid"/>
                                  <a:headEnd type="none" w="med" len="med"/>
                                  <a:tailEnd type="none" w="med" len="med"/>
                                </a:ln>
                              </wps:spPr>
                              <wps:bodyPr/>
                            </wps:wsp>
                            <wps:wsp>
                              <wps:cNvPr id="25" name="直接箭头连接符 2"/>
                              <wps:cNvCnPr/>
                              <wps:spPr>
                                <a:xfrm>
                                  <a:off x="2771" y="4347"/>
                                  <a:ext cx="1180" cy="3"/>
                                </a:xfrm>
                                <a:prstGeom prst="straightConnector1">
                                  <a:avLst/>
                                </a:prstGeom>
                                <a:ln w="9525" cap="flat" cmpd="sng">
                                  <a:solidFill>
                                    <a:srgbClr val="0000FF"/>
                                  </a:solidFill>
                                  <a:prstDash val="solid"/>
                                  <a:headEnd type="none" w="med" len="med"/>
                                  <a:tailEnd type="triangle" w="med" len="med"/>
                                </a:ln>
                              </wps:spPr>
                              <wps:bodyPr/>
                            </wps:wsp>
                            <wps:wsp>
                              <wps:cNvPr id="31" name="文本框 3"/>
                              <wps:cNvSpPr txBox="1"/>
                              <wps:spPr>
                                <a:xfrm>
                                  <a:off x="3027" y="4051"/>
                                  <a:ext cx="986" cy="35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231.74</w:t>
                                    </w:r>
                                  </w:p>
                                </w:txbxContent>
                              </wps:txbx>
                              <wps:bodyPr upright="1"/>
                            </wps:wsp>
                            <wps:wsp>
                              <wps:cNvPr id="47" name="直接连接符 6"/>
                              <wps:cNvCnPr>
                                <a:cxnSpLocks noChangeAspect="1"/>
                              </wps:cNvCnPr>
                              <wps:spPr>
                                <a:xfrm>
                                  <a:off x="3971" y="5469"/>
                                  <a:ext cx="1077" cy="1"/>
                                </a:xfrm>
                                <a:prstGeom prst="line">
                                  <a:avLst/>
                                </a:prstGeom>
                                <a:ln w="12700" cap="flat" cmpd="sng">
                                  <a:solidFill>
                                    <a:srgbClr val="0000FF"/>
                                  </a:solidFill>
                                  <a:prstDash val="solid"/>
                                  <a:headEnd type="none" w="med" len="med"/>
                                  <a:tailEnd type="triangle" w="med" len="med"/>
                                </a:ln>
                              </wps:spPr>
                              <wps:bodyPr/>
                            </wps:wsp>
                            <wps:wsp>
                              <wps:cNvPr id="50" name="文本框 8"/>
                              <wps:cNvSpPr txBox="1"/>
                              <wps:spPr>
                                <a:xfrm>
                                  <a:off x="5041" y="5268"/>
                                  <a:ext cx="1176" cy="3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生产车间</w:t>
                                    </w:r>
                                  </w:p>
                                </w:txbxContent>
                              </wps:txbx>
                              <wps:bodyPr wrap="square" upright="1">
                                <a:noAutofit/>
                              </wps:bodyPr>
                            </wps:wsp>
                            <wps:wsp>
                              <wps:cNvPr id="51" name="文本框 11"/>
                              <wps:cNvSpPr txBox="1"/>
                              <wps:spPr>
                                <a:xfrm>
                                  <a:off x="3978" y="5056"/>
                                  <a:ext cx="1013" cy="414"/>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rPr>
                                      <w:t>喷雾</w:t>
                                    </w:r>
                                    <w:r>
                                      <w:rPr>
                                        <w:rFonts w:hint="eastAsia" w:ascii="Times New Roman" w:hAnsi="Times New Roman" w:eastAsia="宋体"/>
                                        <w:sz w:val="18"/>
                                        <w:szCs w:val="18"/>
                                        <w:lang w:val="en-US" w:eastAsia="zh-CN"/>
                                      </w:rPr>
                                      <w:t>10</w:t>
                                    </w:r>
                                  </w:p>
                                </w:txbxContent>
                              </wps:txbx>
                              <wps:bodyPr wrap="square" upright="1">
                                <a:noAutofit/>
                              </wps:bodyPr>
                            </wps:wsp>
                            <wps:wsp>
                              <wps:cNvPr id="52" name="直接连接符 12"/>
                              <wps:cNvCnPr>
                                <a:cxnSpLocks noChangeAspect="1"/>
                              </wps:cNvCnPr>
                              <wps:spPr>
                                <a:xfrm>
                                  <a:off x="6219" y="5455"/>
                                  <a:ext cx="616" cy="1"/>
                                </a:xfrm>
                                <a:prstGeom prst="line">
                                  <a:avLst/>
                                </a:prstGeom>
                                <a:ln w="12700" cap="flat" cmpd="sng">
                                  <a:solidFill>
                                    <a:srgbClr val="000000"/>
                                  </a:solidFill>
                                  <a:prstDash val="dash"/>
                                  <a:headEnd type="none" w="med" len="med"/>
                                  <a:tailEnd type="triangle" w="med" len="med"/>
                                </a:ln>
                              </wps:spPr>
                              <wps:bodyPr/>
                            </wps:wsp>
                            <wps:wsp>
                              <wps:cNvPr id="53" name="文本框 13"/>
                              <wps:cNvSpPr txBox="1"/>
                              <wps:spPr>
                                <a:xfrm>
                                  <a:off x="6726" y="5202"/>
                                  <a:ext cx="1521" cy="488"/>
                                </a:xfrm>
                                <a:prstGeom prst="rect">
                                  <a:avLst/>
                                </a:prstGeom>
                                <a:noFill/>
                                <a:ln>
                                  <a:noFill/>
                                </a:ln>
                              </wps:spPr>
                              <wps:txbx>
                                <w:txbxContent>
                                  <w:p>
                                    <w:pPr>
                                      <w:rPr>
                                        <w:rFonts w:hint="default" w:eastAsia="宋体"/>
                                        <w:sz w:val="18"/>
                                        <w:szCs w:val="18"/>
                                        <w:lang w:val="en-US" w:eastAsia="zh-CN"/>
                                      </w:rPr>
                                    </w:pPr>
                                    <w:r>
                                      <w:rPr>
                                        <w:sz w:val="18"/>
                                        <w:szCs w:val="18"/>
                                      </w:rPr>
                                      <w:t>蒸发、损耗</w:t>
                                    </w:r>
                                    <w:r>
                                      <w:rPr>
                                        <w:rFonts w:hint="eastAsia"/>
                                        <w:sz w:val="18"/>
                                        <w:szCs w:val="18"/>
                                        <w:lang w:val="en-US" w:eastAsia="zh-CN"/>
                                      </w:rPr>
                                      <w:t>10</w:t>
                                    </w:r>
                                  </w:p>
                                </w:txbxContent>
                              </wps:txbx>
                              <wps:bodyPr wrap="square" upright="1">
                                <a:noAutofit/>
                              </wps:bodyPr>
                            </wps:wsp>
                            <wpg:grpSp>
                              <wpg:cNvPr id="101" name="组合 100"/>
                              <wpg:cNvGrpSpPr/>
                              <wpg:grpSpPr>
                                <a:xfrm rot="0">
                                  <a:off x="3971" y="3519"/>
                                  <a:ext cx="4112" cy="4303"/>
                                  <a:chOff x="6220" y="1812"/>
                                  <a:chExt cx="4112" cy="4303"/>
                                </a:xfrm>
                              </wpg:grpSpPr>
                              <wps:wsp>
                                <wps:cNvPr id="88" name="直接连接符 88"/>
                                <wps:cNvCnPr>
                                  <a:cxnSpLocks noChangeAspect="1"/>
                                </wps:cNvCnPr>
                                <wps:spPr>
                                  <a:xfrm>
                                    <a:off x="6220" y="2545"/>
                                    <a:ext cx="1134" cy="1"/>
                                  </a:xfrm>
                                  <a:prstGeom prst="line">
                                    <a:avLst/>
                                  </a:prstGeom>
                                  <a:ln w="12700" cap="flat" cmpd="sng">
                                    <a:solidFill>
                                      <a:srgbClr val="0000FF"/>
                                    </a:solidFill>
                                    <a:prstDash val="solid"/>
                                    <a:headEnd type="none" w="med" len="med"/>
                                    <a:tailEnd type="triangle" w="med" len="med"/>
                                  </a:ln>
                                </wps:spPr>
                                <wps:bodyPr/>
                              </wps:wsp>
                              <wps:wsp>
                                <wps:cNvPr id="54" name="文本框 89"/>
                                <wps:cNvSpPr txBox="1"/>
                                <wps:spPr>
                                  <a:xfrm>
                                    <a:off x="7316" y="2384"/>
                                    <a:ext cx="1404"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eastAsia" w:ascii="Times New Roman" w:hAnsi="Times New Roman" w:eastAsia="宋体"/>
                                          <w:sz w:val="18"/>
                                          <w:szCs w:val="18"/>
                                        </w:rPr>
                                      </w:pPr>
                                      <w:r>
                                        <w:rPr>
                                          <w:rFonts w:hint="eastAsia" w:ascii="Times New Roman" w:hAnsi="Times New Roman" w:eastAsia="宋体"/>
                                          <w:sz w:val="18"/>
                                          <w:szCs w:val="18"/>
                                        </w:rPr>
                                        <w:t>车辆冲洗</w:t>
                                      </w:r>
                                    </w:p>
                                  </w:txbxContent>
                                </wps:txbx>
                                <wps:bodyPr upright="1"/>
                              </wps:wsp>
                              <wps:wsp>
                                <wps:cNvPr id="90" name="文本框 90"/>
                                <wps:cNvSpPr txBox="1"/>
                                <wps:spPr>
                                  <a:xfrm>
                                    <a:off x="6426" y="2152"/>
                                    <a:ext cx="722" cy="414"/>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2.25</w:t>
                                      </w:r>
                                    </w:p>
                                  </w:txbxContent>
                                </wps:txbx>
                                <wps:bodyPr wrap="square" upright="1">
                                  <a:noAutofit/>
                                </wps:bodyPr>
                              </wps:wsp>
                              <wps:wsp>
                                <wps:cNvPr id="91" name="直接箭头连接符 91"/>
                                <wps:cNvCnPr/>
                                <wps:spPr>
                                  <a:xfrm flipV="1">
                                    <a:off x="7934" y="2157"/>
                                    <a:ext cx="227" cy="214"/>
                                  </a:xfrm>
                                  <a:prstGeom prst="straightConnector1">
                                    <a:avLst/>
                                  </a:prstGeom>
                                  <a:ln>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92" name="文本框 92"/>
                                <wps:cNvSpPr txBox="1"/>
                                <wps:spPr>
                                  <a:xfrm>
                                    <a:off x="7388" y="1812"/>
                                    <a:ext cx="1638" cy="488"/>
                                  </a:xfrm>
                                  <a:prstGeom prst="rect">
                                    <a:avLst/>
                                  </a:prstGeom>
                                  <a:noFill/>
                                  <a:ln>
                                    <a:noFill/>
                                  </a:ln>
                                </wps:spPr>
                                <wps:txbx>
                                  <w:txbxContent>
                                    <w:p>
                                      <w:pPr>
                                        <w:rPr>
                                          <w:rFonts w:hint="default" w:eastAsia="宋体"/>
                                          <w:sz w:val="18"/>
                                          <w:szCs w:val="18"/>
                                          <w:lang w:val="en-US" w:eastAsia="zh-CN"/>
                                        </w:rPr>
                                      </w:pPr>
                                      <w:r>
                                        <w:rPr>
                                          <w:sz w:val="18"/>
                                          <w:szCs w:val="18"/>
                                        </w:rPr>
                                        <w:t>蒸发、损耗</w:t>
                                      </w:r>
                                      <w:r>
                                        <w:rPr>
                                          <w:rFonts w:hint="eastAsia"/>
                                          <w:sz w:val="18"/>
                                          <w:szCs w:val="18"/>
                                          <w:lang w:val="en-US" w:eastAsia="zh-CN"/>
                                        </w:rPr>
                                        <w:t>2.25</w:t>
                                      </w:r>
                                    </w:p>
                                  </w:txbxContent>
                                </wps:txbx>
                                <wps:bodyPr wrap="square" upright="1">
                                  <a:noAutofit/>
                                </wps:bodyPr>
                              </wps:wsp>
                              <wps:wsp>
                                <wps:cNvPr id="93" name="直接连接符 93"/>
                                <wps:cNvCnPr>
                                  <a:cxnSpLocks noChangeAspect="1"/>
                                </wps:cNvCnPr>
                                <wps:spPr>
                                  <a:xfrm>
                                    <a:off x="8745" y="2586"/>
                                    <a:ext cx="616" cy="1"/>
                                  </a:xfrm>
                                  <a:prstGeom prst="line">
                                    <a:avLst/>
                                  </a:prstGeom>
                                  <a:ln w="12700" cap="flat" cmpd="sng">
                                    <a:solidFill>
                                      <a:srgbClr val="000000"/>
                                    </a:solidFill>
                                    <a:prstDash val="solid"/>
                                    <a:headEnd type="none" w="med" len="med"/>
                                    <a:tailEnd type="triangle" w="med" len="med"/>
                                  </a:ln>
                                </wps:spPr>
                                <wps:bodyPr/>
                              </wps:wsp>
                              <wps:wsp>
                                <wps:cNvPr id="94" name="文本框 94"/>
                                <wps:cNvSpPr txBox="1"/>
                                <wps:spPr>
                                  <a:xfrm>
                                    <a:off x="8630" y="2244"/>
                                    <a:ext cx="884" cy="48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12.75</w:t>
                                      </w:r>
                                    </w:p>
                                  </w:txbxContent>
                                </wps:txbx>
                                <wps:bodyPr wrap="square" upright="1">
                                  <a:noAutofit/>
                                </wps:bodyPr>
                              </wps:wsp>
                              <wps:wsp>
                                <wps:cNvPr id="95" name="文本框 95"/>
                                <wps:cNvSpPr txBox="1"/>
                                <wps:spPr>
                                  <a:xfrm>
                                    <a:off x="9353" y="2371"/>
                                    <a:ext cx="979"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eastAsia" w:ascii="Times New Roman" w:hAnsi="Times New Roman" w:eastAsia="宋体"/>
                                          <w:sz w:val="18"/>
                                          <w:szCs w:val="18"/>
                                        </w:rPr>
                                      </w:pPr>
                                      <w:r>
                                        <w:rPr>
                                          <w:rFonts w:hint="eastAsia" w:ascii="Times New Roman" w:hAnsi="Times New Roman" w:eastAsia="宋体"/>
                                          <w:sz w:val="18"/>
                                          <w:szCs w:val="18"/>
                                        </w:rPr>
                                        <w:t>沉淀池</w:t>
                                      </w:r>
                                    </w:p>
                                  </w:txbxContent>
                                </wps:txbx>
                                <wps:bodyPr upright="1"/>
                              </wps:wsp>
                              <wps:wsp>
                                <wps:cNvPr id="96" name="直接连接符 96"/>
                                <wps:cNvCnPr>
                                  <a:cxnSpLocks noChangeAspect="1"/>
                                </wps:cNvCnPr>
                                <wps:spPr>
                                  <a:xfrm flipV="1">
                                    <a:off x="9834" y="2801"/>
                                    <a:ext cx="0" cy="260"/>
                                  </a:xfrm>
                                  <a:prstGeom prst="line">
                                    <a:avLst/>
                                  </a:prstGeom>
                                  <a:ln w="12700" cap="flat" cmpd="sng">
                                    <a:solidFill>
                                      <a:srgbClr val="000000"/>
                                    </a:solidFill>
                                    <a:prstDash val="solid"/>
                                    <a:headEnd type="none" w="med" len="med"/>
                                    <a:tailEnd type="none" w="med" len="med"/>
                                  </a:ln>
                                </wps:spPr>
                                <wps:bodyPr/>
                              </wps:wsp>
                              <wps:wsp>
                                <wps:cNvPr id="97" name="直接连接符 97"/>
                                <wps:cNvCnPr/>
                                <wps:spPr>
                                  <a:xfrm>
                                    <a:off x="6932" y="3061"/>
                                    <a:ext cx="2891" cy="0"/>
                                  </a:xfrm>
                                  <a:prstGeom prst="line">
                                    <a:avLst/>
                                  </a:prstGeom>
                                  <a:ln w="12700" cap="flat" cmpd="sng">
                                    <a:solidFill>
                                      <a:srgbClr val="000000"/>
                                    </a:solidFill>
                                    <a:prstDash val="solid"/>
                                    <a:headEnd type="none" w="med" len="med"/>
                                    <a:tailEnd type="none" w="med" len="med"/>
                                  </a:ln>
                                </wps:spPr>
                                <wps:bodyPr/>
                              </wps:wsp>
                              <wps:wsp>
                                <wps:cNvPr id="98" name="直接连接符 98"/>
                                <wps:cNvCnPr>
                                  <a:cxnSpLocks noChangeAspect="1"/>
                                </wps:cNvCnPr>
                                <wps:spPr>
                                  <a:xfrm flipV="1">
                                    <a:off x="6921" y="2564"/>
                                    <a:ext cx="0" cy="498"/>
                                  </a:xfrm>
                                  <a:prstGeom prst="line">
                                    <a:avLst/>
                                  </a:prstGeom>
                                  <a:ln w="12700" cap="flat" cmpd="sng">
                                    <a:solidFill>
                                      <a:srgbClr val="000000"/>
                                    </a:solidFill>
                                    <a:prstDash val="solid"/>
                                    <a:headEnd type="none" w="med" len="med"/>
                                    <a:tailEnd type="triangle" w="med" len="med"/>
                                  </a:ln>
                                </wps:spPr>
                                <wps:bodyPr/>
                              </wps:wsp>
                              <wps:wsp>
                                <wps:cNvPr id="99" name="文本框 99"/>
                                <wps:cNvSpPr txBox="1"/>
                                <wps:spPr>
                                  <a:xfrm>
                                    <a:off x="8684" y="2711"/>
                                    <a:ext cx="884" cy="48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12.75</w:t>
                                      </w:r>
                                    </w:p>
                                  </w:txbxContent>
                                </wps:txbx>
                                <wps:bodyPr wrap="square" upright="1">
                                  <a:noAutofit/>
                                </wps:bodyPr>
                              </wps:wsp>
                              <wps:wsp>
                                <wps:cNvPr id="137" name="直接连接符 137"/>
                                <wps:cNvCnPr>
                                  <a:cxnSpLocks noChangeAspect="1"/>
                                </wps:cNvCnPr>
                                <wps:spPr>
                                  <a:xfrm flipV="1">
                                    <a:off x="6489" y="5617"/>
                                    <a:ext cx="0" cy="498"/>
                                  </a:xfrm>
                                  <a:prstGeom prst="line">
                                    <a:avLst/>
                                  </a:prstGeom>
                                  <a:ln w="12700" cap="flat" cmpd="sng">
                                    <a:solidFill>
                                      <a:srgbClr val="000000"/>
                                    </a:solidFill>
                                    <a:prstDash val="solid"/>
                                    <a:headEnd type="none" w="med" len="med"/>
                                    <a:tailEnd type="triangle" w="med" len="med"/>
                                  </a:ln>
                                </wps:spPr>
                                <wps:bodyPr/>
                              </wps:wsp>
                            </wpg:grpSp>
                            <wps:wsp>
                              <wps:cNvPr id="102" name="直接连接符 101"/>
                              <wps:cNvCnPr>
                                <a:cxnSpLocks noChangeAspect="1"/>
                              </wps:cNvCnPr>
                              <wps:spPr>
                                <a:xfrm>
                                  <a:off x="3971" y="3137"/>
                                  <a:ext cx="1077" cy="1"/>
                                </a:xfrm>
                                <a:prstGeom prst="line">
                                  <a:avLst/>
                                </a:prstGeom>
                                <a:ln w="12700" cap="flat" cmpd="sng">
                                  <a:solidFill>
                                    <a:srgbClr val="0000FF"/>
                                  </a:solidFill>
                                  <a:prstDash val="solid"/>
                                  <a:headEnd type="none" w="med" len="med"/>
                                  <a:tailEnd type="triangle" w="med" len="med"/>
                                </a:ln>
                              </wps:spPr>
                              <wps:bodyPr/>
                            </wps:wsp>
                            <wps:wsp>
                              <wps:cNvPr id="103" name="文本框 102"/>
                              <wps:cNvSpPr txBox="1"/>
                              <wps:spPr>
                                <a:xfrm>
                                  <a:off x="5011" y="2978"/>
                                  <a:ext cx="1068"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sz w:val="18"/>
                                        <w:szCs w:val="18"/>
                                      </w:rPr>
                                    </w:pPr>
                                    <w:r>
                                      <w:rPr>
                                        <w:rFonts w:hint="eastAsia"/>
                                        <w:sz w:val="18"/>
                                        <w:szCs w:val="18"/>
                                      </w:rPr>
                                      <w:t>生活用水</w:t>
                                    </w:r>
                                  </w:p>
                                </w:txbxContent>
                              </wps:txbx>
                              <wps:bodyPr upright="1"/>
                            </wps:wsp>
                            <wps:wsp>
                              <wps:cNvPr id="104" name="文本框 103"/>
                              <wps:cNvSpPr txBox="1"/>
                              <wps:spPr>
                                <a:xfrm>
                                  <a:off x="4196" y="2816"/>
                                  <a:ext cx="622" cy="49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eastAsia" w:ascii="Times New Roman" w:hAnsi="Times New Roman" w:eastAsia="宋体"/>
                                        <w:sz w:val="18"/>
                                        <w:szCs w:val="18"/>
                                      </w:rPr>
                                    </w:pPr>
                                    <w:r>
                                      <w:rPr>
                                        <w:rFonts w:hint="eastAsia" w:ascii="Times New Roman" w:hAnsi="Times New Roman" w:eastAsia="宋体"/>
                                        <w:sz w:val="18"/>
                                        <w:szCs w:val="18"/>
                                      </w:rPr>
                                      <w:t>1.2</w:t>
                                    </w:r>
                                  </w:p>
                                </w:txbxContent>
                              </wps:txbx>
                              <wps:bodyPr wrap="square" upright="1">
                                <a:noAutofit/>
                              </wps:bodyPr>
                            </wps:wsp>
                            <wps:wsp>
                              <wps:cNvPr id="105" name="直接箭头连接符 104"/>
                              <wps:cNvCnPr/>
                              <wps:spPr>
                                <a:xfrm flipV="1">
                                  <a:off x="5529" y="2764"/>
                                  <a:ext cx="227" cy="214"/>
                                </a:xfrm>
                                <a:prstGeom prst="straightConnector1">
                                  <a:avLst/>
                                </a:prstGeom>
                                <a:ln>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106" name="直接连接符 105"/>
                              <wps:cNvCnPr>
                                <a:cxnSpLocks noChangeAspect="1"/>
                              </wps:cNvCnPr>
                              <wps:spPr>
                                <a:xfrm>
                                  <a:off x="6103" y="3180"/>
                                  <a:ext cx="616" cy="1"/>
                                </a:xfrm>
                                <a:prstGeom prst="line">
                                  <a:avLst/>
                                </a:prstGeom>
                                <a:ln w="12700" cap="flat" cmpd="sng">
                                  <a:solidFill>
                                    <a:srgbClr val="000000"/>
                                  </a:solidFill>
                                  <a:prstDash val="solid"/>
                                  <a:headEnd type="none" w="med" len="med"/>
                                  <a:tailEnd type="triangle" w="med" len="med"/>
                                </a:ln>
                              </wps:spPr>
                              <wps:bodyPr/>
                            </wps:wsp>
                            <wps:wsp>
                              <wps:cNvPr id="107" name="文本框 106"/>
                              <wps:cNvSpPr txBox="1"/>
                              <wps:spPr>
                                <a:xfrm>
                                  <a:off x="6062" y="2826"/>
                                  <a:ext cx="884" cy="48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eastAsia" w:ascii="Times New Roman" w:hAnsi="Times New Roman" w:eastAsia="宋体"/>
                                        <w:sz w:val="18"/>
                                        <w:szCs w:val="18"/>
                                      </w:rPr>
                                    </w:pPr>
                                    <w:r>
                                      <w:rPr>
                                        <w:rFonts w:hint="eastAsia" w:ascii="Times New Roman" w:hAnsi="Times New Roman" w:eastAsia="宋体"/>
                                        <w:sz w:val="18"/>
                                        <w:szCs w:val="18"/>
                                      </w:rPr>
                                      <w:t>1.08</w:t>
                                    </w:r>
                                  </w:p>
                                </w:txbxContent>
                              </wps:txbx>
                              <wps:bodyPr wrap="square" upright="1">
                                <a:noAutofit/>
                              </wps:bodyPr>
                            </wps:wsp>
                            <wps:wsp>
                              <wps:cNvPr id="108" name="文本框 107"/>
                              <wps:cNvSpPr txBox="1"/>
                              <wps:spPr>
                                <a:xfrm>
                                  <a:off x="6736" y="2988"/>
                                  <a:ext cx="825"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eastAsia" w:ascii="Times New Roman" w:hAnsi="Times New Roman" w:eastAsia="宋体"/>
                                        <w:sz w:val="18"/>
                                        <w:szCs w:val="18"/>
                                      </w:rPr>
                                    </w:pPr>
                                    <w:r>
                                      <w:rPr>
                                        <w:rFonts w:hint="eastAsia" w:ascii="Times New Roman" w:hAnsi="Times New Roman" w:eastAsia="宋体"/>
                                        <w:sz w:val="18"/>
                                        <w:szCs w:val="18"/>
                                      </w:rPr>
                                      <w:t>化粪池</w:t>
                                    </w:r>
                                  </w:p>
                                </w:txbxContent>
                              </wps:txbx>
                              <wps:bodyPr upright="1"/>
                            </wps:wsp>
                            <wps:wsp>
                              <wps:cNvPr id="109" name="直接连接符 108"/>
                              <wps:cNvCnPr>
                                <a:cxnSpLocks noChangeAspect="1"/>
                              </wps:cNvCnPr>
                              <wps:spPr>
                                <a:xfrm>
                                  <a:off x="7584" y="3190"/>
                                  <a:ext cx="616" cy="1"/>
                                </a:xfrm>
                                <a:prstGeom prst="line">
                                  <a:avLst/>
                                </a:prstGeom>
                                <a:ln w="12700" cap="flat" cmpd="sng">
                                  <a:solidFill>
                                    <a:srgbClr val="000000"/>
                                  </a:solidFill>
                                  <a:prstDash val="solid"/>
                                  <a:headEnd type="none" w="med" len="med"/>
                                  <a:tailEnd type="triangle" w="med" len="med"/>
                                </a:ln>
                              </wps:spPr>
                              <wps:bodyPr/>
                            </wps:wsp>
                            <wps:wsp>
                              <wps:cNvPr id="110" name="文本框 109"/>
                              <wps:cNvSpPr txBox="1"/>
                              <wps:spPr>
                                <a:xfrm>
                                  <a:off x="7515" y="2873"/>
                                  <a:ext cx="884" cy="48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eastAsia" w:ascii="Times New Roman" w:hAnsi="Times New Roman" w:eastAsia="宋体"/>
                                        <w:sz w:val="18"/>
                                        <w:szCs w:val="18"/>
                                      </w:rPr>
                                    </w:pPr>
                                    <w:r>
                                      <w:rPr>
                                        <w:rFonts w:hint="eastAsia" w:ascii="Times New Roman" w:hAnsi="Times New Roman" w:eastAsia="宋体"/>
                                        <w:sz w:val="18"/>
                                        <w:szCs w:val="18"/>
                                      </w:rPr>
                                      <w:t>1.08</w:t>
                                    </w:r>
                                  </w:p>
                                </w:txbxContent>
                              </wps:txbx>
                              <wps:bodyPr wrap="square" upright="1">
                                <a:noAutofit/>
                              </wps:bodyPr>
                            </wps:wsp>
                            <wps:wsp>
                              <wps:cNvPr id="111" name="文本框 110"/>
                              <wps:cNvSpPr txBox="1"/>
                              <wps:spPr>
                                <a:xfrm>
                                  <a:off x="8092" y="2970"/>
                                  <a:ext cx="1211" cy="429"/>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rPr>
                                      <w:t>做农肥利用</w:t>
                                    </w:r>
                                  </w:p>
                                </w:txbxContent>
                              </wps:txbx>
                              <wps:bodyPr wrap="square" upright="1">
                                <a:noAutofit/>
                              </wps:bodyPr>
                            </wps:wsp>
                            <wps:wsp>
                              <wps:cNvPr id="143" name="文本框 111"/>
                              <wps:cNvSpPr txBox="1"/>
                              <wps:spPr>
                                <a:xfrm>
                                  <a:off x="5111" y="2391"/>
                                  <a:ext cx="1521" cy="488"/>
                                </a:xfrm>
                                <a:prstGeom prst="rect">
                                  <a:avLst/>
                                </a:prstGeom>
                                <a:noFill/>
                                <a:ln>
                                  <a:noFill/>
                                </a:ln>
                              </wps:spPr>
                              <wps:txbx>
                                <w:txbxContent>
                                  <w:p>
                                    <w:pPr>
                                      <w:rPr>
                                        <w:sz w:val="18"/>
                                        <w:szCs w:val="18"/>
                                      </w:rPr>
                                    </w:pPr>
                                    <w:r>
                                      <w:rPr>
                                        <w:sz w:val="18"/>
                                        <w:szCs w:val="18"/>
                                      </w:rPr>
                                      <w:t>蒸发、损耗</w:t>
                                    </w:r>
                                    <w:r>
                                      <w:rPr>
                                        <w:rFonts w:hint="eastAsia"/>
                                        <w:sz w:val="18"/>
                                        <w:szCs w:val="18"/>
                                      </w:rPr>
                                      <w:t>0.12</w:t>
                                    </w:r>
                                  </w:p>
                                </w:txbxContent>
                              </wps:txbx>
                              <wps:bodyPr wrap="square" upright="1">
                                <a:noAutofit/>
                              </wps:bodyPr>
                            </wps:wsp>
                            <wpg:grpSp>
                              <wpg:cNvPr id="144" name="组合 19"/>
                              <wpg:cNvGrpSpPr/>
                              <wpg:grpSpPr>
                                <a:xfrm>
                                  <a:off x="2993" y="5657"/>
                                  <a:ext cx="6575" cy="3817"/>
                                  <a:chOff x="2855" y="5638"/>
                                  <a:chExt cx="6575" cy="3817"/>
                                </a:xfrm>
                              </wpg:grpSpPr>
                              <wps:wsp>
                                <wps:cNvPr id="56" name="文本框 43"/>
                                <wps:cNvSpPr txBox="1"/>
                                <wps:spPr>
                                  <a:xfrm>
                                    <a:off x="3511" y="6780"/>
                                    <a:ext cx="1213" cy="668"/>
                                  </a:xfrm>
                                  <a:prstGeom prst="rect">
                                    <a:avLst/>
                                  </a:prstGeom>
                                  <a:noFill/>
                                  <a:ln>
                                    <a:noFill/>
                                  </a:ln>
                                </wps:spPr>
                                <wps:txbx>
                                  <w:txbxContent>
                                    <w:p>
                                      <w:pPr>
                                        <w:spacing w:line="240" w:lineRule="exact"/>
                                        <w:jc w:val="center"/>
                                        <w:rPr>
                                          <w:rFonts w:hint="default" w:eastAsia="宋体"/>
                                          <w:sz w:val="18"/>
                                          <w:szCs w:val="18"/>
                                          <w:lang w:val="en-US" w:eastAsia="zh-CN"/>
                                        </w:rPr>
                                      </w:pPr>
                                      <w:r>
                                        <w:rPr>
                                          <w:rFonts w:hint="eastAsia"/>
                                          <w:sz w:val="18"/>
                                          <w:szCs w:val="18"/>
                                          <w:lang w:val="en-US" w:eastAsia="zh-CN"/>
                                        </w:rPr>
                                        <w:t>干化</w:t>
                                      </w:r>
                                      <w:r>
                                        <w:rPr>
                                          <w:rFonts w:hint="eastAsia"/>
                                          <w:sz w:val="18"/>
                                          <w:szCs w:val="18"/>
                                        </w:rPr>
                                        <w:t>泥饼含水</w:t>
                                      </w:r>
                                      <w:r>
                                        <w:rPr>
                                          <w:rFonts w:hint="eastAsia"/>
                                          <w:sz w:val="18"/>
                                          <w:szCs w:val="18"/>
                                          <w:lang w:val="en-US" w:eastAsia="zh-CN"/>
                                        </w:rPr>
                                        <w:t>115.16</w:t>
                                      </w:r>
                                    </w:p>
                                  </w:txbxContent>
                                </wps:txbx>
                                <wps:bodyPr wrap="square" upright="1">
                                  <a:noAutofit/>
                                </wps:bodyPr>
                              </wps:wsp>
                              <wpg:grpSp>
                                <wpg:cNvPr id="145" name="组合 18"/>
                                <wpg:cNvGrpSpPr/>
                                <wpg:grpSpPr>
                                  <a:xfrm>
                                    <a:off x="2855" y="5638"/>
                                    <a:ext cx="6575" cy="3817"/>
                                    <a:chOff x="2828" y="7694"/>
                                    <a:chExt cx="6575" cy="3817"/>
                                  </a:xfrm>
                                </wpg:grpSpPr>
                                <wps:wsp>
                                  <wps:cNvPr id="58" name="直接连接符 24"/>
                                  <wps:cNvCnPr>
                                    <a:cxnSpLocks noChangeAspect="1"/>
                                  </wps:cNvCnPr>
                                  <wps:spPr>
                                    <a:xfrm>
                                      <a:off x="3805" y="8373"/>
                                      <a:ext cx="1304" cy="2"/>
                                    </a:xfrm>
                                    <a:prstGeom prst="line">
                                      <a:avLst/>
                                    </a:prstGeom>
                                    <a:ln w="12700" cap="flat" cmpd="sng">
                                      <a:solidFill>
                                        <a:srgbClr val="0000FF"/>
                                      </a:solidFill>
                                      <a:prstDash val="solid"/>
                                      <a:headEnd type="none" w="med" len="med"/>
                                      <a:tailEnd type="triangle" w="med" len="med"/>
                                    </a:ln>
                                  </wps:spPr>
                                  <wps:bodyPr/>
                                </wps:wsp>
                                <wps:wsp>
                                  <wps:cNvPr id="59" name="文本框 26"/>
                                  <wps:cNvSpPr txBox="1"/>
                                  <wps:spPr>
                                    <a:xfrm>
                                      <a:off x="3873" y="8052"/>
                                      <a:ext cx="1470" cy="48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rPr>
                                          <w:t>冲水</w:t>
                                        </w:r>
                                        <w:r>
                                          <w:rPr>
                                            <w:rFonts w:hint="eastAsia" w:ascii="Times New Roman" w:hAnsi="Times New Roman" w:eastAsia="宋体"/>
                                            <w:sz w:val="18"/>
                                            <w:szCs w:val="18"/>
                                            <w:lang w:val="en-US" w:eastAsia="zh-CN"/>
                                          </w:rPr>
                                          <w:t>218.29</w:t>
                                        </w:r>
                                      </w:p>
                                    </w:txbxContent>
                                  </wps:txbx>
                                  <wps:bodyPr wrap="square" upright="1">
                                    <a:noAutofit/>
                                  </wps:bodyPr>
                                </wps:wsp>
                                <wps:wsp>
                                  <wps:cNvPr id="60" name="直接连接符 44"/>
                                  <wps:cNvCnPr>
                                    <a:cxnSpLocks noChangeAspect="1"/>
                                  </wps:cNvCnPr>
                                  <wps:spPr>
                                    <a:xfrm flipV="1">
                                      <a:off x="6575" y="8473"/>
                                      <a:ext cx="383" cy="2"/>
                                    </a:xfrm>
                                    <a:prstGeom prst="line">
                                      <a:avLst/>
                                    </a:prstGeom>
                                    <a:ln w="12700" cap="flat" cmpd="sng">
                                      <a:solidFill>
                                        <a:srgbClr val="000000"/>
                                      </a:solidFill>
                                      <a:prstDash val="solid"/>
                                      <a:headEnd type="none" w="med" len="med"/>
                                      <a:tailEnd type="triangle" w="med" len="med"/>
                                    </a:ln>
                                  </wps:spPr>
                                  <wps:bodyPr/>
                                </wps:wsp>
                                <wps:wsp>
                                  <wps:cNvPr id="70" name="文本框 70"/>
                                  <wps:cNvSpPr txBox="1"/>
                                  <wps:spPr>
                                    <a:xfrm>
                                      <a:off x="6895" y="8163"/>
                                      <a:ext cx="1145" cy="714"/>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产品带水528.91</w:t>
                                        </w:r>
                                      </w:p>
                                    </w:txbxContent>
                                  </wps:txbx>
                                  <wps:bodyPr wrap="square" upright="1">
                                    <a:noAutofit/>
                                  </wps:bodyPr>
                                </wps:wsp>
                                <wps:wsp>
                                  <wps:cNvPr id="177" name="文本框 177"/>
                                  <wps:cNvSpPr txBox="1"/>
                                  <wps:spPr>
                                    <a:xfrm>
                                      <a:off x="5255" y="9575"/>
                                      <a:ext cx="1413"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废水处理系统</w:t>
                                        </w:r>
                                      </w:p>
                                    </w:txbxContent>
                                  </wps:txbx>
                                  <wps:bodyPr upright="1"/>
                                </wps:wsp>
                                <wps:wsp>
                                  <wps:cNvPr id="180" name="文本框 180"/>
                                  <wps:cNvSpPr txBox="1"/>
                                  <wps:spPr>
                                    <a:xfrm>
                                      <a:off x="3451" y="9582"/>
                                      <a:ext cx="1154" cy="4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eastAsia" w:ascii="Times New Roman" w:hAnsi="Times New Roman" w:eastAsia="宋体"/>
                                            <w:sz w:val="18"/>
                                            <w:szCs w:val="18"/>
                                          </w:rPr>
                                        </w:pPr>
                                        <w:r>
                                          <w:rPr>
                                            <w:rFonts w:hint="eastAsia" w:ascii="Times New Roman" w:hAnsi="Times New Roman" w:eastAsia="宋体"/>
                                            <w:sz w:val="18"/>
                                            <w:szCs w:val="18"/>
                                          </w:rPr>
                                          <w:t>板框压滤机</w:t>
                                        </w:r>
                                      </w:p>
                                    </w:txbxContent>
                                  </wps:txbx>
                                  <wps:bodyPr wrap="square" upright="1">
                                    <a:noAutofit/>
                                  </wps:bodyPr>
                                </wps:wsp>
                                <wps:wsp>
                                  <wps:cNvPr id="181" name="文本框 181"/>
                                  <wps:cNvSpPr txBox="1"/>
                                  <wps:spPr>
                                    <a:xfrm>
                                      <a:off x="4577" y="9231"/>
                                      <a:ext cx="1050" cy="57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20" w:lineRule="exact"/>
                                          <w:textAlignment w:val="auto"/>
                                          <w:rPr>
                                            <w:rFonts w:hint="eastAsia"/>
                                            <w:sz w:val="18"/>
                                            <w:szCs w:val="18"/>
                                            <w:lang w:val="en-US" w:eastAsia="zh-CN"/>
                                          </w:rPr>
                                        </w:pPr>
                                        <w:r>
                                          <w:rPr>
                                            <w:rFonts w:hint="eastAsia"/>
                                            <w:sz w:val="18"/>
                                            <w:szCs w:val="18"/>
                                            <w:lang w:val="en-US" w:eastAsia="zh-CN"/>
                                          </w:rPr>
                                          <w:t>沉淀泥沙</w:t>
                                        </w:r>
                                      </w:p>
                                      <w:p>
                                        <w:pPr>
                                          <w:keepNext w:val="0"/>
                                          <w:keepLines w:val="0"/>
                                          <w:pageBreakBefore w:val="0"/>
                                          <w:widowControl w:val="0"/>
                                          <w:kinsoku/>
                                          <w:wordWrap/>
                                          <w:overflowPunct/>
                                          <w:topLinePunct w:val="0"/>
                                          <w:bidi w:val="0"/>
                                          <w:adjustRightInd/>
                                          <w:snapToGrid/>
                                          <w:spacing w:line="220" w:lineRule="exact"/>
                                          <w:ind w:firstLine="180" w:firstLineChars="100"/>
                                          <w:textAlignment w:val="auto"/>
                                          <w:rPr>
                                            <w:rFonts w:hint="default"/>
                                            <w:sz w:val="18"/>
                                            <w:szCs w:val="18"/>
                                            <w:lang w:val="en-US" w:eastAsia="zh-CN"/>
                                          </w:rPr>
                                        </w:pPr>
                                        <w:r>
                                          <w:rPr>
                                            <w:rFonts w:hint="eastAsia"/>
                                            <w:sz w:val="18"/>
                                            <w:szCs w:val="18"/>
                                            <w:lang w:val="en-US" w:eastAsia="zh-CN"/>
                                          </w:rPr>
                                          <w:t>691</w:t>
                                        </w:r>
                                      </w:p>
                                    </w:txbxContent>
                                  </wps:txbx>
                                  <wps:bodyPr wrap="square" upright="1">
                                    <a:noAutofit/>
                                  </wps:bodyPr>
                                </wps:wsp>
                                <wps:wsp>
                                  <wps:cNvPr id="182" name="直接连接符 182"/>
                                  <wps:cNvCnPr>
                                    <a:cxnSpLocks noChangeAspect="1"/>
                                  </wps:cNvCnPr>
                                  <wps:spPr>
                                    <a:xfrm>
                                      <a:off x="3203" y="11340"/>
                                      <a:ext cx="2214" cy="0"/>
                                    </a:xfrm>
                                    <a:prstGeom prst="line">
                                      <a:avLst/>
                                    </a:prstGeom>
                                    <a:ln w="12700" cap="flat" cmpd="sng">
                                      <a:solidFill>
                                        <a:srgbClr val="000000"/>
                                      </a:solidFill>
                                      <a:prstDash val="solid"/>
                                      <a:headEnd type="none" w="med" len="med"/>
                                      <a:tailEnd type="none" w="med" len="med"/>
                                    </a:ln>
                                  </wps:spPr>
                                  <wps:bodyPr/>
                                </wps:wsp>
                                <wps:wsp>
                                  <wps:cNvPr id="183" name="直接连接符 183"/>
                                  <wps:cNvCnPr>
                                    <a:cxnSpLocks noChangeAspect="1"/>
                                  </wps:cNvCnPr>
                                  <wps:spPr>
                                    <a:xfrm>
                                      <a:off x="6667" y="9774"/>
                                      <a:ext cx="2154" cy="1"/>
                                    </a:xfrm>
                                    <a:prstGeom prst="line">
                                      <a:avLst/>
                                    </a:prstGeom>
                                    <a:ln w="12700" cap="flat" cmpd="sng">
                                      <a:solidFill>
                                        <a:srgbClr val="000000"/>
                                      </a:solidFill>
                                      <a:prstDash val="solid"/>
                                      <a:headEnd type="triangle" w="med" len="med"/>
                                      <a:tailEnd type="none" w="med" len="med"/>
                                    </a:ln>
                                  </wps:spPr>
                                  <wps:bodyPr/>
                                </wps:wsp>
                                <wps:wsp>
                                  <wps:cNvPr id="184" name="文本框 184"/>
                                  <wps:cNvSpPr txBox="1"/>
                                  <wps:spPr>
                                    <a:xfrm>
                                      <a:off x="8253" y="8131"/>
                                      <a:ext cx="1150" cy="63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eastAsia"/>
                                            <w:sz w:val="18"/>
                                            <w:szCs w:val="18"/>
                                            <w:lang w:val="en-US" w:eastAsia="zh-CN"/>
                                          </w:rPr>
                                        </w:pPr>
                                        <w:r>
                                          <w:rPr>
                                            <w:rFonts w:hint="eastAsia"/>
                                            <w:sz w:val="18"/>
                                            <w:szCs w:val="18"/>
                                            <w:lang w:val="en-US" w:eastAsia="zh-CN"/>
                                          </w:rPr>
                                          <w:t>产品渗沥</w:t>
                                        </w:r>
                                      </w:p>
                                      <w:p>
                                        <w:pPr>
                                          <w:keepNext w:val="0"/>
                                          <w:keepLines w:val="0"/>
                                          <w:pageBreakBefore w:val="0"/>
                                          <w:widowControl w:val="0"/>
                                          <w:kinsoku/>
                                          <w:wordWrap/>
                                          <w:overflowPunct/>
                                          <w:topLinePunct w:val="0"/>
                                          <w:bidi w:val="0"/>
                                          <w:adjustRightInd/>
                                          <w:snapToGrid/>
                                          <w:spacing w:line="240" w:lineRule="exact"/>
                                          <w:textAlignment w:val="auto"/>
                                          <w:rPr>
                                            <w:rFonts w:hint="default" w:eastAsia="宋体"/>
                                            <w:sz w:val="18"/>
                                            <w:szCs w:val="18"/>
                                            <w:lang w:val="en-US" w:eastAsia="zh-CN"/>
                                          </w:rPr>
                                        </w:pPr>
                                        <w:r>
                                          <w:rPr>
                                            <w:rFonts w:hint="eastAsia"/>
                                            <w:sz w:val="18"/>
                                            <w:szCs w:val="18"/>
                                            <w:lang w:val="en-US" w:eastAsia="zh-CN"/>
                                          </w:rPr>
                                          <w:t>水425.78</w:t>
                                        </w:r>
                                      </w:p>
                                    </w:txbxContent>
                                  </wps:txbx>
                                  <wps:bodyPr wrap="square" upright="1">
                                    <a:noAutofit/>
                                  </wps:bodyPr>
                                </wps:wsp>
                                <wps:wsp>
                                  <wps:cNvPr id="187" name="直接连接符 187"/>
                                  <wps:cNvCnPr>
                                    <a:cxnSpLocks noChangeAspect="1"/>
                                  </wps:cNvCnPr>
                                  <wps:spPr>
                                    <a:xfrm flipH="1" flipV="1">
                                      <a:off x="8838" y="8715"/>
                                      <a:ext cx="6" cy="1077"/>
                                    </a:xfrm>
                                    <a:prstGeom prst="line">
                                      <a:avLst/>
                                    </a:prstGeom>
                                    <a:ln w="12700" cap="flat" cmpd="sng">
                                      <a:solidFill>
                                        <a:srgbClr val="000000"/>
                                      </a:solidFill>
                                      <a:prstDash val="solid"/>
                                      <a:headEnd type="none" w="med" len="med"/>
                                      <a:tailEnd type="none" w="med" len="med"/>
                                    </a:ln>
                                  </wps:spPr>
                                  <wps:bodyPr/>
                                </wps:wsp>
                                <wps:wsp>
                                  <wps:cNvPr id="192" name="文本框 192"/>
                                  <wps:cNvSpPr txBox="1"/>
                                  <wps:spPr>
                                    <a:xfrm>
                                      <a:off x="5330" y="11131"/>
                                      <a:ext cx="1499" cy="38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回用水3620.57</w:t>
                                        </w:r>
                                      </w:p>
                                    </w:txbxContent>
                                  </wps:txbx>
                                  <wps:bodyPr wrap="square" upright="1">
                                    <a:noAutofit/>
                                  </wps:bodyPr>
                                </wps:wsp>
                                <wps:wsp>
                                  <wps:cNvPr id="193" name="直接连接符 193"/>
                                  <wps:cNvCnPr>
                                    <a:cxnSpLocks noChangeAspect="1"/>
                                  </wps:cNvCnPr>
                                  <wps:spPr>
                                    <a:xfrm flipV="1">
                                      <a:off x="5918" y="9984"/>
                                      <a:ext cx="2" cy="454"/>
                                    </a:xfrm>
                                    <a:prstGeom prst="line">
                                      <a:avLst/>
                                    </a:prstGeom>
                                    <a:ln w="12700" cap="flat" cmpd="sng">
                                      <a:solidFill>
                                        <a:srgbClr val="000000"/>
                                      </a:solidFill>
                                      <a:prstDash val="solid"/>
                                      <a:headEnd type="triangle" w="med" len="med"/>
                                      <a:tailEnd type="none" w="med" len="med"/>
                                    </a:ln>
                                  </wps:spPr>
                                  <wps:bodyPr/>
                                </wps:wsp>
                                <wps:wsp>
                                  <wps:cNvPr id="61" name="文本框 30"/>
                                  <wps:cNvSpPr txBox="1"/>
                                  <wps:spPr>
                                    <a:xfrm>
                                      <a:off x="5093" y="8275"/>
                                      <a:ext cx="1473"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水洗制砂生产线</w:t>
                                        </w:r>
                                      </w:p>
                                    </w:txbxContent>
                                  </wps:txbx>
                                  <wps:bodyPr upright="1"/>
                                </wps:wsp>
                                <wps:wsp>
                                  <wps:cNvPr id="73" name="直接连接符 73"/>
                                  <wps:cNvCnPr>
                                    <a:cxnSpLocks noChangeAspect="1"/>
                                  </wps:cNvCnPr>
                                  <wps:spPr>
                                    <a:xfrm>
                                      <a:off x="7899" y="8487"/>
                                      <a:ext cx="436" cy="0"/>
                                    </a:xfrm>
                                    <a:prstGeom prst="line">
                                      <a:avLst/>
                                    </a:prstGeom>
                                    <a:ln w="12700" cap="flat" cmpd="sng">
                                      <a:solidFill>
                                        <a:srgbClr val="000000"/>
                                      </a:solidFill>
                                      <a:prstDash val="solid"/>
                                      <a:headEnd type="none" w="med" len="med"/>
                                      <a:tailEnd type="triangle" w="med" len="med"/>
                                    </a:ln>
                                  </wps:spPr>
                                  <wps:bodyPr/>
                                </wps:wsp>
                                <wps:wsp>
                                  <wps:cNvPr id="82" name="文本框 82"/>
                                  <wps:cNvSpPr txBox="1"/>
                                  <wps:spPr>
                                    <a:xfrm>
                                      <a:off x="6453" y="7694"/>
                                      <a:ext cx="2012" cy="463"/>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default" w:eastAsia="宋体"/>
                                            <w:sz w:val="18"/>
                                            <w:szCs w:val="18"/>
                                            <w:lang w:val="en-US" w:eastAsia="zh-CN"/>
                                          </w:rPr>
                                        </w:pPr>
                                        <w:r>
                                          <w:rPr>
                                            <w:rFonts w:hint="eastAsia"/>
                                            <w:sz w:val="18"/>
                                            <w:szCs w:val="18"/>
                                            <w:lang w:val="en-US" w:eastAsia="zh-CN"/>
                                          </w:rPr>
                                          <w:t>外售产品带走103.13</w:t>
                                        </w:r>
                                      </w:p>
                                    </w:txbxContent>
                                  </wps:txbx>
                                  <wps:bodyPr wrap="square" upright="1">
                                    <a:noAutofit/>
                                  </wps:bodyPr>
                                </wps:wsp>
                                <wps:wsp>
                                  <wps:cNvPr id="85" name="直接连接符 85"/>
                                  <wps:cNvCnPr>
                                    <a:cxnSpLocks noChangeAspect="1"/>
                                  </wps:cNvCnPr>
                                  <wps:spPr>
                                    <a:xfrm flipV="1">
                                      <a:off x="7469" y="8004"/>
                                      <a:ext cx="2" cy="227"/>
                                    </a:xfrm>
                                    <a:prstGeom prst="line">
                                      <a:avLst/>
                                    </a:prstGeom>
                                    <a:ln w="12700" cap="flat" cmpd="sng">
                                      <a:solidFill>
                                        <a:srgbClr val="000000"/>
                                      </a:solidFill>
                                      <a:prstDash val="solid"/>
                                      <a:headEnd type="none" w="med" len="med"/>
                                      <a:tailEnd type="triangle" w="med" len="med"/>
                                    </a:ln>
                                  </wps:spPr>
                                  <wps:bodyPr/>
                                </wps:wsp>
                                <wps:wsp>
                                  <wps:cNvPr id="87" name="直接连接符 87"/>
                                  <wps:cNvCnPr>
                                    <a:cxnSpLocks noChangeAspect="1"/>
                                  </wps:cNvCnPr>
                                  <wps:spPr>
                                    <a:xfrm flipV="1">
                                      <a:off x="5873" y="8687"/>
                                      <a:ext cx="6" cy="907"/>
                                    </a:xfrm>
                                    <a:prstGeom prst="line">
                                      <a:avLst/>
                                    </a:prstGeom>
                                    <a:ln w="12700" cap="flat" cmpd="sng">
                                      <a:solidFill>
                                        <a:srgbClr val="000000"/>
                                      </a:solidFill>
                                      <a:prstDash val="solid"/>
                                      <a:headEnd type="triangle" w="med" len="med"/>
                                      <a:tailEnd type="none" w="med" len="med"/>
                                    </a:ln>
                                  </wps:spPr>
                                  <wps:bodyPr/>
                                </wps:wsp>
                                <wps:wsp>
                                  <wps:cNvPr id="169" name="文本框 169"/>
                                  <wps:cNvSpPr txBox="1"/>
                                  <wps:spPr>
                                    <a:xfrm>
                                      <a:off x="5333" y="8828"/>
                                      <a:ext cx="1495" cy="488"/>
                                    </a:xfrm>
                                    <a:prstGeom prst="rect">
                                      <a:avLst/>
                                    </a:prstGeom>
                                    <a:noFill/>
                                    <a:ln>
                                      <a:noFill/>
                                    </a:ln>
                                  </wps:spPr>
                                  <wps:txbx>
                                    <w:txbxContent>
                                      <w:p>
                                        <w:pPr>
                                          <w:rPr>
                                            <w:rFonts w:hint="default" w:eastAsia="宋体"/>
                                            <w:sz w:val="18"/>
                                            <w:szCs w:val="18"/>
                                            <w:lang w:val="en-US" w:eastAsia="zh-CN"/>
                                          </w:rPr>
                                        </w:pPr>
                                        <w:r>
                                          <w:rPr>
                                            <w:rFonts w:hint="eastAsia"/>
                                            <w:sz w:val="18"/>
                                            <w:szCs w:val="18"/>
                                            <w:lang w:val="en-US" w:eastAsia="zh-CN"/>
                                          </w:rPr>
                                          <w:t>废水</w:t>
                                        </w:r>
                                        <w:r>
                                          <w:rPr>
                                            <w:rFonts w:hint="default" w:ascii="Times New Roman" w:hAnsi="Times New Roman" w:eastAsia="宋体" w:cs="Times New Roman"/>
                                            <w:b w:val="0"/>
                                            <w:bCs w:val="0"/>
                                            <w:color w:val="auto"/>
                                            <w:kern w:val="0"/>
                                            <w:sz w:val="18"/>
                                            <w:szCs w:val="18"/>
                                            <w:lang w:val="en-US" w:eastAsia="zh-CN" w:bidi="ar"/>
                                          </w:rPr>
                                          <w:t>3</w:t>
                                        </w:r>
                                        <w:r>
                                          <w:rPr>
                                            <w:rFonts w:hint="eastAsia" w:cs="Times New Roman"/>
                                            <w:b w:val="0"/>
                                            <w:bCs w:val="0"/>
                                            <w:color w:val="auto"/>
                                            <w:kern w:val="0"/>
                                            <w:sz w:val="18"/>
                                            <w:szCs w:val="18"/>
                                            <w:lang w:val="en-US" w:eastAsia="zh-CN" w:bidi="ar"/>
                                          </w:rPr>
                                          <w:t>309.95</w:t>
                                        </w:r>
                                      </w:p>
                                    </w:txbxContent>
                                  </wps:txbx>
                                  <wps:bodyPr wrap="square" upright="1">
                                    <a:noAutofit/>
                                  </wps:bodyPr>
                                </wps:wsp>
                                <wps:wsp>
                                  <wps:cNvPr id="170" name="文本框 170"/>
                                  <wps:cNvSpPr txBox="1"/>
                                  <wps:spPr>
                                    <a:xfrm>
                                      <a:off x="6973" y="9441"/>
                                      <a:ext cx="1848" cy="347"/>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exact"/>
                                          <w:textAlignment w:val="auto"/>
                                          <w:rPr>
                                            <w:rFonts w:hint="default" w:eastAsia="宋体"/>
                                            <w:sz w:val="18"/>
                                            <w:szCs w:val="18"/>
                                            <w:lang w:val="en-US" w:eastAsia="zh-CN"/>
                                          </w:rPr>
                                        </w:pPr>
                                        <w:r>
                                          <w:rPr>
                                            <w:rFonts w:hint="eastAsia"/>
                                            <w:sz w:val="18"/>
                                            <w:szCs w:val="18"/>
                                            <w:lang w:val="en-US" w:eastAsia="zh-CN"/>
                                          </w:rPr>
                                          <w:t>产品渗沥水425.78</w:t>
                                        </w:r>
                                      </w:p>
                                    </w:txbxContent>
                                  </wps:txbx>
                                  <wps:bodyPr wrap="square" upright="1">
                                    <a:noAutofit/>
                                  </wps:bodyPr>
                                </wps:wsp>
                                <wps:wsp>
                                  <wps:cNvPr id="171" name="直接连接符 171"/>
                                  <wps:cNvCnPr>
                                    <a:cxnSpLocks noChangeAspect="1"/>
                                  </wps:cNvCnPr>
                                  <wps:spPr>
                                    <a:xfrm>
                                      <a:off x="4607" y="9786"/>
                                      <a:ext cx="642" cy="2"/>
                                    </a:xfrm>
                                    <a:prstGeom prst="line">
                                      <a:avLst/>
                                    </a:prstGeom>
                                    <a:ln w="12700" cap="flat" cmpd="sng">
                                      <a:solidFill>
                                        <a:srgbClr val="000000"/>
                                      </a:solidFill>
                                      <a:prstDash val="solid"/>
                                      <a:headEnd type="triangle" w="med" len="med"/>
                                      <a:tailEnd type="none" w="med" len="med"/>
                                    </a:ln>
                                  </wps:spPr>
                                  <wps:bodyPr/>
                                </wps:wsp>
                                <wps:wsp>
                                  <wps:cNvPr id="62" name="文本框 7"/>
                                  <wps:cNvSpPr txBox="1"/>
                                  <wps:spPr>
                                    <a:xfrm>
                                      <a:off x="5283" y="10439"/>
                                      <a:ext cx="1413" cy="4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清水池</w:t>
                                        </w:r>
                                      </w:p>
                                    </w:txbxContent>
                                  </wps:txbx>
                                  <wps:bodyPr upright="1"/>
                                </wps:wsp>
                                <wps:wsp>
                                  <wps:cNvPr id="63" name="直接连接符 9"/>
                                  <wps:cNvCnPr>
                                    <a:cxnSpLocks noChangeAspect="1"/>
                                  </wps:cNvCnPr>
                                  <wps:spPr>
                                    <a:xfrm flipV="1">
                                      <a:off x="4026" y="9996"/>
                                      <a:ext cx="6" cy="624"/>
                                    </a:xfrm>
                                    <a:prstGeom prst="line">
                                      <a:avLst/>
                                    </a:prstGeom>
                                    <a:ln w="12700" cap="flat" cmpd="sng">
                                      <a:solidFill>
                                        <a:srgbClr val="000000"/>
                                      </a:solidFill>
                                      <a:prstDash val="solid"/>
                                      <a:headEnd type="none" w="med" len="med"/>
                                      <a:tailEnd type="none" w="med" len="med"/>
                                    </a:ln>
                                  </wps:spPr>
                                  <wps:bodyPr/>
                                </wps:wsp>
                                <wps:wsp>
                                  <wps:cNvPr id="64" name="直接连接符 14"/>
                                  <wps:cNvCnPr>
                                    <a:cxnSpLocks noChangeAspect="1"/>
                                  </wps:cNvCnPr>
                                  <wps:spPr>
                                    <a:xfrm>
                                      <a:off x="4011" y="10642"/>
                                      <a:ext cx="1268" cy="0"/>
                                    </a:xfrm>
                                    <a:prstGeom prst="line">
                                      <a:avLst/>
                                    </a:prstGeom>
                                    <a:ln w="12700" cap="flat" cmpd="sng">
                                      <a:solidFill>
                                        <a:srgbClr val="000000"/>
                                      </a:solidFill>
                                      <a:prstDash val="solid"/>
                                      <a:headEnd type="none" w="med" len="med"/>
                                      <a:tailEnd type="triangle" w="med" len="med"/>
                                    </a:ln>
                                  </wps:spPr>
                                  <wps:bodyPr/>
                                </wps:wsp>
                                <wps:wsp>
                                  <wps:cNvPr id="65" name="文本框 15"/>
                                  <wps:cNvSpPr txBox="1"/>
                                  <wps:spPr>
                                    <a:xfrm>
                                      <a:off x="3911" y="10272"/>
                                      <a:ext cx="1495" cy="488"/>
                                    </a:xfrm>
                                    <a:prstGeom prst="rect">
                                      <a:avLst/>
                                    </a:prstGeom>
                                    <a:noFill/>
                                    <a:ln>
                                      <a:noFill/>
                                    </a:ln>
                                  </wps:spPr>
                                  <wps:txbx>
                                    <w:txbxContent>
                                      <w:p>
                                        <w:pPr>
                                          <w:rPr>
                                            <w:rFonts w:hint="default" w:eastAsia="宋体"/>
                                            <w:color w:val="auto"/>
                                            <w:sz w:val="18"/>
                                            <w:szCs w:val="18"/>
                                            <w:lang w:val="en-US" w:eastAsia="zh-CN"/>
                                          </w:rPr>
                                        </w:pPr>
                                        <w:r>
                                          <w:rPr>
                                            <w:rFonts w:hint="eastAsia"/>
                                            <w:sz w:val="18"/>
                                            <w:szCs w:val="18"/>
                                            <w:lang w:val="en-US" w:eastAsia="zh-CN"/>
                                          </w:rPr>
                                          <w:t>压滤水</w:t>
                                        </w:r>
                                        <w:r>
                                          <w:rPr>
                                            <w:rFonts w:hint="eastAsia" w:cs="Times New Roman"/>
                                            <w:b w:val="0"/>
                                            <w:bCs w:val="0"/>
                                            <w:color w:val="auto"/>
                                            <w:kern w:val="0"/>
                                            <w:sz w:val="18"/>
                                            <w:szCs w:val="18"/>
                                            <w:lang w:val="en-US" w:eastAsia="zh-CN" w:bidi="ar"/>
                                          </w:rPr>
                                          <w:t>575.84</w:t>
                                        </w:r>
                                      </w:p>
                                    </w:txbxContent>
                                  </wps:txbx>
                                  <wps:bodyPr wrap="square" upright="1">
                                    <a:noAutofit/>
                                  </wps:bodyPr>
                                </wps:wsp>
                                <wps:wsp>
                                  <wps:cNvPr id="66" name="文本框 16"/>
                                  <wps:cNvSpPr txBox="1"/>
                                  <wps:spPr>
                                    <a:xfrm>
                                      <a:off x="5389" y="9943"/>
                                      <a:ext cx="1605" cy="488"/>
                                    </a:xfrm>
                                    <a:prstGeom prst="rect">
                                      <a:avLst/>
                                    </a:prstGeom>
                                    <a:noFill/>
                                    <a:ln>
                                      <a:noFill/>
                                    </a:ln>
                                  </wps:spPr>
                                  <wps:txbx>
                                    <w:txbxContent>
                                      <w:p>
                                        <w:pPr>
                                          <w:rPr>
                                            <w:rFonts w:hint="default" w:eastAsia="宋体"/>
                                            <w:sz w:val="18"/>
                                            <w:szCs w:val="18"/>
                                            <w:lang w:val="en-US" w:eastAsia="zh-CN"/>
                                          </w:rPr>
                                        </w:pPr>
                                        <w:r>
                                          <w:rPr>
                                            <w:rFonts w:hint="eastAsia"/>
                                            <w:sz w:val="18"/>
                                            <w:szCs w:val="18"/>
                                            <w:lang w:val="en-US" w:eastAsia="zh-CN"/>
                                          </w:rPr>
                                          <w:t>回用水</w:t>
                                        </w:r>
                                        <w:r>
                                          <w:rPr>
                                            <w:rFonts w:hint="eastAsia" w:cs="Times New Roman"/>
                                            <w:b w:val="0"/>
                                            <w:bCs w:val="0"/>
                                            <w:color w:val="auto"/>
                                            <w:kern w:val="0"/>
                                            <w:sz w:val="18"/>
                                            <w:szCs w:val="18"/>
                                            <w:lang w:val="en-US" w:eastAsia="zh-CN" w:bidi="ar"/>
                                          </w:rPr>
                                          <w:t>3044.73</w:t>
                                        </w:r>
                                      </w:p>
                                    </w:txbxContent>
                                  </wps:txbx>
                                  <wps:bodyPr wrap="square" upright="1">
                                    <a:noAutofit/>
                                  </wps:bodyPr>
                                </wps:wsp>
                                <wps:wsp>
                                  <wps:cNvPr id="67" name="直接连接符 17"/>
                                  <wps:cNvCnPr>
                                    <a:cxnSpLocks noChangeAspect="1"/>
                                  </wps:cNvCnPr>
                                  <wps:spPr>
                                    <a:xfrm flipV="1">
                                      <a:off x="5949" y="10885"/>
                                      <a:ext cx="2" cy="316"/>
                                    </a:xfrm>
                                    <a:prstGeom prst="line">
                                      <a:avLst/>
                                    </a:prstGeom>
                                    <a:ln w="12700" cap="flat" cmpd="sng">
                                      <a:solidFill>
                                        <a:srgbClr val="000000"/>
                                      </a:solidFill>
                                      <a:prstDash val="solid"/>
                                      <a:headEnd type="triangle" w="med" len="med"/>
                                      <a:tailEnd type="none" w="med" len="med"/>
                                    </a:ln>
                                  </wps:spPr>
                                  <wps:bodyPr/>
                                </wps:wsp>
                                <wps:wsp>
                                  <wps:cNvPr id="146" name="直接连接符 143"/>
                                  <wps:cNvCnPr>
                                    <a:cxnSpLocks noChangeAspect="1"/>
                                  </wps:cNvCnPr>
                                  <wps:spPr>
                                    <a:xfrm flipV="1">
                                      <a:off x="3217" y="8607"/>
                                      <a:ext cx="19" cy="2740"/>
                                    </a:xfrm>
                                    <a:prstGeom prst="line">
                                      <a:avLst/>
                                    </a:prstGeom>
                                    <a:ln w="12700" cap="flat" cmpd="sng">
                                      <a:solidFill>
                                        <a:srgbClr val="000000"/>
                                      </a:solidFill>
                                      <a:prstDash val="solid"/>
                                      <a:headEnd type="none" w="med" len="med"/>
                                      <a:tailEnd type="none" w="med" len="med"/>
                                    </a:ln>
                                  </wps:spPr>
                                  <wps:bodyPr/>
                                </wps:wsp>
                                <wps:wsp>
                                  <wps:cNvPr id="147" name="直接连接符 144"/>
                                  <wps:cNvCnPr>
                                    <a:cxnSpLocks noChangeAspect="1"/>
                                  </wps:cNvCnPr>
                                  <wps:spPr>
                                    <a:xfrm>
                                      <a:off x="3227" y="8601"/>
                                      <a:ext cx="1888" cy="0"/>
                                    </a:xfrm>
                                    <a:prstGeom prst="line">
                                      <a:avLst/>
                                    </a:prstGeom>
                                    <a:ln w="12700" cap="flat" cmpd="sng">
                                      <a:solidFill>
                                        <a:srgbClr val="000000"/>
                                      </a:solidFill>
                                      <a:prstDash val="solid"/>
                                      <a:headEnd type="none" w="med" len="med"/>
                                      <a:tailEnd type="triangle" w="med" len="med"/>
                                    </a:ln>
                                  </wps:spPr>
                                  <wps:bodyPr/>
                                </wps:wsp>
                                <wps:wsp>
                                  <wps:cNvPr id="148" name="文本框 145"/>
                                  <wps:cNvSpPr txBox="1"/>
                                  <wps:spPr>
                                    <a:xfrm>
                                      <a:off x="2828" y="8299"/>
                                      <a:ext cx="1499" cy="38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3620.57</w:t>
                                        </w:r>
                                      </w:p>
                                    </w:txbxContent>
                                  </wps:txbx>
                                  <wps:bodyPr wrap="square" upright="1">
                                    <a:noAutofit/>
                                  </wps:bodyPr>
                                </wps:wsp>
                                <wps:wsp>
                                  <wps:cNvPr id="149" name="文本框 146"/>
                                  <wps:cNvSpPr txBox="1"/>
                                  <wps:spPr>
                                    <a:xfrm>
                                      <a:off x="3370" y="10991"/>
                                      <a:ext cx="1499" cy="38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回用水3620.57</w:t>
                                        </w:r>
                                      </w:p>
                                    </w:txbxContent>
                                  </wps:txbx>
                                  <wps:bodyPr wrap="square" upright="1">
                                    <a:noAutofit/>
                                  </wps:bodyPr>
                                </wps:wsp>
                              </wpg:grpSp>
                            </wpg:grpSp>
                          </wpg:wgp>
                        </a:graphicData>
                      </a:graphic>
                    </wp:inline>
                  </w:drawing>
                </mc:Choice>
                <mc:Fallback>
                  <w:pict>
                    <v:group id="_x0000_s1026" o:spid="_x0000_s1026" o:spt="203" style="height:354.15pt;width:339.85pt;" coordorigin="2771,2391" coordsize="6797,7083" o:gfxdata="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">
                      <o:lock v:ext="edit" aspectratio="f"/>
                      <v:line id="_x0000_s1026" o:spid="_x0000_s1026" o:spt="20" style="position:absolute;left:3959;top:3130;height:3209;width:0;" filled="f" stroked="t" coordsize="21600,21600" o:gfxdata="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SQgrugAAANoA&#10;AAAPAAAAAAAAAAEAIAAAACIAAABkcnMvZG93bnJldi54bWxQSwECFAAUAAAACACHTuJAMy8FnjsA&#10;AAA5AAAAEAAAAAAAAAABACAAAAAJAQAAZHJzL3NoYXBleG1sLnhtbFBLBQYAAAAABgAGAFsBAACz&#10;AwAAAAA=&#10;">
                        <v:fill on="f" focussize="0,0"/>
                        <v:stroke weight="1pt" color="#0000FF" joinstyle="round"/>
                        <v:imagedata o:title=""/>
                        <o:lock v:ext="edit" aspectratio="t"/>
                      </v:line>
                      <v:shape id="直接箭头连接符 2" o:spid="_x0000_s1026" o:spt="32" type="#_x0000_t32" style="position:absolute;left:2771;top:4347;height:3;width:1180;" filled="f" stroked="t" coordsize="21600,21600" o:gfxdata="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LSr4A&#10;AADbAAAADwAAAAAAAAABACAAAAAiAAAAZHJzL2Rvd25yZXYueG1sUEsBAhQAFAAAAAgAh07iQDMv&#10;BZ47AAAAOQAAABAAAAAAAAAAAQAgAAAADQEAAGRycy9zaGFwZXhtbC54bWxQSwUGAAAAAAYABgBb&#10;AQAAtwMAAAAA&#10;">
                        <v:fill on="f" focussize="0,0"/>
                        <v:stroke color="#0000FF" joinstyle="round" endarrow="block"/>
                        <v:imagedata o:title=""/>
                        <o:lock v:ext="edit" aspectratio="f"/>
                      </v:shape>
                      <v:shape id="文本框 3" o:spid="_x0000_s1026" o:spt="202" type="#_x0000_t202" style="position:absolute;left:3027;top:4051;height:350;width:986;"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231.74</w:t>
                              </w:r>
                            </w:p>
                          </w:txbxContent>
                        </v:textbox>
                      </v:shape>
                      <v:line id="直接连接符 6" o:spid="_x0000_s1026" o:spt="20" style="position:absolute;left:3971;top:5469;height:1;width:1077;" filled="f" stroked="t" coordsize="21600,21600" o:gfxdata="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Z3ftugAAANsA&#10;AAAPAAAAAAAAAAEAIAAAACIAAABkcnMvZG93bnJldi54bWxQSwECFAAUAAAACACHTuJAMy8FnjsA&#10;AAA5AAAAEAAAAAAAAAABACAAAAAJAQAAZHJzL3NoYXBleG1sLnhtbFBLBQYAAAAABgAGAFsBAACz&#10;AwAAAAA=&#10;">
                        <v:fill on="f" focussize="0,0"/>
                        <v:stroke weight="1pt" color="#0000FF" joinstyle="round" endarrow="block"/>
                        <v:imagedata o:title=""/>
                        <o:lock v:ext="edit" aspectratio="t"/>
                      </v:line>
                      <v:shape id="文本框 8" o:spid="_x0000_s1026" o:spt="202" type="#_x0000_t202" style="position:absolute;left:5041;top:5268;height:378;width:1176;" fillcolor="#FFFFFF" filled="t" stroked="t" coordsize="21600,21600" o:gfxdata="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LmY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生产车间</w:t>
                              </w:r>
                            </w:p>
                          </w:txbxContent>
                        </v:textbox>
                      </v:shape>
                      <v:shape id="文本框 11" o:spid="_x0000_s1026" o:spt="202" type="#_x0000_t202" style="position:absolute;left:3978;top:5056;height:414;width:1013;"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rPr>
                                <w:t>喷雾</w:t>
                              </w:r>
                              <w:r>
                                <w:rPr>
                                  <w:rFonts w:hint="eastAsia" w:ascii="Times New Roman" w:hAnsi="Times New Roman" w:eastAsia="宋体"/>
                                  <w:sz w:val="18"/>
                                  <w:szCs w:val="18"/>
                                  <w:lang w:val="en-US" w:eastAsia="zh-CN"/>
                                </w:rPr>
                                <w:t>10</w:t>
                              </w:r>
                            </w:p>
                          </w:txbxContent>
                        </v:textbox>
                      </v:shape>
                      <v:line id="直接连接符 12" o:spid="_x0000_s1026" o:spt="20" style="position:absolute;left:6219;top:5455;height:1;width:616;" filled="f" stroked="t" coordsize="21600,21600" o:gfxdata="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rtiC/&#10;AAAA2w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t"/>
                      </v:line>
                      <v:shape id="文本框 13" o:spid="_x0000_s1026" o:spt="202" type="#_x0000_t202" style="position:absolute;left:6726;top:5202;height:488;width:1521;"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sz w:val="18"/>
                                  <w:szCs w:val="18"/>
                                  <w:lang w:val="en-US" w:eastAsia="zh-CN"/>
                                </w:rPr>
                              </w:pPr>
                              <w:r>
                                <w:rPr>
                                  <w:sz w:val="18"/>
                                  <w:szCs w:val="18"/>
                                </w:rPr>
                                <w:t>蒸发、损耗</w:t>
                              </w:r>
                              <w:r>
                                <w:rPr>
                                  <w:rFonts w:hint="eastAsia"/>
                                  <w:sz w:val="18"/>
                                  <w:szCs w:val="18"/>
                                  <w:lang w:val="en-US" w:eastAsia="zh-CN"/>
                                </w:rPr>
                                <w:t>10</w:t>
                              </w:r>
                            </w:p>
                          </w:txbxContent>
                        </v:textbox>
                      </v:shape>
                      <v:group id="组合 100" o:spid="_x0000_s1026" o:spt="203" style="position:absolute;left:3971;top:3519;height:4303;width:4112;" coordorigin="6220,1812" coordsize="4112,4303"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6220;top:2545;height:1;width:1134;" filled="f" stroked="t" coordsize="21600,21600" o:gfxdata="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hBWQW2AAAA2wAAAA8A&#10;AAAAAAAAAQAgAAAAIgAAAGRycy9kb3ducmV2LnhtbFBLAQIUABQAAAAIAIdO4kAzLwWeOwAAADkA&#10;AAAQAAAAAAAAAAEAIAAAAAUBAABkcnMvc2hhcGV4bWwueG1sUEsFBgAAAAAGAAYAWwEAAK8DAAAA&#10;AA==&#10;">
                          <v:fill on="f" focussize="0,0"/>
                          <v:stroke weight="1pt" color="#0000FF" joinstyle="round" endarrow="block"/>
                          <v:imagedata o:title=""/>
                          <o:lock v:ext="edit" aspectratio="t"/>
                        </v:line>
                        <v:shape id="文本框 89" o:spid="_x0000_s1026" o:spt="202" type="#_x0000_t202" style="position:absolute;left:7316;top:2384;height:417;width:1404;"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eastAsia" w:ascii="Times New Roman" w:hAnsi="Times New Roman" w:eastAsia="宋体"/>
                                    <w:sz w:val="18"/>
                                    <w:szCs w:val="18"/>
                                  </w:rPr>
                                </w:pPr>
                                <w:r>
                                  <w:rPr>
                                    <w:rFonts w:hint="eastAsia" w:ascii="Times New Roman" w:hAnsi="Times New Roman" w:eastAsia="宋体"/>
                                    <w:sz w:val="18"/>
                                    <w:szCs w:val="18"/>
                                  </w:rPr>
                                  <w:t>车辆冲洗</w:t>
                                </w:r>
                              </w:p>
                            </w:txbxContent>
                          </v:textbox>
                        </v:shape>
                        <v:shape id="_x0000_s1026" o:spid="_x0000_s1026" o:spt="202" type="#_x0000_t202" style="position:absolute;left:6426;top:2152;height:414;width:722;" filled="f" stroked="f" coordsize="21600,21600" o:gfxdata="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mCFrL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2.25</w:t>
                                </w:r>
                              </w:p>
                            </w:txbxContent>
                          </v:textbox>
                        </v:shape>
                        <v:shape id="_x0000_s1026" o:spid="_x0000_s1026" o:spt="32" type="#_x0000_t32" style="position:absolute;left:7934;top:2157;flip:y;height:214;width:227;" filled="f" stroked="t" coordsize="21600,21600" o:gfxdata="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VWkVvQAA&#10;ANsAAAAPAAAAAAAAAAEAIAAAACIAAABkcnMvZG93bnJldi54bWxQSwECFAAUAAAACACHTuJAMy8F&#10;njsAAAA5AAAAEAAAAAAAAAABACAAAAAMAQAAZHJzL3NoYXBleG1sLnhtbFBLBQYAAAAABgAGAFsB&#10;AAC2AwAAAAA=&#10;">
                          <v:fill on="f" focussize="0,0"/>
                          <v:stroke weight="2pt" color="#000000 [3213]" joinstyle="round" dashstyle="dash" endarrow="block"/>
                          <v:imagedata o:title=""/>
                          <o:lock v:ext="edit" aspectratio="f"/>
                        </v:shape>
                        <v:shape id="_x0000_s1026" o:spid="_x0000_s1026" o:spt="202" type="#_x0000_t202" style="position:absolute;left:7388;top:1812;height:488;width:1638;" filled="f" stroked="f" coordsize="21600,21600" o:gfxdata="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6+Q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default" w:eastAsia="宋体"/>
                                    <w:sz w:val="18"/>
                                    <w:szCs w:val="18"/>
                                    <w:lang w:val="en-US" w:eastAsia="zh-CN"/>
                                  </w:rPr>
                                </w:pPr>
                                <w:r>
                                  <w:rPr>
                                    <w:sz w:val="18"/>
                                    <w:szCs w:val="18"/>
                                  </w:rPr>
                                  <w:t>蒸发、损耗</w:t>
                                </w:r>
                                <w:r>
                                  <w:rPr>
                                    <w:rFonts w:hint="eastAsia"/>
                                    <w:sz w:val="18"/>
                                    <w:szCs w:val="18"/>
                                    <w:lang w:val="en-US" w:eastAsia="zh-CN"/>
                                  </w:rPr>
                                  <w:t>2.25</w:t>
                                </w:r>
                              </w:p>
                            </w:txbxContent>
                          </v:textbox>
                        </v:shape>
                        <v:line id="_x0000_s1026" o:spid="_x0000_s1026" o:spt="20" style="position:absolute;left:8745;top:2586;height:1;width:616;" filled="f" stroked="t" coordsize="21600,21600" o:gfxdata="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wyW0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t"/>
                        </v:line>
                        <v:shape id="_x0000_s1026" o:spid="_x0000_s1026" o:spt="202" type="#_x0000_t202" style="position:absolute;left:8630;top:2244;height:488;width:884;" filled="f" stroked="f" coordsize="21600,21600" o:gfxdata="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uDr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12.75</w:t>
                                </w:r>
                              </w:p>
                            </w:txbxContent>
                          </v:textbox>
                        </v:shape>
                        <v:shape id="_x0000_s1026" o:spid="_x0000_s1026" o:spt="202" type="#_x0000_t202" style="position:absolute;left:9353;top:2371;height:417;width:979;" fillcolor="#FFFFFF" filled="t" stroked="t" coordsize="21600,21600" o:gfxdata="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B/G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eastAsia" w:ascii="Times New Roman" w:hAnsi="Times New Roman" w:eastAsia="宋体"/>
                                    <w:sz w:val="18"/>
                                    <w:szCs w:val="18"/>
                                  </w:rPr>
                                </w:pPr>
                                <w:r>
                                  <w:rPr>
                                    <w:rFonts w:hint="eastAsia" w:ascii="Times New Roman" w:hAnsi="Times New Roman" w:eastAsia="宋体"/>
                                    <w:sz w:val="18"/>
                                    <w:szCs w:val="18"/>
                                  </w:rPr>
                                  <w:t>沉淀池</w:t>
                                </w:r>
                              </w:p>
                            </w:txbxContent>
                          </v:textbox>
                        </v:shape>
                        <v:line id="_x0000_s1026" o:spid="_x0000_s1026" o:spt="20" style="position:absolute;left:9834;top:2801;flip:y;height:260;width:0;" filled="f" stroked="t" coordsize="21600,21600" o:gfxdata="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p0y2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t"/>
                        </v:line>
                        <v:line id="_x0000_s1026" o:spid="_x0000_s1026" o:spt="20" style="position:absolute;left:6932;top:3061;height:0;width:2891;" filled="f" stroked="t" coordsize="21600,21600" o:gfxdata="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S2CG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_x0000_s1026" o:spid="_x0000_s1026" o:spt="20" style="position:absolute;left:6921;top:2564;flip:y;height:498;width:0;" filled="f" stroked="t" coordsize="21600,21600" o:gfxdata="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JU1822AAAA2wAAAA8A&#10;AAAAAAAAAQAgAAAAIgAAAGRycy9kb3ducmV2LnhtbFBLAQIUABQAAAAIAIdO4kAzLwWeOwAAADkA&#10;AAAQAAAAAAAAAAEAIAAAAAUBAABkcnMvc2hhcGV4bWwueG1sUEsFBgAAAAAGAAYAWwEAAK8DAAAA&#10;AA==&#10;">
                          <v:fill on="f" focussize="0,0"/>
                          <v:stroke weight="1pt" color="#000000" joinstyle="round" endarrow="block"/>
                          <v:imagedata o:title=""/>
                          <o:lock v:ext="edit" aspectratio="t"/>
                        </v:line>
                        <v:shape id="_x0000_s1026" o:spid="_x0000_s1026" o:spt="202" type="#_x0000_t202" style="position:absolute;left:8684;top:2711;height:488;width:884;" filled="f" stroked="f" coordsize="21600,21600" o:gfxdata="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wx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12.75</w:t>
                                </w:r>
                              </w:p>
                            </w:txbxContent>
                          </v:textbox>
                        </v:shape>
                        <v:line id="_x0000_s1026" o:spid="_x0000_s1026" o:spt="20" style="position:absolute;left:6489;top:5617;flip:y;height:498;width:0;" filled="f" stroked="t" coordsize="21600,21600" o:gfxdata="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N5un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t"/>
                        </v:line>
                      </v:group>
                      <v:line id="直接连接符 101" o:spid="_x0000_s1026" o:spt="20" style="position:absolute;left:3971;top:3137;height:1;width:1077;" filled="f" stroked="t" coordsize="21600,21600" o:gfxdata="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tvlr7gAAADcAAAA&#10;DwAAAAAAAAABACAAAAAiAAAAZHJzL2Rvd25yZXYueG1sUEsBAhQAFAAAAAgAh07iQDMvBZ47AAAA&#10;OQAAABAAAAAAAAAAAQAgAAAABwEAAGRycy9zaGFwZXhtbC54bWxQSwUGAAAAAAYABgBbAQAAsQMA&#10;AAAA&#10;">
                        <v:fill on="f" focussize="0,0"/>
                        <v:stroke weight="1pt" color="#0000FF" joinstyle="round" endarrow="block"/>
                        <v:imagedata o:title=""/>
                        <o:lock v:ext="edit" aspectratio="t"/>
                      </v:line>
                      <v:shape id="文本框 102" o:spid="_x0000_s1026" o:spt="202" type="#_x0000_t202" style="position:absolute;left:5011;top:2978;height:417;width:1068;" fillcolor="#FFFFFF" filled="t" stroked="t" coordsize="21600,21600" o:gfxdata="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cpd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sz w:val="18"/>
                                  <w:szCs w:val="18"/>
                                </w:rPr>
                              </w:pPr>
                              <w:r>
                                <w:rPr>
                                  <w:rFonts w:hint="eastAsia"/>
                                  <w:sz w:val="18"/>
                                  <w:szCs w:val="18"/>
                                </w:rPr>
                                <w:t>生活用水</w:t>
                              </w:r>
                            </w:p>
                          </w:txbxContent>
                        </v:textbox>
                      </v:shape>
                      <v:shape id="文本框 103" o:spid="_x0000_s1026" o:spt="202" type="#_x0000_t202" style="position:absolute;left:4196;top:2816;height:497;width:622;"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eastAsia" w:ascii="Times New Roman" w:hAnsi="Times New Roman" w:eastAsia="宋体"/>
                                  <w:sz w:val="18"/>
                                  <w:szCs w:val="18"/>
                                </w:rPr>
                              </w:pPr>
                              <w:r>
                                <w:rPr>
                                  <w:rFonts w:hint="eastAsia" w:ascii="Times New Roman" w:hAnsi="Times New Roman" w:eastAsia="宋体"/>
                                  <w:sz w:val="18"/>
                                  <w:szCs w:val="18"/>
                                </w:rPr>
                                <w:t>1.2</w:t>
                              </w:r>
                            </w:p>
                          </w:txbxContent>
                        </v:textbox>
                      </v:shape>
                      <v:shape id="直接箭头连接符 104" o:spid="_x0000_s1026" o:spt="32" type="#_x0000_t32" style="position:absolute;left:5529;top:2764;flip:y;height:214;width:227;" filled="f" stroked="t" coordsize="21600,21600" o:gfxdata="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omYLsAAADc&#10;AAAADwAAAAAAAAABACAAAAAiAAAAZHJzL2Rvd25yZXYueG1sUEsBAhQAFAAAAAgAh07iQDMvBZ47&#10;AAAAOQAAABAAAAAAAAAAAQAgAAAACgEAAGRycy9zaGFwZXhtbC54bWxQSwUGAAAAAAYABgBbAQAA&#10;tAMAAAAA&#10;">
                        <v:fill on="f" focussize="0,0"/>
                        <v:stroke weight="2pt" color="#000000 [3213]" joinstyle="round" dashstyle="dash" endarrow="block"/>
                        <v:imagedata o:title=""/>
                        <o:lock v:ext="edit" aspectratio="f"/>
                      </v:shape>
                      <v:line id="直接连接符 105" o:spid="_x0000_s1026" o:spt="20" style="position:absolute;left:6103;top:3180;height:1;width:616;" filled="f" stroked="t" coordsize="21600,21600" o:gfxdata="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7wR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t"/>
                      </v:line>
                      <v:shape id="文本框 106" o:spid="_x0000_s1026" o:spt="202" type="#_x0000_t202" style="position:absolute;left:6062;top:2826;height:488;width:884;" filled="f" stroked="f" coordsize="21600,21600" o:gfxdata="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ngB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eastAsia" w:ascii="Times New Roman" w:hAnsi="Times New Roman" w:eastAsia="宋体"/>
                                  <w:sz w:val="18"/>
                                  <w:szCs w:val="18"/>
                                </w:rPr>
                              </w:pPr>
                              <w:r>
                                <w:rPr>
                                  <w:rFonts w:hint="eastAsia" w:ascii="Times New Roman" w:hAnsi="Times New Roman" w:eastAsia="宋体"/>
                                  <w:sz w:val="18"/>
                                  <w:szCs w:val="18"/>
                                </w:rPr>
                                <w:t>1.08</w:t>
                              </w:r>
                            </w:p>
                          </w:txbxContent>
                        </v:textbox>
                      </v:shape>
                      <v:shape id="文本框 107" o:spid="_x0000_s1026" o:spt="202" type="#_x0000_t202" style="position:absolute;left:6736;top:2988;height:417;width:825;" fillcolor="#FFFFFF" filled="t" stroked="t" coordsize="21600,21600" o:gfxdata="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4N6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eastAsia" w:ascii="Times New Roman" w:hAnsi="Times New Roman" w:eastAsia="宋体"/>
                                  <w:sz w:val="18"/>
                                  <w:szCs w:val="18"/>
                                </w:rPr>
                              </w:pPr>
                              <w:r>
                                <w:rPr>
                                  <w:rFonts w:hint="eastAsia" w:ascii="Times New Roman" w:hAnsi="Times New Roman" w:eastAsia="宋体"/>
                                  <w:sz w:val="18"/>
                                  <w:szCs w:val="18"/>
                                </w:rPr>
                                <w:t>化粪池</w:t>
                              </w:r>
                            </w:p>
                          </w:txbxContent>
                        </v:textbox>
                      </v:shape>
                      <v:line id="直接连接符 108" o:spid="_x0000_s1026" o:spt="20" style="position:absolute;left:7584;top:3190;height:1;width:616;" filled="f" stroked="t" coordsize="21600,21600" o:gfxdata="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FkN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t"/>
                      </v:line>
                      <v:shape id="文本框 109" o:spid="_x0000_s1026" o:spt="202" type="#_x0000_t202" style="position:absolute;left:7515;top:2873;height:488;width:884;" filled="f" stroked="f" coordsize="21600,21600" o:gfxdata="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eOs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eastAsia" w:ascii="Times New Roman" w:hAnsi="Times New Roman" w:eastAsia="宋体"/>
                                  <w:sz w:val="18"/>
                                  <w:szCs w:val="18"/>
                                </w:rPr>
                              </w:pPr>
                              <w:r>
                                <w:rPr>
                                  <w:rFonts w:hint="eastAsia" w:ascii="Times New Roman" w:hAnsi="Times New Roman" w:eastAsia="宋体"/>
                                  <w:sz w:val="18"/>
                                  <w:szCs w:val="18"/>
                                </w:rPr>
                                <w:t>1.08</w:t>
                              </w:r>
                            </w:p>
                          </w:txbxContent>
                        </v:textbox>
                      </v:shape>
                      <v:shape id="文本框 110" o:spid="_x0000_s1026" o:spt="202" type="#_x0000_t202" style="position:absolute;left:8092;top:2970;height:429;width:1211;" filled="f" stroked="f" coordsize="21600,21600" o:gfxdata="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srK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rPr>
                                <w:t>做农肥利用</w:t>
                              </w:r>
                            </w:p>
                          </w:txbxContent>
                        </v:textbox>
                      </v:shape>
                      <v:shape id="文本框 111" o:spid="_x0000_s1026" o:spt="202" type="#_x0000_t202" style="position:absolute;left:5111;top:2391;height:488;width:1521;" filled="f" stroked="f" coordsize="21600,21600" o:gfxdata="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2P9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18"/>
                                </w:rPr>
                              </w:pPr>
                              <w:r>
                                <w:rPr>
                                  <w:sz w:val="18"/>
                                  <w:szCs w:val="18"/>
                                </w:rPr>
                                <w:t>蒸发、损耗</w:t>
                              </w:r>
                              <w:r>
                                <w:rPr>
                                  <w:rFonts w:hint="eastAsia"/>
                                  <w:sz w:val="18"/>
                                  <w:szCs w:val="18"/>
                                </w:rPr>
                                <w:t>0.12</w:t>
                              </w:r>
                            </w:p>
                          </w:txbxContent>
                        </v:textbox>
                      </v:shape>
                      <v:group id="组合 19" o:spid="_x0000_s1026" o:spt="203" style="position:absolute;left:2993;top:5657;height:3817;width:6575;" coordorigin="2855,5638" coordsize="6575,3817"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文本框 43" o:spid="_x0000_s1026" o:spt="202" type="#_x0000_t202" style="position:absolute;left:3511;top:6780;height:668;width:1213;" filled="f" stroked="f" coordsize="21600,2160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jc w:val="center"/>
                                  <w:rPr>
                                    <w:rFonts w:hint="default" w:eastAsia="宋体"/>
                                    <w:sz w:val="18"/>
                                    <w:szCs w:val="18"/>
                                    <w:lang w:val="en-US" w:eastAsia="zh-CN"/>
                                  </w:rPr>
                                </w:pPr>
                                <w:r>
                                  <w:rPr>
                                    <w:rFonts w:hint="eastAsia"/>
                                    <w:sz w:val="18"/>
                                    <w:szCs w:val="18"/>
                                    <w:lang w:val="en-US" w:eastAsia="zh-CN"/>
                                  </w:rPr>
                                  <w:t>干化</w:t>
                                </w:r>
                                <w:r>
                                  <w:rPr>
                                    <w:rFonts w:hint="eastAsia"/>
                                    <w:sz w:val="18"/>
                                    <w:szCs w:val="18"/>
                                  </w:rPr>
                                  <w:t>泥饼含水</w:t>
                                </w:r>
                                <w:r>
                                  <w:rPr>
                                    <w:rFonts w:hint="eastAsia"/>
                                    <w:sz w:val="18"/>
                                    <w:szCs w:val="18"/>
                                    <w:lang w:val="en-US" w:eastAsia="zh-CN"/>
                                  </w:rPr>
                                  <w:t>115.16</w:t>
                                </w:r>
                              </w:p>
                            </w:txbxContent>
                          </v:textbox>
                        </v:shape>
                        <v:group id="组合 18" o:spid="_x0000_s1026" o:spt="203" style="position:absolute;left:2855;top:5638;height:3817;width:6575;" coordorigin="2828,7694" coordsize="6575,3817"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line id="直接连接符 24" o:spid="_x0000_s1026" o:spt="20" style="position:absolute;left:3805;top:8373;height:2;width:1304;" filled="f" stroked="t" coordsize="21600,21600" o:gfxdata="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IXVCtwAAANsAAAAP&#10;AAAAAAAAAAEAIAAAACIAAABkcnMvZG93bnJldi54bWxQSwECFAAUAAAACACHTuJAMy8FnjsAAAA5&#10;AAAAEAAAAAAAAAABACAAAAAGAQAAZHJzL3NoYXBleG1sLnhtbFBLBQYAAAAABgAGAFsBAACwAwAA&#10;AAA=&#10;">
                            <v:fill on="f" focussize="0,0"/>
                            <v:stroke weight="1pt" color="#0000FF" joinstyle="round" endarrow="block"/>
                            <v:imagedata o:title=""/>
                            <o:lock v:ext="edit" aspectratio="t"/>
                          </v:line>
                          <v:shape id="文本框 26" o:spid="_x0000_s1026" o:spt="202" type="#_x0000_t202" style="position:absolute;left:3873;top:8052;height:488;width:1470;" filled="f" stroked="f" coordsize="21600,21600" o:gfxdata="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5ar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rPr>
                                    <w:t>冲水</w:t>
                                  </w:r>
                                  <w:r>
                                    <w:rPr>
                                      <w:rFonts w:hint="eastAsia" w:ascii="Times New Roman" w:hAnsi="Times New Roman" w:eastAsia="宋体"/>
                                      <w:sz w:val="18"/>
                                      <w:szCs w:val="18"/>
                                      <w:lang w:val="en-US" w:eastAsia="zh-CN"/>
                                    </w:rPr>
                                    <w:t>218.29</w:t>
                                  </w:r>
                                </w:p>
                              </w:txbxContent>
                            </v:textbox>
                          </v:shape>
                          <v:line id="直接连接符 44" o:spid="_x0000_s1026" o:spt="20" style="position:absolute;left:6575;top:8473;flip:y;height:2;width:383;" filled="f" stroked="t" coordsize="21600,21600" o:gfxdata="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n3q+y2AAAA2wAAAA8A&#10;AAAAAAAAAQAgAAAAIgAAAGRycy9kb3ducmV2LnhtbFBLAQIUABQAAAAIAIdO4kAzLwWeOwAAADkA&#10;AAAQAAAAAAAAAAEAIAAAAAUBAABkcnMvc2hhcGV4bWwueG1sUEsFBgAAAAAGAAYAWwEAAK8DAAAA&#10;AA==&#10;">
                            <v:fill on="f" focussize="0,0"/>
                            <v:stroke weight="1pt" color="#000000" joinstyle="round" endarrow="block"/>
                            <v:imagedata o:title=""/>
                            <o:lock v:ext="edit" aspectratio="t"/>
                          </v:line>
                          <v:shape id="_x0000_s1026" o:spid="_x0000_s1026" o:spt="202" type="#_x0000_t202" style="position:absolute;left:6895;top:8163;height:714;width:1145;" filled="f" stroked="f" coordsize="21600,21600" o:gfxdata="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sY1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产品带水528.91</w:t>
                                  </w:r>
                                </w:p>
                              </w:txbxContent>
                            </v:textbox>
                          </v:shape>
                          <v:shape id="_x0000_s1026" o:spid="_x0000_s1026" o:spt="202" type="#_x0000_t202" style="position:absolute;left:5255;top:9575;height:417;width:1413;" fillcolor="#FFFFFF" filled="t" stroked="t" coordsize="21600,21600" o:gfxdata="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h0K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废水处理系统</w:t>
                                  </w:r>
                                </w:p>
                              </w:txbxContent>
                            </v:textbox>
                          </v:shape>
                          <v:shape id="_x0000_s1026" o:spid="_x0000_s1026" o:spt="202" type="#_x0000_t202" style="position:absolute;left:3451;top:9582;height:418;width:1154;" fillcolor="#FFFFFF" filled="t" stroked="t" coordsize="21600,21600" o:gfxdata="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dOP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eastAsia" w:ascii="Times New Roman" w:hAnsi="Times New Roman" w:eastAsia="宋体"/>
                                      <w:sz w:val="18"/>
                                      <w:szCs w:val="18"/>
                                    </w:rPr>
                                  </w:pPr>
                                  <w:r>
                                    <w:rPr>
                                      <w:rFonts w:hint="eastAsia" w:ascii="Times New Roman" w:hAnsi="Times New Roman" w:eastAsia="宋体"/>
                                      <w:sz w:val="18"/>
                                      <w:szCs w:val="18"/>
                                    </w:rPr>
                                    <w:t>板框压滤机</w:t>
                                  </w:r>
                                </w:p>
                              </w:txbxContent>
                            </v:textbox>
                          </v:shape>
                          <v:shape id="_x0000_s1026" o:spid="_x0000_s1026" o:spt="202" type="#_x0000_t202" style="position:absolute;left:4577;top:9231;height:578;width:1050;" filled="f" stroked="f" coordsize="21600,21600" o:gfxdata="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G+r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20" w:lineRule="exact"/>
                                    <w:textAlignment w:val="auto"/>
                                    <w:rPr>
                                      <w:rFonts w:hint="eastAsia"/>
                                      <w:sz w:val="18"/>
                                      <w:szCs w:val="18"/>
                                      <w:lang w:val="en-US" w:eastAsia="zh-CN"/>
                                    </w:rPr>
                                  </w:pPr>
                                  <w:r>
                                    <w:rPr>
                                      <w:rFonts w:hint="eastAsia"/>
                                      <w:sz w:val="18"/>
                                      <w:szCs w:val="18"/>
                                      <w:lang w:val="en-US" w:eastAsia="zh-CN"/>
                                    </w:rPr>
                                    <w:t>沉淀泥沙</w:t>
                                  </w:r>
                                </w:p>
                                <w:p>
                                  <w:pPr>
                                    <w:keepNext w:val="0"/>
                                    <w:keepLines w:val="0"/>
                                    <w:pageBreakBefore w:val="0"/>
                                    <w:widowControl w:val="0"/>
                                    <w:kinsoku/>
                                    <w:wordWrap/>
                                    <w:overflowPunct/>
                                    <w:topLinePunct w:val="0"/>
                                    <w:bidi w:val="0"/>
                                    <w:adjustRightInd/>
                                    <w:snapToGrid/>
                                    <w:spacing w:line="220" w:lineRule="exact"/>
                                    <w:ind w:firstLine="180" w:firstLineChars="100"/>
                                    <w:textAlignment w:val="auto"/>
                                    <w:rPr>
                                      <w:rFonts w:hint="default"/>
                                      <w:sz w:val="18"/>
                                      <w:szCs w:val="18"/>
                                      <w:lang w:val="en-US" w:eastAsia="zh-CN"/>
                                    </w:rPr>
                                  </w:pPr>
                                  <w:r>
                                    <w:rPr>
                                      <w:rFonts w:hint="eastAsia"/>
                                      <w:sz w:val="18"/>
                                      <w:szCs w:val="18"/>
                                      <w:lang w:val="en-US" w:eastAsia="zh-CN"/>
                                    </w:rPr>
                                    <w:t>691</w:t>
                                  </w:r>
                                </w:p>
                              </w:txbxContent>
                            </v:textbox>
                          </v:shape>
                          <v:line id="_x0000_s1026" o:spid="_x0000_s1026" o:spt="20" style="position:absolute;left:3203;top:11340;height:0;width:2214;" filled="f" stroked="t" coordsize="21600,21600" o:gfxdata="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HHI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t"/>
                          </v:line>
                          <v:line id="_x0000_s1026" o:spid="_x0000_s1026" o:spt="20" style="position:absolute;left:6667;top:9774;height:1;width:2154;" filled="f" stroked="t" coordsize="21600,21600" o:gfxdata="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XStbsAAADc&#10;AAAADwAAAAAAAAABACAAAAAiAAAAZHJzL2Rvd25yZXYueG1sUEsBAhQAFAAAAAgAh07iQDMvBZ47&#10;AAAAOQAAABAAAAAAAAAAAQAgAAAACgEAAGRycy9zaGFwZXhtbC54bWxQSwUGAAAAAAYABgBbAQAA&#10;tAMAAAAA&#10;">
                            <v:fill on="f" focussize="0,0"/>
                            <v:stroke weight="1pt" color="#000000" joinstyle="round" startarrow="block"/>
                            <v:imagedata o:title=""/>
                            <o:lock v:ext="edit" aspectratio="t"/>
                          </v:line>
                          <v:shape id="_x0000_s1026" o:spid="_x0000_s1026" o:spt="202" type="#_x0000_t202" style="position:absolute;left:8253;top:8131;height:638;width:1150;" filled="f" stroked="f" coordsize="21600,21600" o:gfxdata="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mHTS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eastAsia"/>
                                      <w:sz w:val="18"/>
                                      <w:szCs w:val="18"/>
                                      <w:lang w:val="en-US" w:eastAsia="zh-CN"/>
                                    </w:rPr>
                                  </w:pPr>
                                  <w:r>
                                    <w:rPr>
                                      <w:rFonts w:hint="eastAsia"/>
                                      <w:sz w:val="18"/>
                                      <w:szCs w:val="18"/>
                                      <w:lang w:val="en-US" w:eastAsia="zh-CN"/>
                                    </w:rPr>
                                    <w:t>产品渗沥</w:t>
                                  </w:r>
                                </w:p>
                                <w:p>
                                  <w:pPr>
                                    <w:keepNext w:val="0"/>
                                    <w:keepLines w:val="0"/>
                                    <w:pageBreakBefore w:val="0"/>
                                    <w:widowControl w:val="0"/>
                                    <w:kinsoku/>
                                    <w:wordWrap/>
                                    <w:overflowPunct/>
                                    <w:topLinePunct w:val="0"/>
                                    <w:bidi w:val="0"/>
                                    <w:adjustRightInd/>
                                    <w:snapToGrid/>
                                    <w:spacing w:line="240" w:lineRule="exact"/>
                                    <w:textAlignment w:val="auto"/>
                                    <w:rPr>
                                      <w:rFonts w:hint="default" w:eastAsia="宋体"/>
                                      <w:sz w:val="18"/>
                                      <w:szCs w:val="18"/>
                                      <w:lang w:val="en-US" w:eastAsia="zh-CN"/>
                                    </w:rPr>
                                  </w:pPr>
                                  <w:r>
                                    <w:rPr>
                                      <w:rFonts w:hint="eastAsia"/>
                                      <w:sz w:val="18"/>
                                      <w:szCs w:val="18"/>
                                      <w:lang w:val="en-US" w:eastAsia="zh-CN"/>
                                    </w:rPr>
                                    <w:t>水425.78</w:t>
                                  </w:r>
                                </w:p>
                              </w:txbxContent>
                            </v:textbox>
                          </v:shape>
                          <v:line id="_x0000_s1026" o:spid="_x0000_s1026" o:spt="20" style="position:absolute;left:8838;top:8715;flip:x y;height:1077;width:6;" filled="f" stroked="t" coordsize="21600,21600" o:gfxdata="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JH5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t"/>
                          </v:line>
                          <v:shape id="_x0000_s1026" o:spid="_x0000_s1026" o:spt="202" type="#_x0000_t202" style="position:absolute;left:5330;top:11131;height:380;width:1499;" filled="f" stroked="f" coordsize="21600,21600" o:gfxdata="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2atg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回用水3620.57</w:t>
                                  </w:r>
                                </w:p>
                              </w:txbxContent>
                            </v:textbox>
                          </v:shape>
                          <v:line id="_x0000_s1026" o:spid="_x0000_s1026" o:spt="20" style="position:absolute;left:5918;top:9984;flip:y;height:454;width:2;" filled="f" stroked="t" coordsize="21600,21600" o:gfxdata="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AKwIvQAA&#10;ANwAAAAPAAAAAAAAAAEAIAAAACIAAABkcnMvZG93bnJldi54bWxQSwECFAAUAAAACACHTuJAMy8F&#10;njsAAAA5AAAAEAAAAAAAAAABACAAAAAMAQAAZHJzL3NoYXBleG1sLnhtbFBLBQYAAAAABgAGAFsB&#10;AAC2AwAAAAA=&#10;">
                            <v:fill on="f" focussize="0,0"/>
                            <v:stroke weight="1pt" color="#000000" joinstyle="round" startarrow="block"/>
                            <v:imagedata o:title=""/>
                            <o:lock v:ext="edit" aspectratio="t"/>
                          </v:line>
                          <v:shape id="文本框 30" o:spid="_x0000_s1026" o:spt="202" type="#_x0000_t202" style="position:absolute;left:5093;top:8275;height:417;width:1473;"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水洗制砂生产线</w:t>
                                  </w:r>
                                </w:p>
                              </w:txbxContent>
                            </v:textbox>
                          </v:shape>
                          <v:line id="_x0000_s1026" o:spid="_x0000_s1026" o:spt="20" style="position:absolute;left:7899;top:8487;height:0;width:436;" filled="f" stroked="t" coordsize="21600,21600" o:gfxdata="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8NO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t"/>
                          </v:line>
                          <v:shape id="_x0000_s1026" o:spid="_x0000_s1026" o:spt="202" type="#_x0000_t202" style="position:absolute;left:6453;top:7694;height:463;width:2012;"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default" w:eastAsia="宋体"/>
                                      <w:sz w:val="18"/>
                                      <w:szCs w:val="18"/>
                                      <w:lang w:val="en-US" w:eastAsia="zh-CN"/>
                                    </w:rPr>
                                  </w:pPr>
                                  <w:r>
                                    <w:rPr>
                                      <w:rFonts w:hint="eastAsia"/>
                                      <w:sz w:val="18"/>
                                      <w:szCs w:val="18"/>
                                      <w:lang w:val="en-US" w:eastAsia="zh-CN"/>
                                    </w:rPr>
                                    <w:t>外售产品带走103.13</w:t>
                                  </w:r>
                                </w:p>
                              </w:txbxContent>
                            </v:textbox>
                          </v:shape>
                          <v:line id="_x0000_s1026" o:spid="_x0000_s1026" o:spt="20" style="position:absolute;left:7469;top:8004;flip:y;height:227;width:2;" filled="f" stroked="t" coordsize="21600,21600" o:gfxdata="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zujrsAAADb&#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t"/>
                          </v:line>
                          <v:line id="_x0000_s1026" o:spid="_x0000_s1026" o:spt="20" style="position:absolute;left:5873;top:8687;flip:y;height:907;width:6;" filled="f" stroked="t" coordsize="21600,21600" o:gfxdata="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BcFvQAA&#10;ANsAAAAPAAAAAAAAAAEAIAAAACIAAABkcnMvZG93bnJldi54bWxQSwECFAAUAAAACACHTuJAMy8F&#10;njsAAAA5AAAAEAAAAAAAAAABACAAAAAMAQAAZHJzL3NoYXBleG1sLnhtbFBLBQYAAAAABgAGAFsB&#10;AAC2AwAAAAA=&#10;">
                            <v:fill on="f" focussize="0,0"/>
                            <v:stroke weight="1pt" color="#000000" joinstyle="round" startarrow="block"/>
                            <v:imagedata o:title=""/>
                            <o:lock v:ext="edit" aspectratio="t"/>
                          </v:line>
                          <v:shape id="_x0000_s1026" o:spid="_x0000_s1026" o:spt="202" type="#_x0000_t202" style="position:absolute;left:5333;top:8828;height:488;width:1495;" filled="f" stroked="f" coordsize="21600,21600" o:gfxdata="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61RQ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废水</w:t>
                                  </w:r>
                                  <w:r>
                                    <w:rPr>
                                      <w:rFonts w:hint="default" w:ascii="Times New Roman" w:hAnsi="Times New Roman" w:eastAsia="宋体" w:cs="Times New Roman"/>
                                      <w:b w:val="0"/>
                                      <w:bCs w:val="0"/>
                                      <w:color w:val="auto"/>
                                      <w:kern w:val="0"/>
                                      <w:sz w:val="18"/>
                                      <w:szCs w:val="18"/>
                                      <w:lang w:val="en-US" w:eastAsia="zh-CN" w:bidi="ar"/>
                                    </w:rPr>
                                    <w:t>3</w:t>
                                  </w:r>
                                  <w:r>
                                    <w:rPr>
                                      <w:rFonts w:hint="eastAsia" w:cs="Times New Roman"/>
                                      <w:b w:val="0"/>
                                      <w:bCs w:val="0"/>
                                      <w:color w:val="auto"/>
                                      <w:kern w:val="0"/>
                                      <w:sz w:val="18"/>
                                      <w:szCs w:val="18"/>
                                      <w:lang w:val="en-US" w:eastAsia="zh-CN" w:bidi="ar"/>
                                    </w:rPr>
                                    <w:t>309.95</w:t>
                                  </w:r>
                                </w:p>
                              </w:txbxContent>
                            </v:textbox>
                          </v:shape>
                          <v:shape id="_x0000_s1026" o:spid="_x0000_s1026" o:spt="202" type="#_x0000_t202" style="position:absolute;left:6973;top:9441;height:347;width:1848;" filled="f" stroked="f" coordsize="21600,21600" o:gfxdata="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hrE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exact"/>
                                    <w:textAlignment w:val="auto"/>
                                    <w:rPr>
                                      <w:rFonts w:hint="default" w:eastAsia="宋体"/>
                                      <w:sz w:val="18"/>
                                      <w:szCs w:val="18"/>
                                      <w:lang w:val="en-US" w:eastAsia="zh-CN"/>
                                    </w:rPr>
                                  </w:pPr>
                                  <w:r>
                                    <w:rPr>
                                      <w:rFonts w:hint="eastAsia"/>
                                      <w:sz w:val="18"/>
                                      <w:szCs w:val="18"/>
                                      <w:lang w:val="en-US" w:eastAsia="zh-CN"/>
                                    </w:rPr>
                                    <w:t>产品渗沥水425.78</w:t>
                                  </w:r>
                                </w:p>
                              </w:txbxContent>
                            </v:textbox>
                          </v:shape>
                          <v:line id="_x0000_s1026" o:spid="_x0000_s1026" o:spt="20" style="position:absolute;left:4607;top:9786;height:2;width:642;" filled="f" stroked="t" coordsize="21600,21600" o:gfxdata="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rpl+ugAAANwA&#10;AAAPAAAAAAAAAAEAIAAAACIAAABkcnMvZG93bnJldi54bWxQSwECFAAUAAAACACHTuJAMy8FnjsA&#10;AAA5AAAAEAAAAAAAAAABACAAAAAJAQAAZHJzL3NoYXBleG1sLnhtbFBLBQYAAAAABgAGAFsBAACz&#10;AwAAAAA=&#10;">
                            <v:fill on="f" focussize="0,0"/>
                            <v:stroke weight="1pt" color="#000000" joinstyle="round" startarrow="block"/>
                            <v:imagedata o:title=""/>
                            <o:lock v:ext="edit" aspectratio="t"/>
                          </v:line>
                          <v:shape id="文本框 7" o:spid="_x0000_s1026" o:spt="202" type="#_x0000_t202" style="position:absolute;left:5283;top:10439;height:417;width:1413;" fillcolor="#FFFFFF" filled="t" stroked="t" coordsize="21600,21600" o:gfxdata="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dI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清水池</w:t>
                                  </w:r>
                                </w:p>
                              </w:txbxContent>
                            </v:textbox>
                          </v:shape>
                          <v:line id="直接连接符 9" o:spid="_x0000_s1026" o:spt="20" style="position:absolute;left:4026;top:9996;flip:y;height:624;width:6;" filled="f" stroked="t" coordsize="21600,21600" o:gfxdata="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wCS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t"/>
                          </v:line>
                          <v:line id="直接连接符 14" o:spid="_x0000_s1026" o:spt="20" style="position:absolute;left:4011;top:10642;height:0;width:1268;" filled="f" stroked="t" coordsize="21600,21600" o:gfxdata="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83n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t"/>
                          </v:line>
                          <v:shape id="文本框 15" o:spid="_x0000_s1026" o:spt="202" type="#_x0000_t202" style="position:absolute;left:3911;top:10272;height:488;width:1495;" filled="f" stroked="f" coordsize="21600,21600" o:gfxdata="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lY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color w:val="auto"/>
                                      <w:sz w:val="18"/>
                                      <w:szCs w:val="18"/>
                                      <w:lang w:val="en-US" w:eastAsia="zh-CN"/>
                                    </w:rPr>
                                  </w:pPr>
                                  <w:r>
                                    <w:rPr>
                                      <w:rFonts w:hint="eastAsia"/>
                                      <w:sz w:val="18"/>
                                      <w:szCs w:val="18"/>
                                      <w:lang w:val="en-US" w:eastAsia="zh-CN"/>
                                    </w:rPr>
                                    <w:t>压滤水</w:t>
                                  </w:r>
                                  <w:r>
                                    <w:rPr>
                                      <w:rFonts w:hint="eastAsia" w:cs="Times New Roman"/>
                                      <w:b w:val="0"/>
                                      <w:bCs w:val="0"/>
                                      <w:color w:val="auto"/>
                                      <w:kern w:val="0"/>
                                      <w:sz w:val="18"/>
                                      <w:szCs w:val="18"/>
                                      <w:lang w:val="en-US" w:eastAsia="zh-CN" w:bidi="ar"/>
                                    </w:rPr>
                                    <w:t>575.84</w:t>
                                  </w:r>
                                </w:p>
                              </w:txbxContent>
                            </v:textbox>
                          </v:shape>
                          <v:shape id="文本框 16" o:spid="_x0000_s1026" o:spt="202" type="#_x0000_t202" style="position:absolute;left:5389;top:9943;height:488;width:1605;"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回用水</w:t>
                                  </w:r>
                                  <w:r>
                                    <w:rPr>
                                      <w:rFonts w:hint="eastAsia" w:cs="Times New Roman"/>
                                      <w:b w:val="0"/>
                                      <w:bCs w:val="0"/>
                                      <w:color w:val="auto"/>
                                      <w:kern w:val="0"/>
                                      <w:sz w:val="18"/>
                                      <w:szCs w:val="18"/>
                                      <w:lang w:val="en-US" w:eastAsia="zh-CN" w:bidi="ar"/>
                                    </w:rPr>
                                    <w:t>3044.73</w:t>
                                  </w:r>
                                </w:p>
                              </w:txbxContent>
                            </v:textbox>
                          </v:shape>
                          <v:line id="直接连接符 17" o:spid="_x0000_s1026" o:spt="20" style="position:absolute;left:5949;top:10885;flip:y;height:316;width:2;" filled="f" stroked="t" coordsize="21600,21600" o:gfxdata="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gPH/vQAA&#10;ANsAAAAPAAAAAAAAAAEAIAAAACIAAABkcnMvZG93bnJldi54bWxQSwECFAAUAAAACACHTuJAMy8F&#10;njsAAAA5AAAAEAAAAAAAAAABACAAAAAMAQAAZHJzL3NoYXBleG1sLnhtbFBLBQYAAAAABgAGAFsB&#10;AAC2AwAAAAA=&#10;">
                            <v:fill on="f" focussize="0,0"/>
                            <v:stroke weight="1pt" color="#000000" joinstyle="round" startarrow="block"/>
                            <v:imagedata o:title=""/>
                            <o:lock v:ext="edit" aspectratio="t"/>
                          </v:line>
                          <v:line id="直接连接符 143" o:spid="_x0000_s1026" o:spt="20" style="position:absolute;left:3217;top:8607;flip:y;height:2740;width:19;" filled="f" stroked="t" coordsize="21600,21600" o:gfxdata="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tHe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t"/>
                          </v:line>
                          <v:line id="直接连接符 144" o:spid="_x0000_s1026" o:spt="20" style="position:absolute;left:3227;top:8601;height:0;width:1888;" filled="f" stroked="t" coordsize="21600,21600" o:gfxdata="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I7By/&#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t"/>
                          </v:line>
                          <v:shape id="文本框 145" o:spid="_x0000_s1026" o:spt="202" type="#_x0000_t202" style="position:absolute;left:2828;top:8299;height:380;width:1499;" filled="f" stroked="f" coordsize="21600,21600" o:gfxdata="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q2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3620.57</w:t>
                                  </w:r>
                                </w:p>
                              </w:txbxContent>
                            </v:textbox>
                          </v:shape>
                          <v:shape id="文本框 146" o:spid="_x0000_s1026" o:spt="202" type="#_x0000_t202" style="position:absolute;left:3370;top:10991;height:380;width:1499;" filled="f" stroked="f" coordsize="21600,21600" o:gfxdata="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1eCDC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53" w:leftChars="-25" w:right="-53" w:rightChars="-25"/>
                                    <w:jc w:val="center"/>
                                    <w:textAlignment w:val="auto"/>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回用水3620.57</w:t>
                                  </w:r>
                                </w:p>
                              </w:txbxContent>
                            </v:textbox>
                          </v:shape>
                        </v:group>
                      </v:group>
                      <w10:wrap type="none"/>
                      <w10:anchorlock/>
                    </v:group>
                  </w:pict>
                </mc:Fallback>
              </mc:AlternateContent>
            </w:r>
          </w:p>
          <w:p>
            <w:pPr>
              <w:keepNext w:val="0"/>
              <w:keepLines w:val="0"/>
              <w:suppressLineNumbers w:val="0"/>
              <w:bidi w:val="0"/>
              <w:spacing w:before="0" w:beforeAutospacing="0" w:after="0" w:afterAutospacing="0"/>
              <w:ind w:left="0" w:right="0"/>
              <w:rPr>
                <w:rFonts w:hint="default"/>
                <w:color w:val="auto"/>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96" w:lineRule="exact"/>
              <w:ind w:left="0" w:right="0"/>
              <w:jc w:val="left"/>
              <w:textAlignment w:val="auto"/>
              <w:rPr>
                <w:rFonts w:hint="default" w:ascii="黑体" w:hAnsi="黑体" w:eastAsia="黑体" w:cs="宋体"/>
                <w:bCs/>
                <w:color w:val="auto"/>
                <w:sz w:val="22"/>
                <w:szCs w:val="22"/>
              </w:rPr>
            </w:pPr>
            <w:r>
              <w:rPr>
                <w:rFonts w:hint="eastAsia" w:ascii="黑体" w:hAnsi="黑体" w:eastAsia="黑体" w:cs="宋体"/>
                <w:bCs/>
                <w:color w:val="auto"/>
                <w:sz w:val="22"/>
                <w:szCs w:val="22"/>
              </w:rPr>
              <w:t>8、</w:t>
            </w:r>
            <w:r>
              <w:rPr>
                <w:rFonts w:hint="default" w:ascii="黑体" w:hAnsi="黑体" w:eastAsia="黑体" w:cs="宋体"/>
                <w:bCs/>
                <w:color w:val="auto"/>
                <w:sz w:val="22"/>
                <w:szCs w:val="22"/>
              </w:rPr>
              <w:t>劳动定员及工作制度</w:t>
            </w:r>
          </w:p>
          <w:p>
            <w:pPr>
              <w:keepNext w:val="0"/>
              <w:keepLines w:val="0"/>
              <w:suppressLineNumbers w:val="0"/>
              <w:autoSpaceDE w:val="0"/>
              <w:autoSpaceDN w:val="0"/>
              <w:adjustRightInd w:val="0"/>
              <w:snapToGrid w:val="0"/>
              <w:spacing w:before="0" w:beforeAutospacing="0" w:after="0" w:afterAutospacing="0" w:line="416" w:lineRule="exact"/>
              <w:ind w:left="0" w:right="0" w:firstLine="420" w:firstLineChars="200"/>
              <w:jc w:val="left"/>
              <w:rPr>
                <w:rFonts w:hint="default" w:cs="宋体"/>
                <w:color w:val="auto"/>
                <w:kern w:val="0"/>
                <w:szCs w:val="21"/>
              </w:rPr>
            </w:pPr>
            <w:r>
              <w:rPr>
                <w:rFonts w:hint="default" w:cs="宋体"/>
                <w:color w:val="auto"/>
                <w:kern w:val="0"/>
                <w:szCs w:val="21"/>
              </w:rPr>
              <w:t>劳动定员：项目劳动定员20人</w:t>
            </w:r>
            <w:r>
              <w:rPr>
                <w:rFonts w:hint="eastAsia" w:cs="宋体"/>
                <w:color w:val="auto"/>
                <w:kern w:val="0"/>
                <w:szCs w:val="21"/>
              </w:rPr>
              <w:t>。</w:t>
            </w:r>
            <w:r>
              <w:rPr>
                <w:rFonts w:hint="default" w:cs="宋体"/>
                <w:color w:val="auto"/>
                <w:kern w:val="0"/>
                <w:szCs w:val="21"/>
              </w:rPr>
              <w:t>工作制度：项目投产后，</w:t>
            </w:r>
            <w:r>
              <w:rPr>
                <w:rFonts w:hint="eastAsia" w:cs="宋体"/>
                <w:color w:val="auto"/>
                <w:kern w:val="0"/>
                <w:szCs w:val="21"/>
              </w:rPr>
              <w:t>实行</w:t>
            </w:r>
            <w:r>
              <w:rPr>
                <w:rFonts w:hint="default" w:cs="宋体"/>
                <w:color w:val="auto"/>
                <w:kern w:val="0"/>
                <w:szCs w:val="21"/>
              </w:rPr>
              <w:t>10</w:t>
            </w:r>
            <w:r>
              <w:rPr>
                <w:rFonts w:hint="eastAsia" w:cs="宋体"/>
                <w:color w:val="auto"/>
                <w:kern w:val="0"/>
                <w:szCs w:val="21"/>
              </w:rPr>
              <w:t>小时工作制，</w:t>
            </w:r>
            <w:r>
              <w:rPr>
                <w:rFonts w:hint="default" w:cs="宋体"/>
                <w:color w:val="auto"/>
                <w:kern w:val="0"/>
                <w:szCs w:val="21"/>
              </w:rPr>
              <w:t>年</w:t>
            </w:r>
            <w:r>
              <w:rPr>
                <w:rFonts w:hint="eastAsia" w:cs="宋体"/>
                <w:color w:val="auto"/>
                <w:kern w:val="0"/>
                <w:szCs w:val="21"/>
              </w:rPr>
              <w:t>工作日约3</w:t>
            </w:r>
            <w:r>
              <w:rPr>
                <w:rFonts w:hint="eastAsia" w:cs="宋体"/>
                <w:color w:val="auto"/>
                <w:kern w:val="0"/>
                <w:szCs w:val="21"/>
                <w:lang w:val="en-US" w:eastAsia="zh-CN"/>
              </w:rPr>
              <w:t>2</w:t>
            </w:r>
            <w:r>
              <w:rPr>
                <w:rFonts w:hint="eastAsia" w:cs="宋体"/>
                <w:color w:val="auto"/>
                <w:kern w:val="0"/>
                <w:szCs w:val="21"/>
              </w:rPr>
              <w:t>0</w:t>
            </w:r>
            <w:r>
              <w:rPr>
                <w:rFonts w:hint="default" w:cs="宋体"/>
                <w:color w:val="auto"/>
                <w:kern w:val="0"/>
                <w:szCs w:val="21"/>
              </w:rPr>
              <w:t>天</w:t>
            </w:r>
            <w:r>
              <w:rPr>
                <w:rFonts w:hint="eastAsia" w:cs="宋体"/>
                <w:color w:val="auto"/>
                <w:kern w:val="0"/>
                <w:szCs w:val="21"/>
              </w:rPr>
              <w:t>，年工作约</w:t>
            </w:r>
            <w:r>
              <w:rPr>
                <w:rFonts w:hint="default" w:cs="宋体"/>
                <w:color w:val="auto"/>
                <w:kern w:val="0"/>
                <w:szCs w:val="21"/>
              </w:rPr>
              <w:t>3</w:t>
            </w:r>
            <w:r>
              <w:rPr>
                <w:rFonts w:hint="eastAsia" w:cs="宋体"/>
                <w:color w:val="auto"/>
                <w:kern w:val="0"/>
                <w:szCs w:val="21"/>
                <w:lang w:val="en-US" w:eastAsia="zh-CN"/>
              </w:rPr>
              <w:t>2</w:t>
            </w:r>
            <w:r>
              <w:rPr>
                <w:rFonts w:hint="eastAsia" w:cs="宋体"/>
                <w:color w:val="auto"/>
                <w:kern w:val="0"/>
                <w:szCs w:val="21"/>
              </w:rPr>
              <w:t>00小时。</w:t>
            </w:r>
          </w:p>
          <w:p>
            <w:pPr>
              <w:keepNext w:val="0"/>
              <w:keepLines w:val="0"/>
              <w:suppressLineNumbers w:val="0"/>
              <w:adjustRightInd w:val="0"/>
              <w:snapToGrid w:val="0"/>
              <w:spacing w:before="0" w:beforeAutospacing="0" w:after="0" w:afterAutospacing="0" w:line="416"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9</w:t>
            </w:r>
            <w:r>
              <w:rPr>
                <w:rFonts w:hint="default" w:ascii="黑体" w:hAnsi="黑体" w:eastAsia="黑体" w:cs="宋体"/>
                <w:bCs/>
                <w:color w:val="auto"/>
                <w:sz w:val="22"/>
                <w:szCs w:val="22"/>
              </w:rPr>
              <w:t>、平面布置</w:t>
            </w:r>
            <w:r>
              <w:rPr>
                <w:rFonts w:hint="eastAsia" w:ascii="黑体" w:hAnsi="黑体" w:eastAsia="黑体" w:cs="宋体"/>
                <w:bCs/>
                <w:color w:val="auto"/>
                <w:sz w:val="22"/>
                <w:szCs w:val="22"/>
              </w:rPr>
              <w:t>情况</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cs="宋体"/>
                <w:color w:val="auto"/>
                <w:kern w:val="0"/>
                <w:szCs w:val="21"/>
              </w:rPr>
            </w:pPr>
            <w:r>
              <w:rPr>
                <w:rFonts w:hint="default" w:cs="宋体"/>
                <w:color w:val="auto"/>
                <w:kern w:val="0"/>
                <w:szCs w:val="21"/>
              </w:rPr>
              <w:t>根据项目占地地形</w:t>
            </w:r>
            <w:r>
              <w:rPr>
                <w:rFonts w:hint="eastAsia" w:cs="宋体"/>
                <w:color w:val="auto"/>
                <w:kern w:val="0"/>
                <w:szCs w:val="21"/>
                <w:lang w:val="en-US" w:eastAsia="zh-CN"/>
              </w:rPr>
              <w:t>条件</w:t>
            </w:r>
            <w:r>
              <w:rPr>
                <w:rFonts w:hint="default" w:cs="宋体"/>
                <w:color w:val="auto"/>
                <w:kern w:val="0"/>
                <w:szCs w:val="21"/>
              </w:rPr>
              <w:t>及外环境情况，项目在平面布置时充分利用</w:t>
            </w:r>
            <w:r>
              <w:rPr>
                <w:rFonts w:hint="eastAsia" w:cs="宋体"/>
                <w:color w:val="auto"/>
                <w:kern w:val="0"/>
                <w:szCs w:val="21"/>
                <w:lang w:val="en-US" w:eastAsia="zh-CN"/>
              </w:rPr>
              <w:t>周边既有道路</w:t>
            </w:r>
            <w:r>
              <w:rPr>
                <w:rFonts w:hint="default" w:cs="宋体"/>
                <w:color w:val="auto"/>
                <w:kern w:val="0"/>
                <w:szCs w:val="21"/>
              </w:rPr>
              <w:t>，厂区进出大门布置在占地</w:t>
            </w:r>
            <w:r>
              <w:rPr>
                <w:rFonts w:hint="eastAsia" w:cs="宋体"/>
                <w:color w:val="auto"/>
                <w:kern w:val="0"/>
                <w:szCs w:val="21"/>
                <w:lang w:val="en-US" w:eastAsia="zh-CN"/>
              </w:rPr>
              <w:t>北侧</w:t>
            </w:r>
            <w:r>
              <w:rPr>
                <w:rFonts w:hint="default" w:cs="宋体"/>
                <w:color w:val="auto"/>
                <w:kern w:val="0"/>
                <w:szCs w:val="21"/>
              </w:rPr>
              <w:t>，</w:t>
            </w:r>
            <w:r>
              <w:rPr>
                <w:rFonts w:hint="eastAsia" w:cs="宋体"/>
                <w:color w:val="auto"/>
                <w:kern w:val="0"/>
                <w:szCs w:val="21"/>
                <w:lang w:val="en-US" w:eastAsia="zh-CN"/>
              </w:rPr>
              <w:t>进出口设有地磅，</w:t>
            </w:r>
            <w:r>
              <w:rPr>
                <w:rFonts w:hint="default" w:cs="宋体"/>
                <w:color w:val="auto"/>
                <w:kern w:val="0"/>
                <w:szCs w:val="21"/>
              </w:rPr>
              <w:t>靠近</w:t>
            </w:r>
            <w:r>
              <w:rPr>
                <w:rFonts w:hint="eastAsia" w:cs="宋体"/>
                <w:color w:val="auto"/>
                <w:kern w:val="0"/>
                <w:szCs w:val="21"/>
                <w:lang w:val="en-US" w:eastAsia="zh-CN"/>
              </w:rPr>
              <w:t>村道</w:t>
            </w:r>
            <w:r>
              <w:rPr>
                <w:rFonts w:hint="default" w:cs="宋体"/>
                <w:color w:val="auto"/>
                <w:kern w:val="0"/>
                <w:szCs w:val="21"/>
              </w:rPr>
              <w:t>公路方便运输作业。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eastAsia" w:cs="宋体"/>
                <w:color w:val="auto"/>
                <w:kern w:val="0"/>
                <w:szCs w:val="21"/>
                <w:lang w:val="en-US" w:eastAsia="zh-CN"/>
              </w:rPr>
            </w:pPr>
            <w:r>
              <w:rPr>
                <w:rFonts w:hint="eastAsia" w:cs="宋体"/>
                <w:color w:val="auto"/>
                <w:kern w:val="0"/>
                <w:szCs w:val="21"/>
                <w:lang w:val="en-US" w:eastAsia="zh-CN"/>
              </w:rPr>
              <w:t>项目占地呈不规整的正方形，北侧和西侧有村道公路。厂区东侧沿用地边界修建有一条内部道路，从厂区占地东北角沿东侧及南侧围墙一直延伸至干化污泥贮存池。内部道路主要用于项目的原料及产品等物料运输。厂区生产车间布置在占地的南侧，此处地形宽敞利于车间布置，且与西面住户相距较远，避免生产过程产生扰民影响。车间整体上为长方形，整体上为南北走向北端偏西；车间内部按照工艺流程，各生产设备由南向北布置，再折回；最终出产品的洗砂设备和振动筛分机位于车间北侧，此处靠近北侧的产品库，所有物料经由皮带机输送。在车间的西侧布置废水收集处理设施，以及污泥压滤处理设施。废水及污泥处理设施布置在车间内，既能防雨又靠近污染产生源头，便于废水收集处理并回用。本项目厂区内设置有一个原料堆场，位于生产车间的东侧，靠近振动给料机旁边，方便生产时铲装上料。</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eastAsia" w:cs="宋体"/>
                <w:color w:val="auto"/>
                <w:kern w:val="0"/>
                <w:szCs w:val="21"/>
                <w:lang w:val="en-US" w:eastAsia="zh-CN"/>
              </w:rPr>
            </w:pPr>
            <w:r>
              <w:rPr>
                <w:rFonts w:hint="eastAsia" w:cs="宋体"/>
                <w:color w:val="auto"/>
                <w:kern w:val="0"/>
                <w:szCs w:val="21"/>
                <w:lang w:val="en-US" w:eastAsia="zh-CN"/>
              </w:rPr>
              <w:t>本项目厂区地势整体上南高北低，因此设计在西北角设置一个散水收集池，主要收集厂区露天区域的初期雨水，以及产品库的产品渗沥水，并通过水泵及管道返回至污水池回用不外排。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cs="宋体"/>
                <w:color w:val="auto"/>
                <w:kern w:val="0"/>
                <w:szCs w:val="21"/>
                <w:lang w:val="en-US" w:eastAsia="zh-CN"/>
              </w:rPr>
            </w:pPr>
            <w:r>
              <w:rPr>
                <w:rFonts w:hint="eastAsia" w:cs="宋体"/>
                <w:color w:val="auto"/>
                <w:kern w:val="0"/>
                <w:szCs w:val="21"/>
                <w:lang w:val="en-US" w:eastAsia="zh-CN"/>
              </w:rPr>
              <w:t>本项目生产车间的南侧修建有操控室、机修间以及危废暂存间，此处更靠近生产车间，便于机械维修和危废收集暂存。</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cs="宋体"/>
                <w:color w:val="auto"/>
                <w:kern w:val="0"/>
                <w:szCs w:val="21"/>
              </w:rPr>
              <w:t>项目</w:t>
            </w:r>
            <w:r>
              <w:rPr>
                <w:rFonts w:hint="eastAsia" w:cs="宋体"/>
                <w:color w:val="auto"/>
                <w:kern w:val="0"/>
                <w:szCs w:val="21"/>
                <w:lang w:val="en-US" w:eastAsia="zh-CN"/>
              </w:rPr>
              <w:t>拟</w:t>
            </w:r>
            <w:r>
              <w:rPr>
                <w:rFonts w:hint="default" w:cs="宋体"/>
                <w:color w:val="auto"/>
                <w:kern w:val="0"/>
                <w:szCs w:val="21"/>
              </w:rPr>
              <w:t>租用</w:t>
            </w:r>
            <w:r>
              <w:rPr>
                <w:rFonts w:hint="eastAsia" w:cs="宋体"/>
                <w:color w:val="auto"/>
                <w:kern w:val="0"/>
                <w:szCs w:val="21"/>
                <w:lang w:val="en-US" w:eastAsia="zh-CN"/>
              </w:rPr>
              <w:t>厂区西侧的两栋居民闲置房屋作为办公生活用水，设置有办公室、值班室及会议室等，</w:t>
            </w:r>
            <w:r>
              <w:rPr>
                <w:rFonts w:hint="default" w:cs="宋体"/>
                <w:color w:val="auto"/>
                <w:kern w:val="0"/>
                <w:szCs w:val="21"/>
              </w:rPr>
              <w:t>不设置职工宿舍和食堂等设施。</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rPr>
            </w:pPr>
            <w:r>
              <w:rPr>
                <w:rFonts w:hint="default"/>
                <w:color w:val="auto"/>
                <w:kern w:val="0"/>
                <w:szCs w:val="21"/>
                <w:lang w:val="zh-CN"/>
              </w:rPr>
              <w:t>评价认为，项目平面布置合理紧凑，充分利用了周围自然地形、地势，生产场地功能分区明确，便于生产、运输和管理。</w:t>
            </w:r>
            <w:r>
              <w:rPr>
                <w:rFonts w:hint="default"/>
                <w:color w:val="auto"/>
                <w:kern w:val="0"/>
                <w:szCs w:val="21"/>
              </w:rPr>
              <w:t>评价认为，项目平面布置合理可行。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823"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color w:val="auto"/>
                <w:sz w:val="21"/>
                <w:szCs w:val="21"/>
              </w:rPr>
              <w:t>工艺流程和产排污环节</w:t>
            </w:r>
          </w:p>
        </w:tc>
        <w:tc>
          <w:tcPr>
            <w:tcW w:w="8036" w:type="dxa"/>
            <w:tcBorders>
              <w:top w:val="single" w:color="auto" w:sz="4" w:space="0"/>
              <w:left w:val="single" w:color="auto" w:sz="4" w:space="0"/>
              <w:bottom w:val="single" w:color="auto" w:sz="4" w:space="0"/>
              <w:right w:val="single" w:color="auto" w:sz="8" w:space="0"/>
            </w:tcBorders>
          </w:tcPr>
          <w:p>
            <w:pPr>
              <w:keepNext w:val="0"/>
              <w:keepLines w:val="0"/>
              <w:suppressLineNumbers w:val="0"/>
              <w:adjustRightInd w:val="0"/>
              <w:snapToGrid w:val="0"/>
              <w:spacing w:before="0" w:beforeAutospacing="0" w:after="0" w:afterAutospacing="0" w:line="380" w:lineRule="exact"/>
              <w:ind w:left="0" w:right="0"/>
              <w:jc w:val="left"/>
              <w:rPr>
                <w:rFonts w:hint="default" w:ascii="黑体" w:hAnsi="黑体" w:eastAsia="黑体" w:cs="宋体"/>
                <w:bCs/>
                <w:color w:val="auto"/>
                <w:sz w:val="24"/>
              </w:rPr>
            </w:pPr>
            <w:r>
              <w:rPr>
                <w:rFonts w:hint="eastAsia" w:ascii="黑体" w:hAnsi="黑体" w:eastAsia="黑体" w:cs="宋体"/>
                <w:bCs/>
                <w:color w:val="auto"/>
                <w:sz w:val="22"/>
                <w:szCs w:val="22"/>
              </w:rPr>
              <w:t>1</w:t>
            </w:r>
            <w:r>
              <w:rPr>
                <w:rFonts w:hint="default" w:ascii="黑体" w:hAnsi="黑体" w:eastAsia="黑体" w:cs="宋体"/>
                <w:bCs/>
                <w:color w:val="auto"/>
                <w:sz w:val="22"/>
                <w:szCs w:val="22"/>
              </w:rPr>
              <w:t>、</w:t>
            </w:r>
            <w:r>
              <w:rPr>
                <w:rFonts w:hint="eastAsia" w:ascii="黑体" w:hAnsi="黑体" w:eastAsia="黑体" w:cs="宋体"/>
                <w:bCs/>
                <w:color w:val="auto"/>
                <w:sz w:val="22"/>
                <w:szCs w:val="22"/>
              </w:rPr>
              <w:t>施工期工艺流程及产污环节</w:t>
            </w:r>
          </w:p>
          <w:p>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cs="宋体"/>
                <w:color w:val="auto"/>
                <w:kern w:val="0"/>
                <w:szCs w:val="21"/>
              </w:rPr>
            </w:pPr>
            <w:r>
              <w:rPr>
                <w:rFonts w:hint="eastAsia" w:cs="宋体"/>
                <w:color w:val="auto"/>
                <w:kern w:val="0"/>
                <w:szCs w:val="21"/>
              </w:rPr>
              <w:t>（</w:t>
            </w:r>
            <w:r>
              <w:rPr>
                <w:rFonts w:hint="default" w:cs="宋体"/>
                <w:color w:val="auto"/>
                <w:kern w:val="0"/>
                <w:szCs w:val="21"/>
              </w:rPr>
              <w:t>1</w:t>
            </w:r>
            <w:r>
              <w:rPr>
                <w:rFonts w:hint="eastAsia" w:cs="宋体"/>
                <w:color w:val="auto"/>
                <w:kern w:val="0"/>
                <w:szCs w:val="21"/>
              </w:rPr>
              <w:t>）工艺流程</w:t>
            </w:r>
          </w:p>
          <w:p>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color w:val="auto"/>
                <w:kern w:val="0"/>
                <w:szCs w:val="21"/>
              </w:rPr>
            </w:pPr>
            <w:r>
              <w:rPr>
                <w:rFonts w:hint="default"/>
                <w:color w:val="auto"/>
                <w:sz w:val="21"/>
              </w:rPr>
              <mc:AlternateContent>
                <mc:Choice Requires="wpg">
                  <w:drawing>
                    <wp:anchor distT="0" distB="0" distL="114300" distR="114300" simplePos="0" relativeHeight="251672576" behindDoc="0" locked="0" layoutInCell="1" allowOverlap="1">
                      <wp:simplePos x="0" y="0"/>
                      <wp:positionH relativeFrom="column">
                        <wp:posOffset>60960</wp:posOffset>
                      </wp:positionH>
                      <wp:positionV relativeFrom="paragraph">
                        <wp:posOffset>719455</wp:posOffset>
                      </wp:positionV>
                      <wp:extent cx="4768850" cy="1172845"/>
                      <wp:effectExtent l="4445" t="0" r="8255" b="6985"/>
                      <wp:wrapNone/>
                      <wp:docPr id="150" name="组合 150"/>
                      <wp:cNvGraphicFramePr/>
                      <a:graphic xmlns:a="http://schemas.openxmlformats.org/drawingml/2006/main">
                        <a:graphicData uri="http://schemas.microsoft.com/office/word/2010/wordprocessingGroup">
                          <wpg:wgp>
                            <wpg:cNvGrpSpPr/>
                            <wpg:grpSpPr>
                              <a:xfrm>
                                <a:off x="0" y="0"/>
                                <a:ext cx="4768850" cy="1172845"/>
                                <a:chOff x="3077" y="577229"/>
                                <a:chExt cx="7510" cy="1847"/>
                              </a:xfrm>
                            </wpg:grpSpPr>
                            <wps:wsp>
                              <wps:cNvPr id="122" name="文本框 122"/>
                              <wps:cNvSpPr txBox="1"/>
                              <wps:spPr>
                                <a:xfrm>
                                  <a:off x="9347" y="578455"/>
                                  <a:ext cx="1189" cy="49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pPr>
                                    <w:r>
                                      <w:rPr>
                                        <w:rFonts w:hint="eastAsia"/>
                                      </w:rPr>
                                      <w:t>设备安装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直接箭头连接符 123"/>
                              <wps:cNvCnPr/>
                              <wps:spPr>
                                <a:xfrm>
                                  <a:off x="4965" y="578730"/>
                                  <a:ext cx="567" cy="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 name="直接箭头连接符 124"/>
                              <wps:cNvCnPr/>
                              <wps:spPr>
                                <a:xfrm>
                                  <a:off x="6944" y="578689"/>
                                  <a:ext cx="566" cy="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直接箭头连接符 125"/>
                              <wps:cNvCnPr/>
                              <wps:spPr>
                                <a:xfrm>
                                  <a:off x="8683" y="578688"/>
                                  <a:ext cx="671" cy="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直接箭头连接符 126"/>
                              <wps:cNvCnPr/>
                              <wps:spPr>
                                <a:xfrm flipV="1">
                                  <a:off x="4045" y="577929"/>
                                  <a:ext cx="1" cy="37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28" name="直接箭头连接符 128"/>
                              <wps:cNvCnPr/>
                              <wps:spPr>
                                <a:xfrm flipV="1">
                                  <a:off x="6211" y="577929"/>
                                  <a:ext cx="1" cy="37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32" name="文本框 132"/>
                              <wps:cNvSpPr txBox="1"/>
                              <wps:spPr>
                                <a:xfrm>
                                  <a:off x="9283" y="577381"/>
                                  <a:ext cx="1304" cy="7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sz w:val="18"/>
                                        <w:szCs w:val="18"/>
                                      </w:rPr>
                                    </w:pPr>
                                    <w:r>
                                      <w:rPr>
                                        <w:rFonts w:hint="eastAsia"/>
                                        <w:sz w:val="18"/>
                                        <w:szCs w:val="18"/>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119"/>
                              <wps:cNvSpPr txBox="1"/>
                              <wps:spPr>
                                <a:xfrm>
                                  <a:off x="3077" y="578296"/>
                                  <a:ext cx="1879" cy="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rFonts w:hint="default" w:eastAsia="宋体"/>
                                        <w:lang w:val="en-US" w:eastAsia="zh-CN"/>
                                      </w:rPr>
                                    </w:pPr>
                                    <w:r>
                                      <w:rPr>
                                        <w:rFonts w:hint="eastAsia"/>
                                      </w:rPr>
                                      <w:t>场地清理、旧</w:t>
                                    </w:r>
                                    <w:r>
                                      <w:t>厂房拆除</w:t>
                                    </w:r>
                                    <w:r>
                                      <w:rPr>
                                        <w:rFonts w:hint="eastAsia"/>
                                      </w:rPr>
                                      <w:t>、</w:t>
                                    </w:r>
                                    <w:r>
                                      <w:rPr>
                                        <w:rFonts w:hint="eastAsia"/>
                                        <w:lang w:val="en-US" w:eastAsia="zh-CN"/>
                                      </w:rPr>
                                      <w:t>设备拆除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文本框 120"/>
                              <wps:cNvSpPr txBox="1"/>
                              <wps:spPr>
                                <a:xfrm>
                                  <a:off x="5517" y="578311"/>
                                  <a:ext cx="1430" cy="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pPr>
                                    <w:r>
                                      <w:rPr>
                                        <w:rFonts w:hint="eastAsia"/>
                                      </w:rPr>
                                      <w:t>生产</w:t>
                                    </w:r>
                                    <w:r>
                                      <w:t>车间</w:t>
                                    </w:r>
                                    <w:r>
                                      <w:rPr>
                                        <w:rFonts w:hint="eastAsia"/>
                                      </w:rPr>
                                      <w:t>的</w:t>
                                    </w:r>
                                  </w:p>
                                  <w:p>
                                    <w:pPr>
                                      <w:spacing w:line="320" w:lineRule="exact"/>
                                      <w:jc w:val="center"/>
                                    </w:pPr>
                                    <w:r>
                                      <w:t>修建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文本框 121"/>
                              <wps:cNvSpPr txBox="1"/>
                              <wps:spPr>
                                <a:xfrm>
                                  <a:off x="7467" y="578281"/>
                                  <a:ext cx="1189" cy="7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20" w:lineRule="exact"/>
                                    </w:pPr>
                                    <w:r>
                                      <w:rPr>
                                        <w:rFonts w:hint="eastAsia"/>
                                      </w:rPr>
                                      <w:t>水池</w:t>
                                    </w:r>
                                    <w:r>
                                      <w:t>等构筑物建设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文本框 2"/>
                              <wps:cNvSpPr txBox="1"/>
                              <wps:spPr>
                                <a:xfrm>
                                  <a:off x="5583" y="577256"/>
                                  <a:ext cx="1304" cy="8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sz w:val="18"/>
                                        <w:szCs w:val="18"/>
                                      </w:rPr>
                                    </w:pPr>
                                    <w:r>
                                      <w:rPr>
                                        <w:rFonts w:hint="eastAsia"/>
                                        <w:sz w:val="18"/>
                                        <w:szCs w:val="18"/>
                                      </w:rPr>
                                      <w:t>废气</w:t>
                                    </w:r>
                                    <w:r>
                                      <w:rPr>
                                        <w:sz w:val="18"/>
                                        <w:szCs w:val="18"/>
                                      </w:rPr>
                                      <w:t>、废水、</w:t>
                                    </w:r>
                                    <w:r>
                                      <w:rPr>
                                        <w:rFonts w:hint="eastAsia"/>
                                        <w:sz w:val="18"/>
                                        <w:szCs w:val="18"/>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直接箭头连接符 133"/>
                              <wps:cNvCnPr/>
                              <wps:spPr>
                                <a:xfrm flipV="1">
                                  <a:off x="9920" y="578088"/>
                                  <a:ext cx="1" cy="34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34" name="文本框 134"/>
                              <wps:cNvSpPr txBox="1"/>
                              <wps:spPr>
                                <a:xfrm>
                                  <a:off x="3428" y="577229"/>
                                  <a:ext cx="1345" cy="7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center"/>
                                      <w:rPr>
                                        <w:sz w:val="18"/>
                                        <w:szCs w:val="18"/>
                                      </w:rPr>
                                    </w:pPr>
                                    <w:r>
                                      <w:rPr>
                                        <w:rFonts w:hint="eastAsia"/>
                                        <w:sz w:val="18"/>
                                        <w:szCs w:val="18"/>
                                      </w:rPr>
                                      <w:t>废气、噪声、固废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 name="文本框 131"/>
                              <wps:cNvSpPr txBox="1"/>
                              <wps:spPr>
                                <a:xfrm>
                                  <a:off x="7447" y="577252"/>
                                  <a:ext cx="1304" cy="8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sz w:val="18"/>
                                        <w:szCs w:val="18"/>
                                      </w:rPr>
                                    </w:pPr>
                                    <w:r>
                                      <w:rPr>
                                        <w:rFonts w:hint="eastAsia"/>
                                        <w:sz w:val="18"/>
                                        <w:szCs w:val="18"/>
                                      </w:rPr>
                                      <w:t>废气</w:t>
                                    </w:r>
                                    <w:r>
                                      <w:rPr>
                                        <w:sz w:val="18"/>
                                        <w:szCs w:val="18"/>
                                      </w:rPr>
                                      <w:t>、废水、</w:t>
                                    </w:r>
                                    <w:r>
                                      <w:rPr>
                                        <w:rFonts w:hint="eastAsia"/>
                                        <w:sz w:val="18"/>
                                        <w:szCs w:val="18"/>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直接箭头连接符 129"/>
                              <wps:cNvCnPr/>
                              <wps:spPr>
                                <a:xfrm flipV="1">
                                  <a:off x="8076" y="577918"/>
                                  <a:ext cx="1" cy="37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8pt;margin-top:56.65pt;height:92.35pt;width:375.5pt;z-index:251672576;mso-width-relative:page;mso-height-relative:page;" coordorigin="3077,577229" coordsize="7510,1847" o:gfxdata="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AAAAABkcnMvUEsBAhQAFAAAAAgAh07iQEj0zajZ&#10;AAAACQEAAA8AAAAAAAAAAQAgAAAAIgAAAGRycy9kb3ducmV2LnhtbFBLAQIUABQAAAAIAIdO4kAY&#10;a4qxdgUAAE4mAAAOAAAAAAAAAAEAIAAAACgBAABkcnMvZTJvRG9jLnhtbFBLBQYAAAAABgAGAFkB&#10;AAAQCQAAAAA=&#10;">
                      <o:lock v:ext="edit" aspectratio="f"/>
                      <v:shape id="_x0000_s1026" o:spid="_x0000_s1026" o:spt="202" type="#_x0000_t202" style="position:absolute;left:9347;top:578455;height:493;width:1189;" fillcolor="#FFFFFF [3201]" filled="t" stroked="t" coordsize="21600,21600" o:gfxdata="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I9xu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spacing w:line="320" w:lineRule="exact"/>
                              </w:pPr>
                              <w:r>
                                <w:rPr>
                                  <w:rFonts w:hint="eastAsia"/>
                                </w:rPr>
                                <w:t>设备安装</w:t>
                              </w:r>
                            </w:p>
                          </w:txbxContent>
                        </v:textbox>
                      </v:shape>
                      <v:shape id="_x0000_s1026" o:spid="_x0000_s1026" o:spt="32" type="#_x0000_t32" style="position:absolute;left:4965;top:578730;height:1;width:567;" filled="f" stroked="t" coordsize="21600,21600" o:gfxdata="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3r+5AAAA3AAA&#10;AA8AAAAAAAAAAQAgAAAAIgAAAGRycy9kb3ducmV2LnhtbFBLAQIUABQAAAAIAIdO4kAzLwWeOwAA&#10;ADkAAAAQAAAAAAAAAAEAIAAAAAgBAABkcnMvc2hhcGV4bWwueG1sUEsFBgAAAAAGAAYAWwEAALID&#10;AAAAAA==&#10;">
                        <v:fill on="f" focussize="0,0"/>
                        <v:stroke weight="1pt" color="#000000 [3213]" joinstyle="round" endarrow="block"/>
                        <v:imagedata o:title=""/>
                        <o:lock v:ext="edit" aspectratio="f"/>
                      </v:shape>
                      <v:shape id="_x0000_s1026" o:spid="_x0000_s1026" o:spt="32" type="#_x0000_t32" style="position:absolute;left:6944;top:578689;height:1;width:566;" filled="f" stroked="t" coordsize="21600,21600" o:gfxdata="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VkbLtwAAANwAAAAP&#10;AAAAAAAAAAEAIAAAACIAAABkcnMvZG93bnJldi54bWxQSwECFAAUAAAACACHTuJAMy8FnjsAAAA5&#10;AAAAEAAAAAAAAAABACAAAAAGAQAAZHJzL3NoYXBleG1sLnhtbFBLBQYAAAAABgAGAFsBAACwAwAA&#10;AAA=&#10;">
                        <v:fill on="f" focussize="0,0"/>
                        <v:stroke weight="1pt" color="#000000 [3213]" joinstyle="round" endarrow="block"/>
                        <v:imagedata o:title=""/>
                        <o:lock v:ext="edit" aspectratio="f"/>
                      </v:shape>
                      <v:shape id="_x0000_s1026" o:spid="_x0000_s1026" o:spt="32" type="#_x0000_t32" style="position:absolute;left:8683;top:578688;height:1;width:671;" filled="f" stroked="t" coordsize="21600,21600" o:gfxdata="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a41C5AAAA3AAA&#10;AA8AAAAAAAAAAQAgAAAAIgAAAGRycy9kb3ducmV2LnhtbFBLAQIUABQAAAAIAIdO4kAzLwWeOwAA&#10;ADkAAAAQAAAAAAAAAAEAIAAAAAgBAABkcnMvc2hhcGV4bWwueG1sUEsFBgAAAAAGAAYAWwEAALID&#10;AAAAAA==&#10;">
                        <v:fill on="f" focussize="0,0"/>
                        <v:stroke weight="1pt" color="#000000 [3213]" joinstyle="round" endarrow="block"/>
                        <v:imagedata o:title=""/>
                        <o:lock v:ext="edit" aspectratio="f"/>
                      </v:shape>
                      <v:shape id="_x0000_s1026" o:spid="_x0000_s1026" o:spt="32" type="#_x0000_t32" style="position:absolute;left:4045;top:577929;flip:y;height:375;width:1;" filled="f" stroked="t" coordsize="21600,21600" o:gfxdata="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sMXE&#10;wAAAANwAAAAPAAAAAAAAAAEAIAAAACIAAABkcnMvZG93bnJldi54bWxQSwECFAAUAAAACACHTuJA&#10;My8FnjsAAAA5AAAAEAAAAAAAAAABACAAAAAPAQAAZHJzL3NoYXBleG1sLnhtbFBLBQYAAAAABgAG&#10;AFsBAAC5AwAAAAA=&#10;">
                        <v:fill on="f" focussize="0,0"/>
                        <v:stroke weight="1pt" color="#000000 [3213]" joinstyle="round" dashstyle="dash" endarrow="block"/>
                        <v:imagedata o:title=""/>
                        <o:lock v:ext="edit" aspectratio="f"/>
                      </v:shape>
                      <v:shape id="_x0000_s1026" o:spid="_x0000_s1026" o:spt="32" type="#_x0000_t32" style="position:absolute;left:6211;top:577929;flip:y;height:375;width:1;" filled="f" stroked="t" coordsize="21600,21600" o:gfxdata="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Qt&#10;wAAAANwAAAAPAAAAAAAAAAEAIAAAACIAAABkcnMvZG93bnJldi54bWxQSwECFAAUAAAACACHTuJA&#10;My8FnjsAAAA5AAAAEAAAAAAAAAABACAAAAAPAQAAZHJzL3NoYXBleG1sLnhtbFBLBQYAAAAABgAG&#10;AFsBAAC5AwAAAAA=&#10;">
                        <v:fill on="f" focussize="0,0"/>
                        <v:stroke weight="1pt" color="#000000 [3213]" joinstyle="round" dashstyle="dash" endarrow="block"/>
                        <v:imagedata o:title=""/>
                        <o:lock v:ext="edit" aspectratio="f"/>
                      </v:shape>
                      <v:shape id="_x0000_s1026" o:spid="_x0000_s1026" o:spt="202" type="#_x0000_t202" style="position:absolute;left:9283;top:577381;height:773;width:1304;" filled="f" stroked="f" coordsize="21600,21600" o:gfxdata="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4/N+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320" w:lineRule="exact"/>
                                <w:jc w:val="center"/>
                                <w:rPr>
                                  <w:sz w:val="18"/>
                                  <w:szCs w:val="18"/>
                                </w:rPr>
                              </w:pPr>
                              <w:r>
                                <w:rPr>
                                  <w:rFonts w:hint="eastAsia"/>
                                  <w:sz w:val="18"/>
                                  <w:szCs w:val="18"/>
                                </w:rPr>
                                <w:t>废气、噪声、固废</w:t>
                              </w:r>
                            </w:p>
                          </w:txbxContent>
                        </v:textbox>
                      </v:shape>
                      <v:shape id="_x0000_s1026" o:spid="_x0000_s1026" o:spt="202" type="#_x0000_t202" style="position:absolute;left:3077;top:578296;height:780;width:1879;" fillcolor="#FFFFFF [3201]" filled="t" stroked="t" coordsize="21600,21600" o:gfxdata="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Ecpd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spacing w:line="320" w:lineRule="exact"/>
                                <w:jc w:val="center"/>
                                <w:rPr>
                                  <w:rFonts w:hint="default" w:eastAsia="宋体"/>
                                  <w:lang w:val="en-US" w:eastAsia="zh-CN"/>
                                </w:rPr>
                              </w:pPr>
                              <w:r>
                                <w:rPr>
                                  <w:rFonts w:hint="eastAsia"/>
                                </w:rPr>
                                <w:t>场地清理、旧</w:t>
                              </w:r>
                              <w:r>
                                <w:t>厂房拆除</w:t>
                              </w:r>
                              <w:r>
                                <w:rPr>
                                  <w:rFonts w:hint="eastAsia"/>
                                </w:rPr>
                                <w:t>、</w:t>
                              </w:r>
                              <w:r>
                                <w:rPr>
                                  <w:rFonts w:hint="eastAsia"/>
                                  <w:lang w:val="en-US" w:eastAsia="zh-CN"/>
                                </w:rPr>
                                <w:t>设备拆除</w:t>
                              </w:r>
                            </w:p>
                          </w:txbxContent>
                        </v:textbox>
                      </v:shape>
                      <v:shape id="_x0000_s1026" o:spid="_x0000_s1026" o:spt="202" type="#_x0000_t202" style="position:absolute;left:5517;top:578311;height:750;width:1430;" fillcolor="#FFFFFF [3201]" filled="t" stroked="t" coordsize="21600,21600" o:gfxdata="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EUpW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spacing w:line="320" w:lineRule="exact"/>
                                <w:jc w:val="center"/>
                              </w:pPr>
                              <w:r>
                                <w:rPr>
                                  <w:rFonts w:hint="eastAsia"/>
                                </w:rPr>
                                <w:t>生产</w:t>
                              </w:r>
                              <w:r>
                                <w:t>车间</w:t>
                              </w:r>
                              <w:r>
                                <w:rPr>
                                  <w:rFonts w:hint="eastAsia"/>
                                </w:rPr>
                                <w:t>的</w:t>
                              </w:r>
                            </w:p>
                            <w:p>
                              <w:pPr>
                                <w:spacing w:line="320" w:lineRule="exact"/>
                                <w:jc w:val="center"/>
                              </w:pPr>
                              <w:r>
                                <w:t>修建</w:t>
                              </w:r>
                            </w:p>
                          </w:txbxContent>
                        </v:textbox>
                      </v:shape>
                      <v:shape id="_x0000_s1026" o:spid="_x0000_s1026" o:spt="202" type="#_x0000_t202" style="position:absolute;left:7467;top:578281;height:790;width:1189;" fillcolor="#FFFFFF [3201]" filled="t" stroked="t" coordsize="21600,21600" o:gfxdata="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F3vz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spacing w:line="320" w:lineRule="exact"/>
                              </w:pPr>
                              <w:r>
                                <w:rPr>
                                  <w:rFonts w:hint="eastAsia"/>
                                </w:rPr>
                                <w:t>水池</w:t>
                              </w:r>
                              <w:r>
                                <w:t>等构筑物建设</w:t>
                              </w:r>
                            </w:p>
                          </w:txbxContent>
                        </v:textbox>
                      </v:shape>
                      <v:shape id="_x0000_s1026" o:spid="_x0000_s1026" o:spt="202" type="#_x0000_t202" style="position:absolute;left:5583;top:577256;height:838;width:1304;" filled="f" stroked="f" coordsize="21600,21600" o:gfxdata="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sWi8AAAA&#10;2g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320" w:lineRule="exact"/>
                                <w:rPr>
                                  <w:sz w:val="18"/>
                                  <w:szCs w:val="18"/>
                                </w:rPr>
                              </w:pPr>
                              <w:r>
                                <w:rPr>
                                  <w:rFonts w:hint="eastAsia"/>
                                  <w:sz w:val="18"/>
                                  <w:szCs w:val="18"/>
                                </w:rPr>
                                <w:t>废气</w:t>
                              </w:r>
                              <w:r>
                                <w:rPr>
                                  <w:sz w:val="18"/>
                                  <w:szCs w:val="18"/>
                                </w:rPr>
                                <w:t>、废水、</w:t>
                              </w:r>
                              <w:r>
                                <w:rPr>
                                  <w:rFonts w:hint="eastAsia"/>
                                  <w:sz w:val="18"/>
                                  <w:szCs w:val="18"/>
                                </w:rPr>
                                <w:t>噪声、固废</w:t>
                              </w:r>
                            </w:p>
                          </w:txbxContent>
                        </v:textbox>
                      </v:shape>
                      <v:shape id="_x0000_s1026" o:spid="_x0000_s1026" o:spt="32" type="#_x0000_t32" style="position:absolute;left:9920;top:578088;flip:y;height:340;width:1;" filled="f" stroked="t" coordsize="21600,21600" o:gfxdata="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x7w&#10;gcEAAADcAAAADwAAAAAAAAABACAAAAAiAAAAZHJzL2Rvd25yZXYueG1sUEsBAhQAFAAAAAgAh07i&#10;QDMvBZ47AAAAOQAAABAAAAAAAAAAAQAgAAAAEAEAAGRycy9zaGFwZXhtbC54bWxQSwUGAAAAAAYA&#10;BgBbAQAAugMAAAAA&#10;">
                        <v:fill on="f" focussize="0,0"/>
                        <v:stroke weight="1pt" color="#000000 [3213]" joinstyle="round" dashstyle="dash" endarrow="block"/>
                        <v:imagedata o:title=""/>
                        <o:lock v:ext="edit" aspectratio="f"/>
                      </v:shape>
                      <v:shape id="_x0000_s1026" o:spid="_x0000_s1026" o:spt="202" type="#_x0000_t202" style="position:absolute;left:3428;top:577229;height:773;width:1345;" filled="f" stroked="f" coordsize="21600,21600" o:gfxdata="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dwT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320" w:lineRule="exact"/>
                                <w:jc w:val="center"/>
                                <w:rPr>
                                  <w:sz w:val="18"/>
                                  <w:szCs w:val="18"/>
                                </w:rPr>
                              </w:pPr>
                              <w:r>
                                <w:rPr>
                                  <w:rFonts w:hint="eastAsia"/>
                                  <w:sz w:val="18"/>
                                  <w:szCs w:val="18"/>
                                </w:rPr>
                                <w:t>废气、噪声、固废</w:t>
                              </w:r>
                            </w:p>
                          </w:txbxContent>
                        </v:textbox>
                      </v:shape>
                      <v:shape id="_x0000_s1026" o:spid="_x0000_s1026" o:spt="202" type="#_x0000_t202" style="position:absolute;left:7447;top:577252;height:838;width:1304;" filled="f" stroked="f" coordsize="21600,21600" o:gfxdata="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Yq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320" w:lineRule="exact"/>
                                <w:rPr>
                                  <w:sz w:val="18"/>
                                  <w:szCs w:val="18"/>
                                </w:rPr>
                              </w:pPr>
                              <w:r>
                                <w:rPr>
                                  <w:rFonts w:hint="eastAsia"/>
                                  <w:sz w:val="18"/>
                                  <w:szCs w:val="18"/>
                                </w:rPr>
                                <w:t>废气</w:t>
                              </w:r>
                              <w:r>
                                <w:rPr>
                                  <w:sz w:val="18"/>
                                  <w:szCs w:val="18"/>
                                </w:rPr>
                                <w:t>、废水、</w:t>
                              </w:r>
                              <w:r>
                                <w:rPr>
                                  <w:rFonts w:hint="eastAsia"/>
                                  <w:sz w:val="18"/>
                                  <w:szCs w:val="18"/>
                                </w:rPr>
                                <w:t>噪声、固废</w:t>
                              </w:r>
                            </w:p>
                          </w:txbxContent>
                        </v:textbox>
                      </v:shape>
                      <v:shape id="_x0000_s1026" o:spid="_x0000_s1026" o:spt="32" type="#_x0000_t32" style="position:absolute;left:8076;top:577918;flip:y;height:375;width:1;" filled="f" stroked="t" coordsize="21600,21600" o:gfxdata="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y9R&#10;tsEAAADcAAAADwAAAAAAAAABACAAAAAiAAAAZHJzL2Rvd25yZXYueG1sUEsBAhQAFAAAAAgAh07i&#10;QDMvBZ47AAAAOQAAABAAAAAAAAAAAQAgAAAAEAEAAGRycy9zaGFwZXhtbC54bWxQSwUGAAAAAAYA&#10;BgBbAQAAugMAAAAA&#10;">
                        <v:fill on="f" focussize="0,0"/>
                        <v:stroke weight="1pt" color="#000000 [3213]" joinstyle="round" dashstyle="dash" endarrow="block"/>
                        <v:imagedata o:title=""/>
                        <o:lock v:ext="edit" aspectratio="f"/>
                      </v:shape>
                    </v:group>
                  </w:pict>
                </mc:Fallback>
              </mc:AlternateContent>
            </w:r>
            <w:r>
              <w:rPr>
                <w:rFonts w:hint="eastAsia"/>
                <w:color w:val="auto"/>
                <w:kern w:val="0"/>
                <w:szCs w:val="21"/>
              </w:rPr>
              <w:t>项目占地原为</w:t>
            </w:r>
            <w:r>
              <w:rPr>
                <w:rFonts w:hint="eastAsia"/>
                <w:color w:val="auto"/>
                <w:kern w:val="0"/>
                <w:szCs w:val="21"/>
                <w:lang w:val="en-US" w:eastAsia="zh-CN"/>
              </w:rPr>
              <w:t>生财页岩烧结砖厂的厂区</w:t>
            </w:r>
            <w:r>
              <w:rPr>
                <w:rFonts w:hint="eastAsia"/>
                <w:color w:val="auto"/>
                <w:kern w:val="0"/>
                <w:szCs w:val="21"/>
              </w:rPr>
              <w:t>。施工期主要是进行场地的清理平整、废旧轻钢厂房</w:t>
            </w:r>
            <w:r>
              <w:rPr>
                <w:rFonts w:hint="eastAsia"/>
                <w:color w:val="auto"/>
                <w:kern w:val="0"/>
                <w:szCs w:val="21"/>
                <w:lang w:val="en-US" w:eastAsia="zh-CN"/>
              </w:rPr>
              <w:t>及设备</w:t>
            </w:r>
            <w:r>
              <w:rPr>
                <w:rFonts w:hint="eastAsia"/>
                <w:color w:val="auto"/>
                <w:kern w:val="0"/>
                <w:szCs w:val="21"/>
              </w:rPr>
              <w:t>的拆除、低洼处的回填，生产车间的搭建、沉淀池开挖及废水收集沟等设施的建设、设备安装等。</w:t>
            </w:r>
            <w:r>
              <w:rPr>
                <w:rFonts w:hint="default"/>
                <w:color w:val="auto"/>
                <w:kern w:val="0"/>
                <w:szCs w:val="21"/>
              </w:rPr>
              <w:t>施工期的产污工艺流程及产污位置如下图。</w:t>
            </w:r>
          </w:p>
          <w:p>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color w:val="auto"/>
                <w:kern w:val="0"/>
                <w:szCs w:val="21"/>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rPr>
            </w:pPr>
          </w:p>
          <w:p>
            <w:pPr>
              <w:keepNext w:val="0"/>
              <w:keepLines w:val="0"/>
              <w:suppressLineNumbers w:val="0"/>
              <w:autoSpaceDE w:val="0"/>
              <w:autoSpaceDN w:val="0"/>
              <w:adjustRightInd w:val="0"/>
              <w:snapToGrid w:val="0"/>
              <w:spacing w:before="0" w:beforeAutospacing="0" w:after="0" w:afterAutospacing="0" w:line="100" w:lineRule="exact"/>
              <w:ind w:left="0" w:right="0" w:firstLine="420" w:firstLineChars="200"/>
              <w:jc w:val="left"/>
              <w:rPr>
                <w:rFonts w:hint="default"/>
                <w:color w:val="auto"/>
                <w:kern w:val="0"/>
                <w:szCs w:val="21"/>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kern w:val="0"/>
                <w:szCs w:val="21"/>
              </w:rPr>
            </w:pPr>
          </w:p>
          <w:p>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color w:val="auto"/>
                <w:kern w:val="0"/>
                <w:szCs w:val="21"/>
              </w:rPr>
            </w:pPr>
            <w:r>
              <w:rPr>
                <w:rFonts w:hint="default" w:eastAsia="黑体"/>
                <w:bCs/>
                <w:color w:val="auto"/>
                <w:sz w:val="24"/>
              </w:rPr>
              <mc:AlternateContent>
                <mc:Choice Requires="wps">
                  <w:drawing>
                    <wp:anchor distT="0" distB="0" distL="114300" distR="114300" simplePos="0" relativeHeight="251663360" behindDoc="0" locked="0" layoutInCell="1" allowOverlap="1">
                      <wp:simplePos x="0" y="0"/>
                      <wp:positionH relativeFrom="column">
                        <wp:posOffset>1173480</wp:posOffset>
                      </wp:positionH>
                      <wp:positionV relativeFrom="paragraph">
                        <wp:posOffset>26035</wp:posOffset>
                      </wp:positionV>
                      <wp:extent cx="2461895" cy="26924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246189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240" w:lineRule="auto"/>
                                    <w:jc w:val="center"/>
                                    <w:textAlignment w:val="auto"/>
                                    <w:rPr>
                                      <w:rFonts w:ascii="黑体" w:hAnsi="黑体" w:eastAsia="黑体"/>
                                      <w:sz w:val="19"/>
                                      <w:szCs w:val="21"/>
                                    </w:rPr>
                                  </w:pPr>
                                  <w:r>
                                    <w:rPr>
                                      <w:rFonts w:hint="eastAsia" w:ascii="黑体" w:hAnsi="黑体" w:eastAsia="黑体"/>
                                      <w:sz w:val="19"/>
                                      <w:szCs w:val="21"/>
                                    </w:rPr>
                                    <w:t>图2-</w:t>
                                  </w:r>
                                  <w:r>
                                    <w:rPr>
                                      <w:rFonts w:ascii="黑体" w:hAnsi="黑体" w:eastAsia="黑体"/>
                                      <w:sz w:val="19"/>
                                      <w:szCs w:val="21"/>
                                    </w:rPr>
                                    <w:t>2</w:t>
                                  </w:r>
                                  <w:r>
                                    <w:rPr>
                                      <w:rFonts w:hint="eastAsia" w:ascii="黑体" w:hAnsi="黑体" w:eastAsia="黑体"/>
                                      <w:sz w:val="19"/>
                                      <w:szCs w:val="21"/>
                                    </w:rPr>
                                    <w:t>：施工期工艺流程及产污环节图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4pt;margin-top:2.05pt;height:21.2pt;width:193.85pt;z-index:251663360;mso-width-relative:page;mso-height-relative:page;" filled="f" stroked="f" coordsize="21600,21600" o:gfxdata="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IaK0tgAAAAIAQAADwAAAAAAAAABACAAAAAiAAAAZHJzL2Rvd25yZXYueG1sUEsBAhQAFAAA&#10;AAgAh07iQC35gHwoAgAAKgQAAA4AAAAAAAAAAQAgAAAAJwEAAGRycy9lMm9Eb2MueG1sUEsFBgAA&#10;AAAGAAYAWQEAAME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jc w:val="center"/>
                              <w:textAlignment w:val="auto"/>
                              <w:rPr>
                                <w:rFonts w:ascii="黑体" w:hAnsi="黑体" w:eastAsia="黑体"/>
                                <w:sz w:val="19"/>
                                <w:szCs w:val="21"/>
                              </w:rPr>
                            </w:pPr>
                            <w:r>
                              <w:rPr>
                                <w:rFonts w:hint="eastAsia" w:ascii="黑体" w:hAnsi="黑体" w:eastAsia="黑体"/>
                                <w:sz w:val="19"/>
                                <w:szCs w:val="21"/>
                              </w:rPr>
                              <w:t>图2-</w:t>
                            </w:r>
                            <w:r>
                              <w:rPr>
                                <w:rFonts w:ascii="黑体" w:hAnsi="黑体" w:eastAsia="黑体"/>
                                <w:sz w:val="19"/>
                                <w:szCs w:val="21"/>
                              </w:rPr>
                              <w:t>2</w:t>
                            </w:r>
                            <w:r>
                              <w:rPr>
                                <w:rFonts w:hint="eastAsia" w:ascii="黑体" w:hAnsi="黑体" w:eastAsia="黑体"/>
                                <w:sz w:val="19"/>
                                <w:szCs w:val="21"/>
                              </w:rPr>
                              <w:t>：施工期工艺流程及产污环节图</w:t>
                            </w:r>
                          </w:p>
                        </w:txbxContent>
                      </v:textbox>
                    </v:shape>
                  </w:pict>
                </mc:Fallback>
              </mc:AlternateConten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rPr>
            </w:pPr>
            <w:r>
              <w:rPr>
                <w:rFonts w:hint="default"/>
                <w:color w:val="auto"/>
                <w:kern w:val="0"/>
                <w:szCs w:val="21"/>
              </w:rPr>
              <w:t>（2）产污环节</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①施工扬尘与废气：主要来源于场地清理、旧厂房拆除、车辆运输、建筑材料堆放、装卸作业等过程；施工期使用机动车运输及施工机械运行会产生废气，废气中的主要污染物为</w:t>
            </w:r>
            <w:r>
              <w:rPr>
                <w:rFonts w:hint="default"/>
                <w:color w:val="auto"/>
                <w:kern w:val="0"/>
                <w:szCs w:val="21"/>
              </w:rPr>
              <w:t>C</w:t>
            </w:r>
            <w:r>
              <w:rPr>
                <w:rFonts w:hint="default"/>
                <w:color w:val="auto"/>
                <w:kern w:val="0"/>
                <w:szCs w:val="21"/>
                <w:vertAlign w:val="subscript"/>
              </w:rPr>
              <w:t>x</w:t>
            </w:r>
            <w:r>
              <w:rPr>
                <w:rFonts w:hint="default"/>
                <w:color w:val="auto"/>
                <w:kern w:val="0"/>
                <w:szCs w:val="21"/>
              </w:rPr>
              <w:t>H</w:t>
            </w:r>
            <w:r>
              <w:rPr>
                <w:rFonts w:hint="default"/>
                <w:color w:val="auto"/>
                <w:kern w:val="0"/>
                <w:szCs w:val="21"/>
                <w:vertAlign w:val="subscript"/>
              </w:rPr>
              <w:t>x</w:t>
            </w:r>
            <w:r>
              <w:rPr>
                <w:rFonts w:hint="eastAsia" w:cs="宋体"/>
                <w:color w:val="auto"/>
                <w:kern w:val="0"/>
                <w:szCs w:val="21"/>
              </w:rPr>
              <w:t>、</w:t>
            </w:r>
            <w:r>
              <w:rPr>
                <w:rFonts w:hint="default"/>
                <w:color w:val="auto"/>
                <w:kern w:val="0"/>
                <w:szCs w:val="21"/>
              </w:rPr>
              <w:t>CO</w:t>
            </w:r>
            <w:r>
              <w:rPr>
                <w:rFonts w:hint="eastAsia" w:cs="宋体"/>
                <w:color w:val="auto"/>
                <w:kern w:val="0"/>
                <w:szCs w:val="21"/>
              </w:rPr>
              <w:t>、</w:t>
            </w:r>
            <w:r>
              <w:rPr>
                <w:rFonts w:hint="default"/>
                <w:color w:val="auto"/>
                <w:kern w:val="0"/>
                <w:szCs w:val="21"/>
              </w:rPr>
              <w:t>NO</w:t>
            </w:r>
            <w:r>
              <w:rPr>
                <w:rFonts w:hint="default"/>
                <w:color w:val="auto"/>
                <w:kern w:val="0"/>
                <w:szCs w:val="21"/>
                <w:vertAlign w:val="subscript"/>
              </w:rPr>
              <w:t>x</w:t>
            </w:r>
            <w:r>
              <w:rPr>
                <w:rFonts w:hint="eastAsia" w:cs="宋体"/>
                <w:color w:val="auto"/>
                <w:kern w:val="0"/>
                <w:szCs w:val="21"/>
              </w:rPr>
              <w:t>。</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default"/>
                <w:color w:val="auto"/>
                <w:kern w:val="0"/>
                <w:szCs w:val="21"/>
              </w:rPr>
            </w:pPr>
            <w:r>
              <w:rPr>
                <w:rFonts w:hint="eastAsia" w:cs="宋体"/>
                <w:color w:val="auto"/>
                <w:kern w:val="0"/>
                <w:szCs w:val="21"/>
              </w:rPr>
              <w:t>②施工废水：主要来源于砼浇筑废水、各种设备的冲洗废水，施工过程降雨导致的场地径流，主要污染物为</w:t>
            </w:r>
            <w:r>
              <w:rPr>
                <w:rFonts w:hint="default"/>
                <w:color w:val="auto"/>
                <w:kern w:val="0"/>
                <w:szCs w:val="21"/>
              </w:rPr>
              <w:t>SS</w:t>
            </w:r>
            <w:r>
              <w:rPr>
                <w:rFonts w:hint="eastAsia" w:cs="宋体"/>
                <w:color w:val="auto"/>
                <w:kern w:val="0"/>
                <w:szCs w:val="21"/>
              </w:rPr>
              <w:t>。另外，施工人员会产生少量生活污水。</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default"/>
                <w:color w:val="auto"/>
                <w:spacing w:val="-6"/>
                <w:kern w:val="0"/>
                <w:szCs w:val="21"/>
              </w:rPr>
            </w:pPr>
            <w:r>
              <w:rPr>
                <w:rFonts w:hint="eastAsia" w:cs="宋体"/>
                <w:color w:val="auto"/>
                <w:kern w:val="0"/>
                <w:szCs w:val="21"/>
              </w:rPr>
              <w:t>③施工噪声：</w:t>
            </w:r>
            <w:r>
              <w:rPr>
                <w:rFonts w:hint="eastAsia" w:cs="宋体"/>
                <w:color w:val="auto"/>
                <w:spacing w:val="-6"/>
                <w:kern w:val="0"/>
                <w:szCs w:val="21"/>
              </w:rPr>
              <w:t>主要来源于建筑施工阶段使用的各类机械设备的运行噪声，运输车辆的交通噪声等。</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default"/>
                <w:color w:val="auto"/>
                <w:kern w:val="0"/>
                <w:szCs w:val="21"/>
              </w:rPr>
            </w:pPr>
            <w:r>
              <w:rPr>
                <w:rFonts w:hint="eastAsia" w:cs="宋体"/>
                <w:color w:val="auto"/>
                <w:kern w:val="0"/>
                <w:szCs w:val="21"/>
              </w:rPr>
              <w:t>④固体废物：主要来源于场地开挖产生的少量弃土方、施工过程产生的建筑垃圾、设备安装产生的废弃包装材料、施工人员的生活垃圾。</w:t>
            </w:r>
          </w:p>
          <w:p>
            <w:pPr>
              <w:keepNext w:val="0"/>
              <w:keepLines w:val="0"/>
              <w:suppressLineNumbers w:val="0"/>
              <w:adjustRightInd w:val="0"/>
              <w:snapToGrid w:val="0"/>
              <w:spacing w:before="0" w:beforeAutospacing="0" w:after="0" w:afterAutospacing="0" w:line="404"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2</w:t>
            </w:r>
            <w:r>
              <w:rPr>
                <w:rFonts w:hint="default" w:ascii="黑体" w:hAnsi="黑体" w:eastAsia="黑体" w:cs="宋体"/>
                <w:bCs/>
                <w:color w:val="auto"/>
                <w:sz w:val="22"/>
                <w:szCs w:val="22"/>
              </w:rPr>
              <w:t>、营运期工艺流程简述</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default" w:cs="宋体"/>
                <w:color w:val="auto"/>
                <w:kern w:val="0"/>
                <w:szCs w:val="21"/>
              </w:rPr>
            </w:pPr>
            <w:r>
              <w:rPr>
                <w:rFonts w:hint="default" w:cs="宋体"/>
                <w:color w:val="auto"/>
                <w:kern w:val="0"/>
                <w:szCs w:val="21"/>
              </w:rPr>
              <w:t>（</w:t>
            </w:r>
            <w:r>
              <w:rPr>
                <w:rFonts w:hint="eastAsia" w:cs="宋体"/>
                <w:color w:val="auto"/>
                <w:kern w:val="0"/>
                <w:szCs w:val="21"/>
              </w:rPr>
              <w:t>1</w:t>
            </w:r>
            <w:r>
              <w:rPr>
                <w:rFonts w:hint="default" w:cs="宋体"/>
                <w:color w:val="auto"/>
                <w:kern w:val="0"/>
                <w:szCs w:val="21"/>
              </w:rPr>
              <w:t>）项目工艺流程图如下：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0" w:firstLineChars="0"/>
              <w:jc w:val="left"/>
              <w:textAlignment w:val="auto"/>
              <w:rPr>
                <w:rFonts w:hint="default" w:cs="宋体"/>
                <w:color w:val="auto"/>
                <w:kern w:val="0"/>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rPr>
            </w:pPr>
            <w:r>
              <w:rPr>
                <w:rFonts w:hint="default"/>
                <w:color w:val="auto"/>
              </w:rPr>
              <mc:AlternateContent>
                <mc:Choice Requires="wps">
                  <w:drawing>
                    <wp:anchor distT="0" distB="0" distL="114300" distR="114300" simplePos="0" relativeHeight="251664384" behindDoc="0" locked="0" layoutInCell="1" allowOverlap="1">
                      <wp:simplePos x="0" y="0"/>
                      <wp:positionH relativeFrom="column">
                        <wp:posOffset>295275</wp:posOffset>
                      </wp:positionH>
                      <wp:positionV relativeFrom="paragraph">
                        <wp:posOffset>7655560</wp:posOffset>
                      </wp:positionV>
                      <wp:extent cx="4445000" cy="260350"/>
                      <wp:effectExtent l="0" t="0" r="0" b="6350"/>
                      <wp:wrapNone/>
                      <wp:docPr id="81" name="文本框 81"/>
                      <wp:cNvGraphicFramePr/>
                      <a:graphic xmlns:a="http://schemas.openxmlformats.org/drawingml/2006/main">
                        <a:graphicData uri="http://schemas.microsoft.com/office/word/2010/wordprocessingShape">
                          <wps:wsp>
                            <wps:cNvSpPr txBox="1"/>
                            <wps:spPr>
                              <a:xfrm>
                                <a:off x="0" y="0"/>
                                <a:ext cx="4445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eastAsia="黑体"/>
                                      <w:sz w:val="18"/>
                                      <w:szCs w:val="18"/>
                                    </w:rPr>
                                    <w:t>图</w:t>
                                  </w:r>
                                  <w:r>
                                    <w:rPr>
                                      <w:rFonts w:hint="eastAsia" w:eastAsia="黑体"/>
                                      <w:sz w:val="18"/>
                                      <w:szCs w:val="18"/>
                                    </w:rPr>
                                    <w:t>2-</w:t>
                                  </w:r>
                                  <w:r>
                                    <w:rPr>
                                      <w:rFonts w:eastAsia="黑体"/>
                                      <w:sz w:val="18"/>
                                      <w:szCs w:val="18"/>
                                    </w:rPr>
                                    <w:t>3</w:t>
                                  </w:r>
                                  <w:r>
                                    <w:rPr>
                                      <w:rFonts w:hint="eastAsia" w:ascii="黑体" w:hAnsi="黑体" w:eastAsia="黑体"/>
                                      <w:bCs/>
                                      <w:sz w:val="18"/>
                                      <w:szCs w:val="18"/>
                                    </w:rPr>
                                    <w:t>:营运期砂石生产</w:t>
                                  </w:r>
                                  <w:r>
                                    <w:rPr>
                                      <w:rFonts w:hint="eastAsia" w:eastAsia="黑体"/>
                                      <w:bCs/>
                                      <w:sz w:val="18"/>
                                      <w:szCs w:val="18"/>
                                    </w:rPr>
                                    <w:t>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602.8pt;height:20.5pt;width:350pt;z-index:251664384;mso-width-relative:page;mso-height-relative:page;" filled="f" stroked="f" coordsize="21600,21600" o:gfxdata="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XmCrLaAAAADAEAAA8AAAAAAAAAAQAgAAAAIgAAAGRycy9kb3ducmV2LnhtbFBLAQIUABQAAAAI&#10;AIdO4kBCd5u+JAIAACgEAAAOAAAAAAAAAAEAIAAAACkBAABkcnMvZTJvRG9jLnhtbFBLBQYAAAAA&#10;BgAGAFkBAAC/BQAAAAA=&#10;">
                      <v:fill on="f" focussize="0,0"/>
                      <v:stroke on="f" weight="0.5pt"/>
                      <v:imagedata o:title=""/>
                      <o:lock v:ext="edit" aspectratio="f"/>
                      <v:textbox>
                        <w:txbxContent>
                          <w:p>
                            <w:pPr>
                              <w:jc w:val="center"/>
                            </w:pPr>
                            <w:r>
                              <w:rPr>
                                <w:rFonts w:eastAsia="黑体"/>
                                <w:sz w:val="18"/>
                                <w:szCs w:val="18"/>
                              </w:rPr>
                              <w:t>图</w:t>
                            </w:r>
                            <w:r>
                              <w:rPr>
                                <w:rFonts w:hint="eastAsia" w:eastAsia="黑体"/>
                                <w:sz w:val="18"/>
                                <w:szCs w:val="18"/>
                              </w:rPr>
                              <w:t>2-</w:t>
                            </w:r>
                            <w:r>
                              <w:rPr>
                                <w:rFonts w:eastAsia="黑体"/>
                                <w:sz w:val="18"/>
                                <w:szCs w:val="18"/>
                              </w:rPr>
                              <w:t>3</w:t>
                            </w:r>
                            <w:r>
                              <w:rPr>
                                <w:rFonts w:hint="eastAsia" w:ascii="黑体" w:hAnsi="黑体" w:eastAsia="黑体"/>
                                <w:bCs/>
                                <w:sz w:val="18"/>
                                <w:szCs w:val="18"/>
                              </w:rPr>
                              <w:t>:营运期砂石生产</w:t>
                            </w:r>
                            <w:r>
                              <w:rPr>
                                <w:rFonts w:hint="eastAsia" w:eastAsia="黑体"/>
                                <w:bCs/>
                                <w:sz w:val="18"/>
                                <w:szCs w:val="18"/>
                              </w:rPr>
                              <w:t>工艺流程及产污环节图</w:t>
                            </w:r>
                          </w:p>
                        </w:txbxContent>
                      </v:textbox>
                    </v:shape>
                  </w:pict>
                </mc:Fallback>
              </mc:AlternateContent>
            </w:r>
            <w:r>
              <w:rPr>
                <w:rFonts w:hint="default"/>
                <w:color w:val="auto"/>
              </w:rPr>
              <mc:AlternateContent>
                <mc:Choice Requires="wpg">
                  <w:drawing>
                    <wp:inline distT="0" distB="0" distL="114300" distR="114300">
                      <wp:extent cx="4388485" cy="7732395"/>
                      <wp:effectExtent l="0" t="4445" r="12065" b="0"/>
                      <wp:docPr id="37" name="组合 37"/>
                      <wp:cNvGraphicFramePr/>
                      <a:graphic xmlns:a="http://schemas.openxmlformats.org/drawingml/2006/main">
                        <a:graphicData uri="http://schemas.microsoft.com/office/word/2010/wordprocessingGroup">
                          <wpg:wgp>
                            <wpg:cNvGrpSpPr/>
                            <wpg:grpSpPr>
                              <a:xfrm>
                                <a:off x="0" y="0"/>
                                <a:ext cx="4388485" cy="7732510"/>
                                <a:chOff x="7231" y="2166"/>
                                <a:chExt cx="5495" cy="11875"/>
                              </a:xfrm>
                            </wpg:grpSpPr>
                            <wpg:grpSp>
                              <wpg:cNvPr id="55" name="组合 106"/>
                              <wpg:cNvGrpSpPr/>
                              <wpg:grpSpPr>
                                <a:xfrm>
                                  <a:off x="8749" y="2166"/>
                                  <a:ext cx="3144" cy="2125"/>
                                  <a:chOff x="11044" y="357"/>
                                  <a:chExt cx="3144" cy="2125"/>
                                </a:xfrm>
                              </wpg:grpSpPr>
                              <wps:wsp>
                                <wps:cNvPr id="224" name="文本框 2"/>
                                <wps:cNvSpPr txBox="1"/>
                                <wps:spPr>
                                  <a:xfrm>
                                    <a:off x="11239" y="357"/>
                                    <a:ext cx="1052" cy="3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原料</w:t>
                                      </w:r>
                                    </w:p>
                                  </w:txbxContent>
                                </wps:txbx>
                                <wps:bodyPr upright="1"/>
                              </wps:wsp>
                              <wps:wsp>
                                <wps:cNvPr id="225" name="文本框 4"/>
                                <wps:cNvSpPr txBox="1"/>
                                <wps:spPr>
                                  <a:xfrm>
                                    <a:off x="11044" y="1026"/>
                                    <a:ext cx="1365"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t>原料堆场</w:t>
                                      </w:r>
                                    </w:p>
                                  </w:txbxContent>
                                </wps:txbx>
                                <wps:bodyPr upright="1"/>
                              </wps:wsp>
                              <wps:wsp>
                                <wps:cNvPr id="226" name="文本框 6"/>
                                <wps:cNvSpPr txBox="1"/>
                                <wps:spPr>
                                  <a:xfrm>
                                    <a:off x="11065" y="1754"/>
                                    <a:ext cx="1409"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振动</w:t>
                                      </w:r>
                                      <w:r>
                                        <w:rPr>
                                          <w:rFonts w:hint="eastAsia"/>
                                        </w:rPr>
                                        <w:t>给料机</w:t>
                                      </w:r>
                                    </w:p>
                                  </w:txbxContent>
                                </wps:txbx>
                                <wps:bodyPr upright="1"/>
                              </wps:wsp>
                              <wps:wsp>
                                <wps:cNvPr id="227" name="直接箭头连接符 43"/>
                                <wps:cNvCnPr/>
                                <wps:spPr>
                                  <a:xfrm>
                                    <a:off x="12416" y="1258"/>
                                    <a:ext cx="624" cy="0"/>
                                  </a:xfrm>
                                  <a:prstGeom prst="straightConnector1">
                                    <a:avLst/>
                                  </a:prstGeom>
                                  <a:ln w="9525" cap="flat" cmpd="sng">
                                    <a:solidFill>
                                      <a:srgbClr val="000000"/>
                                    </a:solidFill>
                                    <a:prstDash val="dash"/>
                                    <a:headEnd type="none" w="med" len="med"/>
                                    <a:tailEnd type="triangle" w="med" len="med"/>
                                  </a:ln>
                                </wps:spPr>
                                <wps:bodyPr/>
                              </wps:wsp>
                              <wps:wsp>
                                <wps:cNvPr id="228" name="文本框 44"/>
                                <wps:cNvSpPr txBox="1"/>
                                <wps:spPr>
                                  <a:xfrm>
                                    <a:off x="12906" y="974"/>
                                    <a:ext cx="896" cy="53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00" w:lineRule="exact"/>
                                        <w:textAlignment w:val="auto"/>
                                        <w:rPr>
                                          <w:sz w:val="18"/>
                                          <w:szCs w:val="21"/>
                                        </w:rPr>
                                      </w:pPr>
                                      <w:r>
                                        <w:rPr>
                                          <w:sz w:val="18"/>
                                          <w:szCs w:val="21"/>
                                        </w:rPr>
                                        <w:t>噪声、粉尘</w:t>
                                      </w:r>
                                    </w:p>
                                  </w:txbxContent>
                                </wps:txbx>
                                <wps:bodyPr upright="1"/>
                              </wps:wsp>
                              <wps:wsp>
                                <wps:cNvPr id="229" name="直接箭头连接符 47"/>
                                <wps:cNvCnPr/>
                                <wps:spPr>
                                  <a:xfrm>
                                    <a:off x="12466" y="1973"/>
                                    <a:ext cx="794" cy="0"/>
                                  </a:xfrm>
                                  <a:prstGeom prst="straightConnector1">
                                    <a:avLst/>
                                  </a:prstGeom>
                                  <a:ln w="9525" cap="flat" cmpd="sng">
                                    <a:solidFill>
                                      <a:srgbClr val="000000"/>
                                    </a:solidFill>
                                    <a:prstDash val="dash"/>
                                    <a:headEnd type="none" w="med" len="med"/>
                                    <a:tailEnd type="triangle" w="med" len="med"/>
                                  </a:ln>
                                </wps:spPr>
                                <wps:bodyPr/>
                              </wps:wsp>
                              <wps:wsp>
                                <wps:cNvPr id="230" name="文本框 48"/>
                                <wps:cNvSpPr txBox="1"/>
                                <wps:spPr>
                                  <a:xfrm>
                                    <a:off x="13152" y="1662"/>
                                    <a:ext cx="1036" cy="654"/>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00" w:lineRule="exact"/>
                                        <w:textAlignment w:val="auto"/>
                                        <w:rPr>
                                          <w:sz w:val="18"/>
                                          <w:szCs w:val="21"/>
                                        </w:rPr>
                                      </w:pPr>
                                      <w:r>
                                        <w:rPr>
                                          <w:sz w:val="18"/>
                                          <w:szCs w:val="21"/>
                                        </w:rPr>
                                        <w:t>噪声、</w:t>
                                      </w:r>
                                      <w:r>
                                        <w:rPr>
                                          <w:rFonts w:hint="eastAsia"/>
                                          <w:sz w:val="18"/>
                                          <w:szCs w:val="21"/>
                                          <w:lang w:val="en-US" w:eastAsia="zh-CN"/>
                                        </w:rPr>
                                        <w:t>泥土、</w:t>
                                      </w:r>
                                      <w:r>
                                        <w:rPr>
                                          <w:sz w:val="18"/>
                                          <w:szCs w:val="21"/>
                                        </w:rPr>
                                        <w:t>粉尘</w:t>
                                      </w:r>
                                    </w:p>
                                  </w:txbxContent>
                                </wps:txbx>
                                <wps:bodyPr upright="1"/>
                              </wps:wsp>
                              <wps:wsp>
                                <wps:cNvPr id="231" name="直接箭头连接符 7"/>
                                <wps:cNvCnPr/>
                                <wps:spPr>
                                  <a:xfrm flipH="1">
                                    <a:off x="11800" y="2198"/>
                                    <a:ext cx="1" cy="284"/>
                                  </a:xfrm>
                                  <a:prstGeom prst="straightConnector1">
                                    <a:avLst/>
                                  </a:prstGeom>
                                  <a:ln w="9525" cap="flat" cmpd="sng">
                                    <a:solidFill>
                                      <a:srgbClr val="000000"/>
                                    </a:solidFill>
                                    <a:prstDash val="solid"/>
                                    <a:headEnd type="none" w="med" len="med"/>
                                    <a:tailEnd type="triangle" w="med" len="med"/>
                                  </a:ln>
                                </wps:spPr>
                                <wps:bodyPr/>
                              </wps:wsp>
                              <wps:wsp>
                                <wps:cNvPr id="232" name="直接箭头连接符 8"/>
                                <wps:cNvCnPr/>
                                <wps:spPr>
                                  <a:xfrm flipH="1">
                                    <a:off x="11775" y="1477"/>
                                    <a:ext cx="1" cy="284"/>
                                  </a:xfrm>
                                  <a:prstGeom prst="straightConnector1">
                                    <a:avLst/>
                                  </a:prstGeom>
                                  <a:ln w="9525" cap="flat" cmpd="sng">
                                    <a:solidFill>
                                      <a:srgbClr val="000000"/>
                                    </a:solidFill>
                                    <a:prstDash val="solid"/>
                                    <a:headEnd type="none" w="med" len="med"/>
                                    <a:tailEnd type="triangle" w="med" len="med"/>
                                  </a:ln>
                                </wps:spPr>
                                <wps:bodyPr/>
                              </wps:wsp>
                              <wps:wsp>
                                <wps:cNvPr id="233" name="直接箭头连接符 9"/>
                                <wps:cNvCnPr/>
                                <wps:spPr>
                                  <a:xfrm flipH="1">
                                    <a:off x="11742" y="750"/>
                                    <a:ext cx="1" cy="282"/>
                                  </a:xfrm>
                                  <a:prstGeom prst="straightConnector1">
                                    <a:avLst/>
                                  </a:prstGeom>
                                  <a:ln w="9525" cap="flat" cmpd="sng">
                                    <a:solidFill>
                                      <a:srgbClr val="000000"/>
                                    </a:solidFill>
                                    <a:prstDash val="solid"/>
                                    <a:headEnd type="none" w="med" len="med"/>
                                    <a:tailEnd type="triangle" w="med" len="med"/>
                                  </a:ln>
                                </wps:spPr>
                                <wps:bodyPr/>
                              </wps:wsp>
                            </wpg:grpSp>
                            <wpg:grpSp>
                              <wpg:cNvPr id="57" name="组合 101"/>
                              <wpg:cNvGrpSpPr/>
                              <wpg:grpSpPr>
                                <a:xfrm>
                                  <a:off x="7231" y="5017"/>
                                  <a:ext cx="5495" cy="9024"/>
                                  <a:chOff x="6714" y="2805"/>
                                  <a:chExt cx="5495" cy="9024"/>
                                </a:xfrm>
                              </wpg:grpSpPr>
                              <wps:wsp>
                                <wps:cNvPr id="235" name="文本框 1"/>
                                <wps:cNvSpPr txBox="1"/>
                                <wps:spPr>
                                  <a:xfrm>
                                    <a:off x="10059" y="7691"/>
                                    <a:ext cx="1398" cy="469"/>
                                  </a:xfrm>
                                  <a:prstGeom prst="rect">
                                    <a:avLst/>
                                  </a:prstGeom>
                                  <a:noFill/>
                                  <a:ln>
                                    <a:noFill/>
                                  </a:ln>
                                </wps:spPr>
                                <wps:txbx>
                                  <w:txbxContent>
                                    <w:p>
                                      <w:r>
                                        <w:rPr>
                                          <w:rFonts w:hint="eastAsia"/>
                                        </w:rPr>
                                        <w:t>碎石、米石</w:t>
                                      </w:r>
                                    </w:p>
                                  </w:txbxContent>
                                </wps:txbx>
                                <wps:bodyPr wrap="square" upright="1"/>
                              </wps:wsp>
                              <wps:wsp>
                                <wps:cNvPr id="236" name="文本框 13"/>
                                <wps:cNvSpPr txBox="1"/>
                                <wps:spPr>
                                  <a:xfrm>
                                    <a:off x="6898" y="7664"/>
                                    <a:ext cx="1431" cy="415"/>
                                  </a:xfrm>
                                  <a:prstGeom prst="rect">
                                    <a:avLst/>
                                  </a:prstGeom>
                                  <a:noFill/>
                                  <a:ln>
                                    <a:noFill/>
                                  </a:ln>
                                </wps:spPr>
                                <wps:txbx>
                                  <w:txbxContent>
                                    <w:p>
                                      <w:pPr>
                                        <w:spacing w:line="240" w:lineRule="exact"/>
                                        <w:rPr>
                                          <w:rFonts w:hint="default" w:eastAsia="宋体"/>
                                          <w:sz w:val="18"/>
                                          <w:szCs w:val="21"/>
                                          <w:lang w:val="en-US" w:eastAsia="zh-CN"/>
                                        </w:rPr>
                                      </w:pPr>
                                      <w:r>
                                        <w:rPr>
                                          <w:rFonts w:hint="eastAsia"/>
                                          <w:sz w:val="18"/>
                                          <w:szCs w:val="21"/>
                                          <w:lang w:val="en-US" w:eastAsia="zh-CN"/>
                                        </w:rPr>
                                        <w:t>含泥废水和砂</w:t>
                                      </w:r>
                                    </w:p>
                                  </w:txbxContent>
                                </wps:txbx>
                                <wps:bodyPr upright="1"/>
                              </wps:wsp>
                              <wps:wsp>
                                <wps:cNvPr id="80" name="直接箭头连接符 80"/>
                                <wps:cNvCnPr/>
                                <wps:spPr>
                                  <a:xfrm flipH="1">
                                    <a:off x="10788" y="7018"/>
                                    <a:ext cx="1" cy="1247"/>
                                  </a:xfrm>
                                  <a:prstGeom prst="straightConnector1">
                                    <a:avLst/>
                                  </a:prstGeom>
                                  <a:ln w="9525" cap="flat" cmpd="sng">
                                    <a:solidFill>
                                      <a:srgbClr val="000000"/>
                                    </a:solidFill>
                                    <a:prstDash val="solid"/>
                                    <a:headEnd type="none" w="med" len="med"/>
                                    <a:tailEnd type="triangle" w="med" len="med"/>
                                  </a:ln>
                                </wps:spPr>
                                <wps:bodyPr/>
                              </wps:wsp>
                              <wps:wsp>
                                <wps:cNvPr id="237" name="文本框 31"/>
                                <wps:cNvSpPr txBox="1"/>
                                <wps:spPr>
                                  <a:xfrm>
                                    <a:off x="9426" y="4640"/>
                                    <a:ext cx="1196" cy="454"/>
                                  </a:xfrm>
                                  <a:prstGeom prst="rect">
                                    <a:avLst/>
                                  </a:prstGeom>
                                  <a:noFill/>
                                  <a:ln>
                                    <a:noFill/>
                                  </a:ln>
                                </wps:spPr>
                                <wps:txbx>
                                  <w:txbxContent>
                                    <w:p>
                                      <w:pPr>
                                        <w:spacing w:line="240" w:lineRule="exact"/>
                                        <w:rPr>
                                          <w:sz w:val="18"/>
                                          <w:szCs w:val="21"/>
                                        </w:rPr>
                                      </w:pPr>
                                      <w:r>
                                        <w:rPr>
                                          <w:rFonts w:hint="eastAsia"/>
                                          <w:sz w:val="18"/>
                                          <w:szCs w:val="21"/>
                                        </w:rPr>
                                        <w:t>＞</w:t>
                                      </w:r>
                                      <w:r>
                                        <w:rPr>
                                          <w:sz w:val="18"/>
                                          <w:szCs w:val="21"/>
                                        </w:rPr>
                                        <w:t>31</w:t>
                                      </w:r>
                                      <w:r>
                                        <w:rPr>
                                          <w:rFonts w:hint="eastAsia"/>
                                          <w:sz w:val="18"/>
                                          <w:szCs w:val="21"/>
                                          <w:lang w:val="en-US" w:eastAsia="zh-CN"/>
                                        </w:rPr>
                                        <w:t>.5</w:t>
                                      </w:r>
                                      <w:r>
                                        <w:rPr>
                                          <w:rFonts w:hint="eastAsia"/>
                                          <w:sz w:val="18"/>
                                          <w:szCs w:val="21"/>
                                        </w:rPr>
                                        <w:t>mm</w:t>
                                      </w:r>
                                    </w:p>
                                  </w:txbxContent>
                                </wps:txbx>
                                <wps:bodyPr upright="1"/>
                              </wps:wsp>
                              <wps:wsp>
                                <wps:cNvPr id="238" name="文本框 10"/>
                                <wps:cNvSpPr txBox="1"/>
                                <wps:spPr>
                                  <a:xfrm>
                                    <a:off x="8326" y="5144"/>
                                    <a:ext cx="1365"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t>振动筛分</w:t>
                                      </w:r>
                                    </w:p>
                                  </w:txbxContent>
                                </wps:txbx>
                                <wps:bodyPr upright="1"/>
                              </wps:wsp>
                              <wps:wsp>
                                <wps:cNvPr id="239" name="直接箭头连接符 21"/>
                                <wps:cNvCnPr/>
                                <wps:spPr>
                                  <a:xfrm flipV="1">
                                    <a:off x="7654" y="3067"/>
                                    <a:ext cx="679" cy="1"/>
                                  </a:xfrm>
                                  <a:prstGeom prst="straightConnector1">
                                    <a:avLst/>
                                  </a:prstGeom>
                                  <a:ln w="9525" cap="flat" cmpd="sng">
                                    <a:solidFill>
                                      <a:srgbClr val="000000"/>
                                    </a:solidFill>
                                    <a:prstDash val="solid"/>
                                    <a:headEnd type="none" w="med" len="med"/>
                                    <a:tailEnd type="triangle" w="med" len="med"/>
                                  </a:ln>
                                </wps:spPr>
                                <wps:bodyPr/>
                              </wps:wsp>
                              <wps:wsp>
                                <wps:cNvPr id="240" name="直接箭头连接符 30"/>
                                <wps:cNvCnPr/>
                                <wps:spPr>
                                  <a:xfrm flipH="1">
                                    <a:off x="9638" y="4602"/>
                                    <a:ext cx="746" cy="1"/>
                                  </a:xfrm>
                                  <a:prstGeom prst="straightConnector1">
                                    <a:avLst/>
                                  </a:prstGeom>
                                  <a:ln w="9525" cap="flat" cmpd="sng">
                                    <a:solidFill>
                                      <a:srgbClr val="000000"/>
                                    </a:solidFill>
                                    <a:prstDash val="solid"/>
                                    <a:headEnd type="none" w="med" len="med"/>
                                    <a:tailEnd type="triangle" w="med" len="med"/>
                                  </a:ln>
                                </wps:spPr>
                                <wps:bodyPr/>
                              </wps:wsp>
                              <wps:wsp>
                                <wps:cNvPr id="241" name="直接箭头连接符 12"/>
                                <wps:cNvCnPr/>
                                <wps:spPr>
                                  <a:xfrm flipH="1">
                                    <a:off x="8682" y="7240"/>
                                    <a:ext cx="1" cy="1077"/>
                                  </a:xfrm>
                                  <a:prstGeom prst="straightConnector1">
                                    <a:avLst/>
                                  </a:prstGeom>
                                  <a:ln w="9525" cap="flat" cmpd="sng">
                                    <a:solidFill>
                                      <a:srgbClr val="000000"/>
                                    </a:solidFill>
                                    <a:prstDash val="solid"/>
                                    <a:headEnd type="none" w="med" len="med"/>
                                    <a:tailEnd type="triangle" w="med" len="med"/>
                                  </a:ln>
                                </wps:spPr>
                                <wps:bodyPr/>
                              </wps:wsp>
                              <wps:wsp>
                                <wps:cNvPr id="242" name="文本框 51"/>
                                <wps:cNvSpPr txBox="1"/>
                                <wps:spPr>
                                  <a:xfrm>
                                    <a:off x="10700" y="5236"/>
                                    <a:ext cx="739" cy="473"/>
                                  </a:xfrm>
                                  <a:prstGeom prst="rect">
                                    <a:avLst/>
                                  </a:prstGeom>
                                  <a:noFill/>
                                  <a:ln>
                                    <a:noFill/>
                                  </a:ln>
                                </wps:spPr>
                                <wps:txbx>
                                  <w:txbxContent>
                                    <w:p>
                                      <w:pPr>
                                        <w:jc w:val="center"/>
                                        <w:rPr>
                                          <w:sz w:val="18"/>
                                          <w:szCs w:val="21"/>
                                        </w:rPr>
                                      </w:pPr>
                                      <w:r>
                                        <w:rPr>
                                          <w:sz w:val="18"/>
                                          <w:szCs w:val="21"/>
                                        </w:rPr>
                                        <w:t>噪声</w:t>
                                      </w:r>
                                    </w:p>
                                  </w:txbxContent>
                                </wps:txbx>
                                <wps:bodyPr upright="1"/>
                              </wps:wsp>
                              <wps:wsp>
                                <wps:cNvPr id="243" name="文本框 66"/>
                                <wps:cNvSpPr txBox="1"/>
                                <wps:spPr>
                                  <a:xfrm>
                                    <a:off x="8325" y="2836"/>
                                    <a:ext cx="1365"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颚破机</w:t>
                                      </w:r>
                                    </w:p>
                                  </w:txbxContent>
                                </wps:txbx>
                                <wps:bodyPr upright="1"/>
                              </wps:wsp>
                              <wps:wsp>
                                <wps:cNvPr id="244" name="文本框 67"/>
                                <wps:cNvSpPr txBox="1"/>
                                <wps:spPr>
                                  <a:xfrm>
                                    <a:off x="7087" y="2811"/>
                                    <a:ext cx="864" cy="431"/>
                                  </a:xfrm>
                                  <a:prstGeom prst="rect">
                                    <a:avLst/>
                                  </a:prstGeom>
                                  <a:noFill/>
                                  <a:ln>
                                    <a:noFill/>
                                  </a:ln>
                                </wps:spPr>
                                <wps:txbx>
                                  <w:txbxContent>
                                    <w:p>
                                      <w:pPr>
                                        <w:rPr>
                                          <w:rFonts w:hint="eastAsia" w:eastAsia="宋体"/>
                                          <w:lang w:eastAsia="zh-CN"/>
                                        </w:rPr>
                                      </w:pPr>
                                      <w:r>
                                        <w:rPr>
                                          <w:rFonts w:hint="eastAsia"/>
                                        </w:rPr>
                                        <w:t>喷</w:t>
                                      </w:r>
                                      <w:r>
                                        <w:rPr>
                                          <w:rFonts w:hint="eastAsia"/>
                                          <w:lang w:val="en-US" w:eastAsia="zh-CN"/>
                                        </w:rPr>
                                        <w:t>雾</w:t>
                                      </w:r>
                                    </w:p>
                                  </w:txbxContent>
                                </wps:txbx>
                                <wps:bodyPr upright="1"/>
                              </wps:wsp>
                              <wps:wsp>
                                <wps:cNvPr id="245" name="直接箭头连接符 68"/>
                                <wps:cNvCnPr/>
                                <wps:spPr>
                                  <a:xfrm flipH="1">
                                    <a:off x="9003" y="3268"/>
                                    <a:ext cx="1" cy="284"/>
                                  </a:xfrm>
                                  <a:prstGeom prst="straightConnector1">
                                    <a:avLst/>
                                  </a:prstGeom>
                                  <a:ln w="9525" cap="flat" cmpd="sng">
                                    <a:solidFill>
                                      <a:srgbClr val="000000"/>
                                    </a:solidFill>
                                    <a:prstDash val="solid"/>
                                    <a:headEnd type="none" w="med" len="med"/>
                                    <a:tailEnd type="triangle" w="med" len="med"/>
                                  </a:ln>
                                </wps:spPr>
                                <wps:bodyPr/>
                              </wps:wsp>
                              <wps:wsp>
                                <wps:cNvPr id="69" name="文本框 69"/>
                                <wps:cNvSpPr txBox="1"/>
                                <wps:spPr>
                                  <a:xfrm>
                                    <a:off x="8307" y="4278"/>
                                    <a:ext cx="1365" cy="4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反击破</w:t>
                                      </w:r>
                                    </w:p>
                                  </w:txbxContent>
                                </wps:txbx>
                                <wps:bodyPr upright="1"/>
                              </wps:wsp>
                              <wps:wsp>
                                <wps:cNvPr id="246" name="直接箭头连接符 70"/>
                                <wps:cNvCnPr/>
                                <wps:spPr>
                                  <a:xfrm flipH="1">
                                    <a:off x="8984" y="4733"/>
                                    <a:ext cx="8" cy="397"/>
                                  </a:xfrm>
                                  <a:prstGeom prst="straightConnector1">
                                    <a:avLst/>
                                  </a:prstGeom>
                                  <a:ln w="9525" cap="flat" cmpd="sng">
                                    <a:solidFill>
                                      <a:srgbClr val="000000"/>
                                    </a:solidFill>
                                    <a:prstDash val="solid"/>
                                    <a:headEnd type="none" w="med" len="med"/>
                                    <a:tailEnd type="triangle" w="med" len="med"/>
                                  </a:ln>
                                </wps:spPr>
                                <wps:bodyPr/>
                              </wps:wsp>
                              <wps:wsp>
                                <wps:cNvPr id="71" name="直接箭头连接符 71"/>
                                <wps:cNvCnPr/>
                                <wps:spPr>
                                  <a:xfrm flipV="1">
                                    <a:off x="7680" y="5358"/>
                                    <a:ext cx="679" cy="1"/>
                                  </a:xfrm>
                                  <a:prstGeom prst="straightConnector1">
                                    <a:avLst/>
                                  </a:prstGeom>
                                  <a:ln w="9525" cap="flat" cmpd="sng">
                                    <a:solidFill>
                                      <a:srgbClr val="000000"/>
                                    </a:solidFill>
                                    <a:prstDash val="solid"/>
                                    <a:headEnd type="none" w="med" len="med"/>
                                    <a:tailEnd type="triangle" w="med" len="med"/>
                                  </a:ln>
                                </wps:spPr>
                                <wps:bodyPr/>
                              </wps:wsp>
                              <wps:wsp>
                                <wps:cNvPr id="72" name="文本框 72"/>
                                <wps:cNvSpPr txBox="1"/>
                                <wps:spPr>
                                  <a:xfrm>
                                    <a:off x="7079" y="5135"/>
                                    <a:ext cx="864" cy="431"/>
                                  </a:xfrm>
                                  <a:prstGeom prst="rect">
                                    <a:avLst/>
                                  </a:prstGeom>
                                  <a:noFill/>
                                  <a:ln>
                                    <a:noFill/>
                                  </a:ln>
                                </wps:spPr>
                                <wps:txbx>
                                  <w:txbxContent>
                                    <w:p>
                                      <w:r>
                                        <w:rPr>
                                          <w:rFonts w:hint="eastAsia"/>
                                        </w:rPr>
                                        <w:t>冲水</w:t>
                                      </w:r>
                                    </w:p>
                                  </w:txbxContent>
                                </wps:txbx>
                                <wps:bodyPr upright="1"/>
                              </wps:wsp>
                              <wps:wsp>
                                <wps:cNvPr id="247" name="直接箭头连接符 85"/>
                                <wps:cNvCnPr/>
                                <wps:spPr>
                                  <a:xfrm flipV="1">
                                    <a:off x="9727" y="5343"/>
                                    <a:ext cx="679" cy="1"/>
                                  </a:xfrm>
                                  <a:prstGeom prst="straightConnector1">
                                    <a:avLst/>
                                  </a:prstGeom>
                                  <a:ln w="9525" cap="flat" cmpd="sng">
                                    <a:solidFill>
                                      <a:srgbClr val="000000"/>
                                    </a:solidFill>
                                    <a:prstDash val="solid"/>
                                    <a:headEnd type="none" w="med" len="med"/>
                                    <a:tailEnd type="none" w="med" len="med"/>
                                  </a:ln>
                                </wps:spPr>
                                <wps:bodyPr/>
                              </wps:wsp>
                              <wps:wsp>
                                <wps:cNvPr id="86" name="直接箭头连接符 86"/>
                                <wps:cNvCnPr/>
                                <wps:spPr>
                                  <a:xfrm flipH="1" flipV="1">
                                    <a:off x="10384" y="4602"/>
                                    <a:ext cx="1" cy="737"/>
                                  </a:xfrm>
                                  <a:prstGeom prst="straightConnector1">
                                    <a:avLst/>
                                  </a:prstGeom>
                                  <a:ln w="9525" cap="flat" cmpd="sng">
                                    <a:solidFill>
                                      <a:srgbClr val="000000"/>
                                    </a:solidFill>
                                    <a:prstDash val="solid"/>
                                    <a:headEnd type="none" w="med" len="med"/>
                                    <a:tailEnd type="none" w="med" len="med"/>
                                  </a:ln>
                                </wps:spPr>
                                <wps:bodyPr/>
                              </wps:wsp>
                              <wps:wsp>
                                <wps:cNvPr id="248" name="直接箭头连接符 87"/>
                                <wps:cNvCnPr/>
                                <wps:spPr>
                                  <a:xfrm>
                                    <a:off x="9703" y="3050"/>
                                    <a:ext cx="794" cy="0"/>
                                  </a:xfrm>
                                  <a:prstGeom prst="straightConnector1">
                                    <a:avLst/>
                                  </a:prstGeom>
                                  <a:ln w="9525" cap="flat" cmpd="sng">
                                    <a:solidFill>
                                      <a:srgbClr val="000000"/>
                                    </a:solidFill>
                                    <a:prstDash val="dash"/>
                                    <a:headEnd type="none" w="med" len="med"/>
                                    <a:tailEnd type="triangle" w="med" len="med"/>
                                  </a:ln>
                                </wps:spPr>
                                <wps:bodyPr/>
                              </wps:wsp>
                              <wps:wsp>
                                <wps:cNvPr id="249" name="文本框 88"/>
                                <wps:cNvSpPr txBox="1"/>
                                <wps:spPr>
                                  <a:xfrm>
                                    <a:off x="10412" y="3620"/>
                                    <a:ext cx="804" cy="372"/>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00" w:lineRule="exact"/>
                                        <w:textAlignment w:val="auto"/>
                                        <w:rPr>
                                          <w:sz w:val="18"/>
                                          <w:szCs w:val="21"/>
                                        </w:rPr>
                                      </w:pPr>
                                      <w:r>
                                        <w:rPr>
                                          <w:sz w:val="18"/>
                                          <w:szCs w:val="21"/>
                                        </w:rPr>
                                        <w:t>粉尘</w:t>
                                      </w:r>
                                    </w:p>
                                  </w:txbxContent>
                                </wps:txbx>
                                <wps:bodyPr upright="1"/>
                              </wps:wsp>
                              <wps:wsp>
                                <wps:cNvPr id="250" name="文本框 89"/>
                                <wps:cNvSpPr txBox="1"/>
                                <wps:spPr>
                                  <a:xfrm>
                                    <a:off x="11093" y="5944"/>
                                    <a:ext cx="896" cy="55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00" w:lineRule="exact"/>
                                        <w:textAlignment w:val="auto"/>
                                        <w:rPr>
                                          <w:sz w:val="18"/>
                                          <w:szCs w:val="21"/>
                                        </w:rPr>
                                      </w:pPr>
                                      <w:r>
                                        <w:rPr>
                                          <w:sz w:val="18"/>
                                          <w:szCs w:val="21"/>
                                        </w:rPr>
                                        <w:t>噪声、粉尘</w:t>
                                      </w:r>
                                    </w:p>
                                  </w:txbxContent>
                                </wps:txbx>
                                <wps:bodyPr upright="1"/>
                              </wps:wsp>
                              <wps:wsp>
                                <wps:cNvPr id="251" name="直接箭头连接符 90"/>
                                <wps:cNvCnPr/>
                                <wps:spPr>
                                  <a:xfrm>
                                    <a:off x="9680" y="4445"/>
                                    <a:ext cx="1097" cy="1"/>
                                  </a:xfrm>
                                  <a:prstGeom prst="straightConnector1">
                                    <a:avLst/>
                                  </a:prstGeom>
                                  <a:ln w="9525" cap="flat" cmpd="sng">
                                    <a:solidFill>
                                      <a:srgbClr val="000000"/>
                                    </a:solidFill>
                                    <a:prstDash val="dash"/>
                                    <a:headEnd type="none" w="med" len="med"/>
                                    <a:tailEnd type="triangle" w="med" len="med"/>
                                  </a:ln>
                                </wps:spPr>
                                <wps:bodyPr/>
                              </wps:wsp>
                              <wps:wsp>
                                <wps:cNvPr id="252" name="直接箭头连接符 91"/>
                                <wps:cNvCnPr/>
                                <wps:spPr>
                                  <a:xfrm>
                                    <a:off x="9721" y="5451"/>
                                    <a:ext cx="1097" cy="1"/>
                                  </a:xfrm>
                                  <a:prstGeom prst="straightConnector1">
                                    <a:avLst/>
                                  </a:prstGeom>
                                  <a:ln w="9525" cap="flat" cmpd="sng">
                                    <a:solidFill>
                                      <a:srgbClr val="000000"/>
                                    </a:solidFill>
                                    <a:prstDash val="dash"/>
                                    <a:headEnd type="none" w="med" len="med"/>
                                    <a:tailEnd type="triangle" w="med" len="med"/>
                                  </a:ln>
                                </wps:spPr>
                                <wps:bodyPr/>
                              </wps:wsp>
                              <wps:wsp>
                                <wps:cNvPr id="253" name="直接箭头连接符 96"/>
                                <wps:cNvCnPr/>
                                <wps:spPr>
                                  <a:xfrm flipV="1">
                                    <a:off x="7601" y="6208"/>
                                    <a:ext cx="397" cy="1"/>
                                  </a:xfrm>
                                  <a:prstGeom prst="straightConnector1">
                                    <a:avLst/>
                                  </a:prstGeom>
                                  <a:ln w="9525" cap="flat" cmpd="sng">
                                    <a:solidFill>
                                      <a:srgbClr val="000000"/>
                                    </a:solidFill>
                                    <a:prstDash val="solid"/>
                                    <a:headEnd type="none" w="med" len="med"/>
                                    <a:tailEnd type="triangle" w="med" len="med"/>
                                  </a:ln>
                                </wps:spPr>
                                <wps:bodyPr/>
                              </wps:wsp>
                              <wps:wsp>
                                <wps:cNvPr id="254" name="文本框 97"/>
                                <wps:cNvSpPr txBox="1"/>
                                <wps:spPr>
                                  <a:xfrm>
                                    <a:off x="7239" y="6807"/>
                                    <a:ext cx="864" cy="431"/>
                                  </a:xfrm>
                                  <a:prstGeom prst="rect">
                                    <a:avLst/>
                                  </a:prstGeom>
                                  <a:noFill/>
                                  <a:ln>
                                    <a:noFill/>
                                  </a:ln>
                                </wps:spPr>
                                <wps:txbx>
                                  <w:txbxContent>
                                    <w:p>
                                      <w:r>
                                        <w:rPr>
                                          <w:rFonts w:hint="eastAsia"/>
                                        </w:rPr>
                                        <w:t>冲水</w:t>
                                      </w:r>
                                    </w:p>
                                  </w:txbxContent>
                                </wps:txbx>
                                <wps:bodyPr upright="1"/>
                              </wps:wsp>
                              <wps:wsp>
                                <wps:cNvPr id="255" name="直接箭头连接符 29"/>
                                <wps:cNvCnPr/>
                                <wps:spPr>
                                  <a:xfrm flipH="1">
                                    <a:off x="9012" y="5607"/>
                                    <a:ext cx="1" cy="350"/>
                                  </a:xfrm>
                                  <a:prstGeom prst="straightConnector1">
                                    <a:avLst/>
                                  </a:prstGeom>
                                  <a:ln w="9525" cap="flat" cmpd="sng">
                                    <a:solidFill>
                                      <a:srgbClr val="000000"/>
                                    </a:solidFill>
                                    <a:prstDash val="solid"/>
                                    <a:headEnd type="none" w="med" len="med"/>
                                    <a:tailEnd type="triangle" w="med" len="med"/>
                                  </a:ln>
                                </wps:spPr>
                                <wps:bodyPr/>
                              </wps:wsp>
                              <wps:wsp>
                                <wps:cNvPr id="256" name="文本框 110"/>
                                <wps:cNvSpPr txBox="1"/>
                                <wps:spPr>
                                  <a:xfrm>
                                    <a:off x="7981" y="5977"/>
                                    <a:ext cx="2036"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立轴冲击式制砂机</w:t>
                                      </w:r>
                                      <w:r>
                                        <w:rPr>
                                          <w:rFonts w:hint="eastAsia"/>
                                        </w:rPr>
                                        <w:t>冲击破</w:t>
                                      </w:r>
                                    </w:p>
                                  </w:txbxContent>
                                </wps:txbx>
                                <wps:bodyPr upright="1"/>
                              </wps:wsp>
                              <wps:wsp>
                                <wps:cNvPr id="257" name="直接箭头连接符 111"/>
                                <wps:cNvCnPr/>
                                <wps:spPr>
                                  <a:xfrm flipH="1">
                                    <a:off x="9036" y="6437"/>
                                    <a:ext cx="1" cy="350"/>
                                  </a:xfrm>
                                  <a:prstGeom prst="straightConnector1">
                                    <a:avLst/>
                                  </a:prstGeom>
                                  <a:ln w="9525" cap="flat" cmpd="sng">
                                    <a:solidFill>
                                      <a:srgbClr val="000000"/>
                                    </a:solidFill>
                                    <a:prstDash val="solid"/>
                                    <a:headEnd type="none" w="med" len="med"/>
                                    <a:tailEnd type="triangle" w="med" len="med"/>
                                  </a:ln>
                                </wps:spPr>
                                <wps:bodyPr/>
                              </wps:wsp>
                              <wps:wsp>
                                <wps:cNvPr id="112" name="文本框 112"/>
                                <wps:cNvSpPr txBox="1"/>
                                <wps:spPr>
                                  <a:xfrm>
                                    <a:off x="8502" y="6788"/>
                                    <a:ext cx="1166"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振动筛分</w:t>
                                      </w:r>
                                    </w:p>
                                  </w:txbxContent>
                                </wps:txbx>
                                <wps:bodyPr upright="1"/>
                              </wps:wsp>
                              <wps:wsp>
                                <wps:cNvPr id="113" name="直接箭头连接符 113"/>
                                <wps:cNvCnPr/>
                                <wps:spPr>
                                  <a:xfrm>
                                    <a:off x="9658" y="7013"/>
                                    <a:ext cx="1151" cy="1"/>
                                  </a:xfrm>
                                  <a:prstGeom prst="straightConnector1">
                                    <a:avLst/>
                                  </a:prstGeom>
                                  <a:ln w="12700" cap="flat" cmpd="sng">
                                    <a:solidFill>
                                      <a:srgbClr val="000000"/>
                                    </a:solidFill>
                                    <a:prstDash val="solid"/>
                                    <a:headEnd type="none" w="med" len="med"/>
                                    <a:tailEnd type="none" w="med" len="med"/>
                                  </a:ln>
                                </wps:spPr>
                                <wps:bodyPr/>
                              </wps:wsp>
                              <wps:wsp>
                                <wps:cNvPr id="115" name="文本框 115"/>
                                <wps:cNvSpPr txBox="1"/>
                                <wps:spPr>
                                  <a:xfrm>
                                    <a:off x="9675" y="6689"/>
                                    <a:ext cx="1939" cy="392"/>
                                  </a:xfrm>
                                  <a:prstGeom prst="rect">
                                    <a:avLst/>
                                  </a:prstGeom>
                                  <a:noFill/>
                                  <a:ln>
                                    <a:noFill/>
                                  </a:ln>
                                </wps:spPr>
                                <wps:txbx>
                                  <w:txbxContent>
                                    <w:p>
                                      <w:pPr>
                                        <w:spacing w:line="240" w:lineRule="exact"/>
                                        <w:rPr>
                                          <w:sz w:val="18"/>
                                          <w:szCs w:val="21"/>
                                        </w:rPr>
                                      </w:pPr>
                                      <w:r>
                                        <w:rPr>
                                          <w:rFonts w:hint="eastAsia"/>
                                          <w:sz w:val="18"/>
                                          <w:szCs w:val="21"/>
                                          <w:lang w:val="en-US" w:eastAsia="zh-CN"/>
                                        </w:rPr>
                                        <w:t>4.75~31.5</w:t>
                                      </w:r>
                                      <w:r>
                                        <w:rPr>
                                          <w:rFonts w:hint="eastAsia"/>
                                          <w:sz w:val="18"/>
                                          <w:szCs w:val="21"/>
                                        </w:rPr>
                                        <w:t>mm</w:t>
                                      </w:r>
                                      <w:r>
                                        <w:rPr>
                                          <w:sz w:val="18"/>
                                          <w:szCs w:val="21"/>
                                        </w:rPr>
                                        <w:t>碎石</w:t>
                                      </w:r>
                                    </w:p>
                                  </w:txbxContent>
                                </wps:txbx>
                                <wps:bodyPr wrap="square" upright="1"/>
                              </wps:wsp>
                              <wps:wsp>
                                <wps:cNvPr id="258" name="直接箭头连接符 5"/>
                                <wps:cNvCnPr/>
                                <wps:spPr>
                                  <a:xfrm>
                                    <a:off x="10039" y="6202"/>
                                    <a:ext cx="1097" cy="1"/>
                                  </a:xfrm>
                                  <a:prstGeom prst="straightConnector1">
                                    <a:avLst/>
                                  </a:prstGeom>
                                  <a:ln w="9525" cap="flat" cmpd="sng">
                                    <a:solidFill>
                                      <a:srgbClr val="000000"/>
                                    </a:solidFill>
                                    <a:prstDash val="dash"/>
                                    <a:headEnd type="none" w="med" len="med"/>
                                    <a:tailEnd type="triangle" w="med" len="med"/>
                                  </a:ln>
                                </wps:spPr>
                                <wps:bodyPr/>
                              </wps:wsp>
                              <wps:wsp>
                                <wps:cNvPr id="259" name="文本框 17"/>
                                <wps:cNvSpPr txBox="1"/>
                                <wps:spPr>
                                  <a:xfrm>
                                    <a:off x="8325" y="3549"/>
                                    <a:ext cx="1365"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中间料仓</w:t>
                                      </w:r>
                                    </w:p>
                                  </w:txbxContent>
                                </wps:txbx>
                                <wps:bodyPr upright="1"/>
                              </wps:wsp>
                              <wps:wsp>
                                <wps:cNvPr id="260" name="直接箭头连接符 32"/>
                                <wps:cNvCnPr/>
                                <wps:spPr>
                                  <a:xfrm>
                                    <a:off x="9721" y="3772"/>
                                    <a:ext cx="794" cy="0"/>
                                  </a:xfrm>
                                  <a:prstGeom prst="straightConnector1">
                                    <a:avLst/>
                                  </a:prstGeom>
                                  <a:ln w="9525" cap="flat" cmpd="sng">
                                    <a:solidFill>
                                      <a:srgbClr val="000000"/>
                                    </a:solidFill>
                                    <a:prstDash val="dash"/>
                                    <a:headEnd type="none" w="med" len="med"/>
                                    <a:tailEnd type="triangle" w="med" len="med"/>
                                  </a:ln>
                                </wps:spPr>
                                <wps:bodyPr/>
                              </wps:wsp>
                              <wps:wsp>
                                <wps:cNvPr id="261" name="文本框 41"/>
                                <wps:cNvSpPr txBox="1"/>
                                <wps:spPr>
                                  <a:xfrm>
                                    <a:off x="10411" y="2805"/>
                                    <a:ext cx="896" cy="538"/>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00" w:lineRule="exact"/>
                                        <w:textAlignment w:val="auto"/>
                                        <w:rPr>
                                          <w:sz w:val="18"/>
                                          <w:szCs w:val="21"/>
                                        </w:rPr>
                                      </w:pPr>
                                      <w:r>
                                        <w:rPr>
                                          <w:sz w:val="18"/>
                                          <w:szCs w:val="21"/>
                                        </w:rPr>
                                        <w:t>噪声、粉尘</w:t>
                                      </w:r>
                                    </w:p>
                                  </w:txbxContent>
                                </wps:txbx>
                                <wps:bodyPr upright="1"/>
                              </wps:wsp>
                              <wps:wsp>
                                <wps:cNvPr id="262" name="直接箭头连接符 42"/>
                                <wps:cNvCnPr/>
                                <wps:spPr>
                                  <a:xfrm flipH="1">
                                    <a:off x="9003" y="3999"/>
                                    <a:ext cx="1" cy="284"/>
                                  </a:xfrm>
                                  <a:prstGeom prst="straightConnector1">
                                    <a:avLst/>
                                  </a:prstGeom>
                                  <a:ln w="9525" cap="flat" cmpd="sng">
                                    <a:solidFill>
                                      <a:srgbClr val="000000"/>
                                    </a:solidFill>
                                    <a:prstDash val="solid"/>
                                    <a:headEnd type="none" w="med" len="med"/>
                                    <a:tailEnd type="triangle" w="med" len="med"/>
                                  </a:ln>
                                </wps:spPr>
                                <wps:bodyPr/>
                              </wps:wsp>
                              <wps:wsp>
                                <wps:cNvPr id="263" name="直接箭头连接符 45"/>
                                <wps:cNvCnPr/>
                                <wps:spPr>
                                  <a:xfrm flipV="1">
                                    <a:off x="7635" y="4512"/>
                                    <a:ext cx="679" cy="1"/>
                                  </a:xfrm>
                                  <a:prstGeom prst="straightConnector1">
                                    <a:avLst/>
                                  </a:prstGeom>
                                  <a:ln w="9525" cap="flat" cmpd="sng">
                                    <a:solidFill>
                                      <a:srgbClr val="000000"/>
                                    </a:solidFill>
                                    <a:prstDash val="solid"/>
                                    <a:headEnd type="none" w="med" len="med"/>
                                    <a:tailEnd type="triangle" w="med" len="med"/>
                                  </a:ln>
                                </wps:spPr>
                                <wps:bodyPr/>
                              </wps:wsp>
                              <wps:wsp>
                                <wps:cNvPr id="264" name="文本框 46"/>
                                <wps:cNvSpPr txBox="1"/>
                                <wps:spPr>
                                  <a:xfrm>
                                    <a:off x="7032" y="4301"/>
                                    <a:ext cx="864" cy="431"/>
                                  </a:xfrm>
                                  <a:prstGeom prst="rect">
                                    <a:avLst/>
                                  </a:prstGeom>
                                  <a:noFill/>
                                  <a:ln>
                                    <a:noFill/>
                                  </a:ln>
                                </wps:spPr>
                                <wps:txbx>
                                  <w:txbxContent>
                                    <w:p>
                                      <w:pPr>
                                        <w:rPr>
                                          <w:rFonts w:hint="eastAsia" w:eastAsia="宋体"/>
                                          <w:lang w:eastAsia="zh-CN"/>
                                        </w:rPr>
                                      </w:pPr>
                                      <w:r>
                                        <w:rPr>
                                          <w:rFonts w:hint="eastAsia"/>
                                        </w:rPr>
                                        <w:t>喷</w:t>
                                      </w:r>
                                      <w:r>
                                        <w:rPr>
                                          <w:rFonts w:hint="eastAsia"/>
                                          <w:lang w:val="en-US" w:eastAsia="zh-CN"/>
                                        </w:rPr>
                                        <w:t>雾</w:t>
                                      </w:r>
                                    </w:p>
                                  </w:txbxContent>
                                </wps:txbx>
                                <wps:bodyPr upright="1"/>
                              </wps:wsp>
                              <wps:wsp>
                                <wps:cNvPr id="265" name="文本框 49"/>
                                <wps:cNvSpPr txBox="1"/>
                                <wps:spPr>
                                  <a:xfrm>
                                    <a:off x="7023" y="5987"/>
                                    <a:ext cx="763" cy="431"/>
                                  </a:xfrm>
                                  <a:prstGeom prst="rect">
                                    <a:avLst/>
                                  </a:prstGeom>
                                  <a:noFill/>
                                  <a:ln>
                                    <a:noFill/>
                                  </a:ln>
                                </wps:spPr>
                                <wps:txbx>
                                  <w:txbxContent>
                                    <w:p>
                                      <w:pPr>
                                        <w:rPr>
                                          <w:rFonts w:hint="eastAsia" w:eastAsia="宋体"/>
                                          <w:lang w:eastAsia="zh-CN"/>
                                        </w:rPr>
                                      </w:pPr>
                                      <w:r>
                                        <w:rPr>
                                          <w:rFonts w:hint="eastAsia"/>
                                        </w:rPr>
                                        <w:t>喷</w:t>
                                      </w:r>
                                      <w:r>
                                        <w:rPr>
                                          <w:rFonts w:hint="eastAsia"/>
                                          <w:lang w:val="en-US" w:eastAsia="zh-CN"/>
                                        </w:rPr>
                                        <w:t>雾</w:t>
                                      </w:r>
                                    </w:p>
                                  </w:txbxContent>
                                </wps:txbx>
                                <wps:bodyPr upright="1"/>
                              </wps:wsp>
                              <wps:wsp>
                                <wps:cNvPr id="266" name="文本框 50"/>
                                <wps:cNvSpPr txBox="1"/>
                                <wps:spPr>
                                  <a:xfrm>
                                    <a:off x="10648" y="4185"/>
                                    <a:ext cx="896" cy="556"/>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00" w:lineRule="exact"/>
                                        <w:textAlignment w:val="auto"/>
                                        <w:rPr>
                                          <w:sz w:val="18"/>
                                          <w:szCs w:val="21"/>
                                        </w:rPr>
                                      </w:pPr>
                                      <w:r>
                                        <w:rPr>
                                          <w:sz w:val="18"/>
                                          <w:szCs w:val="21"/>
                                        </w:rPr>
                                        <w:t>噪声、粉尘</w:t>
                                      </w:r>
                                    </w:p>
                                  </w:txbxContent>
                                </wps:txbx>
                                <wps:bodyPr upright="1"/>
                              </wps:wsp>
                              <wps:wsp>
                                <wps:cNvPr id="267" name="文本框 52"/>
                                <wps:cNvSpPr txBox="1"/>
                                <wps:spPr>
                                  <a:xfrm>
                                    <a:off x="9649" y="5029"/>
                                    <a:ext cx="1196" cy="454"/>
                                  </a:xfrm>
                                  <a:prstGeom prst="rect">
                                    <a:avLst/>
                                  </a:prstGeom>
                                  <a:noFill/>
                                  <a:ln>
                                    <a:noFill/>
                                  </a:ln>
                                </wps:spPr>
                                <wps:txbx>
                                  <w:txbxContent>
                                    <w:p>
                                      <w:pPr>
                                        <w:spacing w:line="240" w:lineRule="exact"/>
                                        <w:rPr>
                                          <w:rFonts w:hint="default" w:eastAsia="宋体"/>
                                          <w:sz w:val="18"/>
                                          <w:szCs w:val="21"/>
                                          <w:lang w:val="en-US" w:eastAsia="zh-CN"/>
                                        </w:rPr>
                                      </w:pPr>
                                      <w:r>
                                        <w:rPr>
                                          <w:rFonts w:hint="eastAsia"/>
                                          <w:sz w:val="18"/>
                                          <w:szCs w:val="21"/>
                                          <w:lang w:val="en-US" w:eastAsia="zh-CN"/>
                                        </w:rPr>
                                        <w:t>不合格</w:t>
                                      </w:r>
                                    </w:p>
                                  </w:txbxContent>
                                </wps:txbx>
                                <wps:bodyPr upright="1"/>
                              </wps:wsp>
                              <wps:wsp>
                                <wps:cNvPr id="268" name="文本框 53"/>
                                <wps:cNvSpPr txBox="1"/>
                                <wps:spPr>
                                  <a:xfrm>
                                    <a:off x="8927" y="5654"/>
                                    <a:ext cx="1196" cy="454"/>
                                  </a:xfrm>
                                  <a:prstGeom prst="rect">
                                    <a:avLst/>
                                  </a:prstGeom>
                                  <a:noFill/>
                                  <a:ln>
                                    <a:noFill/>
                                  </a:ln>
                                </wps:spPr>
                                <wps:txbx>
                                  <w:txbxContent>
                                    <w:p>
                                      <w:pPr>
                                        <w:spacing w:line="240" w:lineRule="exact"/>
                                        <w:rPr>
                                          <w:rFonts w:hint="default" w:eastAsia="宋体"/>
                                          <w:sz w:val="18"/>
                                          <w:szCs w:val="21"/>
                                          <w:lang w:val="en-US" w:eastAsia="zh-CN"/>
                                        </w:rPr>
                                      </w:pPr>
                                      <w:r>
                                        <w:rPr>
                                          <w:rFonts w:hint="eastAsia"/>
                                          <w:sz w:val="18"/>
                                          <w:szCs w:val="21"/>
                                          <w:lang w:val="en-US" w:eastAsia="zh-CN"/>
                                        </w:rPr>
                                        <w:t>合格料</w:t>
                                      </w:r>
                                    </w:p>
                                  </w:txbxContent>
                                </wps:txbx>
                                <wps:bodyPr upright="1"/>
                              </wps:wsp>
                              <wps:wsp>
                                <wps:cNvPr id="269" name="直接箭头连接符 54"/>
                                <wps:cNvCnPr/>
                                <wps:spPr>
                                  <a:xfrm flipV="1">
                                    <a:off x="7828" y="7024"/>
                                    <a:ext cx="679" cy="1"/>
                                  </a:xfrm>
                                  <a:prstGeom prst="straightConnector1">
                                    <a:avLst/>
                                  </a:prstGeom>
                                  <a:ln w="9525" cap="flat" cmpd="sng">
                                    <a:solidFill>
                                      <a:srgbClr val="000000"/>
                                    </a:solidFill>
                                    <a:prstDash val="solid"/>
                                    <a:headEnd type="none" w="med" len="med"/>
                                    <a:tailEnd type="triangle" w="med" len="med"/>
                                  </a:ln>
                                </wps:spPr>
                                <wps:bodyPr/>
                              </wps:wsp>
                              <wps:wsp>
                                <wps:cNvPr id="270" name="直接箭头连接符 55"/>
                                <wps:cNvCnPr/>
                                <wps:spPr>
                                  <a:xfrm>
                                    <a:off x="6722" y="5740"/>
                                    <a:ext cx="2294" cy="1"/>
                                  </a:xfrm>
                                  <a:prstGeom prst="straightConnector1">
                                    <a:avLst/>
                                  </a:prstGeom>
                                  <a:ln w="9525" cap="flat" cmpd="sng">
                                    <a:solidFill>
                                      <a:srgbClr val="000000"/>
                                    </a:solidFill>
                                    <a:prstDash val="solid"/>
                                    <a:headEnd type="none" w="med" len="med"/>
                                    <a:tailEnd type="none" w="med" len="med"/>
                                  </a:ln>
                                </wps:spPr>
                                <wps:bodyPr/>
                              </wps:wsp>
                              <wps:wsp>
                                <wps:cNvPr id="271" name="直接箭头连接符 56"/>
                                <wps:cNvCnPr/>
                                <wps:spPr>
                                  <a:xfrm flipH="1">
                                    <a:off x="6731" y="5740"/>
                                    <a:ext cx="3" cy="2232"/>
                                  </a:xfrm>
                                  <a:prstGeom prst="straightConnector1">
                                    <a:avLst/>
                                  </a:prstGeom>
                                  <a:ln w="9525" cap="flat" cmpd="sng">
                                    <a:solidFill>
                                      <a:srgbClr val="000000"/>
                                    </a:solidFill>
                                    <a:prstDash val="solid"/>
                                    <a:headEnd type="none" w="med" len="med"/>
                                    <a:tailEnd type="none" w="med" len="med"/>
                                  </a:ln>
                                </wps:spPr>
                                <wps:bodyPr/>
                              </wps:wsp>
                              <wps:wsp>
                                <wps:cNvPr id="272" name="文本框 60"/>
                                <wps:cNvSpPr txBox="1"/>
                                <wps:spPr>
                                  <a:xfrm>
                                    <a:off x="8592" y="7266"/>
                                    <a:ext cx="1348" cy="646"/>
                                  </a:xfrm>
                                  <a:prstGeom prst="rect">
                                    <a:avLst/>
                                  </a:prstGeom>
                                  <a:noFill/>
                                  <a:ln>
                                    <a:noFill/>
                                  </a:ln>
                                </wps:spPr>
                                <wps:txbx>
                                  <w:txbxContent>
                                    <w:p>
                                      <w:pPr>
                                        <w:spacing w:line="240" w:lineRule="exact"/>
                                        <w:rPr>
                                          <w:rFonts w:hint="default" w:eastAsia="宋体"/>
                                          <w:sz w:val="18"/>
                                          <w:szCs w:val="21"/>
                                          <w:lang w:val="en-US" w:eastAsia="zh-CN"/>
                                        </w:rPr>
                                      </w:pPr>
                                      <w:r>
                                        <w:rPr>
                                          <w:rFonts w:hint="eastAsia"/>
                                          <w:sz w:val="18"/>
                                          <w:szCs w:val="21"/>
                                          <w:lang w:val="en-US" w:eastAsia="zh-CN"/>
                                        </w:rPr>
                                        <w:t>含泥废水和砂＜4.75mm</w:t>
                                      </w:r>
                                    </w:p>
                                  </w:txbxContent>
                                </wps:txbx>
                                <wps:bodyPr upright="1"/>
                              </wps:wsp>
                              <wps:wsp>
                                <wps:cNvPr id="273" name="直接箭头连接符 58"/>
                                <wps:cNvCnPr/>
                                <wps:spPr>
                                  <a:xfrm>
                                    <a:off x="6731" y="7962"/>
                                    <a:ext cx="1928" cy="1"/>
                                  </a:xfrm>
                                  <a:prstGeom prst="straightConnector1">
                                    <a:avLst/>
                                  </a:prstGeom>
                                  <a:ln w="9525" cap="flat" cmpd="sng">
                                    <a:solidFill>
                                      <a:srgbClr val="000000"/>
                                    </a:solidFill>
                                    <a:prstDash val="solid"/>
                                    <a:headEnd type="none" w="med" len="med"/>
                                    <a:tailEnd type="triangle" w="med" len="med"/>
                                  </a:ln>
                                </wps:spPr>
                                <wps:bodyPr/>
                              </wps:wsp>
                              <wpg:grpSp>
                                <wpg:cNvPr id="68" name="组合 100"/>
                                <wpg:cNvGrpSpPr/>
                                <wpg:grpSpPr>
                                  <a:xfrm>
                                    <a:off x="6714" y="8295"/>
                                    <a:ext cx="5495" cy="3534"/>
                                    <a:chOff x="6655" y="8574"/>
                                    <a:chExt cx="5495" cy="3534"/>
                                  </a:xfrm>
                                </wpg:grpSpPr>
                                <wps:wsp>
                                  <wps:cNvPr id="275" name="文本框 24"/>
                                  <wps:cNvSpPr txBox="1"/>
                                  <wps:spPr>
                                    <a:xfrm>
                                      <a:off x="7369" y="9440"/>
                                      <a:ext cx="1158"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脱水筛</w:t>
                                        </w:r>
                                      </w:p>
                                    </w:txbxContent>
                                  </wps:txbx>
                                  <wps:bodyPr upright="1"/>
                                </wps:wsp>
                                <wps:wsp>
                                  <wps:cNvPr id="276" name="直接箭头连接符 25"/>
                                  <wps:cNvCnPr/>
                                  <wps:spPr>
                                    <a:xfrm>
                                      <a:off x="7692" y="9928"/>
                                      <a:ext cx="0" cy="340"/>
                                    </a:xfrm>
                                    <a:prstGeom prst="straightConnector1">
                                      <a:avLst/>
                                    </a:prstGeom>
                                    <a:ln w="9525" cap="flat" cmpd="sng">
                                      <a:solidFill>
                                        <a:srgbClr val="000000"/>
                                      </a:solidFill>
                                      <a:prstDash val="solid"/>
                                      <a:headEnd type="none" w="med" len="med"/>
                                      <a:tailEnd type="triangle" w="med" len="med"/>
                                    </a:ln>
                                  </wps:spPr>
                                  <wps:bodyPr/>
                                </wps:wsp>
                                <wps:wsp>
                                  <wps:cNvPr id="277" name="文本框 26"/>
                                  <wps:cNvSpPr txBox="1"/>
                                  <wps:spPr>
                                    <a:xfrm>
                                      <a:off x="7388" y="10269"/>
                                      <a:ext cx="1381" cy="3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eastAsia="宋体"/>
                                            <w:lang w:val="en-US" w:eastAsia="zh-CN"/>
                                          </w:rPr>
                                        </w:pPr>
                                        <w:r>
                                          <w:rPr>
                                            <w:rFonts w:hint="eastAsia"/>
                                            <w:lang w:val="en-US" w:eastAsia="zh-CN"/>
                                          </w:rPr>
                                          <w:t>旋流器</w:t>
                                        </w:r>
                                      </w:p>
                                    </w:txbxContent>
                                  </wps:txbx>
                                  <wps:bodyPr upright="1"/>
                                </wps:wsp>
                                <wps:wsp>
                                  <wps:cNvPr id="278" name="直接箭头连接符 27"/>
                                  <wps:cNvCnPr/>
                                  <wps:spPr>
                                    <a:xfrm>
                                      <a:off x="8442" y="10669"/>
                                      <a:ext cx="1" cy="722"/>
                                    </a:xfrm>
                                    <a:prstGeom prst="straightConnector1">
                                      <a:avLst/>
                                    </a:prstGeom>
                                    <a:ln w="9525" cap="flat" cmpd="sng">
                                      <a:solidFill>
                                        <a:srgbClr val="000000"/>
                                      </a:solidFill>
                                      <a:prstDash val="solid"/>
                                      <a:headEnd type="none" w="med" len="med"/>
                                      <a:tailEnd type="triangle" w="med" len="med"/>
                                    </a:ln>
                                  </wps:spPr>
                                  <wps:bodyPr/>
                                </wps:wsp>
                                <wps:wsp>
                                  <wps:cNvPr id="279" name="文本框 28"/>
                                  <wps:cNvSpPr txBox="1"/>
                                  <wps:spPr>
                                    <a:xfrm>
                                      <a:off x="7038" y="11379"/>
                                      <a:ext cx="1533" cy="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t>机砂</w:t>
                                        </w:r>
                                        <w:r>
                                          <w:rPr>
                                            <w:rFonts w:hint="eastAsia"/>
                                            <w:lang w:val="en-US" w:eastAsia="zh-CN"/>
                                          </w:rPr>
                                          <w:t>产品库</w:t>
                                        </w:r>
                                      </w:p>
                                    </w:txbxContent>
                                  </wps:txbx>
                                  <wps:bodyPr upright="1"/>
                                </wps:wsp>
                                <wps:wsp>
                                  <wps:cNvPr id="280" name="直接箭头连接符 62"/>
                                  <wps:cNvCnPr/>
                                  <wps:spPr>
                                    <a:xfrm flipH="1">
                                      <a:off x="7112" y="9717"/>
                                      <a:ext cx="1" cy="1644"/>
                                    </a:xfrm>
                                    <a:prstGeom prst="straightConnector1">
                                      <a:avLst/>
                                    </a:prstGeom>
                                    <a:ln w="9525" cap="flat" cmpd="sng">
                                      <a:solidFill>
                                        <a:srgbClr val="000000"/>
                                      </a:solidFill>
                                      <a:prstDash val="solid"/>
                                      <a:headEnd type="none" w="med" len="med"/>
                                      <a:tailEnd type="triangle" w="med" len="med"/>
                                    </a:ln>
                                  </wps:spPr>
                                  <wps:bodyPr/>
                                </wps:wsp>
                                <wps:wsp>
                                  <wps:cNvPr id="281" name="文本框 63"/>
                                  <wps:cNvSpPr txBox="1"/>
                                  <wps:spPr>
                                    <a:xfrm>
                                      <a:off x="6655" y="10040"/>
                                      <a:ext cx="534" cy="864"/>
                                    </a:xfrm>
                                    <a:prstGeom prst="rect">
                                      <a:avLst/>
                                    </a:prstGeom>
                                    <a:noFill/>
                                    <a:ln>
                                      <a:noFill/>
                                    </a:ln>
                                  </wps:spPr>
                                  <wps:txbx>
                                    <w:txbxContent>
                                      <w:p>
                                        <w:r>
                                          <w:t>机</w:t>
                                        </w:r>
                                      </w:p>
                                      <w:p>
                                        <w:r>
                                          <w:t>砂</w:t>
                                        </w:r>
                                      </w:p>
                                    </w:txbxContent>
                                  </wps:txbx>
                                  <wps:bodyPr upright="1"/>
                                </wps:wsp>
                                <wps:wsp>
                                  <wps:cNvPr id="282" name="文本框 64"/>
                                  <wps:cNvSpPr txBox="1"/>
                                  <wps:spPr>
                                    <a:xfrm>
                                      <a:off x="7673" y="9844"/>
                                      <a:ext cx="1011" cy="469"/>
                                    </a:xfrm>
                                    <a:prstGeom prst="rect">
                                      <a:avLst/>
                                    </a:prstGeom>
                                    <a:noFill/>
                                    <a:ln>
                                      <a:noFill/>
                                    </a:ln>
                                  </wps:spPr>
                                  <wps:txbx>
                                    <w:txbxContent>
                                      <w:p>
                                        <w:pPr>
                                          <w:rPr>
                                            <w:sz w:val="20"/>
                                            <w:szCs w:val="22"/>
                                          </w:rPr>
                                        </w:pPr>
                                        <w:r>
                                          <w:rPr>
                                            <w:sz w:val="20"/>
                                            <w:szCs w:val="22"/>
                                          </w:rPr>
                                          <w:t>泥浆水</w:t>
                                        </w:r>
                                      </w:p>
                                    </w:txbxContent>
                                  </wps:txbx>
                                  <wps:bodyPr upright="1"/>
                                </wps:wsp>
                                <wps:wsp>
                                  <wps:cNvPr id="75" name="文本框 75"/>
                                  <wps:cNvSpPr txBox="1"/>
                                  <wps:spPr>
                                    <a:xfrm>
                                      <a:off x="7996" y="10739"/>
                                      <a:ext cx="534" cy="550"/>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00" w:lineRule="exact"/>
                                          <w:textAlignment w:val="auto"/>
                                          <w:rPr>
                                            <w:sz w:val="20"/>
                                            <w:szCs w:val="22"/>
                                          </w:rPr>
                                        </w:pPr>
                                        <w:r>
                                          <w:rPr>
                                            <w:rFonts w:hint="eastAsia"/>
                                            <w:sz w:val="20"/>
                                            <w:szCs w:val="22"/>
                                            <w:lang w:val="en-US" w:eastAsia="zh-CN"/>
                                          </w:rPr>
                                          <w:t>细</w:t>
                                        </w:r>
                                        <w:r>
                                          <w:rPr>
                                            <w:sz w:val="20"/>
                                            <w:szCs w:val="22"/>
                                          </w:rPr>
                                          <w:t>砂</w:t>
                                        </w:r>
                                      </w:p>
                                    </w:txbxContent>
                                  </wps:txbx>
                                  <wps:bodyPr upright="1"/>
                                </wps:wsp>
                                <wps:wsp>
                                  <wps:cNvPr id="76" name="直接箭头连接符 76"/>
                                  <wps:cNvCnPr/>
                                  <wps:spPr>
                                    <a:xfrm flipV="1">
                                      <a:off x="7119" y="9722"/>
                                      <a:ext cx="227" cy="1"/>
                                    </a:xfrm>
                                    <a:prstGeom prst="straightConnector1">
                                      <a:avLst/>
                                    </a:prstGeom>
                                    <a:ln w="12700" cap="flat" cmpd="sng">
                                      <a:solidFill>
                                        <a:srgbClr val="000000"/>
                                      </a:solidFill>
                                      <a:prstDash val="solid"/>
                                      <a:headEnd type="none" w="med" len="med"/>
                                      <a:tailEnd type="none" w="med" len="med"/>
                                    </a:ln>
                                  </wps:spPr>
                                  <wps:bodyPr/>
                                </wps:wsp>
                                <wps:wsp>
                                  <wps:cNvPr id="77" name="直接箭头连接符 77"/>
                                  <wps:cNvCnPr/>
                                  <wps:spPr>
                                    <a:xfrm>
                                      <a:off x="8775" y="10463"/>
                                      <a:ext cx="734" cy="0"/>
                                    </a:xfrm>
                                    <a:prstGeom prst="straightConnector1">
                                      <a:avLst/>
                                    </a:prstGeom>
                                    <a:ln w="9525" cap="flat" cmpd="sng">
                                      <a:solidFill>
                                        <a:srgbClr val="000000"/>
                                      </a:solidFill>
                                      <a:prstDash val="dash"/>
                                      <a:headEnd type="none" w="med" len="med"/>
                                      <a:tailEnd type="triangle" w="med" len="med"/>
                                    </a:ln>
                                  </wps:spPr>
                                  <wps:bodyPr/>
                                </wps:wsp>
                                <wps:wsp>
                                  <wps:cNvPr id="83" name="文本框 83"/>
                                  <wps:cNvSpPr txBox="1"/>
                                  <wps:spPr>
                                    <a:xfrm>
                                      <a:off x="8602" y="11235"/>
                                      <a:ext cx="1011" cy="469"/>
                                    </a:xfrm>
                                    <a:prstGeom prst="rect">
                                      <a:avLst/>
                                    </a:prstGeom>
                                    <a:noFill/>
                                    <a:ln>
                                      <a:noFill/>
                                    </a:ln>
                                  </wps:spPr>
                                  <wps:txbx>
                                    <w:txbxContent>
                                      <w:p>
                                        <w:pPr>
                                          <w:rPr>
                                            <w:sz w:val="18"/>
                                            <w:szCs w:val="21"/>
                                          </w:rPr>
                                        </w:pPr>
                                        <w:r>
                                          <w:rPr>
                                            <w:sz w:val="18"/>
                                            <w:szCs w:val="21"/>
                                          </w:rPr>
                                          <w:t>渗沥水</w:t>
                                        </w:r>
                                      </w:p>
                                    </w:txbxContent>
                                  </wps:txbx>
                                  <wps:bodyPr upright="1"/>
                                </wps:wsp>
                                <wps:wsp>
                                  <wps:cNvPr id="283" name="文本框 92"/>
                                  <wps:cNvSpPr txBox="1"/>
                                  <wps:spPr>
                                    <a:xfrm>
                                      <a:off x="8814" y="10147"/>
                                      <a:ext cx="896" cy="469"/>
                                    </a:xfrm>
                                    <a:prstGeom prst="rect">
                                      <a:avLst/>
                                    </a:prstGeom>
                                    <a:noFill/>
                                    <a:ln>
                                      <a:noFill/>
                                    </a:ln>
                                  </wps:spPr>
                                  <wps:txbx>
                                    <w:txbxContent>
                                      <w:p>
                                        <w:pPr>
                                          <w:rPr>
                                            <w:sz w:val="18"/>
                                            <w:szCs w:val="21"/>
                                          </w:rPr>
                                        </w:pPr>
                                        <w:r>
                                          <w:rPr>
                                            <w:rFonts w:hint="eastAsia"/>
                                            <w:sz w:val="18"/>
                                            <w:szCs w:val="21"/>
                                          </w:rPr>
                                          <w:t>废水</w:t>
                                        </w:r>
                                      </w:p>
                                    </w:txbxContent>
                                  </wps:txbx>
                                  <wps:bodyPr upright="1"/>
                                </wps:wsp>
                                <wps:wsp>
                                  <wps:cNvPr id="284" name="文本框 14"/>
                                  <wps:cNvSpPr txBox="1"/>
                                  <wps:spPr>
                                    <a:xfrm>
                                      <a:off x="8003" y="9013"/>
                                      <a:ext cx="506" cy="392"/>
                                    </a:xfrm>
                                    <a:prstGeom prst="rect">
                                      <a:avLst/>
                                    </a:prstGeom>
                                    <a:noFill/>
                                    <a:ln>
                                      <a:noFill/>
                                    </a:ln>
                                  </wps:spPr>
                                  <wps:txbx>
                                    <w:txbxContent>
                                      <w:p>
                                        <w:pPr>
                                          <w:spacing w:line="240" w:lineRule="exact"/>
                                          <w:jc w:val="center"/>
                                          <w:rPr>
                                            <w:rFonts w:hint="default" w:eastAsia="宋体"/>
                                            <w:sz w:val="20"/>
                                            <w:szCs w:val="22"/>
                                            <w:lang w:val="en-US" w:eastAsia="zh-CN"/>
                                          </w:rPr>
                                        </w:pPr>
                                        <w:r>
                                          <w:rPr>
                                            <w:rFonts w:hint="eastAsia"/>
                                            <w:sz w:val="20"/>
                                            <w:szCs w:val="22"/>
                                            <w:lang w:val="en-US" w:eastAsia="zh-CN"/>
                                          </w:rPr>
                                          <w:t>砂</w:t>
                                        </w:r>
                                      </w:p>
                                    </w:txbxContent>
                                  </wps:txbx>
                                  <wps:bodyPr upright="1"/>
                                </wps:wsp>
                                <wps:wsp>
                                  <wps:cNvPr id="285" name="文本框 15"/>
                                  <wps:cNvSpPr txBox="1"/>
                                  <wps:spPr>
                                    <a:xfrm>
                                      <a:off x="7397" y="8589"/>
                                      <a:ext cx="1491"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轮式洗砂机</w:t>
                                        </w:r>
                                      </w:p>
                                    </w:txbxContent>
                                  </wps:txbx>
                                  <wps:bodyPr upright="1"/>
                                </wps:wsp>
                                <wps:wsp>
                                  <wps:cNvPr id="286" name="直接箭头连接符 33"/>
                                  <wps:cNvCnPr/>
                                  <wps:spPr>
                                    <a:xfrm>
                                      <a:off x="11020" y="10822"/>
                                      <a:ext cx="704" cy="1"/>
                                    </a:xfrm>
                                    <a:prstGeom prst="straightConnector1">
                                      <a:avLst/>
                                    </a:prstGeom>
                                    <a:ln w="9525" cap="flat" cmpd="sng">
                                      <a:solidFill>
                                        <a:srgbClr val="000000"/>
                                      </a:solidFill>
                                      <a:prstDash val="solid"/>
                                      <a:headEnd type="none" w="med" len="med"/>
                                      <a:tailEnd type="none" w="med" len="med"/>
                                    </a:ln>
                                  </wps:spPr>
                                  <wps:bodyPr/>
                                </wps:wsp>
                                <wps:wsp>
                                  <wps:cNvPr id="287" name="直接箭头连接符 16"/>
                                  <wps:cNvCnPr/>
                                  <wps:spPr>
                                    <a:xfrm flipH="1">
                                      <a:off x="8115" y="9054"/>
                                      <a:ext cx="1" cy="397"/>
                                    </a:xfrm>
                                    <a:prstGeom prst="straightConnector1">
                                      <a:avLst/>
                                    </a:prstGeom>
                                    <a:ln w="9525" cap="flat" cmpd="sng">
                                      <a:solidFill>
                                        <a:srgbClr val="000000"/>
                                      </a:solidFill>
                                      <a:prstDash val="solid"/>
                                      <a:headEnd type="none" w="med" len="med"/>
                                      <a:tailEnd type="triangle" w="med" len="med"/>
                                    </a:ln>
                                  </wps:spPr>
                                  <wps:bodyPr/>
                                </wps:wsp>
                                <wps:wsp>
                                  <wps:cNvPr id="288" name="文本框 38"/>
                                  <wps:cNvSpPr txBox="1"/>
                                  <wps:spPr>
                                    <a:xfrm>
                                      <a:off x="9564" y="11378"/>
                                      <a:ext cx="1562" cy="730"/>
                                    </a:xfrm>
                                    <a:prstGeom prst="rect">
                                      <a:avLst/>
                                    </a:prstGeom>
                                    <a:noFill/>
                                    <a:ln>
                                      <a:noFill/>
                                    </a:ln>
                                  </wps:spPr>
                                  <wps:txbx>
                                    <w:txbxContent>
                                      <w:p>
                                        <w:pPr>
                                          <w:rPr>
                                            <w:rFonts w:hint="default" w:eastAsia="宋体"/>
                                            <w:sz w:val="20"/>
                                            <w:szCs w:val="22"/>
                                            <w:lang w:val="en-US" w:eastAsia="zh-CN"/>
                                          </w:rPr>
                                        </w:pPr>
                                        <w:r>
                                          <w:rPr>
                                            <w:sz w:val="20"/>
                                            <w:szCs w:val="22"/>
                                          </w:rPr>
                                          <w:t>泥饼</w:t>
                                        </w:r>
                                        <w:r>
                                          <w:rPr>
                                            <w:rFonts w:hint="eastAsia"/>
                                            <w:sz w:val="20"/>
                                            <w:szCs w:val="22"/>
                                          </w:rPr>
                                          <w:t>外售砖厂</w:t>
                                        </w:r>
                                        <w:r>
                                          <w:rPr>
                                            <w:rFonts w:hint="eastAsia"/>
                                            <w:sz w:val="20"/>
                                            <w:szCs w:val="22"/>
                                            <w:lang w:val="en-US" w:eastAsia="zh-CN"/>
                                          </w:rPr>
                                          <w:t>或建材厂利用</w:t>
                                        </w:r>
                                      </w:p>
                                    </w:txbxContent>
                                  </wps:txbx>
                                  <wps:bodyPr wrap="square" upright="1">
                                    <a:noAutofit/>
                                  </wps:bodyPr>
                                </wps:wsp>
                                <wps:wsp>
                                  <wps:cNvPr id="289" name="文本框 34"/>
                                  <wps:cNvSpPr txBox="1"/>
                                  <wps:spPr>
                                    <a:xfrm>
                                      <a:off x="9694" y="9459"/>
                                      <a:ext cx="991" cy="726"/>
                                    </a:xfrm>
                                    <a:prstGeom prst="rect">
                                      <a:avLst/>
                                    </a:prstGeom>
                                    <a:solidFill>
                                      <a:srgbClr val="FFFFFF"/>
                                    </a:solidFill>
                                    <a:ln w="9525" cap="flat" cmpd="sng">
                                      <a:solidFill>
                                        <a:srgbClr val="000000"/>
                                      </a:solidFill>
                                      <a:prstDash val="solid"/>
                                      <a:miter/>
                                      <a:headEnd type="none" w="med" len="med"/>
                                      <a:tailEnd type="none" w="med" len="med"/>
                                    </a:ln>
                                  </wps:spPr>
                                  <wps:txbx>
                                    <w:txbxContent>
                                      <w:p>
                                        <w:r>
                                          <w:t>废水处理系统</w:t>
                                        </w:r>
                                      </w:p>
                                    </w:txbxContent>
                                  </wps:txbx>
                                  <wps:bodyPr upright="1"/>
                                </wps:wsp>
                                <wps:wsp>
                                  <wps:cNvPr id="290" name="文本框 40"/>
                                  <wps:cNvSpPr txBox="1"/>
                                  <wps:spPr>
                                    <a:xfrm>
                                      <a:off x="11292" y="8981"/>
                                      <a:ext cx="794" cy="427"/>
                                    </a:xfrm>
                                    <a:prstGeom prst="rect">
                                      <a:avLst/>
                                    </a:prstGeom>
                                    <a:noFill/>
                                    <a:ln>
                                      <a:noFill/>
                                    </a:ln>
                                  </wps:spPr>
                                  <wps:txbx>
                                    <w:txbxContent>
                                      <w:p>
                                        <w:r>
                                          <w:t>回用</w:t>
                                        </w:r>
                                      </w:p>
                                    </w:txbxContent>
                                  </wps:txbx>
                                  <wps:bodyPr upright="1"/>
                                </wps:wsp>
                                <wps:wsp>
                                  <wps:cNvPr id="291" name="直接箭头连接符 39"/>
                                  <wps:cNvCnPr/>
                                  <wps:spPr>
                                    <a:xfrm flipH="1" flipV="1">
                                      <a:off x="11689" y="9992"/>
                                      <a:ext cx="1" cy="818"/>
                                    </a:xfrm>
                                    <a:prstGeom prst="straightConnector1">
                                      <a:avLst/>
                                    </a:prstGeom>
                                    <a:ln w="9525" cap="flat" cmpd="sng">
                                      <a:solidFill>
                                        <a:srgbClr val="000000"/>
                                      </a:solidFill>
                                      <a:prstDash val="solid"/>
                                      <a:headEnd type="none" w="med" len="med"/>
                                      <a:tailEnd type="triangle" w="med" len="med"/>
                                    </a:ln>
                                  </wps:spPr>
                                  <wps:bodyPr/>
                                </wps:wsp>
                                <wps:wsp>
                                  <wps:cNvPr id="292" name="文本框 36"/>
                                  <wps:cNvSpPr txBox="1"/>
                                  <wps:spPr>
                                    <a:xfrm>
                                      <a:off x="9588" y="10611"/>
                                      <a:ext cx="1429" cy="415"/>
                                    </a:xfrm>
                                    <a:prstGeom prst="rect">
                                      <a:avLst/>
                                    </a:prstGeom>
                                    <a:solidFill>
                                      <a:srgbClr val="FFFFFF"/>
                                    </a:solidFill>
                                    <a:ln w="9525" cap="flat" cmpd="sng">
                                      <a:solidFill>
                                        <a:srgbClr val="000000"/>
                                      </a:solidFill>
                                      <a:prstDash val="solid"/>
                                      <a:miter/>
                                      <a:headEnd type="none" w="med" len="med"/>
                                      <a:tailEnd type="none" w="med" len="med"/>
                                    </a:ln>
                                  </wps:spPr>
                                  <wps:txbx>
                                    <w:txbxContent>
                                      <w:p>
                                        <w:r>
                                          <w:t>板框压滤机</w:t>
                                        </w:r>
                                      </w:p>
                                    </w:txbxContent>
                                  </wps:txbx>
                                  <wps:bodyPr upright="1"/>
                                </wps:wsp>
                                <wps:wsp>
                                  <wps:cNvPr id="293" name="直接箭头连接符 35"/>
                                  <wps:cNvCnPr/>
                                  <wps:spPr>
                                    <a:xfrm>
                                      <a:off x="10192" y="10208"/>
                                      <a:ext cx="0" cy="403"/>
                                    </a:xfrm>
                                    <a:prstGeom prst="straightConnector1">
                                      <a:avLst/>
                                    </a:prstGeom>
                                    <a:ln w="9525" cap="flat" cmpd="sng">
                                      <a:solidFill>
                                        <a:srgbClr val="000000"/>
                                      </a:solidFill>
                                      <a:prstDash val="solid"/>
                                      <a:headEnd type="none" w="med" len="med"/>
                                      <a:tailEnd type="triangle" w="med" len="med"/>
                                    </a:ln>
                                  </wps:spPr>
                                  <wps:bodyPr/>
                                </wps:wsp>
                                <wps:wsp>
                                  <wps:cNvPr id="294" name="直接箭头连接符 37"/>
                                  <wps:cNvCnPr/>
                                  <wps:spPr>
                                    <a:xfrm>
                                      <a:off x="10222" y="11038"/>
                                      <a:ext cx="0" cy="380"/>
                                    </a:xfrm>
                                    <a:prstGeom prst="straightConnector1">
                                      <a:avLst/>
                                    </a:prstGeom>
                                    <a:ln w="9525" cap="flat" cmpd="sng">
                                      <a:solidFill>
                                        <a:srgbClr val="000000"/>
                                      </a:solidFill>
                                      <a:prstDash val="solid"/>
                                      <a:headEnd type="none" w="med" len="med"/>
                                      <a:tailEnd type="triangle" w="med" len="med"/>
                                    </a:ln>
                                  </wps:spPr>
                                  <wps:bodyPr/>
                                </wps:wsp>
                                <wps:wsp>
                                  <wps:cNvPr id="295" name="直接箭头连接符 20"/>
                                  <wps:cNvCnPr/>
                                  <wps:spPr>
                                    <a:xfrm>
                                      <a:off x="9493" y="9945"/>
                                      <a:ext cx="1" cy="1757"/>
                                    </a:xfrm>
                                    <a:prstGeom prst="straightConnector1">
                                      <a:avLst/>
                                    </a:prstGeom>
                                    <a:ln w="9525" cap="flat" cmpd="sng">
                                      <a:solidFill>
                                        <a:srgbClr val="000000"/>
                                      </a:solidFill>
                                      <a:prstDash val="dash"/>
                                      <a:headEnd type="none" w="med" len="med"/>
                                      <a:tailEnd type="none" w="med" len="med"/>
                                    </a:ln>
                                  </wps:spPr>
                                  <wps:bodyPr/>
                                </wps:wsp>
                                <wps:wsp>
                                  <wps:cNvPr id="296" name="直接箭头连接符 22"/>
                                  <wps:cNvCnPr/>
                                  <wps:spPr>
                                    <a:xfrm>
                                      <a:off x="9498" y="9954"/>
                                      <a:ext cx="227" cy="1"/>
                                    </a:xfrm>
                                    <a:prstGeom prst="straightConnector1">
                                      <a:avLst/>
                                    </a:prstGeom>
                                    <a:ln w="9525" cap="flat" cmpd="sng">
                                      <a:solidFill>
                                        <a:srgbClr val="000000"/>
                                      </a:solidFill>
                                      <a:prstDash val="dash"/>
                                      <a:headEnd type="none" w="med" len="med"/>
                                      <a:tailEnd type="triangle" w="med" len="med"/>
                                    </a:ln>
                                  </wps:spPr>
                                  <wps:bodyPr/>
                                </wps:wsp>
                                <wps:wsp>
                                  <wps:cNvPr id="297" name="文本框 57"/>
                                  <wps:cNvSpPr txBox="1"/>
                                  <wps:spPr>
                                    <a:xfrm>
                                      <a:off x="9651" y="9000"/>
                                      <a:ext cx="1011" cy="469"/>
                                    </a:xfrm>
                                    <a:prstGeom prst="rect">
                                      <a:avLst/>
                                    </a:prstGeom>
                                    <a:noFill/>
                                    <a:ln>
                                      <a:noFill/>
                                    </a:ln>
                                  </wps:spPr>
                                  <wps:txbx>
                                    <w:txbxContent>
                                      <w:p>
                                        <w:pPr>
                                          <w:rPr>
                                            <w:sz w:val="20"/>
                                            <w:szCs w:val="22"/>
                                          </w:rPr>
                                        </w:pPr>
                                        <w:r>
                                          <w:rPr>
                                            <w:sz w:val="20"/>
                                            <w:szCs w:val="22"/>
                                          </w:rPr>
                                          <w:t>渗沥水</w:t>
                                        </w:r>
                                      </w:p>
                                    </w:txbxContent>
                                  </wps:txbx>
                                  <wps:bodyPr upright="1"/>
                                </wps:wsp>
                                <wps:wsp>
                                  <wps:cNvPr id="298" name="文本框 59"/>
                                  <wps:cNvSpPr txBox="1"/>
                                  <wps:spPr>
                                    <a:xfrm>
                                      <a:off x="10637" y="9421"/>
                                      <a:ext cx="896" cy="469"/>
                                    </a:xfrm>
                                    <a:prstGeom prst="rect">
                                      <a:avLst/>
                                    </a:prstGeom>
                                    <a:noFill/>
                                    <a:ln>
                                      <a:noFill/>
                                    </a:ln>
                                  </wps:spPr>
                                  <wps:txbx>
                                    <w:txbxContent>
                                      <w:p>
                                        <w:pPr>
                                          <w:rPr>
                                            <w:sz w:val="18"/>
                                            <w:szCs w:val="21"/>
                                          </w:rPr>
                                        </w:pPr>
                                        <w:r>
                                          <w:rPr>
                                            <w:sz w:val="18"/>
                                            <w:szCs w:val="21"/>
                                          </w:rPr>
                                          <w:t>清水</w:t>
                                        </w:r>
                                      </w:p>
                                    </w:txbxContent>
                                  </wps:txbx>
                                  <wps:bodyPr upright="1"/>
                                </wps:wsp>
                                <wps:wsp>
                                  <wps:cNvPr id="78" name="直接箭头连接符 78"/>
                                  <wps:cNvCnPr/>
                                  <wps:spPr>
                                    <a:xfrm flipV="1">
                                      <a:off x="10680" y="9787"/>
                                      <a:ext cx="524" cy="6"/>
                                    </a:xfrm>
                                    <a:prstGeom prst="straightConnector1">
                                      <a:avLst/>
                                    </a:prstGeom>
                                    <a:ln w="9525" cap="flat" cmpd="sng">
                                      <a:solidFill>
                                        <a:srgbClr val="000000"/>
                                      </a:solidFill>
                                      <a:prstDash val="solid"/>
                                      <a:headEnd type="none" w="med" len="med"/>
                                      <a:tailEnd type="triangle" w="med" len="med"/>
                                    </a:ln>
                                  </wps:spPr>
                                  <wps:bodyPr/>
                                </wps:wsp>
                                <wps:wsp>
                                  <wps:cNvPr id="299" name="文本框 81"/>
                                  <wps:cNvSpPr txBox="1"/>
                                  <wps:spPr>
                                    <a:xfrm>
                                      <a:off x="9627" y="8574"/>
                                      <a:ext cx="1532" cy="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rPr>
                                          <w:t>碎石</w:t>
                                        </w:r>
                                        <w:r>
                                          <w:rPr>
                                            <w:rFonts w:hint="eastAsia"/>
                                            <w:lang w:val="en-US" w:eastAsia="zh-CN"/>
                                          </w:rPr>
                                          <w:t>产品库</w:t>
                                        </w:r>
                                      </w:p>
                                    </w:txbxContent>
                                  </wps:txbx>
                                  <wps:bodyPr upright="1"/>
                                </wps:wsp>
                                <wps:wsp>
                                  <wps:cNvPr id="300" name="直接箭头连接符 82"/>
                                  <wps:cNvCnPr/>
                                  <wps:spPr>
                                    <a:xfrm flipH="1" flipV="1">
                                      <a:off x="8581" y="11652"/>
                                      <a:ext cx="964" cy="1"/>
                                    </a:xfrm>
                                    <a:prstGeom prst="straightConnector1">
                                      <a:avLst/>
                                    </a:prstGeom>
                                    <a:ln w="9525" cap="flat" cmpd="sng">
                                      <a:solidFill>
                                        <a:srgbClr val="000000"/>
                                      </a:solidFill>
                                      <a:prstDash val="dash"/>
                                      <a:headEnd type="none" w="med" len="med"/>
                                      <a:tailEnd type="none" w="med" len="med"/>
                                    </a:ln>
                                  </wps:spPr>
                                  <wps:bodyPr/>
                                </wps:wsp>
                                <wps:wsp>
                                  <wps:cNvPr id="84" name="直接箭头连接符 84"/>
                                  <wps:cNvCnPr/>
                                  <wps:spPr>
                                    <a:xfrm flipH="1" flipV="1">
                                      <a:off x="10258" y="9000"/>
                                      <a:ext cx="1" cy="454"/>
                                    </a:xfrm>
                                    <a:prstGeom prst="straightConnector1">
                                      <a:avLst/>
                                    </a:prstGeom>
                                    <a:ln w="9525" cap="flat" cmpd="sng">
                                      <a:solidFill>
                                        <a:srgbClr val="000000"/>
                                      </a:solidFill>
                                      <a:prstDash val="dash"/>
                                      <a:headEnd type="triangle" w="med" len="med"/>
                                      <a:tailEnd type="none" w="med" len="med"/>
                                    </a:ln>
                                  </wps:spPr>
                                  <wps:bodyPr/>
                                </wps:wsp>
                                <wps:wsp>
                                  <wps:cNvPr id="301" name="直接箭头连接符 61"/>
                                  <wps:cNvCnPr/>
                                  <wps:spPr>
                                    <a:xfrm flipH="1">
                                      <a:off x="8705" y="9068"/>
                                      <a:ext cx="1" cy="1247"/>
                                    </a:xfrm>
                                    <a:prstGeom prst="straightConnector1">
                                      <a:avLst/>
                                    </a:prstGeom>
                                    <a:ln w="9525" cap="flat" cmpd="sng">
                                      <a:solidFill>
                                        <a:srgbClr val="000000"/>
                                      </a:solidFill>
                                      <a:prstDash val="solid"/>
                                      <a:headEnd type="none" w="med" len="med"/>
                                      <a:tailEnd type="triangle" w="med" len="med"/>
                                    </a:ln>
                                  </wps:spPr>
                                  <wps:bodyPr/>
                                </wps:wsp>
                                <wps:wsp>
                                  <wps:cNvPr id="302" name="文本框 73"/>
                                  <wps:cNvSpPr txBox="1"/>
                                  <wps:spPr>
                                    <a:xfrm>
                                      <a:off x="10166" y="10174"/>
                                      <a:ext cx="1043" cy="469"/>
                                    </a:xfrm>
                                    <a:prstGeom prst="rect">
                                      <a:avLst/>
                                    </a:prstGeom>
                                    <a:noFill/>
                                    <a:ln>
                                      <a:noFill/>
                                    </a:ln>
                                  </wps:spPr>
                                  <wps:txbx>
                                    <w:txbxContent>
                                      <w:p>
                                        <w:pPr>
                                          <w:rPr>
                                            <w:rFonts w:hint="default" w:eastAsia="宋体"/>
                                            <w:sz w:val="18"/>
                                            <w:szCs w:val="21"/>
                                            <w:lang w:val="en-US" w:eastAsia="zh-CN"/>
                                          </w:rPr>
                                        </w:pPr>
                                        <w:r>
                                          <w:rPr>
                                            <w:rFonts w:hint="eastAsia"/>
                                            <w:sz w:val="18"/>
                                            <w:szCs w:val="21"/>
                                            <w:lang w:val="en-US" w:eastAsia="zh-CN"/>
                                          </w:rPr>
                                          <w:t>沉淀泥沙</w:t>
                                        </w:r>
                                      </w:p>
                                    </w:txbxContent>
                                  </wps:txbx>
                                  <wps:bodyPr upright="1"/>
                                </wps:wsp>
                                <wps:wsp>
                                  <wps:cNvPr id="303" name="文本框 65"/>
                                  <wps:cNvSpPr txBox="1"/>
                                  <wps:spPr>
                                    <a:xfrm>
                                      <a:off x="8604" y="9235"/>
                                      <a:ext cx="662" cy="571"/>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00" w:lineRule="exact"/>
                                          <w:textAlignment w:val="auto"/>
                                          <w:rPr>
                                            <w:rFonts w:hint="eastAsia"/>
                                            <w:sz w:val="18"/>
                                            <w:szCs w:val="21"/>
                                            <w:lang w:val="en-US" w:eastAsia="zh-CN"/>
                                          </w:rPr>
                                        </w:pPr>
                                        <w:r>
                                          <w:rPr>
                                            <w:rFonts w:hint="eastAsia"/>
                                            <w:sz w:val="18"/>
                                            <w:szCs w:val="21"/>
                                            <w:lang w:val="en-US" w:eastAsia="zh-CN"/>
                                          </w:rPr>
                                          <w:t>废水</w:t>
                                        </w:r>
                                      </w:p>
                                      <w:p>
                                        <w:pPr>
                                          <w:keepNext w:val="0"/>
                                          <w:keepLines w:val="0"/>
                                          <w:pageBreakBefore w:val="0"/>
                                          <w:widowControl w:val="0"/>
                                          <w:kinsoku/>
                                          <w:wordWrap/>
                                          <w:overflowPunct/>
                                          <w:topLinePunct w:val="0"/>
                                          <w:bidi w:val="0"/>
                                          <w:adjustRightInd/>
                                          <w:snapToGrid/>
                                          <w:spacing w:line="200" w:lineRule="exact"/>
                                          <w:textAlignment w:val="auto"/>
                                          <w:rPr>
                                            <w:rFonts w:hint="default" w:eastAsia="宋体"/>
                                            <w:sz w:val="18"/>
                                            <w:szCs w:val="21"/>
                                            <w:lang w:val="en-US" w:eastAsia="zh-CN"/>
                                          </w:rPr>
                                        </w:pPr>
                                        <w:r>
                                          <w:rPr>
                                            <w:rFonts w:hint="eastAsia"/>
                                            <w:sz w:val="18"/>
                                            <w:szCs w:val="21"/>
                                            <w:lang w:val="en-US" w:eastAsia="zh-CN"/>
                                          </w:rPr>
                                          <w:t>溢流</w:t>
                                        </w:r>
                                      </w:p>
                                    </w:txbxContent>
                                  </wps:txbx>
                                  <wps:bodyPr wrap="square" upright="1">
                                    <a:noAutofit/>
                                  </wps:bodyPr>
                                </wps:wsp>
                                <wps:wsp>
                                  <wps:cNvPr id="74" name="文本框 74"/>
                                  <wps:cNvSpPr txBox="1"/>
                                  <wps:spPr>
                                    <a:xfrm>
                                      <a:off x="11182" y="9593"/>
                                      <a:ext cx="968" cy="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清水池</w:t>
                                        </w:r>
                                      </w:p>
                                    </w:txbxContent>
                                  </wps:txbx>
                                  <wps:bodyPr upright="1"/>
                                </wps:wsp>
                                <wps:wsp>
                                  <wps:cNvPr id="79" name="文本框 79"/>
                                  <wps:cNvSpPr txBox="1"/>
                                  <wps:spPr>
                                    <a:xfrm>
                                      <a:off x="11127" y="10458"/>
                                      <a:ext cx="896" cy="469"/>
                                    </a:xfrm>
                                    <a:prstGeom prst="rect">
                                      <a:avLst/>
                                    </a:prstGeom>
                                    <a:noFill/>
                                    <a:ln>
                                      <a:noFill/>
                                    </a:ln>
                                  </wps:spPr>
                                  <wps:txbx>
                                    <w:txbxContent>
                                      <w:p>
                                        <w:pPr>
                                          <w:rPr>
                                            <w:sz w:val="18"/>
                                            <w:szCs w:val="21"/>
                                          </w:rPr>
                                        </w:pPr>
                                        <w:r>
                                          <w:rPr>
                                            <w:sz w:val="18"/>
                                            <w:szCs w:val="21"/>
                                          </w:rPr>
                                          <w:t>清水</w:t>
                                        </w:r>
                                      </w:p>
                                    </w:txbxContent>
                                  </wps:txbx>
                                  <wps:bodyPr upright="1"/>
                                </wps:wsp>
                                <wps:wsp>
                                  <wps:cNvPr id="304" name="直接箭头连接符 98"/>
                                  <wps:cNvCnPr/>
                                  <wps:spPr>
                                    <a:xfrm flipH="1" flipV="1">
                                      <a:off x="11670" y="9316"/>
                                      <a:ext cx="6" cy="267"/>
                                    </a:xfrm>
                                    <a:prstGeom prst="straightConnector1">
                                      <a:avLst/>
                                    </a:prstGeom>
                                    <a:ln w="9525" cap="flat" cmpd="sng">
                                      <a:solidFill>
                                        <a:srgbClr val="000000"/>
                                      </a:solidFill>
                                      <a:prstDash val="solid"/>
                                      <a:headEnd type="none" w="med" len="med"/>
                                      <a:tailEnd type="triangle" w="med" len="med"/>
                                    </a:ln>
                                  </wps:spPr>
                                  <wps:bodyPr/>
                                </wps:wsp>
                              </wpg:grpSp>
                            </wpg:grpSp>
                            <wps:wsp>
                              <wps:cNvPr id="305" name="文本框 102"/>
                              <wps:cNvSpPr txBox="1"/>
                              <wps:spPr>
                                <a:xfrm>
                                  <a:off x="8874" y="4313"/>
                                  <a:ext cx="1409"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rPr>
                                    </w:pPr>
                                    <w:r>
                                      <w:rPr>
                                        <w:rFonts w:hint="eastAsia"/>
                                        <w:lang w:val="en-US" w:eastAsia="zh-CN"/>
                                      </w:rPr>
                                      <w:t>除铁器</w:t>
                                    </w:r>
                                  </w:p>
                                </w:txbxContent>
                              </wps:txbx>
                              <wps:bodyPr upright="1"/>
                            </wps:wsp>
                            <wps:wsp>
                              <wps:cNvPr id="306" name="直接箭头连接符 103"/>
                              <wps:cNvCnPr/>
                              <wps:spPr>
                                <a:xfrm flipH="1">
                                  <a:off x="9506" y="4772"/>
                                  <a:ext cx="1" cy="284"/>
                                </a:xfrm>
                                <a:prstGeom prst="straightConnector1">
                                  <a:avLst/>
                                </a:prstGeom>
                                <a:ln w="9525" cap="flat" cmpd="sng">
                                  <a:solidFill>
                                    <a:srgbClr val="000000"/>
                                  </a:solidFill>
                                  <a:prstDash val="solid"/>
                                  <a:headEnd type="none" w="med" len="med"/>
                                  <a:tailEnd type="triangle" w="med" len="med"/>
                                </a:ln>
                              </wps:spPr>
                              <wps:bodyPr/>
                            </wps:wsp>
                            <wps:wsp>
                              <wps:cNvPr id="307" name="直接箭头连接符 104"/>
                              <wps:cNvCnPr/>
                              <wps:spPr>
                                <a:xfrm>
                                  <a:off x="10304" y="4517"/>
                                  <a:ext cx="794" cy="0"/>
                                </a:xfrm>
                                <a:prstGeom prst="straightConnector1">
                                  <a:avLst/>
                                </a:prstGeom>
                                <a:ln w="9525" cap="flat" cmpd="sng">
                                  <a:solidFill>
                                    <a:srgbClr val="000000"/>
                                  </a:solidFill>
                                  <a:prstDash val="dash"/>
                                  <a:headEnd type="none" w="med" len="med"/>
                                  <a:tailEnd type="triangle" w="med" len="med"/>
                                </a:ln>
                              </wps:spPr>
                              <wps:bodyPr/>
                            </wps:wsp>
                            <wps:wsp>
                              <wps:cNvPr id="308" name="文本框 105"/>
                              <wps:cNvSpPr txBox="1"/>
                              <wps:spPr>
                                <a:xfrm>
                                  <a:off x="10932" y="4294"/>
                                  <a:ext cx="843" cy="404"/>
                                </a:xfrm>
                                <a:prstGeom prst="rect">
                                  <a:avLst/>
                                </a:prstGeom>
                                <a:noFill/>
                                <a:ln>
                                  <a:noFill/>
                                </a:ln>
                              </wps:spPr>
                              <wps:txbx>
                                <w:txbxContent>
                                  <w:p>
                                    <w:pPr>
                                      <w:keepNext w:val="0"/>
                                      <w:keepLines w:val="0"/>
                                      <w:pageBreakBefore w:val="0"/>
                                      <w:widowControl w:val="0"/>
                                      <w:kinsoku/>
                                      <w:wordWrap/>
                                      <w:overflowPunct/>
                                      <w:topLinePunct w:val="0"/>
                                      <w:bidi w:val="0"/>
                                      <w:adjustRightInd/>
                                      <w:snapToGrid/>
                                      <w:spacing w:line="200" w:lineRule="exact"/>
                                      <w:jc w:val="center"/>
                                      <w:textAlignment w:val="auto"/>
                                      <w:rPr>
                                        <w:rFonts w:hint="eastAsia" w:eastAsia="宋体"/>
                                        <w:sz w:val="18"/>
                                        <w:szCs w:val="21"/>
                                        <w:lang w:val="en-US" w:eastAsia="zh-CN"/>
                                      </w:rPr>
                                    </w:pPr>
                                    <w:r>
                                      <w:rPr>
                                        <w:rFonts w:hint="eastAsia"/>
                                        <w:sz w:val="18"/>
                                        <w:szCs w:val="21"/>
                                        <w:lang w:val="en-US" w:eastAsia="zh-CN"/>
                                      </w:rPr>
                                      <w:t>废铁</w:t>
                                    </w:r>
                                  </w:p>
                                </w:txbxContent>
                              </wps:txbx>
                              <wps:bodyPr upright="1"/>
                            </wps:wsp>
                          </wpg:wgp>
                        </a:graphicData>
                      </a:graphic>
                    </wp:inline>
                  </w:drawing>
                </mc:Choice>
                <mc:Fallback>
                  <w:pict>
                    <v:group id="_x0000_s1026" o:spid="_x0000_s1026" o:spt="203" style="height:608.85pt;width:345.55pt;" coordorigin="7231,2166" coordsize="5495,11875" o:gfxdata="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">
                      <o:lock v:ext="edit" aspectratio="f"/>
                      <v:group id="组合 106" o:spid="_x0000_s1026" o:spt="203" style="position:absolute;left:8749;top:2166;height:2125;width:3144;" coordorigin="11044,357" coordsize="3144,2125"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11239;top:357;height:397;width:1052;" fillcolor="#FFFFFF" filled="t" stroked="t" coordsize="21600,21600" o:gfxdata="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JQC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r>
                                  <w:rPr>
                                    <w:rFonts w:hint="eastAsia"/>
                                  </w:rPr>
                                  <w:t>原料</w:t>
                                </w:r>
                              </w:p>
                            </w:txbxContent>
                          </v:textbox>
                        </v:shape>
                        <v:shape id="文本框 4" o:spid="_x0000_s1026" o:spt="202" type="#_x0000_t202" style="position:absolute;left:11044;top:1026;height:455;width:1365;" fillcolor="#FFFFFF" filled="t" stroked="t" coordsize="21600,21600" o:gfxdata="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aaU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pPr>
                                <w:r>
                                  <w:t>原料堆场</w:t>
                                </w:r>
                              </w:p>
                            </w:txbxContent>
                          </v:textbox>
                        </v:shape>
                        <v:shape id="文本框 6" o:spid="_x0000_s1026" o:spt="202" type="#_x0000_t202" style="position:absolute;left:11065;top:1754;height:455;width:1409;" fillcolor="#FFFFFF" filled="t" stroked="t" coordsize="21600,21600" o:gfxdata="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s7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lang w:val="en-US" w:eastAsia="zh-CN"/>
                                  </w:rPr>
                                  <w:t>振动</w:t>
                                </w:r>
                                <w:r>
                                  <w:rPr>
                                    <w:rFonts w:hint="eastAsia"/>
                                  </w:rPr>
                                  <w:t>给料机</w:t>
                                </w:r>
                              </w:p>
                            </w:txbxContent>
                          </v:textbox>
                        </v:shape>
                        <v:shape id="直接箭头连接符 43" o:spid="_x0000_s1026" o:spt="32" type="#_x0000_t32" style="position:absolute;left:12416;top:1258;height:0;width:624;" filled="f" stroked="t" coordsize="21600,21600" o:gfxdata="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ZENf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文本框 44" o:spid="_x0000_s1026" o:spt="202" type="#_x0000_t202" style="position:absolute;left:12906;top:974;height:530;width:896;" filled="f" stroked="f" coordsize="21600,21600" o:gfxdata="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Ogpd7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00" w:lineRule="exact"/>
                                  <w:textAlignment w:val="auto"/>
                                  <w:rPr>
                                    <w:sz w:val="18"/>
                                    <w:szCs w:val="21"/>
                                  </w:rPr>
                                </w:pPr>
                                <w:r>
                                  <w:rPr>
                                    <w:sz w:val="18"/>
                                    <w:szCs w:val="21"/>
                                  </w:rPr>
                                  <w:t>噪声、粉尘</w:t>
                                </w:r>
                              </w:p>
                            </w:txbxContent>
                          </v:textbox>
                        </v:shape>
                        <v:shape id="直接箭头连接符 47" o:spid="_x0000_s1026" o:spt="32" type="#_x0000_t32" style="position:absolute;left:12466;top:1973;height:0;width:794;" filled="f" stroked="t" coordsize="21600,21600" o:gfxdata="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t3K2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文本框 48" o:spid="_x0000_s1026" o:spt="202" type="#_x0000_t202" style="position:absolute;left:13152;top:1662;height:654;width:1036;" filled="f" stroked="f" coordsize="21600,21600" o:gfxdata="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7O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00" w:lineRule="exact"/>
                                  <w:textAlignment w:val="auto"/>
                                  <w:rPr>
                                    <w:sz w:val="18"/>
                                    <w:szCs w:val="21"/>
                                  </w:rPr>
                                </w:pPr>
                                <w:r>
                                  <w:rPr>
                                    <w:sz w:val="18"/>
                                    <w:szCs w:val="21"/>
                                  </w:rPr>
                                  <w:t>噪声、</w:t>
                                </w:r>
                                <w:r>
                                  <w:rPr>
                                    <w:rFonts w:hint="eastAsia"/>
                                    <w:sz w:val="18"/>
                                    <w:szCs w:val="21"/>
                                    <w:lang w:val="en-US" w:eastAsia="zh-CN"/>
                                  </w:rPr>
                                  <w:t>泥土、</w:t>
                                </w:r>
                                <w:r>
                                  <w:rPr>
                                    <w:sz w:val="18"/>
                                    <w:szCs w:val="21"/>
                                  </w:rPr>
                                  <w:t>粉尘</w:t>
                                </w:r>
                              </w:p>
                            </w:txbxContent>
                          </v:textbox>
                        </v:shape>
                        <v:shape id="直接箭头连接符 7" o:spid="_x0000_s1026" o:spt="32" type="#_x0000_t32" style="position:absolute;left:11800;top:2198;flip:x;height:284;width:1;" filled="f" stroked="t" coordsize="21600,21600" o:gfxdata="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7C6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8" o:spid="_x0000_s1026" o:spt="32" type="#_x0000_t32" style="position:absolute;left:11775;top:1477;flip:x;height:284;width:1;" filled="f" stroked="t" coordsize="21600,21600" o:gfxdata="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ld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9" o:spid="_x0000_s1026" o:spt="32" type="#_x0000_t32" style="position:absolute;left:11742;top:750;flip:x;height:282;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id="组合 101" o:spid="_x0000_s1026" o:spt="203" style="position:absolute;left:7231;top:5017;height:9024;width:5495;" coordorigin="6714,2805" coordsize="5495,9024"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文本框 1" o:spid="_x0000_s1026" o:spt="202" type="#_x0000_t202" style="position:absolute;left:10059;top:7691;height:469;width:1398;" filled="f" stroked="f" coordsize="21600,21600" o:gfxdata="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wED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碎石、米石</w:t>
                                </w:r>
                              </w:p>
                            </w:txbxContent>
                          </v:textbox>
                        </v:shape>
                        <v:shape id="文本框 13" o:spid="_x0000_s1026" o:spt="202" type="#_x0000_t202" style="position:absolute;left:6898;top:7664;height:415;width:1431;" filled="f" stroked="f" coordsize="21600,21600" o:gfxdata="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OQ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40" w:lineRule="exact"/>
                                  <w:rPr>
                                    <w:rFonts w:hint="default" w:eastAsia="宋体"/>
                                    <w:sz w:val="18"/>
                                    <w:szCs w:val="21"/>
                                    <w:lang w:val="en-US" w:eastAsia="zh-CN"/>
                                  </w:rPr>
                                </w:pPr>
                                <w:r>
                                  <w:rPr>
                                    <w:rFonts w:hint="eastAsia"/>
                                    <w:sz w:val="18"/>
                                    <w:szCs w:val="21"/>
                                    <w:lang w:val="en-US" w:eastAsia="zh-CN"/>
                                  </w:rPr>
                                  <w:t>含泥废水和砂</w:t>
                                </w:r>
                              </w:p>
                            </w:txbxContent>
                          </v:textbox>
                        </v:shape>
                        <v:shape id="_x0000_s1026" o:spid="_x0000_s1026" o:spt="32" type="#_x0000_t32" style="position:absolute;left:10788;top:7018;flip:x;height:1247;width:1;" filled="f" stroked="t" coordsize="21600,21600" o:gfxdata="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p0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31" o:spid="_x0000_s1026" o:spt="202" type="#_x0000_t202" style="position:absolute;left:9426;top:4640;height:454;width:1196;" filled="f" stroked="f" coordsize="21600,21600" o:gfxdata="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4r2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40" w:lineRule="exact"/>
                                  <w:rPr>
                                    <w:sz w:val="18"/>
                                    <w:szCs w:val="21"/>
                                  </w:rPr>
                                </w:pPr>
                                <w:r>
                                  <w:rPr>
                                    <w:rFonts w:hint="eastAsia"/>
                                    <w:sz w:val="18"/>
                                    <w:szCs w:val="21"/>
                                  </w:rPr>
                                  <w:t>＞</w:t>
                                </w:r>
                                <w:r>
                                  <w:rPr>
                                    <w:sz w:val="18"/>
                                    <w:szCs w:val="21"/>
                                  </w:rPr>
                                  <w:t>31</w:t>
                                </w:r>
                                <w:r>
                                  <w:rPr>
                                    <w:rFonts w:hint="eastAsia"/>
                                    <w:sz w:val="18"/>
                                    <w:szCs w:val="21"/>
                                    <w:lang w:val="en-US" w:eastAsia="zh-CN"/>
                                  </w:rPr>
                                  <w:t>.5</w:t>
                                </w:r>
                                <w:r>
                                  <w:rPr>
                                    <w:rFonts w:hint="eastAsia"/>
                                    <w:sz w:val="18"/>
                                    <w:szCs w:val="21"/>
                                  </w:rPr>
                                  <w:t>mm</w:t>
                                </w:r>
                              </w:p>
                            </w:txbxContent>
                          </v:textbox>
                        </v:shape>
                        <v:shape id="文本框 10" o:spid="_x0000_s1026" o:spt="202" type="#_x0000_t202" style="position:absolute;left:8326;top:5144;height:446;width:1365;" fillcolor="#FFFFFF" filled="t" stroked="t" coordsize="21600,21600" o:gfxdata="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xnG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t>振动筛分</w:t>
                                </w:r>
                              </w:p>
                            </w:txbxContent>
                          </v:textbox>
                        </v:shape>
                        <v:shape id="直接箭头连接符 21" o:spid="_x0000_s1026" o:spt="32" type="#_x0000_t32" style="position:absolute;left:7654;top:3067;flip:y;height:1;width:679;" filled="f" stroked="t" coordsize="21600,21600" o:gfxdata="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NB6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0" o:spid="_x0000_s1026" o:spt="32" type="#_x0000_t32" style="position:absolute;left:9638;top:4602;flip:x;height:1;width:746;" filled="f" stroked="t" coordsize="21600,21600" o:gfxdata="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x3U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2" o:spid="_x0000_s1026" o:spt="32" type="#_x0000_t32" style="position:absolute;left:8682;top:7240;flip:x;height:1077;width:1;" filled="f" stroked="t" coordsize="21600,21600" o:gfxdata="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9eN+/&#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51" o:spid="_x0000_s1026" o:spt="202" type="#_x0000_t202" style="position:absolute;left:10700;top:5236;height:473;width:739;" filled="f" stroked="f" coordsize="21600,21600" o:gfxdata="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P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 w:val="18"/>
                                    <w:szCs w:val="21"/>
                                  </w:rPr>
                                </w:pPr>
                                <w:r>
                                  <w:rPr>
                                    <w:sz w:val="18"/>
                                    <w:szCs w:val="21"/>
                                  </w:rPr>
                                  <w:t>噪声</w:t>
                                </w:r>
                              </w:p>
                            </w:txbxContent>
                          </v:textbox>
                        </v:shape>
                        <v:shape id="文本框 66" o:spid="_x0000_s1026" o:spt="202" type="#_x0000_t202" style="position:absolute;left:8325;top:2836;height:446;width:1365;" fillcolor="#FFFFFF" filled="t" stroked="t" coordsize="21600,21600" o:gfxdata="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9Y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颚破机</w:t>
                                </w:r>
                              </w:p>
                            </w:txbxContent>
                          </v:textbox>
                        </v:shape>
                        <v:shape id="文本框 67" o:spid="_x0000_s1026" o:spt="202" type="#_x0000_t202" style="position:absolute;left:7087;top:2811;height:431;width:864;" filled="f" stroked="f" coordsize="21600,21600" o:gfxdata="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rG0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eastAsia="宋体"/>
                                    <w:lang w:eastAsia="zh-CN"/>
                                  </w:rPr>
                                </w:pPr>
                                <w:r>
                                  <w:rPr>
                                    <w:rFonts w:hint="eastAsia"/>
                                  </w:rPr>
                                  <w:t>喷</w:t>
                                </w:r>
                                <w:r>
                                  <w:rPr>
                                    <w:rFonts w:hint="eastAsia"/>
                                    <w:lang w:val="en-US" w:eastAsia="zh-CN"/>
                                  </w:rPr>
                                  <w:t>雾</w:t>
                                </w:r>
                              </w:p>
                            </w:txbxContent>
                          </v:textbox>
                        </v:shape>
                        <v:shape id="直接箭头连接符 68" o:spid="_x0000_s1026" o:spt="32" type="#_x0000_t32" style="position:absolute;left:9003;top:3268;flip:x;height:284;width:1;" filled="f" stroked="t" coordsize="21600,21600" o:gfxdata="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Z+3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8307;top:4278;height:447;width:1365;" fillcolor="#FFFFFF" filled="t" stroked="t" coordsize="21600,21600" o:gfxdata="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gFO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反击破</w:t>
                                </w:r>
                              </w:p>
                            </w:txbxContent>
                          </v:textbox>
                        </v:shape>
                        <v:shape id="直接箭头连接符 70" o:spid="_x0000_s1026" o:spt="32" type="#_x0000_t32" style="position:absolute;left:8984;top:4733;flip:x;height:397;width:8;" filled="f" stroked="t" coordsize="21600,21600" o:gfxdata="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Tgq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680;top:5358;flip:y;height:1;width:679;" filled="f" stroked="t" coordsize="21600,21600" o:gfxdata="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bvxv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7079;top:5135;height:431;width:864;"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冲水</w:t>
                                </w:r>
                              </w:p>
                            </w:txbxContent>
                          </v:textbox>
                        </v:shape>
                        <v:shape id="直接箭头连接符 85" o:spid="_x0000_s1026" o:spt="32" type="#_x0000_t32" style="position:absolute;left:9727;top:5343;flip:y;height:1;width:679;" filled="f" stroked="t" coordsize="21600,21600" o:gfxdata="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NKq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0384;top:4602;flip:x y;height:737;width:1;" filled="f" stroked="t" coordsize="21600,21600" o:gfxdata="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h5Zy/&#10;AAAA2w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直接箭头连接符 87" o:spid="_x0000_s1026" o:spt="32" type="#_x0000_t32" style="position:absolute;left:9703;top:3050;height:0;width:794;" filled="f" stroked="t" coordsize="21600,21600" o:gfxdata="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DKN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文本框 88" o:spid="_x0000_s1026" o:spt="202" type="#_x0000_t202" style="position:absolute;left:10412;top:3620;height:372;width:804;" filled="f" stroked="f" coordsize="21600,21600" o:gfxdata="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e2l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00" w:lineRule="exact"/>
                                  <w:textAlignment w:val="auto"/>
                                  <w:rPr>
                                    <w:sz w:val="18"/>
                                    <w:szCs w:val="21"/>
                                  </w:rPr>
                                </w:pPr>
                                <w:r>
                                  <w:rPr>
                                    <w:sz w:val="18"/>
                                    <w:szCs w:val="21"/>
                                  </w:rPr>
                                  <w:t>粉尘</w:t>
                                </w:r>
                              </w:p>
                            </w:txbxContent>
                          </v:textbox>
                        </v:shape>
                        <v:shape id="文本框 89" o:spid="_x0000_s1026" o:spt="202" type="#_x0000_t202" style="position:absolute;left:11093;top:5944;height:556;width:896;" filled="f" stroked="f" coordsize="21600,21600" o:gfxdata="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mFYM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00" w:lineRule="exact"/>
                                  <w:textAlignment w:val="auto"/>
                                  <w:rPr>
                                    <w:sz w:val="18"/>
                                    <w:szCs w:val="21"/>
                                  </w:rPr>
                                </w:pPr>
                                <w:r>
                                  <w:rPr>
                                    <w:sz w:val="18"/>
                                    <w:szCs w:val="21"/>
                                  </w:rPr>
                                  <w:t>噪声、粉尘</w:t>
                                </w:r>
                              </w:p>
                            </w:txbxContent>
                          </v:textbox>
                        </v:shape>
                        <v:shape id="直接箭头连接符 90" o:spid="_x0000_s1026" o:spt="32" type="#_x0000_t32" style="position:absolute;left:9680;top:4445;height:1;width:1097;" filled="f" stroked="t" coordsize="21600,21600" o:gfxdata="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xw3N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直接箭头连接符 91" o:spid="_x0000_s1026" o:spt="32" type="#_x0000_t32" style="position:absolute;left:9721;top:5451;height:1;width:1097;" filled="f" stroked="t" coordsize="21600,21600" o:gfxdata="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ZO6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直接箭头连接符 96" o:spid="_x0000_s1026" o:spt="32" type="#_x0000_t32" style="position:absolute;left:7601;top:6208;flip:y;height:1;width:397;" filled="f" stroked="t" coordsize="21600,21600" o:gfxdata="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rV7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97" o:spid="_x0000_s1026" o:spt="202" type="#_x0000_t202" style="position:absolute;left:7239;top:6807;height:431;width:864;" filled="f" stroked="f" coordsize="21600,21600" o:gfxdata="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1A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冲水</w:t>
                                </w:r>
                              </w:p>
                            </w:txbxContent>
                          </v:textbox>
                        </v:shape>
                        <v:shape id="直接箭头连接符 29" o:spid="_x0000_s1026" o:spt="32" type="#_x0000_t32" style="position:absolute;left:9012;top:5607;flip:x;height:350;width:1;" filled="f" stroked="t" coordsize="21600,21600" o:gfxdata="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f6A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110" o:spid="_x0000_s1026" o:spt="202" type="#_x0000_t202" style="position:absolute;left:7981;top:5977;height:455;width:2036;" fillcolor="#FFFFFF" filled="t" stroked="t" coordsize="21600,21600" o:gfxdata="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1I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lang w:val="en-US" w:eastAsia="zh-CN"/>
                                  </w:rPr>
                                  <w:t>立轴冲击式制砂机</w:t>
                                </w:r>
                                <w:r>
                                  <w:rPr>
                                    <w:rFonts w:hint="eastAsia"/>
                                  </w:rPr>
                                  <w:t>冲击破</w:t>
                                </w:r>
                              </w:p>
                            </w:txbxContent>
                          </v:textbox>
                        </v:shape>
                        <v:shape id="直接箭头连接符 111" o:spid="_x0000_s1026" o:spt="32" type="#_x0000_t32" style="position:absolute;left:9036;top:6437;flip:x;height:350;width:1;" filled="f" stroked="t" coordsize="21600,21600" o:gfxdata="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HT7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8502;top:6788;height:455;width:1166;" fillcolor="#FFFFFF" filled="t" stroked="t" coordsize="21600,21600" o:gfxdata="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Za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振动筛分</w:t>
                                </w:r>
                              </w:p>
                            </w:txbxContent>
                          </v:textbox>
                        </v:shape>
                        <v:shape id="_x0000_s1026" o:spid="_x0000_s1026" o:spt="32" type="#_x0000_t32" style="position:absolute;left:9658;top:7013;height:1;width:1151;" filled="f" stroked="t" coordsize="21600,21600" o:gfxdata="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wMF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_x0000_s1026" o:spid="_x0000_s1026" o:spt="202" type="#_x0000_t202" style="position:absolute;left:9675;top:6689;height:392;width:1939;" filled="f" stroked="f" coordsize="21600,21600" o:gfxdata="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AtK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40" w:lineRule="exact"/>
                                  <w:rPr>
                                    <w:sz w:val="18"/>
                                    <w:szCs w:val="21"/>
                                  </w:rPr>
                                </w:pPr>
                                <w:r>
                                  <w:rPr>
                                    <w:rFonts w:hint="eastAsia"/>
                                    <w:sz w:val="18"/>
                                    <w:szCs w:val="21"/>
                                    <w:lang w:val="en-US" w:eastAsia="zh-CN"/>
                                  </w:rPr>
                                  <w:t>4.75~31.5</w:t>
                                </w:r>
                                <w:r>
                                  <w:rPr>
                                    <w:rFonts w:hint="eastAsia"/>
                                    <w:sz w:val="18"/>
                                    <w:szCs w:val="21"/>
                                  </w:rPr>
                                  <w:t>mm</w:t>
                                </w:r>
                                <w:r>
                                  <w:rPr>
                                    <w:sz w:val="18"/>
                                    <w:szCs w:val="21"/>
                                  </w:rPr>
                                  <w:t>碎石</w:t>
                                </w:r>
                              </w:p>
                            </w:txbxContent>
                          </v:textbox>
                        </v:shape>
                        <v:shape id="直接箭头连接符 5" o:spid="_x0000_s1026" o:spt="32" type="#_x0000_t32" style="position:absolute;left:10039;top:6202;height:1;width:1097;" filled="f" stroked="t" coordsize="21600,21600" o:gfxdata="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aRQ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文本框 17" o:spid="_x0000_s1026" o:spt="202" type="#_x0000_t202" style="position:absolute;left:8325;top:3549;height:446;width:1365;" fillcolor="#FFFFFF" filled="t" stroked="t" coordsize="21600,21600" o:gfxdata="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i3F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中间料仓</w:t>
                                </w:r>
                              </w:p>
                            </w:txbxContent>
                          </v:textbox>
                        </v:shape>
                        <v:shape id="直接箭头连接符 32" o:spid="_x0000_s1026" o:spt="32" type="#_x0000_t32" style="position:absolute;left:9721;top:3772;height:0;width:794;" filled="f" stroked="t" coordsize="21600,21600" o:gfxdata="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52Lr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文本框 41" o:spid="_x0000_s1026" o:spt="202" type="#_x0000_t202" style="position:absolute;left:10411;top:2805;height:538;width:896;" filled="f" stroked="f" coordsize="21600,21600" o:gfxdata="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7g5K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00" w:lineRule="exact"/>
                                  <w:textAlignment w:val="auto"/>
                                  <w:rPr>
                                    <w:sz w:val="18"/>
                                    <w:szCs w:val="21"/>
                                  </w:rPr>
                                </w:pPr>
                                <w:r>
                                  <w:rPr>
                                    <w:sz w:val="18"/>
                                    <w:szCs w:val="21"/>
                                  </w:rPr>
                                  <w:t>噪声、粉尘</w:t>
                                </w:r>
                              </w:p>
                            </w:txbxContent>
                          </v:textbox>
                        </v:shape>
                        <v:shape id="直接箭头连接符 42" o:spid="_x0000_s1026" o:spt="32" type="#_x0000_t32" style="position:absolute;left:9003;top:3999;flip:x;height:284;width:1;" filled="f" stroked="t" coordsize="21600,21600" o:gfxdata="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r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5" o:spid="_x0000_s1026" o:spt="32" type="#_x0000_t32" style="position:absolute;left:7635;top:4512;flip:y;height:1;width:679;" filled="f" stroked="t" coordsize="21600,21600" o:gfxdata="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YfU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46" o:spid="_x0000_s1026" o:spt="202" type="#_x0000_t202" style="position:absolute;left:7032;top:4301;height:431;width:864;" filled="f" stroked="f" coordsize="21600,21600" o:gfxdata="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5q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eastAsia="宋体"/>
                                    <w:lang w:eastAsia="zh-CN"/>
                                  </w:rPr>
                                </w:pPr>
                                <w:r>
                                  <w:rPr>
                                    <w:rFonts w:hint="eastAsia"/>
                                  </w:rPr>
                                  <w:t>喷</w:t>
                                </w:r>
                                <w:r>
                                  <w:rPr>
                                    <w:rFonts w:hint="eastAsia"/>
                                    <w:lang w:val="en-US" w:eastAsia="zh-CN"/>
                                  </w:rPr>
                                  <w:t>雾</w:t>
                                </w:r>
                              </w:p>
                            </w:txbxContent>
                          </v:textbox>
                        </v:shape>
                        <v:shape id="文本框 49" o:spid="_x0000_s1026" o:spt="202" type="#_x0000_t202" style="position:absolute;left:7023;top:5987;height:431;width:763;" filled="f" stroked="f" coordsize="21600,21600" o:gfxdata="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M/K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eastAsia="宋体"/>
                                    <w:lang w:eastAsia="zh-CN"/>
                                  </w:rPr>
                                </w:pPr>
                                <w:r>
                                  <w:rPr>
                                    <w:rFonts w:hint="eastAsia"/>
                                  </w:rPr>
                                  <w:t>喷</w:t>
                                </w:r>
                                <w:r>
                                  <w:rPr>
                                    <w:rFonts w:hint="eastAsia"/>
                                    <w:lang w:val="en-US" w:eastAsia="zh-CN"/>
                                  </w:rPr>
                                  <w:t>雾</w:t>
                                </w:r>
                              </w:p>
                            </w:txbxContent>
                          </v:textbox>
                        </v:shape>
                        <v:shape id="文本框 50" o:spid="_x0000_s1026" o:spt="202" type="#_x0000_t202" style="position:absolute;left:10648;top:4185;height:556;width:896;" filled="f" stroked="f" coordsize="21600,21600" o:gfxdata="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GhX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00" w:lineRule="exact"/>
                                  <w:textAlignment w:val="auto"/>
                                  <w:rPr>
                                    <w:sz w:val="18"/>
                                    <w:szCs w:val="21"/>
                                  </w:rPr>
                                </w:pPr>
                                <w:r>
                                  <w:rPr>
                                    <w:sz w:val="18"/>
                                    <w:szCs w:val="21"/>
                                  </w:rPr>
                                  <w:t>噪声、粉尘</w:t>
                                </w:r>
                              </w:p>
                            </w:txbxContent>
                          </v:textbox>
                        </v:shape>
                        <v:shape id="文本框 52" o:spid="_x0000_s1026" o:spt="202" type="#_x0000_t202" style="position:absolute;left:9649;top:5029;height:454;width:1196;" filled="f" stroked="f" coordsize="21600,21600" o:gfxdata="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dBM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40" w:lineRule="exact"/>
                                  <w:rPr>
                                    <w:rFonts w:hint="default" w:eastAsia="宋体"/>
                                    <w:sz w:val="18"/>
                                    <w:szCs w:val="21"/>
                                    <w:lang w:val="en-US" w:eastAsia="zh-CN"/>
                                  </w:rPr>
                                </w:pPr>
                                <w:r>
                                  <w:rPr>
                                    <w:rFonts w:hint="eastAsia"/>
                                    <w:sz w:val="18"/>
                                    <w:szCs w:val="21"/>
                                    <w:lang w:val="en-US" w:eastAsia="zh-CN"/>
                                  </w:rPr>
                                  <w:t>不合格</w:t>
                                </w:r>
                              </w:p>
                            </w:txbxContent>
                          </v:textbox>
                        </v:shape>
                        <v:shape id="文本框 53" o:spid="_x0000_s1026" o:spt="202" type="#_x0000_t202" style="position:absolute;left:8927;top:5654;height:454;width:1196;" filled="f" stroked="f" coordsize="21600,21600" o:gfxdata="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gpC3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pacing w:line="240" w:lineRule="exact"/>
                                  <w:rPr>
                                    <w:rFonts w:hint="default" w:eastAsia="宋体"/>
                                    <w:sz w:val="18"/>
                                    <w:szCs w:val="21"/>
                                    <w:lang w:val="en-US" w:eastAsia="zh-CN"/>
                                  </w:rPr>
                                </w:pPr>
                                <w:r>
                                  <w:rPr>
                                    <w:rFonts w:hint="eastAsia"/>
                                    <w:sz w:val="18"/>
                                    <w:szCs w:val="21"/>
                                    <w:lang w:val="en-US" w:eastAsia="zh-CN"/>
                                  </w:rPr>
                                  <w:t>合格料</w:t>
                                </w:r>
                              </w:p>
                            </w:txbxContent>
                          </v:textbox>
                        </v:shape>
                        <v:shape id="直接箭头连接符 54" o:spid="_x0000_s1026" o:spt="32" type="#_x0000_t32" style="position:absolute;left:7828;top:7024;flip:y;height:1;width:679;" filled="f" stroked="t" coordsize="21600,21600" o:gfxdata="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4ou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5" o:spid="_x0000_s1026" o:spt="32" type="#_x0000_t32" style="position:absolute;left:6722;top:5740;height:1;width:2294;" filled="f" stroked="t" coordsize="21600,21600" o:gfxdata="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Aj/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直接箭头连接符 56" o:spid="_x0000_s1026" o:spt="32" type="#_x0000_t32" style="position:absolute;left:6731;top:5740;flip:x;height:2232;width:3;" filled="f" stroked="t" coordsize="21600,21600" o:gfxdata="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Td9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文本框 60" o:spid="_x0000_s1026" o:spt="202" type="#_x0000_t202" style="position:absolute;left:8592;top:7266;height:646;width:1348;" filled="f" stroked="f" coordsize="21600,21600" o:gfxdata="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szGA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rPr>
                                    <w:rFonts w:hint="default" w:eastAsia="宋体"/>
                                    <w:sz w:val="18"/>
                                    <w:szCs w:val="21"/>
                                    <w:lang w:val="en-US" w:eastAsia="zh-CN"/>
                                  </w:rPr>
                                </w:pPr>
                                <w:r>
                                  <w:rPr>
                                    <w:rFonts w:hint="eastAsia"/>
                                    <w:sz w:val="18"/>
                                    <w:szCs w:val="21"/>
                                    <w:lang w:val="en-US" w:eastAsia="zh-CN"/>
                                  </w:rPr>
                                  <w:t>含泥废水和砂＜4.75mm</w:t>
                                </w:r>
                              </w:p>
                            </w:txbxContent>
                          </v:textbox>
                        </v:shape>
                        <v:shape id="直接箭头连接符 58" o:spid="_x0000_s1026" o:spt="32" type="#_x0000_t32" style="position:absolute;left:6731;top:7962;height:1;width:1928;" filled="f" stroked="t" coordsize="21600,21600" o:gfxdata="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NR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100" o:spid="_x0000_s1026" o:spt="203" style="position:absolute;left:6714;top:8295;height:3534;width:5495;" coordorigin="6655,8574" coordsize="5495,3534"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文本框 24" o:spid="_x0000_s1026" o:spt="202" type="#_x0000_t202" style="position:absolute;left:7369;top:9440;height:455;width:1158;" fillcolor="#FFFFFF" filled="t" stroked="t" coordsize="21600,21600" o:gfxdata="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aij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脱水筛</w:t>
                                  </w:r>
                                </w:p>
                              </w:txbxContent>
                            </v:textbox>
                          </v:shape>
                          <v:shape id="直接箭头连接符 25" o:spid="_x0000_s1026" o:spt="32" type="#_x0000_t32" style="position:absolute;left:7692;top:9928;height:340;width:0;" filled="f" stroked="t" coordsize="21600,21600" o:gfxdata="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rm4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26" o:spid="_x0000_s1026" o:spt="202" type="#_x0000_t202" style="position:absolute;left:7388;top:10269;height:383;width:1381;" fillcolor="#FFFFFF" filled="t" stroked="t" coordsize="21600,21600" o:gfxdata="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Sx3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eastAsia="宋体"/>
                                      <w:lang w:val="en-US" w:eastAsia="zh-CN"/>
                                    </w:rPr>
                                  </w:pPr>
                                  <w:r>
                                    <w:rPr>
                                      <w:rFonts w:hint="eastAsia"/>
                                      <w:lang w:val="en-US" w:eastAsia="zh-CN"/>
                                    </w:rPr>
                                    <w:t>旋流器</w:t>
                                  </w:r>
                                </w:p>
                              </w:txbxContent>
                            </v:textbox>
                          </v:shape>
                          <v:shape id="直接箭头连接符 27" o:spid="_x0000_s1026" o:spt="32" type="#_x0000_t32" style="position:absolute;left:8442;top:10669;height:722;width:1;" filled="f" stroked="t" coordsize="21600,21600" o:gfxdata="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p1w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28" o:spid="_x0000_s1026" o:spt="202" type="#_x0000_t202" style="position:absolute;left:7038;top:11379;height:415;width:1533;" fillcolor="#FFFFFF" filled="t" stroked="t" coordsize="21600,21600" o:gfxdata="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l4A3&#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default" w:eastAsia="宋体"/>
                                      <w:lang w:val="en-US" w:eastAsia="zh-CN"/>
                                    </w:rPr>
                                  </w:pPr>
                                  <w:r>
                                    <w:t>机砂</w:t>
                                  </w:r>
                                  <w:r>
                                    <w:rPr>
                                      <w:rFonts w:hint="eastAsia"/>
                                      <w:lang w:val="en-US" w:eastAsia="zh-CN"/>
                                    </w:rPr>
                                    <w:t>产品库</w:t>
                                  </w:r>
                                </w:p>
                              </w:txbxContent>
                            </v:textbox>
                          </v:shape>
                          <v:shape id="直接箭头连接符 62" o:spid="_x0000_s1026" o:spt="32" type="#_x0000_t32" style="position:absolute;left:7112;top:9717;flip:x;height:1644;width:1;" filled="f" stroked="t" coordsize="21600,21600" o:gfxdata="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iGfe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文本框 63" o:spid="_x0000_s1026" o:spt="202" type="#_x0000_t202" style="position:absolute;left:6655;top:10040;height:864;width:534;" filled="f" stroked="f" coordsize="21600,21600" o:gfxdata="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Tf0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t>机</w:t>
                                  </w:r>
                                </w:p>
                                <w:p>
                                  <w:r>
                                    <w:t>砂</w:t>
                                  </w:r>
                                </w:p>
                              </w:txbxContent>
                            </v:textbox>
                          </v:shape>
                          <v:shape id="文本框 64" o:spid="_x0000_s1026" o:spt="202" type="#_x0000_t202" style="position:absolute;left:7673;top:9844;height:469;width:1011;" filled="f" stroked="f" coordsize="21600,21600" o:gfxdata="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kG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20"/>
                                      <w:szCs w:val="22"/>
                                    </w:rPr>
                                  </w:pPr>
                                  <w:r>
                                    <w:rPr>
                                      <w:sz w:val="20"/>
                                      <w:szCs w:val="22"/>
                                    </w:rPr>
                                    <w:t>泥浆水</w:t>
                                  </w:r>
                                </w:p>
                              </w:txbxContent>
                            </v:textbox>
                          </v:shape>
                          <v:shape id="_x0000_s1026" o:spid="_x0000_s1026" o:spt="202" type="#_x0000_t202" style="position:absolute;left:7996;top:10739;height:550;width:534;" filled="f" stroked="f" coordsize="21600,21600" o:gfxdata="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8D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00" w:lineRule="exact"/>
                                    <w:textAlignment w:val="auto"/>
                                    <w:rPr>
                                      <w:sz w:val="20"/>
                                      <w:szCs w:val="22"/>
                                    </w:rPr>
                                  </w:pPr>
                                  <w:r>
                                    <w:rPr>
                                      <w:rFonts w:hint="eastAsia"/>
                                      <w:sz w:val="20"/>
                                      <w:szCs w:val="22"/>
                                      <w:lang w:val="en-US" w:eastAsia="zh-CN"/>
                                    </w:rPr>
                                    <w:t>细</w:t>
                                  </w:r>
                                  <w:r>
                                    <w:rPr>
                                      <w:sz w:val="20"/>
                                      <w:szCs w:val="22"/>
                                    </w:rPr>
                                    <w:t>砂</w:t>
                                  </w:r>
                                </w:p>
                              </w:txbxContent>
                            </v:textbox>
                          </v:shape>
                          <v:shape id="_x0000_s1026" o:spid="_x0000_s1026" o:spt="32" type="#_x0000_t32" style="position:absolute;left:7119;top:9722;flip:y;height:1;width:227;" filled="f" stroked="t" coordsize="21600,21600" o:gfxdata="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0u8yL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_x0000_s1026" o:spid="_x0000_s1026" o:spt="32" type="#_x0000_t32" style="position:absolute;left:8775;top:10463;height:0;width:734;" filled="f" stroked="t" coordsize="21600,21600" o:gfxdata="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6DfZ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202" type="#_x0000_t202" style="position:absolute;left:8602;top:11235;height:469;width:1011;" filled="f" stroked="f" coordsize="21600,21600" o:gfxdata="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rjQa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szCs w:val="21"/>
                                    </w:rPr>
                                  </w:pPr>
                                  <w:r>
                                    <w:rPr>
                                      <w:sz w:val="18"/>
                                      <w:szCs w:val="21"/>
                                    </w:rPr>
                                    <w:t>渗沥水</w:t>
                                  </w:r>
                                </w:p>
                              </w:txbxContent>
                            </v:textbox>
                          </v:shape>
                          <v:shape id="文本框 92" o:spid="_x0000_s1026" o:spt="202" type="#_x0000_t202" style="position:absolute;left:8814;top:10147;height:469;width:896;" filled="f" stroked="f" coordsize="21600,21600" o:gfxdata="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rkP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21"/>
                                    </w:rPr>
                                  </w:pPr>
                                  <w:r>
                                    <w:rPr>
                                      <w:rFonts w:hint="eastAsia"/>
                                      <w:sz w:val="18"/>
                                      <w:szCs w:val="21"/>
                                    </w:rPr>
                                    <w:t>废水</w:t>
                                  </w:r>
                                </w:p>
                              </w:txbxContent>
                            </v:textbox>
                          </v:shape>
                          <v:shape id="文本框 14" o:spid="_x0000_s1026" o:spt="202" type="#_x0000_t202" style="position:absolute;left:8003;top:9013;height:392;width:506;" filled="f" stroked="f" coordsize="21600,21600" o:gfxdata="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w3xI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exact"/>
                                    <w:jc w:val="center"/>
                                    <w:rPr>
                                      <w:rFonts w:hint="default" w:eastAsia="宋体"/>
                                      <w:sz w:val="20"/>
                                      <w:szCs w:val="22"/>
                                      <w:lang w:val="en-US" w:eastAsia="zh-CN"/>
                                    </w:rPr>
                                  </w:pPr>
                                  <w:r>
                                    <w:rPr>
                                      <w:rFonts w:hint="eastAsia"/>
                                      <w:sz w:val="20"/>
                                      <w:szCs w:val="22"/>
                                      <w:lang w:val="en-US" w:eastAsia="zh-CN"/>
                                    </w:rPr>
                                    <w:t>砂</w:t>
                                  </w:r>
                                </w:p>
                              </w:txbxContent>
                            </v:textbox>
                          </v:shape>
                          <v:shape id="文本框 15" o:spid="_x0000_s1026" o:spt="202" type="#_x0000_t202" style="position:absolute;left:7397;top:8589;height:455;width:1491;" fillcolor="#FFFFFF" filled="t" stroked="t" coordsize="21600,21600" o:gfxdata="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6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轮式洗砂机</w:t>
                                  </w:r>
                                </w:p>
                              </w:txbxContent>
                            </v:textbox>
                          </v:shape>
                          <v:shape id="直接箭头连接符 33" o:spid="_x0000_s1026" o:spt="32" type="#_x0000_t32" style="position:absolute;left:11020;top:10822;height:1;width:704;" filled="f" stroked="t" coordsize="21600,21600" o:gfxdata="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Qbj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16" o:spid="_x0000_s1026" o:spt="32" type="#_x0000_t32" style="position:absolute;left:8115;top:9054;flip:x;height:397;width:1;" filled="f" stroked="t" coordsize="21600,21600" o:gfxdata="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2H/q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38" o:spid="_x0000_s1026" o:spt="202" type="#_x0000_t202" style="position:absolute;left:9564;top:11378;height:730;width:1562;" filled="f" stroked="f" coordsize="21600,21600" o:gfxdata="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Odk2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default" w:eastAsia="宋体"/>
                                      <w:sz w:val="20"/>
                                      <w:szCs w:val="22"/>
                                      <w:lang w:val="en-US" w:eastAsia="zh-CN"/>
                                    </w:rPr>
                                  </w:pPr>
                                  <w:r>
                                    <w:rPr>
                                      <w:sz w:val="20"/>
                                      <w:szCs w:val="22"/>
                                    </w:rPr>
                                    <w:t>泥饼</w:t>
                                  </w:r>
                                  <w:r>
                                    <w:rPr>
                                      <w:rFonts w:hint="eastAsia"/>
                                      <w:sz w:val="20"/>
                                      <w:szCs w:val="22"/>
                                    </w:rPr>
                                    <w:t>外售砖厂</w:t>
                                  </w:r>
                                  <w:r>
                                    <w:rPr>
                                      <w:rFonts w:hint="eastAsia"/>
                                      <w:sz w:val="20"/>
                                      <w:szCs w:val="22"/>
                                      <w:lang w:val="en-US" w:eastAsia="zh-CN"/>
                                    </w:rPr>
                                    <w:t>或建材厂利用</w:t>
                                  </w:r>
                                </w:p>
                              </w:txbxContent>
                            </v:textbox>
                          </v:shape>
                          <v:shape id="文本框 34" o:spid="_x0000_s1026" o:spt="202" type="#_x0000_t202" style="position:absolute;left:9694;top:9459;height:726;width:991;" fillcolor="#FFFFFF" filled="t" stroked="t" coordsize="21600,21600" o:gfxdata="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C8B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t>废水处理系统</w:t>
                                  </w:r>
                                </w:p>
                              </w:txbxContent>
                            </v:textbox>
                          </v:shape>
                          <v:shape id="文本框 40" o:spid="_x0000_s1026" o:spt="202" type="#_x0000_t202" style="position:absolute;left:11292;top:8981;height:427;width:794;" filled="f" stroked="f" coordsize="21600,21600" o:gfxdata="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Hsl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r>
                                    <w:t>回用</w:t>
                                  </w:r>
                                </w:p>
                              </w:txbxContent>
                            </v:textbox>
                          </v:shape>
                          <v:shape id="直接箭头连接符 39" o:spid="_x0000_s1026" o:spt="32" type="#_x0000_t32" style="position:absolute;left:11689;top:9992;flip:x y;height:818;width:1;" filled="f" stroked="t" coordsize="21600,21600" o:gfxdata="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7ev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36" o:spid="_x0000_s1026" o:spt="202" type="#_x0000_t202" style="position:absolute;left:9588;top:10611;height:415;width:1429;" fillcolor="#FFFFFF" filled="t" stroked="t" coordsize="21600,21600" o:gfxdata="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9L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t>板框压滤机</w:t>
                                  </w:r>
                                </w:p>
                              </w:txbxContent>
                            </v:textbox>
                          </v:shape>
                          <v:shape id="直接箭头连接符 35" o:spid="_x0000_s1026" o:spt="32" type="#_x0000_t32" style="position:absolute;left:10192;top:10208;height:403;width:0;" filled="f" stroked="t" coordsize="21600,21600" o:gfxdata="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Bo4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7" o:spid="_x0000_s1026" o:spt="32" type="#_x0000_t32" style="position:absolute;left:10222;top:11038;height:380;width:0;" filled="f" stroked="t" coordsize="21600,21600" o:gfxdata="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oO/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20" o:spid="_x0000_s1026" o:spt="32" type="#_x0000_t32" style="position:absolute;left:9493;top:9945;height:1757;width:1;" filled="f" stroked="t" coordsize="21600,21600" o:gfxdata="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Zfd2/&#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shape id="直接箭头连接符 22" o:spid="_x0000_s1026" o:spt="32" type="#_x0000_t32" style="position:absolute;left:9498;top:9954;height:1;width:227;" filled="f" stroked="t" coordsize="21600,21600" o:gfxdata="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y8j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文本框 57" o:spid="_x0000_s1026" o:spt="202" type="#_x0000_t202" style="position:absolute;left:9651;top:9000;height:469;width:1011;" filled="f" stroked="f" coordsize="21600,21600" o:gfxdata="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h04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20"/>
                                      <w:szCs w:val="22"/>
                                    </w:rPr>
                                  </w:pPr>
                                  <w:r>
                                    <w:rPr>
                                      <w:sz w:val="20"/>
                                      <w:szCs w:val="22"/>
                                    </w:rPr>
                                    <w:t>渗沥水</w:t>
                                  </w:r>
                                </w:p>
                              </w:txbxContent>
                            </v:textbox>
                          </v:shape>
                          <v:shape id="文本框 59" o:spid="_x0000_s1026" o:spt="202" type="#_x0000_t202" style="position:absolute;left:10637;top:9421;height:469;width:896;" filled="f" stroked="f" coordsize="21600,21600" o:gfxdata="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1fgk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18"/>
                                      <w:szCs w:val="21"/>
                                    </w:rPr>
                                  </w:pPr>
                                  <w:r>
                                    <w:rPr>
                                      <w:sz w:val="18"/>
                                      <w:szCs w:val="21"/>
                                    </w:rPr>
                                    <w:t>清水</w:t>
                                  </w:r>
                                </w:p>
                              </w:txbxContent>
                            </v:textbox>
                          </v:shape>
                          <v:shape id="_x0000_s1026" o:spid="_x0000_s1026" o:spt="32" type="#_x0000_t32" style="position:absolute;left:10680;top:9787;flip:y;height:6;width:524;" filled="f" stroked="t" coordsize="21600,21600" o:gfxdata="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RV8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81" o:spid="_x0000_s1026" o:spt="202" type="#_x0000_t202" style="position:absolute;left:9627;top:8574;height:415;width:1532;" fillcolor="#FFFFFF" filled="t" stroked="t" coordsize="21600,21600" o:gfxdata="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bZs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default" w:eastAsia="宋体"/>
                                      <w:lang w:val="en-US" w:eastAsia="zh-CN"/>
                                    </w:rPr>
                                  </w:pPr>
                                  <w:r>
                                    <w:rPr>
                                      <w:rFonts w:hint="eastAsia"/>
                                    </w:rPr>
                                    <w:t>碎石</w:t>
                                  </w:r>
                                  <w:r>
                                    <w:rPr>
                                      <w:rFonts w:hint="eastAsia"/>
                                      <w:lang w:val="en-US" w:eastAsia="zh-CN"/>
                                    </w:rPr>
                                    <w:t>产品库</w:t>
                                  </w:r>
                                </w:p>
                              </w:txbxContent>
                            </v:textbox>
                          </v:shape>
                          <v:shape id="直接箭头连接符 82" o:spid="_x0000_s1026" o:spt="32" type="#_x0000_t32" style="position:absolute;left:8581;top:11652;flip:x y;height:1;width:964;" filled="f" stroked="t" coordsize="21600,21600" o:gfxdata="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BtaS5AAAA3A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shape>
                          <v:shape id="_x0000_s1026" o:spid="_x0000_s1026" o:spt="32" type="#_x0000_t32" style="position:absolute;left:10258;top:9000;flip:x y;height:454;width:1;" filled="f" stroked="t" coordsize="21600,21600" o:gfxdata="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vkXvQAA&#10;ANsAAAAPAAAAAAAAAAEAIAAAACIAAABkcnMvZG93bnJldi54bWxQSwECFAAUAAAACACHTuJAMy8F&#10;njsAAAA5AAAAEAAAAAAAAAABACAAAAAMAQAAZHJzL3NoYXBleG1sLnhtbFBLBQYAAAAABgAGAFsB&#10;AAC2AwAAAAA=&#10;">
                            <v:fill on="f" focussize="0,0"/>
                            <v:stroke color="#000000" joinstyle="round" dashstyle="dash" startarrow="block"/>
                            <v:imagedata o:title=""/>
                            <o:lock v:ext="edit" aspectratio="f"/>
                          </v:shape>
                          <v:shape id="直接箭头连接符 61" o:spid="_x0000_s1026" o:spt="32" type="#_x0000_t32" style="position:absolute;left:8705;top:9068;flip:x;height:1247;width:1;" filled="f" stroked="t" coordsize="21600,21600" o:gfxdata="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2z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73" o:spid="_x0000_s1026" o:spt="202" type="#_x0000_t202" style="position:absolute;left:10166;top:10174;height:469;width:1043;" filled="f" stroked="f" coordsize="21600,21600" o:gfxdata="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RNY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sz w:val="18"/>
                                      <w:szCs w:val="21"/>
                                      <w:lang w:val="en-US" w:eastAsia="zh-CN"/>
                                    </w:rPr>
                                  </w:pPr>
                                  <w:r>
                                    <w:rPr>
                                      <w:rFonts w:hint="eastAsia"/>
                                      <w:sz w:val="18"/>
                                      <w:szCs w:val="21"/>
                                      <w:lang w:val="en-US" w:eastAsia="zh-CN"/>
                                    </w:rPr>
                                    <w:t>沉淀泥沙</w:t>
                                  </w:r>
                                </w:p>
                              </w:txbxContent>
                            </v:textbox>
                          </v:shape>
                          <v:shape id="文本框 65" o:spid="_x0000_s1026" o:spt="202" type="#_x0000_t202" style="position:absolute;left:8604;top:9235;height:571;width:662;" filled="f" stroked="f" coordsize="21600,21600" o:gfxdata="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jo+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00" w:lineRule="exact"/>
                                    <w:textAlignment w:val="auto"/>
                                    <w:rPr>
                                      <w:rFonts w:hint="eastAsia"/>
                                      <w:sz w:val="18"/>
                                      <w:szCs w:val="21"/>
                                      <w:lang w:val="en-US" w:eastAsia="zh-CN"/>
                                    </w:rPr>
                                  </w:pPr>
                                  <w:r>
                                    <w:rPr>
                                      <w:rFonts w:hint="eastAsia"/>
                                      <w:sz w:val="18"/>
                                      <w:szCs w:val="21"/>
                                      <w:lang w:val="en-US" w:eastAsia="zh-CN"/>
                                    </w:rPr>
                                    <w:t>废水</w:t>
                                  </w:r>
                                </w:p>
                                <w:p>
                                  <w:pPr>
                                    <w:keepNext w:val="0"/>
                                    <w:keepLines w:val="0"/>
                                    <w:pageBreakBefore w:val="0"/>
                                    <w:widowControl w:val="0"/>
                                    <w:kinsoku/>
                                    <w:wordWrap/>
                                    <w:overflowPunct/>
                                    <w:topLinePunct w:val="0"/>
                                    <w:bidi w:val="0"/>
                                    <w:adjustRightInd/>
                                    <w:snapToGrid/>
                                    <w:spacing w:line="200" w:lineRule="exact"/>
                                    <w:textAlignment w:val="auto"/>
                                    <w:rPr>
                                      <w:rFonts w:hint="default" w:eastAsia="宋体"/>
                                      <w:sz w:val="18"/>
                                      <w:szCs w:val="21"/>
                                      <w:lang w:val="en-US" w:eastAsia="zh-CN"/>
                                    </w:rPr>
                                  </w:pPr>
                                  <w:r>
                                    <w:rPr>
                                      <w:rFonts w:hint="eastAsia"/>
                                      <w:sz w:val="18"/>
                                      <w:szCs w:val="21"/>
                                      <w:lang w:val="en-US" w:eastAsia="zh-CN"/>
                                    </w:rPr>
                                    <w:t>溢流</w:t>
                                  </w:r>
                                </w:p>
                              </w:txbxContent>
                            </v:textbox>
                          </v:shape>
                          <v:shape id="_x0000_s1026" o:spid="_x0000_s1026" o:spt="202" type="#_x0000_t202" style="position:absolute;left:11182;top:9593;height:415;width:968;" fillcolor="#FFFFFF" filled="t" stroked="t" coordsize="21600,21600" o:gfxdata="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A8e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清水池</w:t>
                                  </w:r>
                                </w:p>
                              </w:txbxContent>
                            </v:textbox>
                          </v:shape>
                          <v:shape id="_x0000_s1026" o:spid="_x0000_s1026" o:spt="202" type="#_x0000_t202" style="position:absolute;left:11127;top:10458;height:469;width:896;" filled="f" stroked="f" coordsize="21600,21600"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18"/>
                                      <w:szCs w:val="21"/>
                                    </w:rPr>
                                  </w:pPr>
                                  <w:r>
                                    <w:rPr>
                                      <w:sz w:val="18"/>
                                      <w:szCs w:val="21"/>
                                    </w:rPr>
                                    <w:t>清水</w:t>
                                  </w:r>
                                </w:p>
                              </w:txbxContent>
                            </v:textbox>
                          </v:shape>
                          <v:shape id="直接箭头连接符 98" o:spid="_x0000_s1026" o:spt="32" type="#_x0000_t32" style="position:absolute;left:11670;top:9316;flip:x y;height:267;width:6;" filled="f" stroked="t" coordsize="21600,21600" o:gfxdata="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dDe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group>
                      <v:shape id="文本框 102" o:spid="_x0000_s1026" o:spt="202" type="#_x0000_t202" style="position:absolute;left:8874;top:4313;height:455;width:1409;" fillcolor="#FFFFFF" filled="t" stroked="t" coordsize="21600,21600" o:gfxdata="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99t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default"/>
                                  <w:lang w:val="en-US"/>
                                </w:rPr>
                              </w:pPr>
                              <w:r>
                                <w:rPr>
                                  <w:rFonts w:hint="eastAsia"/>
                                  <w:lang w:val="en-US" w:eastAsia="zh-CN"/>
                                </w:rPr>
                                <w:t>除铁器</w:t>
                              </w:r>
                            </w:p>
                          </w:txbxContent>
                        </v:textbox>
                      </v:shape>
                      <v:shape id="直接箭头连接符 103" o:spid="_x0000_s1026" o:spt="32" type="#_x0000_t32" style="position:absolute;left:9506;top:4772;flip:x;height:284;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4" o:spid="_x0000_s1026" o:spt="32" type="#_x0000_t32" style="position:absolute;left:10304;top:4517;height:0;width:794;" filled="f" stroked="t" coordsize="21600,21600" o:gfxdata="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AQor4A&#10;AADc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shape>
                      <v:shape id="文本框 105" o:spid="_x0000_s1026" o:spt="202" type="#_x0000_t202" style="position:absolute;left:10932;top:4294;height:404;width:843;" filled="f" stroked="f" coordsize="21600,21600" o:gfxdata="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vHqK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keepNext w:val="0"/>
                                <w:keepLines w:val="0"/>
                                <w:pageBreakBefore w:val="0"/>
                                <w:widowControl w:val="0"/>
                                <w:kinsoku/>
                                <w:wordWrap/>
                                <w:overflowPunct/>
                                <w:topLinePunct w:val="0"/>
                                <w:bidi w:val="0"/>
                                <w:adjustRightInd/>
                                <w:snapToGrid/>
                                <w:spacing w:line="200" w:lineRule="exact"/>
                                <w:jc w:val="center"/>
                                <w:textAlignment w:val="auto"/>
                                <w:rPr>
                                  <w:rFonts w:hint="eastAsia" w:eastAsia="宋体"/>
                                  <w:sz w:val="18"/>
                                  <w:szCs w:val="21"/>
                                  <w:lang w:val="en-US" w:eastAsia="zh-CN"/>
                                </w:rPr>
                              </w:pPr>
                              <w:r>
                                <w:rPr>
                                  <w:rFonts w:hint="eastAsia"/>
                                  <w:sz w:val="18"/>
                                  <w:szCs w:val="21"/>
                                  <w:lang w:val="en-US" w:eastAsia="zh-CN"/>
                                </w:rPr>
                                <w:t>废铁</w:t>
                              </w:r>
                            </w:p>
                          </w:txbxContent>
                        </v:textbox>
                      </v:shape>
                      <w10:wrap type="none"/>
                      <w10:anchorlock/>
                    </v:group>
                  </w:pict>
                </mc:Fallback>
              </mc:AlternateContent>
            </w:r>
          </w:p>
          <w:p>
            <w:pPr>
              <w:keepNext w:val="0"/>
              <w:keepLines w:val="0"/>
              <w:suppressLineNumbers w:val="0"/>
              <w:autoSpaceDE w:val="0"/>
              <w:autoSpaceDN w:val="0"/>
              <w:adjustRightInd w:val="0"/>
              <w:snapToGrid w:val="0"/>
              <w:spacing w:before="0" w:beforeAutospacing="0" w:after="0" w:afterAutospacing="0" w:line="404" w:lineRule="exact"/>
              <w:ind w:left="0" w:right="0" w:firstLine="422" w:firstLineChars="200"/>
              <w:jc w:val="left"/>
              <w:rPr>
                <w:rFonts w:hint="eastAsia" w:cs="宋体"/>
                <w:b/>
                <w:color w:val="auto"/>
                <w:kern w:val="0"/>
                <w:szCs w:val="21"/>
              </w:rPr>
            </w:pPr>
          </w:p>
          <w:p>
            <w:pPr>
              <w:keepNext w:val="0"/>
              <w:keepLines w:val="0"/>
              <w:suppressLineNumbers w:val="0"/>
              <w:autoSpaceDE w:val="0"/>
              <w:autoSpaceDN w:val="0"/>
              <w:adjustRightInd w:val="0"/>
              <w:snapToGrid w:val="0"/>
              <w:spacing w:before="0" w:beforeAutospacing="0" w:after="0" w:afterAutospacing="0" w:line="404" w:lineRule="exact"/>
              <w:ind w:left="0" w:right="0" w:firstLine="422" w:firstLineChars="200"/>
              <w:jc w:val="left"/>
              <w:rPr>
                <w:rFonts w:hint="default" w:cs="宋体"/>
                <w:b/>
                <w:color w:val="auto"/>
                <w:kern w:val="0"/>
                <w:szCs w:val="21"/>
              </w:rPr>
            </w:pPr>
            <w:r>
              <w:rPr>
                <w:rFonts w:hint="eastAsia" w:cs="宋体"/>
                <w:b/>
                <w:color w:val="auto"/>
                <w:kern w:val="0"/>
                <w:szCs w:val="21"/>
              </w:rPr>
              <w:t>（2）工艺流程简述：</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rPr>
            </w:pPr>
            <w:r>
              <w:rPr>
                <w:rFonts w:hint="eastAsia" w:ascii="宋体" w:hAnsi="宋体"/>
                <w:color w:val="auto"/>
                <w:kern w:val="0"/>
              </w:rPr>
              <w:t>①原料卸料</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rPr>
            </w:pPr>
            <w:r>
              <w:rPr>
                <w:rFonts w:hint="eastAsia" w:ascii="宋体" w:hAnsi="宋体"/>
                <w:color w:val="auto"/>
                <w:kern w:val="0"/>
              </w:rPr>
              <w:t>本项目原料主要来自附近矿山</w:t>
            </w:r>
            <w:r>
              <w:rPr>
                <w:rFonts w:hint="eastAsia" w:ascii="宋体" w:hAnsi="宋体"/>
                <w:color w:val="auto"/>
                <w:kern w:val="0"/>
                <w:lang w:val="en-US" w:eastAsia="zh-CN"/>
              </w:rPr>
              <w:t>的块状矿石料</w:t>
            </w:r>
            <w:r>
              <w:rPr>
                <w:rFonts w:hint="eastAsia" w:ascii="宋体" w:hAnsi="宋体"/>
                <w:color w:val="auto"/>
                <w:kern w:val="0"/>
              </w:rPr>
              <w:t>。外购原料经汽车运输至</w:t>
            </w:r>
            <w:r>
              <w:rPr>
                <w:rFonts w:hint="eastAsia" w:ascii="宋体" w:hAnsi="宋体"/>
                <w:color w:val="auto"/>
                <w:kern w:val="0"/>
                <w:lang w:val="en-US" w:eastAsia="zh-CN"/>
              </w:rPr>
              <w:t>厂区原料堆场</w:t>
            </w:r>
            <w:r>
              <w:rPr>
                <w:rFonts w:hint="eastAsia" w:ascii="宋体" w:hAnsi="宋体"/>
                <w:color w:val="auto"/>
                <w:kern w:val="0"/>
              </w:rPr>
              <w:t>自卸车卸料</w:t>
            </w:r>
            <w:r>
              <w:rPr>
                <w:rFonts w:hint="eastAsia" w:ascii="宋体" w:hAnsi="宋体"/>
                <w:color w:val="auto"/>
                <w:kern w:val="0"/>
                <w:lang w:val="en-US" w:eastAsia="zh-CN"/>
              </w:rPr>
              <w:t>堆放</w:t>
            </w:r>
            <w:r>
              <w:rPr>
                <w:rFonts w:hint="eastAsia" w:ascii="宋体" w:hAnsi="宋体"/>
                <w:color w:val="auto"/>
                <w:kern w:val="0"/>
              </w:rPr>
              <w:t>。此过程会产生运输扬尘、装卸扬尘及噪声。</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eastAsia="宋体"/>
                <w:color w:val="auto"/>
                <w:kern w:val="0"/>
                <w:lang w:val="en-US" w:eastAsia="zh-CN"/>
              </w:rPr>
            </w:pPr>
            <w:r>
              <w:rPr>
                <w:rFonts w:hint="eastAsia" w:ascii="宋体" w:hAnsi="宋体"/>
                <w:color w:val="auto"/>
                <w:kern w:val="0"/>
              </w:rPr>
              <w:t>②振动给料</w:t>
            </w:r>
            <w:r>
              <w:rPr>
                <w:rFonts w:hint="eastAsia" w:ascii="宋体" w:hAnsi="宋体"/>
                <w:color w:val="auto"/>
                <w:kern w:val="0"/>
                <w:lang w:eastAsia="zh-CN"/>
              </w:rPr>
              <w:t>、</w:t>
            </w:r>
            <w:r>
              <w:rPr>
                <w:rFonts w:hint="eastAsia" w:ascii="宋体" w:hAnsi="宋体"/>
                <w:color w:val="auto"/>
                <w:kern w:val="0"/>
                <w:lang w:val="en-US" w:eastAsia="zh-CN"/>
              </w:rPr>
              <w:t>除铁</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color w:val="auto"/>
                <w:kern w:val="0"/>
              </w:rPr>
            </w:pPr>
            <w:r>
              <w:rPr>
                <w:rFonts w:hint="eastAsia" w:ascii="宋体" w:hAnsi="宋体"/>
                <w:color w:val="auto"/>
                <w:kern w:val="0"/>
              </w:rPr>
              <w:t>生产时由装载机将原料</w:t>
            </w:r>
            <w:r>
              <w:rPr>
                <w:rFonts w:hint="eastAsia" w:ascii="宋体" w:hAnsi="宋体"/>
                <w:color w:val="auto"/>
                <w:kern w:val="0"/>
                <w:lang w:val="en-US" w:eastAsia="zh-CN"/>
              </w:rPr>
              <w:t>铲装后</w:t>
            </w:r>
            <w:r>
              <w:rPr>
                <w:rFonts w:hint="eastAsia" w:ascii="宋体" w:hAnsi="宋体"/>
                <w:color w:val="auto"/>
                <w:kern w:val="0"/>
              </w:rPr>
              <w:t>送至</w:t>
            </w:r>
            <w:r>
              <w:rPr>
                <w:rFonts w:hint="eastAsia" w:ascii="宋体" w:hAnsi="宋体"/>
                <w:color w:val="auto"/>
                <w:kern w:val="0"/>
                <w:lang w:val="en-US" w:eastAsia="zh-CN"/>
              </w:rPr>
              <w:t>料斗，再经振动给料</w:t>
            </w:r>
            <w:r>
              <w:rPr>
                <w:rFonts w:hint="eastAsia" w:ascii="宋体" w:hAnsi="宋体"/>
                <w:color w:val="auto"/>
                <w:kern w:val="0"/>
              </w:rPr>
              <w:t>机</w:t>
            </w:r>
            <w:r>
              <w:rPr>
                <w:rFonts w:hint="eastAsia" w:ascii="宋体" w:hAnsi="宋体"/>
                <w:color w:val="auto"/>
                <w:kern w:val="0"/>
                <w:lang w:val="en-US" w:eastAsia="zh-CN"/>
              </w:rPr>
              <w:t>均匀给料，并通过皮带机平</w:t>
            </w:r>
            <w:r>
              <w:rPr>
                <w:rFonts w:hint="eastAsia" w:ascii="宋体" w:hAnsi="宋体"/>
                <w:color w:val="auto"/>
                <w:kern w:val="0"/>
              </w:rPr>
              <w:t>稳输送至颚破机。</w:t>
            </w:r>
            <w:r>
              <w:rPr>
                <w:rFonts w:hint="eastAsia" w:ascii="宋体" w:hAnsi="宋体"/>
                <w:color w:val="auto"/>
                <w:kern w:val="0"/>
                <w:lang w:val="en-US" w:eastAsia="zh-CN"/>
              </w:rPr>
              <w:t>皮带机的上方安装有除铁器，能够吸附原料中的铁质材料，避免对后段破碎机造成破坏。</w:t>
            </w:r>
            <w:r>
              <w:rPr>
                <w:rFonts w:hint="eastAsia" w:ascii="宋体" w:hAnsi="宋体"/>
                <w:color w:val="auto"/>
                <w:kern w:val="0"/>
              </w:rPr>
              <w:t>此过程会产生粉尘和噪声</w:t>
            </w:r>
            <w:r>
              <w:rPr>
                <w:rFonts w:hint="eastAsia" w:ascii="宋体" w:hAnsi="宋体"/>
                <w:color w:val="auto"/>
                <w:kern w:val="0"/>
                <w:lang w:val="en-US" w:eastAsia="zh-CN"/>
              </w:rPr>
              <w:t>及铁质废物</w:t>
            </w:r>
            <w:r>
              <w:rPr>
                <w:rFonts w:hint="eastAsia" w:ascii="宋体" w:hAnsi="宋体"/>
                <w:color w:val="auto"/>
                <w:kern w:val="0"/>
              </w:rPr>
              <w:t>。</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eastAsia="宋体"/>
                <w:color w:val="auto"/>
                <w:kern w:val="0"/>
                <w:lang w:val="en-US" w:eastAsia="zh-CN"/>
              </w:rPr>
            </w:pPr>
            <w:r>
              <w:rPr>
                <w:rFonts w:hint="eastAsia" w:ascii="宋体" w:hAnsi="宋体"/>
                <w:color w:val="auto"/>
                <w:kern w:val="0"/>
              </w:rPr>
              <w:t>③</w:t>
            </w:r>
            <w:r>
              <w:rPr>
                <w:rFonts w:hint="eastAsia" w:ascii="宋体" w:hAnsi="宋体"/>
                <w:color w:val="auto"/>
                <w:kern w:val="0"/>
                <w:lang w:val="en-US" w:eastAsia="zh-CN"/>
              </w:rPr>
              <w:t>颚破及中间料仓</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eastAsia="宋体"/>
                <w:color w:val="auto"/>
                <w:kern w:val="0"/>
                <w:lang w:val="en-US" w:eastAsia="zh-CN"/>
              </w:rPr>
            </w:pPr>
            <w:r>
              <w:rPr>
                <w:rFonts w:hint="eastAsia" w:ascii="宋体" w:hAnsi="宋体"/>
                <w:color w:val="auto"/>
                <w:kern w:val="0"/>
                <w:lang w:val="en-US" w:eastAsia="zh-CN"/>
              </w:rPr>
              <w:t>原料进入颚破机后，</w:t>
            </w:r>
            <w:r>
              <w:rPr>
                <w:rFonts w:hint="eastAsia" w:ascii="宋体" w:hAnsi="宋体"/>
                <w:color w:val="auto"/>
                <w:kern w:val="0"/>
              </w:rPr>
              <w:t>利用颚式破碎机将原矿石料破碎至小规格砂石，再利用输送带设备输送至</w:t>
            </w:r>
            <w:r>
              <w:rPr>
                <w:rFonts w:hint="eastAsia" w:ascii="宋体" w:hAnsi="宋体"/>
                <w:color w:val="auto"/>
                <w:kern w:val="0"/>
                <w:lang w:val="en-US" w:eastAsia="zh-CN"/>
              </w:rPr>
              <w:t>中间料仓暂存。颚破机进料口配有喷雾装置，尽可能避免产生粉尘。</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eastAsia="宋体"/>
                <w:color w:val="auto"/>
                <w:kern w:val="0"/>
                <w:lang w:val="en-US" w:eastAsia="zh-CN"/>
              </w:rPr>
            </w:pPr>
            <w:r>
              <w:rPr>
                <w:rFonts w:hint="eastAsia" w:ascii="宋体" w:hAnsi="宋体"/>
                <w:color w:val="auto"/>
                <w:kern w:val="0"/>
                <w:lang w:val="en-US" w:eastAsia="zh-CN"/>
              </w:rPr>
              <w:t>④反击破及第一次振动筛分</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eastAsia="宋体"/>
                <w:color w:val="auto"/>
                <w:kern w:val="0"/>
                <w:lang w:val="en-US" w:eastAsia="zh-CN"/>
              </w:rPr>
            </w:pPr>
            <w:r>
              <w:rPr>
                <w:rFonts w:hint="eastAsia" w:ascii="宋体" w:hAnsi="宋体"/>
                <w:color w:val="auto"/>
                <w:kern w:val="0"/>
                <w:lang w:val="en-US" w:eastAsia="zh-CN"/>
              </w:rPr>
              <w:t>经过颚破的物料已经由大规格矿石变为小规格矿石。此时经皮带输送至反击破，再次破碎加工，</w:t>
            </w:r>
            <w:r>
              <w:rPr>
                <w:rFonts w:hint="eastAsia" w:ascii="宋体" w:hAnsi="宋体"/>
                <w:color w:val="auto"/>
                <w:kern w:val="0"/>
              </w:rPr>
              <w:t>进一步降低石子粒径。物料在冲击力的作用下被击碎和压碎。大部分破碎发生在物料与冲击板直接碰撞的区域，也有一部分破碎发生在物料之间的碰撞区域。</w:t>
            </w:r>
            <w:r>
              <w:rPr>
                <w:rFonts w:hint="eastAsia" w:ascii="宋体" w:hAnsi="宋体"/>
                <w:color w:val="auto"/>
                <w:kern w:val="0"/>
                <w:lang w:val="en-US" w:eastAsia="zh-CN"/>
              </w:rPr>
              <w:t>反击破也配有喷雾设施，尽可能避免产生粉尘</w:t>
            </w:r>
            <w:r>
              <w:rPr>
                <w:rFonts w:hint="eastAsia" w:ascii="Times New Roman" w:hAnsi="Times New Roman" w:cs="Times New Roman"/>
                <w:color w:val="auto"/>
                <w:kern w:val="0"/>
                <w:lang w:val="en-US" w:eastAsia="zh-CN"/>
              </w:rPr>
              <w:t>。</w:t>
            </w:r>
            <w:r>
              <w:rPr>
                <w:rFonts w:hint="eastAsia" w:ascii="宋体" w:hAnsi="宋体"/>
                <w:color w:val="auto"/>
                <w:kern w:val="0"/>
              </w:rPr>
              <w:t>经过两级破碎后的原料经皮带输送至振动筛分机</w:t>
            </w:r>
            <w:r>
              <w:rPr>
                <w:rFonts w:hint="eastAsia" w:ascii="宋体" w:hAnsi="宋体"/>
                <w:color w:val="auto"/>
                <w:kern w:val="0"/>
                <w:lang w:eastAsia="zh-CN"/>
              </w:rPr>
              <w:t>，</w:t>
            </w:r>
            <w:r>
              <w:rPr>
                <w:rFonts w:hint="eastAsia" w:ascii="宋体" w:hAnsi="宋体"/>
                <w:color w:val="auto"/>
                <w:kern w:val="0"/>
                <w:lang w:val="en-US" w:eastAsia="zh-CN"/>
              </w:rPr>
              <w:t>进行第一次振动筛分</w:t>
            </w:r>
            <w:r>
              <w:rPr>
                <w:rFonts w:hint="eastAsia" w:ascii="宋体" w:hAnsi="宋体"/>
                <w:color w:val="auto"/>
                <w:kern w:val="0"/>
              </w:rPr>
              <w:t>。</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eastAsia="宋体"/>
                <w:color w:val="auto"/>
                <w:kern w:val="0"/>
                <w:lang w:val="en-US" w:eastAsia="zh-CN"/>
              </w:rPr>
            </w:pPr>
            <w:r>
              <w:rPr>
                <w:rFonts w:hint="eastAsia" w:ascii="宋体" w:hAnsi="宋体"/>
                <w:color w:val="auto"/>
                <w:kern w:val="0"/>
                <w:lang w:val="en-US" w:eastAsia="zh-CN"/>
              </w:rPr>
              <w:t>第一次振动筛分会配备冲水设施，对物料进行冲洗。第一次筛分主要是为了筛选出不符合粒径要求的物料（＞31.5mm），经皮带返回至反击破再次破碎加工。符合粒径要求的物料（≤31.5mm）则经皮带输送至立轴冲击式制砂机加工。冲洗产生的含泥废水和砂则经沟渠收集至轮斗式洗砂机。</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eastAsia="宋体"/>
                <w:color w:val="auto"/>
                <w:kern w:val="0"/>
                <w:lang w:val="en-US" w:eastAsia="zh-CN"/>
              </w:rPr>
            </w:pPr>
            <w:r>
              <w:rPr>
                <w:rFonts w:hint="eastAsia" w:ascii="宋体" w:hAnsi="宋体"/>
                <w:color w:val="auto"/>
                <w:kern w:val="0"/>
                <w:lang w:val="en-US" w:eastAsia="zh-CN"/>
              </w:rPr>
              <w:t>⑤制砂及第二次振动筛分</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eastAsia="宋体"/>
                <w:color w:val="auto"/>
                <w:kern w:val="0"/>
                <w:lang w:val="en-US" w:eastAsia="zh-CN"/>
              </w:rPr>
            </w:pPr>
            <w:r>
              <w:rPr>
                <w:rFonts w:hint="eastAsia" w:ascii="宋体" w:hAnsi="宋体"/>
                <w:color w:val="auto"/>
                <w:kern w:val="0"/>
                <w:lang w:val="en-US" w:eastAsia="zh-CN"/>
              </w:rPr>
              <w:t>本项目采用立轴冲击式制砂机，设备集成度高，制砂运行过程为密闭状态，制砂产品合格率高。制砂机也像颚破、反击破环节那样配备有喷雾装置，尽可能避免产生粉尘</w:t>
            </w:r>
            <w:r>
              <w:rPr>
                <w:rFonts w:hint="eastAsia" w:ascii="Times New Roman" w:hAnsi="Times New Roman" w:cs="Times New Roman"/>
                <w:color w:val="auto"/>
                <w:kern w:val="0"/>
                <w:lang w:val="en-US" w:eastAsia="zh-CN"/>
              </w:rPr>
              <w:t>。</w:t>
            </w:r>
            <w:r>
              <w:rPr>
                <w:rFonts w:hint="eastAsia" w:ascii="宋体" w:hAnsi="宋体"/>
                <w:color w:val="auto"/>
                <w:kern w:val="0"/>
                <w:lang w:val="en-US" w:eastAsia="zh-CN"/>
              </w:rPr>
              <w:t>制砂完成的物料经皮带输送至振动筛进行二次振动筛分。</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eastAsia" w:ascii="宋体" w:hAnsi="宋体"/>
                <w:color w:val="auto"/>
                <w:kern w:val="0"/>
              </w:rPr>
            </w:pPr>
            <w:r>
              <w:rPr>
                <w:rFonts w:hint="eastAsia" w:ascii="宋体" w:hAnsi="宋体"/>
                <w:color w:val="auto"/>
                <w:kern w:val="0"/>
                <w:lang w:val="en-US" w:eastAsia="zh-CN"/>
              </w:rPr>
              <w:t>第二次振动筛分也会配备冲水设施，对物料进行冲洗。第二次筛分会筛选出产品，其中</w:t>
            </w:r>
            <w:r>
              <w:rPr>
                <w:rFonts w:hint="default" w:ascii="Times New Roman" w:hAnsi="Times New Roman" w:cs="Times New Roman"/>
                <w:color w:val="auto"/>
                <w:kern w:val="0"/>
                <w:lang w:val="en-US" w:eastAsia="zh-CN"/>
              </w:rPr>
              <w:t>4.75~31.5mm</w:t>
            </w:r>
            <w:r>
              <w:rPr>
                <w:rFonts w:hint="eastAsia" w:ascii="Times New Roman" w:hAnsi="Times New Roman" w:cs="Times New Roman"/>
                <w:color w:val="auto"/>
                <w:kern w:val="0"/>
                <w:lang w:val="en-US" w:eastAsia="zh-CN"/>
              </w:rPr>
              <w:t>的碎石、米石产品直接经输送带送至产品库储存。＜4.75mm的砂和含泥废水</w:t>
            </w:r>
            <w:r>
              <w:rPr>
                <w:rFonts w:hint="eastAsia" w:ascii="宋体" w:hAnsi="宋体"/>
                <w:color w:val="auto"/>
                <w:kern w:val="0"/>
                <w:lang w:val="en-US" w:eastAsia="zh-CN"/>
              </w:rPr>
              <w:t>则经沟渠收集至轮斗式洗砂机。</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eastAsia="宋体"/>
                <w:color w:val="auto"/>
                <w:kern w:val="0"/>
                <w:lang w:val="en-US" w:eastAsia="zh-CN"/>
              </w:rPr>
            </w:pPr>
            <w:r>
              <w:rPr>
                <w:rFonts w:hint="eastAsia" w:ascii="宋体" w:hAnsi="宋体"/>
                <w:color w:val="auto"/>
                <w:kern w:val="0"/>
                <w:lang w:val="en-US" w:eastAsia="zh-CN"/>
              </w:rPr>
              <w:t>⑥轮斗式洗砂及尾砂回收</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lang w:val="en-US"/>
              </w:rPr>
            </w:pPr>
            <w:r>
              <w:rPr>
                <w:rFonts w:hint="eastAsia" w:ascii="宋体" w:hAnsi="宋体"/>
                <w:color w:val="auto"/>
                <w:kern w:val="0"/>
                <w:highlight w:val="none"/>
                <w:lang w:val="en-US" w:eastAsia="zh-CN"/>
              </w:rPr>
              <w:t>轮式洗砂机经电动机、减速机的传动，驱动水槽中的叶轮不停的在水池中作圆周性转动，从而将水池中的砂在水中搅拌、翻转、淘洗并使受水物料在叶轮中脱水后排出。洗出的粗砂先进入直线脱水筛进一步脱水，然后经皮带送至产品库储存；产生的废水则进入脱水筛下方的收集槽。因从振动筛源源不断的废水进入轮斗式洗砂机下方的水槽，而叶轮洗砂过程带走的水分相对较少，水槽中的水满溢后也溢流进入脱水筛下方收集槽。收集槽内设有水泵，将废水和少量的细砂一同泵至旋流器。旋流器是采用</w:t>
            </w:r>
            <w:r>
              <w:rPr>
                <w:rFonts w:hint="default" w:ascii="Helvetica" w:hAnsi="Helvetica" w:eastAsia="Helvetica" w:cs="Helvetica"/>
                <w:i w:val="0"/>
                <w:iCs w:val="0"/>
                <w:caps w:val="0"/>
                <w:color w:val="auto"/>
                <w:spacing w:val="0"/>
                <w:sz w:val="21"/>
                <w:szCs w:val="21"/>
                <w:highlight w:val="none"/>
                <w:u w:val="none"/>
                <w:shd w:val="clear" w:fill="FFFFFF"/>
              </w:rPr>
              <w:fldChar w:fldCharType="begin"/>
            </w:r>
            <w:r>
              <w:rPr>
                <w:rFonts w:hint="default" w:ascii="Helvetica" w:hAnsi="Helvetica" w:eastAsia="Helvetica" w:cs="Helvetica"/>
                <w:i w:val="0"/>
                <w:iCs w:val="0"/>
                <w:caps w:val="0"/>
                <w:color w:val="auto"/>
                <w:spacing w:val="0"/>
                <w:sz w:val="21"/>
                <w:szCs w:val="21"/>
                <w:highlight w:val="none"/>
                <w:u w:val="none"/>
                <w:shd w:val="clear" w:fill="FFFFFF"/>
              </w:rPr>
              <w:instrText xml:space="preserve"> HYPERLINK "https://baike.baidu.com/item/%E7%A6%BB%E5%BF%83%E6%B2%89%E9%99%8D/8737004?fromModule=lemma_inlink" \t "https://baike.baidu.com/item/_blank" </w:instrText>
            </w:r>
            <w:r>
              <w:rPr>
                <w:rFonts w:hint="default" w:ascii="Helvetica" w:hAnsi="Helvetica" w:eastAsia="Helvetica" w:cs="Helvetica"/>
                <w:i w:val="0"/>
                <w:iCs w:val="0"/>
                <w:caps w:val="0"/>
                <w:color w:val="auto"/>
                <w:spacing w:val="0"/>
                <w:sz w:val="21"/>
                <w:szCs w:val="21"/>
                <w:highlight w:val="none"/>
                <w:u w:val="none"/>
                <w:shd w:val="clear" w:fill="FFFFFF"/>
              </w:rPr>
              <w:fldChar w:fldCharType="separate"/>
            </w:r>
            <w:r>
              <w:rPr>
                <w:rFonts w:hint="default" w:ascii="Helvetica" w:hAnsi="Helvetica" w:eastAsia="Helvetica" w:cs="Helvetica"/>
                <w:i w:val="0"/>
                <w:iCs w:val="0"/>
                <w:caps w:val="0"/>
                <w:color w:val="auto"/>
                <w:spacing w:val="0"/>
                <w:sz w:val="21"/>
                <w:szCs w:val="21"/>
                <w:highlight w:val="none"/>
                <w:u w:val="none"/>
                <w:shd w:val="clear" w:fill="FFFFFF"/>
              </w:rPr>
              <w:t>离心沉降</w:t>
            </w:r>
            <w:r>
              <w:rPr>
                <w:rFonts w:hint="default" w:ascii="Helvetica" w:hAnsi="Helvetica" w:eastAsia="Helvetica" w:cs="Helvetica"/>
                <w:i w:val="0"/>
                <w:iCs w:val="0"/>
                <w:caps w:val="0"/>
                <w:color w:val="auto"/>
                <w:spacing w:val="0"/>
                <w:sz w:val="21"/>
                <w:szCs w:val="21"/>
                <w:highlight w:val="none"/>
                <w:u w:val="none"/>
                <w:shd w:val="clear" w:fill="FFFFFF"/>
              </w:rPr>
              <w:fldChar w:fldCharType="end"/>
            </w:r>
            <w:r>
              <w:rPr>
                <w:rFonts w:hint="default" w:ascii="Helvetica" w:hAnsi="Helvetica" w:eastAsia="Helvetica" w:cs="Helvetica"/>
                <w:i w:val="0"/>
                <w:iCs w:val="0"/>
                <w:caps w:val="0"/>
                <w:color w:val="auto"/>
                <w:spacing w:val="0"/>
                <w:sz w:val="21"/>
                <w:szCs w:val="21"/>
                <w:highlight w:val="none"/>
                <w:shd w:val="clear" w:fill="FFFFFF"/>
              </w:rPr>
              <w:t>原理</w:t>
            </w:r>
            <w:r>
              <w:rPr>
                <w:rFonts w:hint="eastAsia" w:ascii="Helvetica" w:hAnsi="Helvetica" w:eastAsia="宋体" w:cs="Helvetica"/>
                <w:i w:val="0"/>
                <w:iCs w:val="0"/>
                <w:caps w:val="0"/>
                <w:color w:val="auto"/>
                <w:spacing w:val="0"/>
                <w:sz w:val="21"/>
                <w:szCs w:val="21"/>
                <w:highlight w:val="none"/>
                <w:shd w:val="clear" w:fill="FFFFFF"/>
                <w:lang w:val="en-US" w:eastAsia="zh-CN"/>
              </w:rPr>
              <w:t>工作</w:t>
            </w:r>
            <w:r>
              <w:rPr>
                <w:rFonts w:hint="eastAsia" w:ascii="Helvetica" w:hAnsi="Helvetica" w:cs="Helvetica"/>
                <w:i w:val="0"/>
                <w:iCs w:val="0"/>
                <w:caps w:val="0"/>
                <w:color w:val="auto"/>
                <w:spacing w:val="0"/>
                <w:sz w:val="21"/>
                <w:szCs w:val="21"/>
                <w:highlight w:val="none"/>
                <w:shd w:val="clear" w:fill="FFFFFF"/>
                <w:lang w:val="en-US" w:eastAsia="zh-CN"/>
              </w:rPr>
              <w:t>，</w:t>
            </w:r>
            <w:r>
              <w:rPr>
                <w:rFonts w:hint="default" w:ascii="Helvetica" w:hAnsi="Helvetica" w:eastAsia="Helvetica" w:cs="Helvetica"/>
                <w:i w:val="0"/>
                <w:iCs w:val="0"/>
                <w:caps w:val="0"/>
                <w:color w:val="auto"/>
                <w:spacing w:val="0"/>
                <w:sz w:val="21"/>
                <w:szCs w:val="21"/>
                <w:highlight w:val="none"/>
                <w:shd w:val="clear" w:fill="FFFFFF"/>
              </w:rPr>
              <w:t>当待分离的两相混合液以一定压力从旋流器周边切向进入旋流器内后，产生强烈的三维椭圆</w:t>
            </w:r>
            <w:r>
              <w:rPr>
                <w:rFonts w:hint="eastAsia" w:ascii="Helvetica" w:hAnsi="Helvetica" w:eastAsia="宋体" w:cs="Helvetica"/>
                <w:i w:val="0"/>
                <w:iCs w:val="0"/>
                <w:caps w:val="0"/>
                <w:color w:val="auto"/>
                <w:spacing w:val="0"/>
                <w:sz w:val="21"/>
                <w:szCs w:val="21"/>
                <w:highlight w:val="none"/>
                <w:shd w:val="clear" w:fill="FFFFFF"/>
                <w:lang w:val="en-US" w:eastAsia="zh-CN"/>
              </w:rPr>
              <w:t>形</w:t>
            </w:r>
            <w:r>
              <w:rPr>
                <w:rFonts w:hint="default" w:ascii="Helvetica" w:hAnsi="Helvetica" w:eastAsia="Helvetica" w:cs="Helvetica"/>
                <w:i w:val="0"/>
                <w:iCs w:val="0"/>
                <w:caps w:val="0"/>
                <w:color w:val="auto"/>
                <w:spacing w:val="0"/>
                <w:sz w:val="21"/>
                <w:szCs w:val="21"/>
                <w:highlight w:val="none"/>
                <w:shd w:val="clear" w:fill="FFFFFF"/>
              </w:rPr>
              <w:t>强旋转剪切湍流运动。由于粗颗粒与细颗粒之间存在粒度差，其受到离心力、向心浮力、流体曳力等大小不同，受离心沉降作用，大部分粗颗粒经旋流器底流口排出，而大部分细颗粒由溢流管排出，从而达到分离分级目的。</w:t>
            </w:r>
            <w:r>
              <w:rPr>
                <w:rFonts w:hint="eastAsia" w:ascii="Helvetica" w:hAnsi="Helvetica" w:eastAsia="宋体" w:cs="Helvetica"/>
                <w:i w:val="0"/>
                <w:iCs w:val="0"/>
                <w:caps w:val="0"/>
                <w:color w:val="auto"/>
                <w:spacing w:val="0"/>
                <w:sz w:val="21"/>
                <w:szCs w:val="21"/>
                <w:highlight w:val="none"/>
                <w:shd w:val="clear" w:fill="FFFFFF"/>
                <w:lang w:val="en-US" w:eastAsia="zh-CN"/>
              </w:rPr>
              <w:t>废水中的细砂从底流口排出经皮带</w:t>
            </w:r>
            <w:r>
              <w:rPr>
                <w:rFonts w:hint="eastAsia" w:ascii="Helvetica" w:hAnsi="Helvetica" w:cs="Helvetica"/>
                <w:i w:val="0"/>
                <w:iCs w:val="0"/>
                <w:caps w:val="0"/>
                <w:color w:val="auto"/>
                <w:spacing w:val="0"/>
                <w:sz w:val="21"/>
                <w:szCs w:val="21"/>
                <w:highlight w:val="none"/>
                <w:shd w:val="clear" w:fill="FFFFFF"/>
                <w:lang w:val="en-US" w:eastAsia="zh-CN"/>
              </w:rPr>
              <w:t>进入产品库，含泥废水则进入污水池，最终进入废水处理系统处理后回用</w:t>
            </w:r>
            <w:r>
              <w:rPr>
                <w:rFonts w:hint="eastAsia" w:ascii="Helvetica" w:hAnsi="Helvetica" w:eastAsia="宋体" w:cs="Helvetica"/>
                <w:i w:val="0"/>
                <w:iCs w:val="0"/>
                <w:caps w:val="0"/>
                <w:color w:val="auto"/>
                <w:spacing w:val="0"/>
                <w:sz w:val="21"/>
                <w:szCs w:val="21"/>
                <w:highlight w:val="none"/>
                <w:shd w:val="clear" w:fill="FFFFFF"/>
                <w:lang w:val="en-US"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ascii="宋体" w:hAnsi="宋体"/>
                <w:color w:val="auto"/>
                <w:kern w:val="0"/>
                <w:highlight w:val="none"/>
                <w:lang w:val="en-US" w:eastAsia="zh-CN"/>
              </w:rPr>
            </w:pPr>
            <w:r>
              <w:rPr>
                <w:rFonts w:hint="eastAsia" w:ascii="宋体" w:hAnsi="宋体"/>
                <w:color w:val="auto"/>
                <w:kern w:val="0"/>
                <w:highlight w:val="none"/>
                <w:lang w:val="en-US" w:eastAsia="zh-CN"/>
              </w:rPr>
              <w:t>⑦装车出售</w:t>
            </w:r>
            <w:bookmarkStart w:id="5" w:name="_GoBack"/>
            <w:bookmarkEnd w:id="5"/>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ascii="宋体" w:hAnsi="宋体"/>
                <w:color w:val="auto"/>
                <w:kern w:val="0"/>
                <w:highlight w:val="none"/>
                <w:lang w:val="en-US" w:eastAsia="zh-CN"/>
              </w:rPr>
            </w:pPr>
            <w:r>
              <w:rPr>
                <w:rFonts w:hint="eastAsia" w:ascii="宋体" w:hAnsi="宋体"/>
                <w:color w:val="auto"/>
                <w:kern w:val="0"/>
                <w:highlight w:val="none"/>
                <w:lang w:val="en-US" w:eastAsia="zh-CN"/>
              </w:rPr>
              <w:t>水洗好的成品砂石产品经皮带送至产品库，分类暂存，然后及时装车外售。本项目产品库设置有三面实体围墙的围挡，顶部设有防雨棚，各类产品的料仓设有实体挡墙分隔开。</w:t>
            </w:r>
          </w:p>
          <w:p>
            <w:pPr>
              <w:keepNext w:val="0"/>
              <w:keepLines w:val="0"/>
              <w:suppressLineNumbers w:val="0"/>
              <w:autoSpaceDE w:val="0"/>
              <w:autoSpaceDN w:val="0"/>
              <w:adjustRightInd w:val="0"/>
              <w:snapToGrid w:val="0"/>
              <w:spacing w:before="0" w:beforeAutospacing="0" w:after="0" w:afterAutospacing="0" w:line="380" w:lineRule="exact"/>
              <w:ind w:left="0" w:right="0" w:firstLine="422" w:firstLineChars="200"/>
              <w:jc w:val="left"/>
              <w:rPr>
                <w:rFonts w:hint="default" w:ascii="宋体" w:hAnsi="宋体"/>
                <w:b/>
                <w:color w:val="auto"/>
                <w:kern w:val="0"/>
              </w:rPr>
            </w:pPr>
            <w:r>
              <w:rPr>
                <w:rFonts w:hint="eastAsia" w:ascii="宋体" w:hAnsi="宋体"/>
                <w:b/>
                <w:color w:val="auto"/>
                <w:kern w:val="0"/>
              </w:rPr>
              <w:t>（3）产污环节：</w:t>
            </w:r>
          </w:p>
          <w:p>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color w:val="auto"/>
                <w:kern w:val="0"/>
              </w:rPr>
            </w:pPr>
            <w:r>
              <w:rPr>
                <w:rFonts w:hint="eastAsia" w:ascii="宋体" w:hAnsi="宋体"/>
                <w:color w:val="auto"/>
                <w:kern w:val="0"/>
              </w:rPr>
              <w:t>废气：主要为</w:t>
            </w:r>
            <w:r>
              <w:rPr>
                <w:rFonts w:hint="eastAsia" w:ascii="宋体" w:hAnsi="宋体"/>
                <w:color w:val="auto"/>
                <w:kern w:val="0"/>
                <w:lang w:val="en-US" w:eastAsia="zh-CN"/>
              </w:rPr>
              <w:t>原料卸料、铲装上料给料、颚破粉尘、中间料仓落料粉尘、反击破粉尘以及产品运输扬尘。本项目制砂、振动筛分以及产品库产品装车等环节，涉及湿法作业以及产品本身含水不易起尘等特点，生产过程不会产生粉尘；因此本次评价仅对其进行定性分析</w:t>
            </w:r>
            <w:r>
              <w:rPr>
                <w:rFonts w:hint="eastAsia" w:ascii="宋体" w:hAnsi="宋体"/>
                <w:color w:val="auto"/>
                <w:kern w:val="0"/>
              </w:rPr>
              <w:t>。</w:t>
            </w:r>
          </w:p>
          <w:p>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color w:val="auto"/>
                <w:kern w:val="0"/>
              </w:rPr>
            </w:pPr>
            <w:r>
              <w:rPr>
                <w:rFonts w:hint="eastAsia" w:ascii="宋体" w:hAnsi="宋体"/>
                <w:color w:val="auto"/>
                <w:kern w:val="0"/>
              </w:rPr>
              <w:t>废水：主要为洗砂废水、产品渗沥水、车辆冲洗废水</w:t>
            </w:r>
            <w:r>
              <w:rPr>
                <w:rFonts w:hint="eastAsia" w:ascii="宋体" w:hAnsi="宋体"/>
                <w:color w:val="auto"/>
                <w:kern w:val="0"/>
                <w:lang w:eastAsia="zh-CN"/>
              </w:rPr>
              <w:t>、</w:t>
            </w:r>
            <w:r>
              <w:rPr>
                <w:rFonts w:hint="eastAsia" w:ascii="宋体" w:hAnsi="宋体"/>
                <w:color w:val="auto"/>
                <w:kern w:val="0"/>
                <w:lang w:val="en-US" w:eastAsia="zh-CN"/>
              </w:rPr>
              <w:t>场地散水</w:t>
            </w:r>
            <w:r>
              <w:rPr>
                <w:rFonts w:hint="eastAsia" w:ascii="宋体" w:hAnsi="宋体"/>
                <w:color w:val="auto"/>
                <w:kern w:val="0"/>
              </w:rPr>
              <w:t>和生活污水。</w:t>
            </w:r>
          </w:p>
          <w:p>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ascii="宋体" w:hAnsi="宋体"/>
                <w:color w:val="auto"/>
                <w:kern w:val="0"/>
              </w:rPr>
            </w:pPr>
            <w:r>
              <w:rPr>
                <w:rFonts w:hint="eastAsia" w:ascii="宋体" w:hAnsi="宋体"/>
                <w:color w:val="auto"/>
                <w:kern w:val="0"/>
              </w:rPr>
              <w:t>噪声：主要为各类生产设备产生的噪声和运输车辆的交通噪声。</w:t>
            </w:r>
          </w:p>
          <w:p>
            <w:pPr>
              <w:keepNext w:val="0"/>
              <w:keepLines w:val="0"/>
              <w:suppressLineNumbers w:val="0"/>
              <w:spacing w:before="0" w:beforeAutospacing="0" w:after="0" w:afterAutospacing="0" w:line="380" w:lineRule="exact"/>
              <w:ind w:left="0" w:right="0" w:firstLine="420" w:firstLineChars="200"/>
              <w:rPr>
                <w:rFonts w:hint="default" w:ascii="宋体" w:hAnsi="宋体"/>
                <w:bCs/>
                <w:color w:val="auto"/>
                <w:szCs w:val="21"/>
              </w:rPr>
            </w:pPr>
            <w:r>
              <w:rPr>
                <w:rFonts w:hint="eastAsia" w:ascii="宋体" w:hAnsi="宋体"/>
                <w:color w:val="auto"/>
                <w:kern w:val="0"/>
              </w:rPr>
              <w:t>固体废物：主要为</w:t>
            </w:r>
            <w:r>
              <w:rPr>
                <w:rFonts w:hint="eastAsia" w:ascii="宋体" w:hAnsi="宋体"/>
                <w:color w:val="auto"/>
                <w:kern w:val="0"/>
                <w:lang w:val="en-US" w:eastAsia="zh-CN"/>
              </w:rPr>
              <w:t>振动给料分离的泥沙、</w:t>
            </w:r>
            <w:r>
              <w:rPr>
                <w:rFonts w:hint="eastAsia" w:ascii="宋体" w:hAnsi="宋体"/>
                <w:color w:val="auto"/>
                <w:kern w:val="0"/>
              </w:rPr>
              <w:t>废水池的</w:t>
            </w:r>
            <w:r>
              <w:rPr>
                <w:rFonts w:hint="eastAsia" w:ascii="宋体" w:hAnsi="宋体"/>
                <w:color w:val="auto"/>
                <w:kern w:val="0"/>
                <w:lang w:val="en-US" w:eastAsia="zh-CN"/>
              </w:rPr>
              <w:t>干化泥饼</w:t>
            </w:r>
            <w:r>
              <w:rPr>
                <w:rFonts w:hint="eastAsia" w:ascii="宋体" w:hAnsi="宋体"/>
                <w:color w:val="auto"/>
                <w:kern w:val="0"/>
              </w:rPr>
              <w:t>、</w:t>
            </w:r>
            <w:r>
              <w:rPr>
                <w:rFonts w:hint="eastAsia" w:ascii="宋体" w:hAnsi="宋体"/>
                <w:color w:val="auto"/>
                <w:kern w:val="0"/>
                <w:lang w:val="en-US" w:eastAsia="zh-CN"/>
              </w:rPr>
              <w:t>铁质废物、</w:t>
            </w:r>
            <w:r>
              <w:rPr>
                <w:rFonts w:hint="eastAsia" w:ascii="宋体" w:hAnsi="宋体"/>
                <w:color w:val="auto"/>
                <w:kern w:val="0"/>
              </w:rPr>
              <w:t>废包装袋、废机油及废机油桶、生活垃圾。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823" w:type="dxa"/>
            <w:tcBorders>
              <w:top w:val="single" w:color="auto" w:sz="4" w:space="0"/>
              <w:left w:val="single" w:color="auto" w:sz="8" w:space="0"/>
              <w:bottom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highlight w:val="yellow"/>
              </w:rPr>
            </w:pPr>
            <w:r>
              <w:rPr>
                <w:rFonts w:hint="eastAsia" w:cs="宋体"/>
                <w:bCs/>
                <w:color w:val="auto"/>
                <w:sz w:val="21"/>
                <w:szCs w:val="21"/>
                <w:highlight w:val="none"/>
              </w:rPr>
              <w:t>与项目有关的原有环境污染问题</w:t>
            </w: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260" w:lineRule="exact"/>
              <w:ind w:left="0" w:right="0"/>
              <w:jc w:val="center"/>
              <w:rPr>
                <w:rFonts w:hint="default" w:cs="宋体"/>
                <w:bCs/>
                <w:color w:val="auto"/>
                <w:sz w:val="21"/>
                <w:szCs w:val="21"/>
              </w:rPr>
            </w:pPr>
          </w:p>
          <w:p>
            <w:pPr>
              <w:keepNext w:val="0"/>
              <w:keepLines w:val="0"/>
              <w:suppressLineNumbers w:val="0"/>
              <w:adjustRightInd w:val="0"/>
              <w:snapToGrid w:val="0"/>
              <w:spacing w:before="0" w:beforeAutospacing="0" w:after="0" w:afterAutospacing="0" w:line="100" w:lineRule="exact"/>
              <w:ind w:left="0" w:right="0"/>
              <w:jc w:val="center"/>
              <w:rPr>
                <w:rFonts w:hint="default" w:cs="宋体"/>
                <w:color w:val="auto"/>
                <w:sz w:val="21"/>
                <w:szCs w:val="21"/>
              </w:rPr>
            </w:pPr>
          </w:p>
          <w:p>
            <w:pPr>
              <w:keepNext w:val="0"/>
              <w:keepLines w:val="0"/>
              <w:suppressLineNumbers w:val="0"/>
              <w:adjustRightInd w:val="0"/>
              <w:snapToGrid w:val="0"/>
              <w:spacing w:before="0" w:beforeAutospacing="0" w:after="0" w:afterAutospacing="0" w:line="100" w:lineRule="exact"/>
              <w:ind w:left="0" w:right="0"/>
              <w:jc w:val="center"/>
              <w:rPr>
                <w:rFonts w:hint="default" w:cs="宋体"/>
                <w:color w:val="auto"/>
                <w:sz w:val="21"/>
                <w:szCs w:val="21"/>
              </w:rPr>
            </w:pPr>
          </w:p>
          <w:p>
            <w:pPr>
              <w:keepNext w:val="0"/>
              <w:keepLines w:val="0"/>
              <w:suppressLineNumbers w:val="0"/>
              <w:adjustRightInd w:val="0"/>
              <w:snapToGrid w:val="0"/>
              <w:spacing w:before="0" w:beforeAutospacing="0" w:after="0" w:afterAutospacing="0" w:line="100" w:lineRule="exact"/>
              <w:ind w:left="0" w:right="0"/>
              <w:jc w:val="center"/>
              <w:rPr>
                <w:rFonts w:hint="default" w:cs="宋体"/>
                <w:color w:val="auto"/>
                <w:sz w:val="21"/>
                <w:szCs w:val="21"/>
              </w:rPr>
            </w:pPr>
          </w:p>
          <w:p>
            <w:pPr>
              <w:keepNext w:val="0"/>
              <w:keepLines w:val="0"/>
              <w:suppressLineNumbers w:val="0"/>
              <w:adjustRightInd w:val="0"/>
              <w:snapToGrid w:val="0"/>
              <w:spacing w:before="0" w:beforeAutospacing="0" w:after="0" w:afterAutospacing="0" w:line="100" w:lineRule="exact"/>
              <w:ind w:left="0" w:right="0"/>
              <w:jc w:val="center"/>
              <w:rPr>
                <w:rFonts w:hint="default" w:cs="宋体"/>
                <w:color w:val="auto"/>
                <w:sz w:val="21"/>
                <w:szCs w:val="21"/>
              </w:rPr>
            </w:pPr>
          </w:p>
          <w:p>
            <w:pPr>
              <w:keepNext w:val="0"/>
              <w:keepLines w:val="0"/>
              <w:suppressLineNumbers w:val="0"/>
              <w:adjustRightInd w:val="0"/>
              <w:snapToGrid w:val="0"/>
              <w:spacing w:before="0" w:beforeAutospacing="0" w:after="0" w:afterAutospacing="0" w:line="100" w:lineRule="exact"/>
              <w:ind w:left="0" w:right="0"/>
              <w:jc w:val="center"/>
              <w:rPr>
                <w:rFonts w:hint="default" w:cs="宋体"/>
                <w:color w:val="auto"/>
                <w:sz w:val="21"/>
                <w:szCs w:val="21"/>
              </w:rPr>
            </w:pPr>
          </w:p>
          <w:p>
            <w:pPr>
              <w:keepNext w:val="0"/>
              <w:keepLines w:val="0"/>
              <w:suppressLineNumbers w:val="0"/>
              <w:adjustRightInd w:val="0"/>
              <w:snapToGrid w:val="0"/>
              <w:spacing w:before="0" w:beforeAutospacing="0" w:after="0" w:afterAutospacing="0" w:line="100" w:lineRule="exact"/>
              <w:ind w:left="0" w:right="0"/>
              <w:jc w:val="center"/>
              <w:rPr>
                <w:rFonts w:hint="default" w:cs="宋体"/>
                <w:color w:val="auto"/>
                <w:sz w:val="21"/>
                <w:szCs w:val="21"/>
              </w:rPr>
            </w:pPr>
          </w:p>
          <w:p>
            <w:pPr>
              <w:keepNext w:val="0"/>
              <w:keepLines w:val="0"/>
              <w:suppressLineNumbers w:val="0"/>
              <w:adjustRightInd w:val="0"/>
              <w:snapToGrid w:val="0"/>
              <w:spacing w:before="0" w:beforeAutospacing="0" w:after="0" w:afterAutospacing="0" w:line="100" w:lineRule="exact"/>
              <w:ind w:left="0" w:right="0"/>
              <w:jc w:val="center"/>
              <w:rPr>
                <w:rFonts w:hint="default" w:cs="宋体"/>
                <w:color w:val="auto"/>
                <w:sz w:val="21"/>
                <w:szCs w:val="21"/>
              </w:rPr>
            </w:pPr>
          </w:p>
          <w:p>
            <w:pPr>
              <w:keepNext w:val="0"/>
              <w:keepLines w:val="0"/>
              <w:suppressLineNumbers w:val="0"/>
              <w:adjustRightInd w:val="0"/>
              <w:snapToGrid w:val="0"/>
              <w:spacing w:before="0" w:beforeAutospacing="0" w:after="0" w:afterAutospacing="0" w:line="100" w:lineRule="exact"/>
              <w:ind w:left="0" w:right="0"/>
              <w:jc w:val="center"/>
              <w:rPr>
                <w:rFonts w:hint="default" w:cs="宋体"/>
                <w:color w:val="auto"/>
                <w:sz w:val="21"/>
                <w:szCs w:val="21"/>
              </w:rPr>
            </w:pPr>
          </w:p>
          <w:p>
            <w:pPr>
              <w:keepNext w:val="0"/>
              <w:keepLines w:val="0"/>
              <w:suppressLineNumbers w:val="0"/>
              <w:adjustRightInd w:val="0"/>
              <w:snapToGrid w:val="0"/>
              <w:spacing w:before="0" w:beforeAutospacing="0" w:after="0" w:afterAutospacing="0" w:line="100" w:lineRule="exact"/>
              <w:ind w:left="0" w:right="0"/>
              <w:jc w:val="center"/>
              <w:rPr>
                <w:rFonts w:hint="default" w:cs="宋体"/>
                <w:color w:val="auto"/>
                <w:sz w:val="21"/>
                <w:szCs w:val="21"/>
              </w:rPr>
            </w:pPr>
          </w:p>
          <w:p>
            <w:pPr>
              <w:keepNext w:val="0"/>
              <w:keepLines w:val="0"/>
              <w:suppressLineNumbers w:val="0"/>
              <w:adjustRightInd w:val="0"/>
              <w:snapToGrid w:val="0"/>
              <w:spacing w:before="0" w:beforeAutospacing="0" w:after="0" w:afterAutospacing="0" w:line="100" w:lineRule="exact"/>
              <w:ind w:left="0" w:right="0"/>
              <w:jc w:val="center"/>
              <w:rPr>
                <w:rFonts w:hint="default" w:cs="宋体"/>
                <w:color w:val="auto"/>
                <w:sz w:val="21"/>
                <w:szCs w:val="21"/>
              </w:rPr>
            </w:pPr>
          </w:p>
        </w:tc>
        <w:tc>
          <w:tcPr>
            <w:tcW w:w="8036" w:type="dxa"/>
            <w:tcBorders>
              <w:top w:val="single" w:color="auto" w:sz="4" w:space="0"/>
              <w:left w:val="single" w:color="auto" w:sz="4" w:space="0"/>
              <w:bottom w:val="single" w:color="auto" w:sz="8" w:space="0"/>
              <w:right w:val="single" w:color="auto" w:sz="8" w:space="0"/>
            </w:tcBorders>
          </w:tcPr>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宋体"/>
                <w:color w:val="auto"/>
                <w:kern w:val="0"/>
                <w:szCs w:val="21"/>
                <w:lang w:val="en-US" w:eastAsia="zh-CN"/>
              </w:rPr>
            </w:pPr>
            <w:r>
              <w:rPr>
                <w:rFonts w:hint="default" w:cs="宋体"/>
                <w:color w:val="auto"/>
                <w:kern w:val="0"/>
                <w:szCs w:val="21"/>
              </w:rPr>
              <w:t>本项目为</w:t>
            </w:r>
            <w:r>
              <w:rPr>
                <w:rFonts w:hint="eastAsia" w:cs="宋体"/>
                <w:color w:val="auto"/>
                <w:kern w:val="0"/>
                <w:szCs w:val="21"/>
                <w:lang w:val="en-US" w:eastAsia="zh-CN"/>
              </w:rPr>
              <w:t>新建</w:t>
            </w:r>
            <w:r>
              <w:rPr>
                <w:rFonts w:hint="default" w:cs="宋体"/>
                <w:color w:val="auto"/>
                <w:kern w:val="0"/>
                <w:szCs w:val="21"/>
              </w:rPr>
              <w:t>项目，</w:t>
            </w:r>
            <w:r>
              <w:rPr>
                <w:rFonts w:hint="eastAsia" w:cs="宋体"/>
                <w:color w:val="auto"/>
                <w:kern w:val="0"/>
                <w:szCs w:val="21"/>
                <w:lang w:val="en-US" w:eastAsia="zh-CN"/>
              </w:rPr>
              <w:t>不存在与本项目有关的原有环境污染问题。</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eastAsia"/>
                <w:color w:val="auto"/>
                <w:lang w:val="en-US" w:eastAsia="zh-CN"/>
              </w:rPr>
            </w:pPr>
            <w:r>
              <w:rPr>
                <w:rFonts w:hint="eastAsia" w:cs="宋体"/>
                <w:color w:val="auto"/>
                <w:kern w:val="0"/>
                <w:szCs w:val="21"/>
                <w:lang w:val="en-US" w:eastAsia="zh-CN"/>
              </w:rPr>
              <w:t>根据环评调查，本项目占地原为大竹县生财页岩砖厂用地范围。在本次环评工作开展时，原有砖厂</w:t>
            </w:r>
            <w:r>
              <w:rPr>
                <w:rFonts w:hint="eastAsia"/>
                <w:color w:val="auto"/>
                <w:lang w:val="en-US" w:eastAsia="zh-CN"/>
              </w:rPr>
              <w:t>已于2023年停产。根据环评调查，目前原烧结砖生产线的设施设备已全面拆除，施工现场正进入场地清理、平整阶段。原项目涉及使用各类生产设备已在2023年停产后，悉数拆除并外售至废旧设备回收企业。废机油暂存间的废机油已于2023年外委有资质的单位全部收集处置。因此，从现场看原项目目前不存在遗留的环境问题。</w:t>
            </w:r>
          </w:p>
          <w:p>
            <w:pPr>
              <w:pStyle w:val="10"/>
              <w:keepNext w:val="0"/>
              <w:keepLines w:val="0"/>
              <w:suppressLineNumbers w:val="0"/>
              <w:bidi w:val="0"/>
              <w:spacing w:before="0" w:beforeAutospacing="0" w:after="0" w:afterAutospacing="0"/>
              <w:ind w:right="0"/>
              <w:rPr>
                <w:rFonts w:hint="eastAsia"/>
                <w:color w:val="auto"/>
                <w:lang w:val="en-US" w:eastAsia="zh-CN"/>
              </w:rPr>
            </w:pPr>
            <w:r>
              <w:rPr>
                <w:rFonts w:hint="eastAsia"/>
                <w:color w:val="auto"/>
                <w:lang w:val="en-US" w:eastAsia="zh-CN"/>
              </w:rPr>
              <w:t>本项目砂石水洗加工生产线建成后，营运期排放的废气污染物为颗粒物，排放量约15.97t/a。同时，项目占地内原有烧结砖厂停止经营后，预计</w:t>
            </w:r>
            <w:r>
              <w:rPr>
                <w:rFonts w:hint="default" w:ascii="Times New Roman" w:hAnsi="Times New Roman" w:eastAsia="宋体" w:cs="Times New Roman"/>
                <w:color w:val="auto"/>
                <w:kern w:val="2"/>
                <w:sz w:val="21"/>
                <w:szCs w:val="21"/>
                <w:lang w:val="en-US" w:eastAsia="zh-CN" w:bidi="ar"/>
              </w:rPr>
              <w:t>SO</w:t>
            </w:r>
            <w:r>
              <w:rPr>
                <w:rFonts w:hint="default" w:ascii="Times New Roman" w:hAnsi="Times New Roman" w:eastAsia="宋体" w:cs="Times New Roman"/>
                <w:color w:val="auto"/>
                <w:kern w:val="2"/>
                <w:sz w:val="21"/>
                <w:szCs w:val="21"/>
                <w:vertAlign w:val="subscript"/>
                <w:lang w:val="en-US" w:eastAsia="zh-CN" w:bidi="ar"/>
              </w:rPr>
              <w:t>2</w:t>
            </w:r>
            <w:r>
              <w:rPr>
                <w:rFonts w:hint="eastAsia"/>
                <w:color w:val="auto"/>
                <w:sz w:val="21"/>
                <w:szCs w:val="21"/>
                <w:lang w:val="en-US" w:eastAsia="zh-CN"/>
              </w:rPr>
              <w:t>排放量可减少32.03t/a、</w:t>
            </w: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x</w:t>
            </w:r>
            <w:r>
              <w:rPr>
                <w:rFonts w:hint="eastAsia"/>
                <w:color w:val="auto"/>
                <w:sz w:val="21"/>
                <w:szCs w:val="21"/>
                <w:lang w:val="en-US" w:eastAsia="zh-CN"/>
              </w:rPr>
              <w:t>排放量减少21.35t/a；其中</w:t>
            </w: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x</w:t>
            </w:r>
            <w:r>
              <w:rPr>
                <w:rFonts w:hint="eastAsia" w:ascii="Times New Roman" w:hAnsi="Times New Roman" w:eastAsia="宋体" w:cs="Times New Roman"/>
                <w:color w:val="auto"/>
                <w:kern w:val="2"/>
                <w:sz w:val="21"/>
                <w:szCs w:val="21"/>
                <w:vertAlign w:val="baseline"/>
                <w:lang w:val="en-US" w:eastAsia="zh-CN" w:bidi="ar"/>
              </w:rPr>
              <w:t>属于国家现行大气总量控制指标，</w:t>
            </w:r>
            <w:r>
              <w:rPr>
                <w:rFonts w:hint="default" w:ascii="Times New Roman" w:hAnsi="Times New Roman" w:eastAsia="宋体" w:cs="Times New Roman"/>
                <w:color w:val="auto"/>
                <w:kern w:val="2"/>
                <w:sz w:val="21"/>
                <w:szCs w:val="21"/>
                <w:lang w:val="en-US" w:eastAsia="zh-CN" w:bidi="ar"/>
              </w:rPr>
              <w:t>SO</w:t>
            </w:r>
            <w:r>
              <w:rPr>
                <w:rFonts w:hint="default" w:ascii="Times New Roman" w:hAnsi="Times New Roman" w:eastAsia="宋体" w:cs="Times New Roman"/>
                <w:color w:val="auto"/>
                <w:kern w:val="2"/>
                <w:sz w:val="21"/>
                <w:szCs w:val="21"/>
                <w:vertAlign w:val="subscript"/>
                <w:lang w:val="en-US" w:eastAsia="zh-CN" w:bidi="ar"/>
              </w:rPr>
              <w:t>2</w:t>
            </w:r>
            <w:r>
              <w:rPr>
                <w:rFonts w:hint="eastAsia" w:ascii="Times New Roman" w:hAnsi="Times New Roman" w:eastAsia="宋体" w:cs="Times New Roman"/>
                <w:color w:val="auto"/>
                <w:kern w:val="2"/>
                <w:sz w:val="21"/>
                <w:szCs w:val="21"/>
                <w:vertAlign w:val="baseline"/>
                <w:lang w:val="en-US" w:eastAsia="zh-CN" w:bidi="ar"/>
              </w:rPr>
              <w:t>属于国家</w:t>
            </w:r>
            <w:r>
              <w:rPr>
                <w:rFonts w:hint="eastAsia" w:cs="Times New Roman"/>
                <w:color w:val="auto"/>
                <w:kern w:val="2"/>
                <w:sz w:val="21"/>
                <w:szCs w:val="21"/>
                <w:vertAlign w:val="baseline"/>
                <w:lang w:val="en-US" w:eastAsia="zh-CN" w:bidi="ar"/>
              </w:rPr>
              <w:t>“十三五”</w:t>
            </w:r>
            <w:r>
              <w:rPr>
                <w:rFonts w:hint="eastAsia" w:ascii="Times New Roman" w:hAnsi="Times New Roman" w:eastAsia="宋体" w:cs="Times New Roman"/>
                <w:color w:val="auto"/>
                <w:kern w:val="2"/>
                <w:sz w:val="21"/>
                <w:szCs w:val="21"/>
                <w:vertAlign w:val="baseline"/>
                <w:lang w:val="en-US" w:eastAsia="zh-CN" w:bidi="ar"/>
              </w:rPr>
              <w:t>的大气总量控制指标之一。</w:t>
            </w:r>
            <w:r>
              <w:rPr>
                <w:rFonts w:hint="default" w:ascii="Times New Roman" w:hAnsi="Times New Roman" w:eastAsia="宋体" w:cs="Times New Roman"/>
                <w:color w:val="auto"/>
                <w:kern w:val="2"/>
                <w:sz w:val="21"/>
                <w:szCs w:val="21"/>
                <w:lang w:val="en-US" w:eastAsia="zh-CN" w:bidi="ar"/>
              </w:rPr>
              <w:t>SO</w:t>
            </w:r>
            <w:r>
              <w:rPr>
                <w:rFonts w:hint="default" w:ascii="Times New Roman" w:hAnsi="Times New Roman" w:eastAsia="宋体" w:cs="Times New Roman"/>
                <w:color w:val="auto"/>
                <w:kern w:val="2"/>
                <w:sz w:val="21"/>
                <w:szCs w:val="21"/>
                <w:vertAlign w:val="subscript"/>
                <w:lang w:val="en-US" w:eastAsia="zh-CN" w:bidi="ar"/>
              </w:rPr>
              <w:t>2</w:t>
            </w:r>
            <w:r>
              <w:rPr>
                <w:rFonts w:hint="eastAsia"/>
                <w:color w:val="auto"/>
                <w:sz w:val="21"/>
                <w:szCs w:val="21"/>
                <w:lang w:val="en-US" w:eastAsia="zh-CN"/>
              </w:rPr>
              <w:t>和</w:t>
            </w: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x</w:t>
            </w:r>
            <w:r>
              <w:rPr>
                <w:rFonts w:hint="eastAsia"/>
                <w:color w:val="auto"/>
                <w:sz w:val="21"/>
                <w:szCs w:val="21"/>
                <w:lang w:val="en-US" w:eastAsia="zh-CN"/>
              </w:rPr>
              <w:t>污染物是导致酸雨和光化学烟雾等环境问题的主要源头，不仅能导致酸雨、雾霾等环境问题，还会引发各种呼吸系统疾病，对区域大气环境和人类身体健康都有极大的危害。项目占地内原有烧结砖厂项目不再排放</w:t>
            </w:r>
            <w:r>
              <w:rPr>
                <w:rFonts w:hint="default" w:ascii="Times New Roman" w:hAnsi="Times New Roman" w:eastAsia="宋体" w:cs="Times New Roman"/>
                <w:color w:val="auto"/>
                <w:kern w:val="2"/>
                <w:sz w:val="21"/>
                <w:szCs w:val="21"/>
                <w:lang w:val="en-US" w:eastAsia="zh-CN" w:bidi="ar"/>
              </w:rPr>
              <w:t>SO</w:t>
            </w:r>
            <w:r>
              <w:rPr>
                <w:rFonts w:hint="default" w:ascii="Times New Roman" w:hAnsi="Times New Roman" w:eastAsia="宋体" w:cs="Times New Roman"/>
                <w:color w:val="auto"/>
                <w:kern w:val="2"/>
                <w:sz w:val="21"/>
                <w:szCs w:val="21"/>
                <w:vertAlign w:val="subscript"/>
                <w:lang w:val="en-US" w:eastAsia="zh-CN" w:bidi="ar"/>
              </w:rPr>
              <w:t>2</w:t>
            </w:r>
            <w:r>
              <w:rPr>
                <w:rFonts w:hint="eastAsia"/>
                <w:color w:val="auto"/>
                <w:sz w:val="21"/>
                <w:szCs w:val="21"/>
                <w:lang w:val="en-US" w:eastAsia="zh-CN"/>
              </w:rPr>
              <w:t>和</w:t>
            </w: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x</w:t>
            </w:r>
            <w:r>
              <w:rPr>
                <w:rFonts w:hint="eastAsia"/>
                <w:color w:val="auto"/>
                <w:sz w:val="21"/>
                <w:szCs w:val="21"/>
                <w:lang w:val="en-US" w:eastAsia="zh-CN"/>
              </w:rPr>
              <w:t>后，</w:t>
            </w:r>
            <w:r>
              <w:rPr>
                <w:rFonts w:hint="eastAsia"/>
                <w:color w:val="auto"/>
                <w:lang w:val="en-US" w:eastAsia="zh-CN"/>
              </w:rPr>
              <w:t>对区域大气环境质量的改善具有非常重要的意义。</w:t>
            </w: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0" w:right="0"/>
              <w:textAlignment w:val="bottom"/>
              <w:rPr>
                <w:rFonts w:hint="default"/>
                <w:color w:val="auto"/>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0" w:right="0"/>
              <w:textAlignment w:val="bottom"/>
              <w:rPr>
                <w:rFonts w:hint="default"/>
                <w:color w:val="auto"/>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0" w:right="0"/>
              <w:textAlignment w:val="bottom"/>
              <w:rPr>
                <w:rFonts w:hint="default"/>
                <w:color w:val="auto"/>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0" w:right="0"/>
              <w:textAlignment w:val="bottom"/>
              <w:rPr>
                <w:rFonts w:hint="default"/>
                <w:color w:val="auto"/>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0" w:right="0"/>
              <w:textAlignment w:val="bottom"/>
              <w:rPr>
                <w:rFonts w:hint="default"/>
                <w:color w:val="auto"/>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0" w:right="0"/>
              <w:textAlignment w:val="bottom"/>
              <w:rPr>
                <w:rFonts w:hint="default"/>
                <w:color w:val="auto"/>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0" w:right="0"/>
              <w:textAlignment w:val="bottom"/>
              <w:rPr>
                <w:rFonts w:hint="default"/>
                <w:color w:val="auto"/>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0" w:right="0"/>
              <w:textAlignment w:val="bottom"/>
              <w:rPr>
                <w:rFonts w:hint="default"/>
                <w:color w:val="auto"/>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0" w:right="0"/>
              <w:textAlignment w:val="bottom"/>
              <w:rPr>
                <w:rFonts w:hint="default"/>
                <w:color w:val="auto"/>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0" w:right="0"/>
              <w:textAlignment w:val="bottom"/>
              <w:rPr>
                <w:rFonts w:hint="default"/>
                <w:color w:val="auto"/>
              </w:rPr>
            </w:pPr>
          </w:p>
        </w:tc>
      </w:tr>
    </w:tbl>
    <w:p>
      <w:pPr>
        <w:widowControl/>
        <w:jc w:val="left"/>
        <w:rPr>
          <w:rFonts w:ascii="黑体" w:hAnsi="黑体" w:eastAsia="黑体"/>
          <w:snapToGrid w:val="0"/>
          <w:color w:val="auto"/>
          <w:kern w:val="0"/>
          <w:sz w:val="36"/>
          <w:szCs w:val="36"/>
        </w:rPr>
        <w:sectPr>
          <w:pgSz w:w="11906" w:h="16838"/>
          <w:pgMar w:top="1701" w:right="1531" w:bottom="1701" w:left="1531" w:header="851" w:footer="1077" w:gutter="0"/>
          <w:pgNumType w:fmt="numberInDash"/>
          <w:cols w:space="720" w:num="1"/>
          <w:docGrid w:linePitch="286" w:charSpace="0"/>
        </w:sectPr>
      </w:pPr>
    </w:p>
    <w:p>
      <w:pPr>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14"/>
        <w:tblW w:w="886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0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800"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区域</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质量</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现状</w:t>
            </w:r>
          </w:p>
        </w:tc>
        <w:tc>
          <w:tcPr>
            <w:tcW w:w="8062" w:type="dxa"/>
            <w:tcBorders>
              <w:top w:val="single" w:color="auto" w:sz="8"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1</w:t>
            </w:r>
            <w:r>
              <w:rPr>
                <w:rFonts w:hint="default" w:ascii="黑体" w:hAnsi="黑体" w:eastAsia="黑体" w:cs="宋体"/>
                <w:bCs/>
                <w:color w:val="auto"/>
                <w:sz w:val="22"/>
                <w:szCs w:val="22"/>
              </w:rPr>
              <w:t>、</w:t>
            </w:r>
            <w:r>
              <w:rPr>
                <w:rFonts w:hint="eastAsia" w:ascii="黑体" w:hAnsi="黑体" w:eastAsia="黑体" w:cs="宋体"/>
                <w:bCs/>
                <w:color w:val="auto"/>
                <w:sz w:val="22"/>
                <w:szCs w:val="22"/>
              </w:rPr>
              <w:t>环境空气质量现状及评价</w:t>
            </w:r>
          </w:p>
          <w:p>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6" w:firstLineChars="202"/>
              <w:textAlignment w:val="auto"/>
              <w:rPr>
                <w:rFonts w:hint="default" w:cs="宋体"/>
                <w:b/>
                <w:color w:val="auto"/>
                <w:kern w:val="0"/>
                <w:szCs w:val="21"/>
              </w:rPr>
            </w:pPr>
            <w:r>
              <w:rPr>
                <w:rFonts w:hint="eastAsia" w:cs="宋体"/>
                <w:b/>
                <w:color w:val="auto"/>
                <w:kern w:val="0"/>
                <w:szCs w:val="21"/>
              </w:rPr>
              <w:t>（1）达标区判定</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44" w:firstLineChars="200"/>
              <w:jc w:val="left"/>
              <w:textAlignment w:val="auto"/>
              <w:rPr>
                <w:rFonts w:hint="default" w:ascii="Times New Roman" w:hAnsi="Times New Roman" w:cs="Times New Roman"/>
                <w:color w:val="auto"/>
                <w:kern w:val="0"/>
                <w:sz w:val="22"/>
                <w:szCs w:val="22"/>
              </w:rPr>
            </w:pPr>
            <w:r>
              <w:rPr>
                <w:rFonts w:hint="default"/>
                <w:color w:val="auto"/>
                <w:spacing w:val="1"/>
                <w:sz w:val="22"/>
                <w:szCs w:val="22"/>
                <w:vertAlign w:val="baseline"/>
              </w:rPr>
              <w:t>根据《环境影响评价技术导则 大气环境》（</w:t>
            </w:r>
            <w:r>
              <w:rPr>
                <w:rFonts w:hint="default" w:ascii="Times New Roman" w:hAnsi="Times New Roman" w:eastAsia="Times New Roman" w:cs="Times New Roman"/>
                <w:color w:val="auto"/>
                <w:sz w:val="22"/>
                <w:szCs w:val="22"/>
                <w:vertAlign w:val="baseline"/>
              </w:rPr>
              <w:t>HJ</w:t>
            </w:r>
            <w:r>
              <w:rPr>
                <w:rFonts w:hint="default" w:ascii="Times New Roman" w:hAnsi="Times New Roman" w:eastAsia="Times New Roman" w:cs="Times New Roman"/>
                <w:color w:val="auto"/>
                <w:spacing w:val="1"/>
                <w:sz w:val="22"/>
                <w:szCs w:val="22"/>
                <w:vertAlign w:val="baseline"/>
              </w:rPr>
              <w:t>2.2-2018</w:t>
            </w:r>
            <w:r>
              <w:rPr>
                <w:rFonts w:hint="default"/>
                <w:color w:val="auto"/>
                <w:spacing w:val="13"/>
                <w:sz w:val="22"/>
                <w:szCs w:val="22"/>
                <w:vertAlign w:val="baseline"/>
              </w:rPr>
              <w:t>），</w:t>
            </w:r>
            <w:r>
              <w:rPr>
                <w:rFonts w:hint="default"/>
                <w:color w:val="auto"/>
                <w:spacing w:val="1"/>
                <w:sz w:val="22"/>
                <w:szCs w:val="22"/>
                <w:vertAlign w:val="baseline"/>
              </w:rPr>
              <w:t>空气质</w:t>
            </w:r>
            <w:r>
              <w:rPr>
                <w:rFonts w:hint="default"/>
                <w:color w:val="auto"/>
                <w:sz w:val="22"/>
                <w:szCs w:val="22"/>
                <w:vertAlign w:val="baseline"/>
              </w:rPr>
              <w:t>量达</w:t>
            </w:r>
            <w:r>
              <w:rPr>
                <w:rFonts w:hint="default"/>
                <w:color w:val="auto"/>
                <w:spacing w:val="4"/>
                <w:sz w:val="22"/>
                <w:szCs w:val="22"/>
                <w:vertAlign w:val="baseline"/>
              </w:rPr>
              <w:t>标区判定优先采用国家或地方生态环境主管部</w:t>
            </w:r>
            <w:r>
              <w:rPr>
                <w:rFonts w:hint="default"/>
                <w:color w:val="auto"/>
                <w:spacing w:val="3"/>
                <w:sz w:val="22"/>
                <w:szCs w:val="22"/>
                <w:vertAlign w:val="baseline"/>
              </w:rPr>
              <w:t>门公开发布的评价基准年环境</w:t>
            </w:r>
            <w:r>
              <w:rPr>
                <w:rFonts w:hint="default"/>
                <w:color w:val="auto"/>
                <w:spacing w:val="4"/>
                <w:sz w:val="22"/>
                <w:szCs w:val="22"/>
                <w:vertAlign w:val="baseline"/>
              </w:rPr>
              <w:t>质量公告或环境质量报告中的数据或结论，包</w:t>
            </w:r>
            <w:r>
              <w:rPr>
                <w:rFonts w:hint="default"/>
                <w:color w:val="auto"/>
                <w:spacing w:val="3"/>
                <w:sz w:val="22"/>
                <w:szCs w:val="22"/>
                <w:vertAlign w:val="baseline"/>
              </w:rPr>
              <w:t>括各评价因子的浓度、标准及</w:t>
            </w:r>
            <w:r>
              <w:rPr>
                <w:rFonts w:hint="default"/>
                <w:color w:val="auto"/>
                <w:spacing w:val="-1"/>
                <w:sz w:val="22"/>
                <w:szCs w:val="22"/>
                <w:vertAlign w:val="baseline"/>
              </w:rPr>
              <w:t>达标判定结果等。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40" w:firstLineChars="200"/>
              <w:textAlignment w:val="auto"/>
              <w:rPr>
                <w:rFonts w:hint="eastAsia" w:ascii="Times New Roman" w:hAnsi="Times New Roman" w:cs="Times New Roman"/>
                <w:color w:val="auto"/>
                <w:spacing w:val="0"/>
                <w:position w:val="0"/>
                <w:sz w:val="22"/>
                <w:szCs w:val="22"/>
                <w:vertAlign w:val="baseline"/>
                <w:lang w:val="en-US" w:eastAsia="zh-CN"/>
              </w:rPr>
            </w:pPr>
            <w:r>
              <w:rPr>
                <w:rFonts w:hint="default" w:ascii="Times New Roman" w:hAnsi="Times New Roman" w:cs="Times New Roman"/>
                <w:color w:val="auto"/>
                <w:kern w:val="0"/>
                <w:sz w:val="22"/>
                <w:szCs w:val="22"/>
              </w:rPr>
              <w:t>本项目位于</w:t>
            </w:r>
            <w:r>
              <w:rPr>
                <w:rFonts w:hint="eastAsia" w:ascii="Times New Roman" w:hAnsi="Times New Roman" w:cs="Times New Roman"/>
                <w:color w:val="auto"/>
                <w:kern w:val="0"/>
                <w:sz w:val="22"/>
                <w:szCs w:val="22"/>
                <w:lang w:val="en-US" w:eastAsia="zh-CN"/>
              </w:rPr>
              <w:t>大竹县</w:t>
            </w:r>
            <w:r>
              <w:rPr>
                <w:rFonts w:hint="eastAsia" w:cs="Times New Roman"/>
                <w:color w:val="auto"/>
                <w:kern w:val="0"/>
                <w:sz w:val="22"/>
                <w:szCs w:val="22"/>
                <w:lang w:val="en-US" w:eastAsia="zh-CN"/>
              </w:rPr>
              <w:t>莲印乡</w:t>
            </w:r>
            <w:r>
              <w:rPr>
                <w:rFonts w:hint="default" w:ascii="Times New Roman" w:hAnsi="Times New Roman" w:cs="Times New Roman"/>
                <w:color w:val="auto"/>
                <w:kern w:val="0"/>
                <w:sz w:val="22"/>
                <w:szCs w:val="22"/>
              </w:rPr>
              <w:t>。本次环境空气质量数据采用达州市生态环境局</w:t>
            </w:r>
            <w:r>
              <w:rPr>
                <w:rFonts w:hint="default"/>
                <w:color w:val="auto"/>
                <w:spacing w:val="-1"/>
                <w:sz w:val="22"/>
                <w:szCs w:val="22"/>
                <w:vertAlign w:val="baseline"/>
              </w:rPr>
              <w:t>官方网站</w:t>
            </w:r>
            <w:r>
              <w:rPr>
                <w:rFonts w:hint="default"/>
                <w:color w:val="auto"/>
                <w:spacing w:val="-50"/>
                <w:sz w:val="22"/>
                <w:szCs w:val="22"/>
                <w:vertAlign w:val="baseline"/>
              </w:rPr>
              <w:t xml:space="preserve"> </w:t>
            </w:r>
            <w:r>
              <w:rPr>
                <w:rFonts w:hint="default" w:ascii="Times New Roman" w:hAnsi="Times New Roman" w:eastAsia="Times New Roman" w:cs="Times New Roman"/>
                <w:color w:val="auto"/>
                <w:spacing w:val="-1"/>
                <w:sz w:val="22"/>
                <w:szCs w:val="22"/>
                <w:vertAlign w:val="baseline"/>
              </w:rPr>
              <w:t>202</w:t>
            </w:r>
            <w:r>
              <w:rPr>
                <w:rFonts w:hint="eastAsia" w:ascii="Times New Roman" w:hAnsi="Times New Roman" w:eastAsia="宋体" w:cs="Times New Roman"/>
                <w:color w:val="auto"/>
                <w:spacing w:val="-2"/>
                <w:sz w:val="22"/>
                <w:szCs w:val="22"/>
                <w:vertAlign w:val="baseline"/>
                <w:lang w:val="en-US" w:eastAsia="zh-CN"/>
              </w:rPr>
              <w:t>4</w:t>
            </w:r>
            <w:r>
              <w:rPr>
                <w:rFonts w:hint="default"/>
                <w:color w:val="auto"/>
                <w:spacing w:val="-2"/>
                <w:sz w:val="22"/>
                <w:szCs w:val="22"/>
                <w:vertAlign w:val="baseline"/>
              </w:rPr>
              <w:t>年</w:t>
            </w:r>
            <w:r>
              <w:rPr>
                <w:rFonts w:hint="eastAsia"/>
                <w:color w:val="auto"/>
                <w:spacing w:val="-30"/>
                <w:sz w:val="22"/>
                <w:szCs w:val="22"/>
                <w:vertAlign w:val="baseline"/>
                <w:lang w:val="en-US" w:eastAsia="zh-CN"/>
              </w:rPr>
              <w:t>1月18</w:t>
            </w:r>
            <w:r>
              <w:rPr>
                <w:rFonts w:hint="default"/>
                <w:color w:val="auto"/>
                <w:spacing w:val="-2"/>
                <w:sz w:val="22"/>
                <w:szCs w:val="22"/>
                <w:vertAlign w:val="baseline"/>
              </w:rPr>
              <w:t>日发布的</w:t>
            </w:r>
            <w:r>
              <w:rPr>
                <w:rFonts w:hint="default"/>
                <w:color w:val="auto"/>
                <w:spacing w:val="4"/>
                <w:sz w:val="22"/>
                <w:szCs w:val="22"/>
                <w:vertAlign w:val="baseline"/>
              </w:rPr>
              <w:t>《达州市</w:t>
            </w:r>
            <w:r>
              <w:rPr>
                <w:rFonts w:hint="default"/>
                <w:color w:val="auto"/>
                <w:spacing w:val="-49"/>
                <w:sz w:val="22"/>
                <w:szCs w:val="22"/>
                <w:vertAlign w:val="baseline"/>
              </w:rPr>
              <w:t xml:space="preserve"> </w:t>
            </w:r>
            <w:r>
              <w:rPr>
                <w:rFonts w:hint="default" w:ascii="Times New Roman" w:hAnsi="Times New Roman" w:eastAsia="Times New Roman" w:cs="Times New Roman"/>
                <w:color w:val="auto"/>
                <w:spacing w:val="4"/>
                <w:sz w:val="22"/>
                <w:szCs w:val="22"/>
                <w:vertAlign w:val="baseline"/>
              </w:rPr>
              <w:t>202</w:t>
            </w:r>
            <w:r>
              <w:rPr>
                <w:rFonts w:hint="eastAsia" w:ascii="Times New Roman" w:hAnsi="Times New Roman" w:eastAsia="宋体" w:cs="Times New Roman"/>
                <w:color w:val="auto"/>
                <w:spacing w:val="4"/>
                <w:sz w:val="22"/>
                <w:szCs w:val="22"/>
                <w:vertAlign w:val="baseline"/>
                <w:lang w:val="en-US" w:eastAsia="zh-CN"/>
              </w:rPr>
              <w:t>3</w:t>
            </w:r>
            <w:r>
              <w:rPr>
                <w:rFonts w:hint="default"/>
                <w:color w:val="auto"/>
                <w:spacing w:val="4"/>
                <w:sz w:val="22"/>
                <w:szCs w:val="22"/>
                <w:vertAlign w:val="baseline"/>
              </w:rPr>
              <w:t>年环境空气质量》：达州市市辖区空气质量状况——</w:t>
            </w:r>
            <w:r>
              <w:rPr>
                <w:rFonts w:hint="default" w:ascii="Times New Roman" w:hAnsi="Times New Roman" w:eastAsia="Times New Roman" w:cs="Times New Roman"/>
                <w:color w:val="auto"/>
                <w:spacing w:val="4"/>
                <w:sz w:val="22"/>
                <w:szCs w:val="22"/>
                <w:vertAlign w:val="baseline"/>
              </w:rPr>
              <w:t>202</w:t>
            </w:r>
            <w:r>
              <w:rPr>
                <w:rFonts w:hint="eastAsia" w:ascii="Times New Roman" w:hAnsi="Times New Roman" w:eastAsia="宋体" w:cs="Times New Roman"/>
                <w:color w:val="auto"/>
                <w:spacing w:val="4"/>
                <w:sz w:val="22"/>
                <w:szCs w:val="22"/>
                <w:vertAlign w:val="baseline"/>
                <w:lang w:val="en-US" w:eastAsia="zh-CN"/>
              </w:rPr>
              <w:t>3</w:t>
            </w:r>
            <w:r>
              <w:rPr>
                <w:rFonts w:hint="default"/>
                <w:color w:val="auto"/>
                <w:spacing w:val="4"/>
                <w:sz w:val="22"/>
                <w:szCs w:val="22"/>
                <w:vertAlign w:val="baseline"/>
              </w:rPr>
              <w:t>年</w:t>
            </w:r>
            <w:r>
              <w:rPr>
                <w:rFonts w:hint="default" w:ascii="Times New Roman" w:hAnsi="Times New Roman" w:eastAsia="Times New Roman" w:cs="Times New Roman"/>
                <w:color w:val="auto"/>
                <w:spacing w:val="-3"/>
                <w:sz w:val="22"/>
                <w:szCs w:val="22"/>
                <w:vertAlign w:val="baseline"/>
              </w:rPr>
              <w:t>SO</w:t>
            </w:r>
            <w:r>
              <w:rPr>
                <w:rFonts w:hint="default" w:ascii="Times New Roman" w:hAnsi="Times New Roman" w:eastAsia="Times New Roman" w:cs="Times New Roman"/>
                <w:color w:val="auto"/>
                <w:spacing w:val="-3"/>
                <w:position w:val="-1"/>
                <w:sz w:val="22"/>
                <w:szCs w:val="22"/>
                <w:vertAlign w:val="subscript"/>
              </w:rPr>
              <w:t>2</w:t>
            </w:r>
            <w:r>
              <w:rPr>
                <w:rFonts w:hint="default"/>
                <w:color w:val="auto"/>
                <w:spacing w:val="-3"/>
                <w:sz w:val="22"/>
                <w:szCs w:val="22"/>
                <w:vertAlign w:val="baseline"/>
              </w:rPr>
              <w:t>浓度达川区最高为</w:t>
            </w:r>
            <w:r>
              <w:rPr>
                <w:rFonts w:hint="default"/>
                <w:color w:val="auto"/>
                <w:spacing w:val="-46"/>
                <w:sz w:val="22"/>
                <w:szCs w:val="22"/>
                <w:vertAlign w:val="baseline"/>
              </w:rPr>
              <w:t xml:space="preserve"> </w:t>
            </w:r>
            <w:r>
              <w:rPr>
                <w:rFonts w:hint="eastAsia"/>
                <w:color w:val="auto"/>
                <w:spacing w:val="0"/>
                <w:position w:val="0"/>
                <w:sz w:val="22"/>
                <w:szCs w:val="22"/>
                <w:vertAlign w:val="baseline"/>
                <w:lang w:val="en-US" w:eastAsia="zh-CN"/>
              </w:rPr>
              <w:t>10</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eastAsia"/>
                <w:color w:val="auto"/>
                <w:spacing w:val="0"/>
                <w:position w:val="0"/>
                <w:sz w:val="22"/>
                <w:szCs w:val="22"/>
                <w:vertAlign w:val="baseline"/>
                <w:lang w:val="en-US" w:eastAsia="zh-CN"/>
              </w:rPr>
              <w:t>开江县</w:t>
            </w:r>
            <w:r>
              <w:rPr>
                <w:rFonts w:hint="default"/>
                <w:color w:val="auto"/>
                <w:spacing w:val="0"/>
                <w:position w:val="0"/>
                <w:sz w:val="22"/>
                <w:szCs w:val="22"/>
                <w:vertAlign w:val="baseline"/>
              </w:rPr>
              <w:t>最低为</w:t>
            </w:r>
            <w:r>
              <w:rPr>
                <w:rFonts w:hint="eastAsia" w:ascii="Times New Roman" w:hAnsi="Times New Roman" w:eastAsia="宋体" w:cs="Times New Roman"/>
                <w:color w:val="auto"/>
                <w:spacing w:val="0"/>
                <w:position w:val="0"/>
                <w:sz w:val="22"/>
                <w:szCs w:val="22"/>
                <w:vertAlign w:val="baseline"/>
                <w:lang w:val="en-US" w:eastAsia="zh-CN"/>
              </w:rPr>
              <w:t>4</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default" w:ascii="Times New Roman" w:hAnsi="Times New Roman" w:eastAsia="Times New Roman" w:cs="Times New Roman"/>
                <w:color w:val="auto"/>
                <w:spacing w:val="0"/>
                <w:position w:val="0"/>
                <w:sz w:val="22"/>
                <w:szCs w:val="22"/>
                <w:vertAlign w:val="baseline"/>
              </w:rPr>
              <w:t>NO</w:t>
            </w:r>
            <w:r>
              <w:rPr>
                <w:rFonts w:hint="default" w:ascii="Times New Roman" w:hAnsi="Times New Roman" w:eastAsia="Times New Roman" w:cs="Times New Roman"/>
                <w:color w:val="auto"/>
                <w:spacing w:val="0"/>
                <w:position w:val="0"/>
                <w:sz w:val="22"/>
                <w:szCs w:val="22"/>
                <w:vertAlign w:val="subscript"/>
              </w:rPr>
              <w:t>2</w:t>
            </w:r>
            <w:r>
              <w:rPr>
                <w:rFonts w:hint="default"/>
                <w:color w:val="auto"/>
                <w:spacing w:val="0"/>
                <w:position w:val="0"/>
                <w:sz w:val="22"/>
                <w:szCs w:val="22"/>
                <w:vertAlign w:val="baseline"/>
              </w:rPr>
              <w:t>浓度达川区最高为</w:t>
            </w:r>
            <w:r>
              <w:rPr>
                <w:rFonts w:hint="eastAsia"/>
                <w:color w:val="auto"/>
                <w:spacing w:val="0"/>
                <w:position w:val="0"/>
                <w:sz w:val="22"/>
                <w:szCs w:val="22"/>
                <w:vertAlign w:val="baseline"/>
                <w:lang w:val="en-US" w:eastAsia="zh-CN"/>
              </w:rPr>
              <w:t>39</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eastAsia"/>
                <w:color w:val="auto"/>
                <w:spacing w:val="0"/>
                <w:position w:val="0"/>
                <w:sz w:val="22"/>
                <w:szCs w:val="22"/>
                <w:vertAlign w:val="baseline"/>
                <w:lang w:val="en-US" w:eastAsia="zh-CN"/>
              </w:rPr>
              <w:t>宣汉县</w:t>
            </w:r>
            <w:r>
              <w:rPr>
                <w:rFonts w:hint="default"/>
                <w:color w:val="auto"/>
                <w:spacing w:val="0"/>
                <w:position w:val="0"/>
                <w:sz w:val="22"/>
                <w:szCs w:val="22"/>
                <w:vertAlign w:val="baseline"/>
              </w:rPr>
              <w:t>最低为</w:t>
            </w:r>
            <w:r>
              <w:rPr>
                <w:rFonts w:hint="eastAsia"/>
                <w:color w:val="auto"/>
                <w:spacing w:val="0"/>
                <w:position w:val="0"/>
                <w:sz w:val="22"/>
                <w:szCs w:val="22"/>
                <w:vertAlign w:val="baseline"/>
                <w:lang w:val="en-US" w:eastAsia="zh-CN"/>
              </w:rPr>
              <w:t>20</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default" w:ascii="Times New Roman" w:hAnsi="Times New Roman" w:eastAsia="Times New Roman" w:cs="Times New Roman"/>
                <w:color w:val="auto"/>
                <w:spacing w:val="0"/>
                <w:position w:val="0"/>
                <w:sz w:val="22"/>
                <w:szCs w:val="22"/>
                <w:vertAlign w:val="baseline"/>
              </w:rPr>
              <w:t>CO</w:t>
            </w:r>
            <w:r>
              <w:rPr>
                <w:rFonts w:hint="default"/>
                <w:color w:val="auto"/>
                <w:spacing w:val="0"/>
                <w:position w:val="0"/>
                <w:sz w:val="22"/>
                <w:szCs w:val="22"/>
                <w:vertAlign w:val="baseline"/>
              </w:rPr>
              <w:t>浓度通川区最高为</w:t>
            </w:r>
            <w:r>
              <w:rPr>
                <w:rFonts w:hint="eastAsia"/>
                <w:color w:val="auto"/>
                <w:spacing w:val="0"/>
                <w:position w:val="0"/>
                <w:sz w:val="22"/>
                <w:szCs w:val="22"/>
                <w:vertAlign w:val="baseline"/>
                <w:lang w:val="en-US" w:eastAsia="zh-CN"/>
              </w:rPr>
              <w:t>1.4</w:t>
            </w:r>
            <w:r>
              <w:rPr>
                <w:rFonts w:hint="default" w:ascii="Times New Roman" w:hAnsi="Times New Roman" w:eastAsia="Times New Roman" w:cs="Times New Roman"/>
                <w:color w:val="auto"/>
                <w:spacing w:val="0"/>
                <w:position w:val="0"/>
                <w:sz w:val="22"/>
                <w:szCs w:val="22"/>
                <w:vertAlign w:val="baseline"/>
              </w:rPr>
              <w:t>mg/m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eastAsia"/>
                <w:color w:val="auto"/>
                <w:spacing w:val="0"/>
                <w:position w:val="0"/>
                <w:sz w:val="22"/>
                <w:szCs w:val="22"/>
                <w:vertAlign w:val="baseline"/>
                <w:lang w:val="en-US" w:eastAsia="zh-CN"/>
              </w:rPr>
              <w:t>开江县</w:t>
            </w:r>
            <w:r>
              <w:rPr>
                <w:rFonts w:hint="default"/>
                <w:color w:val="auto"/>
                <w:spacing w:val="0"/>
                <w:position w:val="0"/>
                <w:sz w:val="22"/>
                <w:szCs w:val="22"/>
                <w:vertAlign w:val="baseline"/>
              </w:rPr>
              <w:t>最低为</w:t>
            </w:r>
            <w:r>
              <w:rPr>
                <w:rFonts w:hint="eastAsia" w:ascii="Times New Roman" w:hAnsi="Times New Roman" w:eastAsia="宋体" w:cs="Times New Roman"/>
                <w:color w:val="auto"/>
                <w:spacing w:val="0"/>
                <w:position w:val="0"/>
                <w:sz w:val="22"/>
                <w:szCs w:val="22"/>
                <w:vertAlign w:val="baseline"/>
                <w:lang w:val="en-US" w:eastAsia="zh-CN"/>
              </w:rPr>
              <w:t>0.9</w:t>
            </w:r>
            <w:r>
              <w:rPr>
                <w:rFonts w:hint="default" w:ascii="Times New Roman" w:hAnsi="Times New Roman" w:eastAsia="Times New Roman" w:cs="Times New Roman"/>
                <w:color w:val="auto"/>
                <w:spacing w:val="0"/>
                <w:position w:val="0"/>
                <w:sz w:val="22"/>
                <w:szCs w:val="22"/>
                <w:vertAlign w:val="baseline"/>
              </w:rPr>
              <w:t>mg/m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w w:val="91"/>
                <w:position w:val="0"/>
                <w:sz w:val="22"/>
                <w:szCs w:val="22"/>
                <w:vertAlign w:val="baseline"/>
              </w:rPr>
              <w:t>；</w:t>
            </w:r>
            <w:r>
              <w:rPr>
                <w:rFonts w:hint="default" w:ascii="Times New Roman" w:hAnsi="Times New Roman" w:eastAsia="Times New Roman" w:cs="Times New Roman"/>
                <w:color w:val="auto"/>
                <w:spacing w:val="0"/>
                <w:position w:val="0"/>
                <w:sz w:val="22"/>
                <w:szCs w:val="22"/>
                <w:vertAlign w:val="baseline"/>
              </w:rPr>
              <w:t>O</w:t>
            </w:r>
            <w:r>
              <w:rPr>
                <w:rFonts w:hint="eastAsia" w:ascii="Times New Roman" w:hAnsi="Times New Roman" w:cs="Times New Roman"/>
                <w:color w:val="auto"/>
                <w:spacing w:val="0"/>
                <w:position w:val="0"/>
                <w:sz w:val="22"/>
                <w:szCs w:val="22"/>
                <w:vertAlign w:val="subscript"/>
                <w:lang w:val="en-US" w:eastAsia="zh-CN"/>
              </w:rPr>
              <w:t>3</w:t>
            </w:r>
            <w:r>
              <w:rPr>
                <w:rFonts w:hint="default"/>
                <w:color w:val="auto"/>
                <w:spacing w:val="0"/>
                <w:position w:val="0"/>
                <w:sz w:val="22"/>
                <w:szCs w:val="22"/>
                <w:vertAlign w:val="baseline"/>
              </w:rPr>
              <w:t>浓度</w:t>
            </w:r>
            <w:r>
              <w:rPr>
                <w:rFonts w:hint="eastAsia"/>
                <w:color w:val="auto"/>
                <w:spacing w:val="0"/>
                <w:position w:val="0"/>
                <w:sz w:val="22"/>
                <w:szCs w:val="22"/>
                <w:vertAlign w:val="baseline"/>
                <w:lang w:val="en-US" w:eastAsia="zh-CN"/>
              </w:rPr>
              <w:t>通川区</w:t>
            </w:r>
            <w:r>
              <w:rPr>
                <w:rFonts w:hint="default"/>
                <w:color w:val="auto"/>
                <w:spacing w:val="0"/>
                <w:position w:val="0"/>
                <w:sz w:val="22"/>
                <w:szCs w:val="22"/>
                <w:vertAlign w:val="baseline"/>
              </w:rPr>
              <w:t>最高为</w:t>
            </w:r>
            <w:r>
              <w:rPr>
                <w:rFonts w:hint="eastAsia" w:ascii="Times New Roman" w:hAnsi="Times New Roman" w:eastAsia="宋体" w:cs="Times New Roman"/>
                <w:color w:val="auto"/>
                <w:spacing w:val="0"/>
                <w:position w:val="0"/>
                <w:sz w:val="22"/>
                <w:szCs w:val="22"/>
                <w:vertAlign w:val="baseline"/>
                <w:lang w:val="en-US" w:eastAsia="zh-CN"/>
              </w:rPr>
              <w:t>124</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eastAsia"/>
                <w:color w:val="auto"/>
                <w:spacing w:val="0"/>
                <w:position w:val="0"/>
                <w:sz w:val="22"/>
                <w:szCs w:val="22"/>
                <w:vertAlign w:val="baseline"/>
                <w:lang w:val="en-US" w:eastAsia="zh-CN"/>
              </w:rPr>
              <w:t>宣汉县</w:t>
            </w:r>
            <w:r>
              <w:rPr>
                <w:rFonts w:hint="default"/>
                <w:color w:val="auto"/>
                <w:spacing w:val="0"/>
                <w:position w:val="0"/>
                <w:sz w:val="22"/>
                <w:szCs w:val="22"/>
                <w:vertAlign w:val="baseline"/>
              </w:rPr>
              <w:t>最低为</w:t>
            </w:r>
            <w:r>
              <w:rPr>
                <w:rFonts w:hint="eastAsia"/>
                <w:color w:val="auto"/>
                <w:spacing w:val="0"/>
                <w:position w:val="0"/>
                <w:sz w:val="22"/>
                <w:szCs w:val="22"/>
                <w:vertAlign w:val="baseline"/>
                <w:lang w:val="en-US" w:eastAsia="zh-CN"/>
              </w:rPr>
              <w:t>90</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default" w:ascii="Times New Roman" w:hAnsi="Times New Roman" w:eastAsia="Times New Roman" w:cs="Times New Roman"/>
                <w:color w:val="auto"/>
                <w:spacing w:val="0"/>
                <w:position w:val="0"/>
                <w:sz w:val="22"/>
                <w:szCs w:val="22"/>
                <w:vertAlign w:val="baseline"/>
              </w:rPr>
              <w:t>PM</w:t>
            </w:r>
            <w:r>
              <w:rPr>
                <w:rFonts w:hint="default" w:ascii="Times New Roman" w:hAnsi="Times New Roman" w:eastAsia="Times New Roman" w:cs="Times New Roman"/>
                <w:color w:val="auto"/>
                <w:spacing w:val="0"/>
                <w:position w:val="0"/>
                <w:sz w:val="22"/>
                <w:szCs w:val="22"/>
                <w:vertAlign w:val="subscript"/>
              </w:rPr>
              <w:t>2.5</w:t>
            </w:r>
            <w:r>
              <w:rPr>
                <w:rFonts w:hint="default"/>
                <w:color w:val="auto"/>
                <w:spacing w:val="0"/>
                <w:position w:val="0"/>
                <w:sz w:val="22"/>
                <w:szCs w:val="22"/>
                <w:vertAlign w:val="baseline"/>
              </w:rPr>
              <w:t>浓度</w:t>
            </w:r>
            <w:r>
              <w:rPr>
                <w:rFonts w:hint="eastAsia"/>
                <w:color w:val="auto"/>
                <w:spacing w:val="0"/>
                <w:position w:val="0"/>
                <w:sz w:val="22"/>
                <w:szCs w:val="22"/>
                <w:vertAlign w:val="baseline"/>
                <w:lang w:val="en-US" w:eastAsia="zh-CN"/>
              </w:rPr>
              <w:t>大竹县</w:t>
            </w:r>
            <w:r>
              <w:rPr>
                <w:rFonts w:hint="default"/>
                <w:color w:val="auto"/>
                <w:spacing w:val="0"/>
                <w:position w:val="0"/>
                <w:sz w:val="22"/>
                <w:szCs w:val="22"/>
                <w:vertAlign w:val="baseline"/>
              </w:rPr>
              <w:t>最高</w:t>
            </w:r>
            <w:r>
              <w:rPr>
                <w:rFonts w:hint="eastAsia"/>
                <w:color w:val="auto"/>
                <w:spacing w:val="0"/>
                <w:position w:val="0"/>
                <w:sz w:val="22"/>
                <w:szCs w:val="22"/>
                <w:vertAlign w:val="baseline"/>
                <w:lang w:val="en-US" w:eastAsia="zh-CN"/>
              </w:rPr>
              <w:t>为36</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eastAsia"/>
                <w:color w:val="auto"/>
                <w:spacing w:val="0"/>
                <w:position w:val="0"/>
                <w:sz w:val="22"/>
                <w:szCs w:val="22"/>
                <w:vertAlign w:val="baseline"/>
                <w:lang w:val="en-US" w:eastAsia="zh-CN"/>
              </w:rPr>
              <w:t>万源最低为22</w:t>
            </w:r>
            <w:r>
              <w:rPr>
                <w:rFonts w:hint="default"/>
                <w:color w:val="auto"/>
                <w:spacing w:val="0"/>
                <w:position w:val="0"/>
                <w:sz w:val="22"/>
                <w:szCs w:val="22"/>
              </w:rPr>
              <w:t>μ</w:t>
            </w:r>
            <w:r>
              <w:rPr>
                <w:rFonts w:hint="default" w:ascii="Times New Roman" w:hAnsi="Times New Roman" w:eastAsia="Times New Roman" w:cs="Times New Roman"/>
                <w:color w:val="auto"/>
                <w:spacing w:val="0"/>
                <w:position w:val="0"/>
                <w:sz w:val="22"/>
                <w:szCs w:val="22"/>
              </w:rPr>
              <w:t>g/m</w:t>
            </w:r>
            <w:r>
              <w:rPr>
                <w:rFonts w:hint="eastAsia" w:ascii="Times New Roman" w:hAnsi="Times New Roman" w:cs="Times New Roman"/>
                <w:color w:val="auto"/>
                <w:spacing w:val="0"/>
                <w:position w:val="0"/>
                <w:sz w:val="22"/>
                <w:szCs w:val="22"/>
                <w:vertAlign w:val="superscript"/>
                <w:lang w:val="en-US" w:eastAsia="zh-CN"/>
              </w:rPr>
              <w:t>3</w:t>
            </w:r>
            <w:r>
              <w:rPr>
                <w:rFonts w:hint="eastAsia" w:ascii="Times New Roman" w:hAnsi="Times New Roman" w:cs="Times New Roman"/>
                <w:color w:val="auto"/>
                <w:spacing w:val="0"/>
                <w:position w:val="0"/>
                <w:sz w:val="22"/>
                <w:szCs w:val="22"/>
                <w:vertAlign w:val="baseline"/>
                <w:lang w:val="en-US" w:eastAsia="zh-CN"/>
              </w:rPr>
              <w:t>；PM</w:t>
            </w:r>
            <w:r>
              <w:rPr>
                <w:rFonts w:hint="eastAsia" w:ascii="Times New Roman" w:hAnsi="Times New Roman" w:cs="Times New Roman"/>
                <w:color w:val="auto"/>
                <w:spacing w:val="0"/>
                <w:position w:val="0"/>
                <w:sz w:val="22"/>
                <w:szCs w:val="22"/>
                <w:vertAlign w:val="subscript"/>
                <w:lang w:val="en-US" w:eastAsia="zh-CN"/>
              </w:rPr>
              <w:t>10</w:t>
            </w:r>
            <w:r>
              <w:rPr>
                <w:rFonts w:hint="eastAsia" w:ascii="Times New Roman" w:hAnsi="Times New Roman" w:cs="Times New Roman"/>
                <w:color w:val="auto"/>
                <w:spacing w:val="0"/>
                <w:position w:val="0"/>
                <w:sz w:val="22"/>
                <w:szCs w:val="22"/>
                <w:vertAlign w:val="baseline"/>
                <w:lang w:val="en-US" w:eastAsia="zh-CN"/>
              </w:rPr>
              <w:t>浓度</w:t>
            </w:r>
            <w:r>
              <w:rPr>
                <w:rFonts w:hint="eastAsia"/>
                <w:color w:val="auto"/>
                <w:spacing w:val="0"/>
                <w:position w:val="0"/>
                <w:sz w:val="22"/>
                <w:szCs w:val="22"/>
                <w:vertAlign w:val="baseline"/>
                <w:lang w:val="en-US" w:eastAsia="zh-CN"/>
              </w:rPr>
              <w:t>大竹县</w:t>
            </w:r>
            <w:r>
              <w:rPr>
                <w:rFonts w:hint="default"/>
                <w:color w:val="auto"/>
                <w:spacing w:val="0"/>
                <w:position w:val="0"/>
                <w:sz w:val="22"/>
                <w:szCs w:val="22"/>
                <w:vertAlign w:val="baseline"/>
              </w:rPr>
              <w:t>最高</w:t>
            </w:r>
            <w:r>
              <w:rPr>
                <w:rFonts w:hint="eastAsia"/>
                <w:color w:val="auto"/>
                <w:spacing w:val="0"/>
                <w:position w:val="0"/>
                <w:sz w:val="22"/>
                <w:szCs w:val="22"/>
                <w:vertAlign w:val="baseline"/>
                <w:lang w:val="en-US" w:eastAsia="zh-CN"/>
              </w:rPr>
              <w:t>为57</w:t>
            </w:r>
            <w:r>
              <w:rPr>
                <w:rFonts w:hint="default"/>
                <w:color w:val="auto"/>
                <w:spacing w:val="0"/>
                <w:position w:val="0"/>
                <w:sz w:val="22"/>
                <w:szCs w:val="22"/>
                <w:vertAlign w:val="baseline"/>
              </w:rPr>
              <w:t>μ</w:t>
            </w:r>
            <w:r>
              <w:rPr>
                <w:rFonts w:hint="default" w:ascii="Times New Roman" w:hAnsi="Times New Roman" w:eastAsia="Times New Roman" w:cs="Times New Roman"/>
                <w:color w:val="auto"/>
                <w:spacing w:val="0"/>
                <w:position w:val="0"/>
                <w:sz w:val="22"/>
                <w:szCs w:val="22"/>
                <w:vertAlign w:val="baseline"/>
              </w:rPr>
              <w:t>g/m</w:t>
            </w:r>
            <w:r>
              <w:rPr>
                <w:rFonts w:hint="eastAsia" w:ascii="Times New Roman" w:hAnsi="Times New Roman" w:cs="Times New Roman"/>
                <w:color w:val="auto"/>
                <w:spacing w:val="0"/>
                <w:position w:val="0"/>
                <w:sz w:val="22"/>
                <w:szCs w:val="22"/>
                <w:vertAlign w:val="superscript"/>
                <w:lang w:val="en-US" w:eastAsia="zh-CN"/>
              </w:rPr>
              <w:t>3</w:t>
            </w:r>
            <w:r>
              <w:rPr>
                <w:rFonts w:hint="default"/>
                <w:color w:val="auto"/>
                <w:spacing w:val="0"/>
                <w:position w:val="0"/>
                <w:sz w:val="22"/>
                <w:szCs w:val="22"/>
                <w:vertAlign w:val="baseline"/>
              </w:rPr>
              <w:t>，</w:t>
            </w:r>
            <w:r>
              <w:rPr>
                <w:rFonts w:hint="eastAsia"/>
                <w:color w:val="auto"/>
                <w:spacing w:val="0"/>
                <w:position w:val="0"/>
                <w:sz w:val="22"/>
                <w:szCs w:val="22"/>
                <w:vertAlign w:val="baseline"/>
                <w:lang w:val="en-US" w:eastAsia="zh-CN"/>
              </w:rPr>
              <w:t>万源最低为38</w:t>
            </w:r>
            <w:r>
              <w:rPr>
                <w:rFonts w:hint="default"/>
                <w:color w:val="auto"/>
                <w:spacing w:val="0"/>
                <w:position w:val="0"/>
                <w:sz w:val="22"/>
                <w:szCs w:val="22"/>
              </w:rPr>
              <w:t>μ</w:t>
            </w:r>
            <w:r>
              <w:rPr>
                <w:rFonts w:hint="default" w:ascii="Times New Roman" w:hAnsi="Times New Roman" w:eastAsia="Times New Roman" w:cs="Times New Roman"/>
                <w:color w:val="auto"/>
                <w:spacing w:val="0"/>
                <w:position w:val="0"/>
                <w:sz w:val="22"/>
                <w:szCs w:val="22"/>
              </w:rPr>
              <w:t>g/m</w:t>
            </w:r>
            <w:r>
              <w:rPr>
                <w:rFonts w:hint="eastAsia" w:ascii="Times New Roman" w:hAnsi="Times New Roman" w:cs="Times New Roman"/>
                <w:color w:val="auto"/>
                <w:spacing w:val="0"/>
                <w:position w:val="0"/>
                <w:sz w:val="22"/>
                <w:szCs w:val="22"/>
                <w:vertAlign w:val="superscript"/>
                <w:lang w:val="en-US" w:eastAsia="zh-CN"/>
              </w:rPr>
              <w:t>3</w:t>
            </w:r>
            <w:r>
              <w:rPr>
                <w:rFonts w:hint="eastAsia" w:ascii="Times New Roman" w:hAnsi="Times New Roman" w:cs="Times New Roman"/>
                <w:color w:val="auto"/>
                <w:spacing w:val="0"/>
                <w:position w:val="0"/>
                <w:sz w:val="22"/>
                <w:szCs w:val="22"/>
                <w:vertAlign w:val="baseli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40" w:firstLineChars="200"/>
              <w:textAlignment w:val="auto"/>
              <w:rPr>
                <w:rFonts w:hint="eastAsia" w:cs="宋体"/>
                <w:color w:val="auto"/>
                <w:kern w:val="0"/>
                <w:sz w:val="22"/>
                <w:szCs w:val="22"/>
                <w:vertAlign w:val="baseline"/>
              </w:rPr>
            </w:pPr>
            <w:r>
              <w:rPr>
                <w:rFonts w:hint="eastAsia" w:ascii="Times New Roman" w:hAnsi="Times New Roman" w:cs="Times New Roman"/>
                <w:color w:val="auto"/>
                <w:spacing w:val="0"/>
                <w:position w:val="0"/>
                <w:sz w:val="22"/>
                <w:szCs w:val="22"/>
                <w:vertAlign w:val="baseline"/>
                <w:lang w:val="en-US" w:eastAsia="zh-CN"/>
              </w:rPr>
              <w:t>2023年大竹县的环境空气质量评价表见下表。</w:t>
            </w:r>
          </w:p>
          <w:p>
            <w:pPr>
              <w:keepNext w:val="0"/>
              <w:keepLines w:val="0"/>
              <w:suppressLineNumbers w:val="0"/>
              <w:spacing w:before="0" w:beforeAutospacing="0" w:after="0" w:afterAutospacing="0" w:line="400" w:lineRule="exact"/>
              <w:ind w:left="0" w:right="0" w:firstLine="404" w:firstLineChars="202"/>
              <w:jc w:val="center"/>
              <w:rPr>
                <w:rFonts w:hint="eastAsia" w:cs="宋体"/>
                <w:color w:val="auto"/>
                <w:kern w:val="0"/>
                <w:sz w:val="20"/>
                <w:szCs w:val="20"/>
              </w:rPr>
            </w:pPr>
            <w:r>
              <w:rPr>
                <w:rFonts w:hint="eastAsia" w:ascii="黑体" w:hAnsi="黑体" w:eastAsia="黑体"/>
                <w:color w:val="auto"/>
                <w:kern w:val="0"/>
                <w:sz w:val="20"/>
                <w:szCs w:val="20"/>
              </w:rPr>
              <w:t>表</w:t>
            </w:r>
            <w:r>
              <w:rPr>
                <w:rFonts w:hint="eastAsia" w:eastAsia="黑体"/>
                <w:color w:val="auto"/>
                <w:kern w:val="0"/>
                <w:sz w:val="20"/>
                <w:szCs w:val="20"/>
              </w:rPr>
              <w:t xml:space="preserve">3-1   </w:t>
            </w:r>
            <w:r>
              <w:rPr>
                <w:rFonts w:hint="default" w:eastAsia="黑体"/>
                <w:color w:val="auto"/>
                <w:kern w:val="0"/>
                <w:sz w:val="20"/>
                <w:szCs w:val="20"/>
              </w:rPr>
              <w:t>202</w:t>
            </w:r>
            <w:r>
              <w:rPr>
                <w:rFonts w:hint="eastAsia" w:eastAsia="黑体"/>
                <w:color w:val="auto"/>
                <w:kern w:val="0"/>
                <w:sz w:val="20"/>
                <w:szCs w:val="20"/>
                <w:lang w:val="en-US" w:eastAsia="zh-CN"/>
              </w:rPr>
              <w:t>3年大竹县环境空气污染物现状评价表</w:t>
            </w:r>
          </w:p>
          <w:tbl>
            <w:tblPr>
              <w:tblStyle w:val="15"/>
              <w:tblW w:w="7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701"/>
              <w:gridCol w:w="1193"/>
              <w:gridCol w:w="1112"/>
              <w:gridCol w:w="981"/>
              <w:gridCol w:w="1023"/>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 w:hRule="atLeast"/>
              </w:trPr>
              <w:tc>
                <w:tcPr>
                  <w:tcW w:w="8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宋体" w:cs="Times New Roman"/>
                      <w:b/>
                      <w:bCs/>
                      <w:color w:val="auto"/>
                      <w:kern w:val="0"/>
                      <w:sz w:val="18"/>
                      <w:szCs w:val="18"/>
                      <w:vertAlign w:val="baseline"/>
                      <w:lang w:val="en-US" w:eastAsia="zh-CN"/>
                    </w:rPr>
                  </w:pPr>
                  <w:r>
                    <w:rPr>
                      <w:rFonts w:hint="eastAsia" w:ascii="Times New Roman" w:hAnsi="Times New Roman" w:cs="Times New Roman"/>
                      <w:b/>
                      <w:bCs/>
                      <w:color w:val="auto"/>
                      <w:kern w:val="0"/>
                      <w:sz w:val="18"/>
                      <w:szCs w:val="18"/>
                      <w:vertAlign w:val="baseline"/>
                      <w:lang w:val="en-US" w:eastAsia="zh-CN"/>
                    </w:rPr>
                    <w:t>污染物</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b/>
                      <w:bCs/>
                      <w:color w:val="auto"/>
                      <w:kern w:val="0"/>
                      <w:sz w:val="18"/>
                      <w:szCs w:val="18"/>
                      <w:vertAlign w:val="baseline"/>
                      <w:lang w:val="en-US" w:eastAsia="zh-CN"/>
                    </w:rPr>
                  </w:pPr>
                  <w:r>
                    <w:rPr>
                      <w:rFonts w:hint="eastAsia" w:ascii="Times New Roman" w:hAnsi="Times New Roman" w:cs="Times New Roman"/>
                      <w:b/>
                      <w:bCs/>
                      <w:color w:val="auto"/>
                      <w:kern w:val="0"/>
                      <w:sz w:val="18"/>
                      <w:szCs w:val="18"/>
                      <w:vertAlign w:val="baseline"/>
                      <w:lang w:val="en-US" w:eastAsia="zh-CN"/>
                    </w:rPr>
                    <w:t>年评价指标</w:t>
                  </w:r>
                </w:p>
              </w:tc>
              <w:tc>
                <w:tcPr>
                  <w:tcW w:w="11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auto"/>
                      <w:kern w:val="0"/>
                      <w:sz w:val="18"/>
                      <w:szCs w:val="18"/>
                      <w:vertAlign w:val="baseline"/>
                      <w:lang w:val="en-US" w:eastAsia="zh-CN"/>
                    </w:rPr>
                  </w:pPr>
                  <w:r>
                    <w:rPr>
                      <w:rFonts w:hint="eastAsia" w:ascii="Times New Roman" w:hAnsi="Times New Roman" w:cs="Times New Roman"/>
                      <w:b/>
                      <w:bCs/>
                      <w:color w:val="auto"/>
                      <w:kern w:val="0"/>
                      <w:sz w:val="18"/>
                      <w:szCs w:val="18"/>
                      <w:vertAlign w:val="baseline"/>
                      <w:lang w:val="en-US" w:eastAsia="zh-CN"/>
                    </w:rPr>
                    <w:t>现状浓度</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eastAsia" w:ascii="Times New Roman" w:hAnsi="Times New Roman" w:eastAsia="宋体" w:cs="Times New Roman"/>
                      <w:b/>
                      <w:bCs/>
                      <w:color w:val="auto"/>
                      <w:kern w:val="0"/>
                      <w:sz w:val="18"/>
                      <w:szCs w:val="18"/>
                      <w:vertAlign w:val="baseline"/>
                      <w:lang w:val="en-US" w:eastAsia="zh-CN"/>
                    </w:rPr>
                  </w:pPr>
                  <w:r>
                    <w:rPr>
                      <w:rFonts w:hint="eastAsia" w:ascii="Times New Roman" w:hAnsi="Times New Roman" w:cs="Times New Roman"/>
                      <w:b/>
                      <w:bCs/>
                      <w:color w:val="auto"/>
                      <w:kern w:val="0"/>
                      <w:sz w:val="18"/>
                      <w:szCs w:val="18"/>
                      <w:vertAlign w:val="baseline"/>
                      <w:lang w:val="en-US" w:eastAsia="zh-CN"/>
                    </w:rPr>
                    <w:t>标准值</w:t>
                  </w:r>
                </w:p>
              </w:tc>
              <w:tc>
                <w:tcPr>
                  <w:tcW w:w="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b/>
                      <w:bCs/>
                      <w:color w:val="auto"/>
                      <w:kern w:val="0"/>
                      <w:sz w:val="18"/>
                      <w:szCs w:val="18"/>
                      <w:vertAlign w:val="baseline"/>
                    </w:rPr>
                  </w:pPr>
                  <w:r>
                    <w:rPr>
                      <w:rFonts w:hint="eastAsia" w:ascii="Times New Roman" w:hAnsi="Times New Roman" w:cs="Times New Roman"/>
                      <w:b/>
                      <w:bCs/>
                      <w:color w:val="auto"/>
                      <w:sz w:val="18"/>
                      <w:szCs w:val="18"/>
                      <w:lang w:val="en-US" w:eastAsia="zh-CN"/>
                    </w:rPr>
                    <w:t>占标率</w:t>
                  </w:r>
                  <w:r>
                    <w:rPr>
                      <w:rFonts w:hint="default" w:ascii="Times New Roman" w:hAnsi="Times New Roman" w:cs="Times New Roman"/>
                      <w:b/>
                      <w:bCs/>
                      <w:color w:val="auto"/>
                      <w:sz w:val="18"/>
                      <w:szCs w:val="18"/>
                    </w:rPr>
                    <w:t xml:space="preserve"> </w:t>
                  </w:r>
                </w:p>
              </w:tc>
              <w:tc>
                <w:tcPr>
                  <w:tcW w:w="10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auto"/>
                      <w:kern w:val="0"/>
                      <w:sz w:val="18"/>
                      <w:szCs w:val="18"/>
                      <w:vertAlign w:val="baseline"/>
                      <w:lang w:val="en-US" w:eastAsia="zh-CN"/>
                    </w:rPr>
                  </w:pPr>
                  <w:r>
                    <w:rPr>
                      <w:rFonts w:hint="eastAsia" w:ascii="Times New Roman" w:hAnsi="Times New Roman" w:cs="Times New Roman"/>
                      <w:b/>
                      <w:bCs/>
                      <w:color w:val="auto"/>
                      <w:kern w:val="0"/>
                      <w:sz w:val="18"/>
                      <w:szCs w:val="18"/>
                      <w:vertAlign w:val="baseline"/>
                      <w:lang w:val="en-US" w:eastAsia="zh-CN"/>
                    </w:rPr>
                    <w:t>超标倍数</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eastAsia="宋体" w:cs="Times New Roman"/>
                      <w:b/>
                      <w:bCs/>
                      <w:color w:val="auto"/>
                      <w:kern w:val="0"/>
                      <w:sz w:val="18"/>
                      <w:szCs w:val="18"/>
                      <w:vertAlign w:val="baseline"/>
                      <w:lang w:val="en-US" w:eastAsia="zh-CN"/>
                    </w:rPr>
                  </w:pPr>
                  <w:r>
                    <w:rPr>
                      <w:rFonts w:hint="eastAsia" w:ascii="Times New Roman" w:hAnsi="Times New Roman" w:cs="Times New Roman"/>
                      <w:b/>
                      <w:bCs/>
                      <w:color w:val="auto"/>
                      <w:kern w:val="0"/>
                      <w:sz w:val="18"/>
                      <w:szCs w:val="18"/>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SO</w:t>
                  </w:r>
                  <w:r>
                    <w:rPr>
                      <w:rFonts w:hint="default" w:ascii="Times New Roman" w:hAnsi="Times New Roman" w:eastAsia="Times New Roman" w:cs="Times New Roman"/>
                      <w:color w:val="auto"/>
                      <w:spacing w:val="1"/>
                      <w:position w:val="-1"/>
                      <w:sz w:val="18"/>
                      <w:szCs w:val="18"/>
                      <w:vertAlign w:val="subscript"/>
                    </w:rPr>
                    <w:t>2</w:t>
                  </w:r>
                </w:p>
              </w:tc>
              <w:tc>
                <w:tcPr>
                  <w:tcW w:w="1701"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8"/>
                      <w:sz w:val="18"/>
                      <w:szCs w:val="18"/>
                    </w:rPr>
                    <w:t>年平均质量浓度</w:t>
                  </w:r>
                </w:p>
              </w:tc>
              <w:tc>
                <w:tcPr>
                  <w:tcW w:w="11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eastAsia" w:ascii="Times New Roman" w:hAnsi="Times New Roman" w:eastAsia="宋体" w:cs="Times New Roman"/>
                      <w:color w:val="auto"/>
                      <w:kern w:val="0"/>
                      <w:sz w:val="18"/>
                      <w:szCs w:val="18"/>
                      <w:vertAlign w:val="baseline"/>
                      <w:lang w:val="en-US" w:eastAsia="zh-CN"/>
                    </w:rPr>
                  </w:pPr>
                  <w:r>
                    <w:rPr>
                      <w:rFonts w:hint="eastAsia" w:ascii="Times New Roman" w:hAnsi="Times New Roman" w:cs="Times New Roman"/>
                      <w:color w:val="auto"/>
                      <w:kern w:val="0"/>
                      <w:sz w:val="18"/>
                      <w:szCs w:val="18"/>
                      <w:vertAlign w:val="baseline"/>
                      <w:lang w:val="en-US" w:eastAsia="zh-CN"/>
                    </w:rPr>
                    <w:t>7</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60</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rPr>
                  </w:pPr>
                  <w:r>
                    <w:rPr>
                      <w:rFonts w:hint="eastAsia" w:ascii="Times New Roman" w:hAnsi="Times New Roman" w:eastAsia="宋体" w:cs="Times New Roman"/>
                      <w:color w:val="auto"/>
                      <w:kern w:val="0"/>
                      <w:sz w:val="18"/>
                      <w:szCs w:val="18"/>
                      <w:vertAlign w:val="baseline"/>
                      <w:lang w:val="en-US" w:eastAsia="zh-CN"/>
                    </w:rPr>
                    <w:t>11.67%</w:t>
                  </w:r>
                </w:p>
              </w:tc>
              <w:tc>
                <w:tcPr>
                  <w:tcW w:w="10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0</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5"/>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pacing w:val="6"/>
                      <w:sz w:val="18"/>
                      <w:szCs w:val="18"/>
                    </w:rPr>
                    <w:t>NO</w:t>
                  </w:r>
                  <w:r>
                    <w:rPr>
                      <w:rFonts w:hint="default" w:ascii="Times New Roman" w:hAnsi="Times New Roman" w:eastAsia="Times New Roman" w:cs="Times New Roman"/>
                      <w:color w:val="auto"/>
                      <w:spacing w:val="6"/>
                      <w:position w:val="-1"/>
                      <w:sz w:val="18"/>
                      <w:szCs w:val="18"/>
                      <w:vertAlign w:val="subscript"/>
                    </w:rPr>
                    <w:t>2</w:t>
                  </w:r>
                </w:p>
              </w:tc>
              <w:tc>
                <w:tcPr>
                  <w:tcW w:w="170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jc w:val="center"/>
                    <w:textAlignment w:val="auto"/>
                    <w:rPr>
                      <w:rFonts w:hint="default" w:ascii="Times New Roman" w:hAnsi="Times New Roman" w:cs="Times New Roman"/>
                      <w:color w:val="auto"/>
                      <w:kern w:val="0"/>
                      <w:sz w:val="18"/>
                      <w:szCs w:val="18"/>
                      <w:vertAlign w:val="baseline"/>
                    </w:rPr>
                  </w:pPr>
                </w:p>
              </w:tc>
              <w:tc>
                <w:tcPr>
                  <w:tcW w:w="11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eastAsia="宋体" w:cs="Times New Roman"/>
                      <w:color w:val="auto"/>
                      <w:kern w:val="0"/>
                      <w:sz w:val="18"/>
                      <w:szCs w:val="18"/>
                      <w:vertAlign w:val="baseline"/>
                      <w:lang w:val="en-US" w:eastAsia="zh-CN"/>
                    </w:rPr>
                    <w:t>25</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pacing w:val="3"/>
                      <w:sz w:val="18"/>
                      <w:szCs w:val="18"/>
                    </w:rPr>
                    <w:t>40</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rPr>
                  </w:pPr>
                  <w:r>
                    <w:rPr>
                      <w:rFonts w:hint="eastAsia" w:ascii="Times New Roman" w:hAnsi="Times New Roman" w:eastAsia="宋体" w:cs="Times New Roman"/>
                      <w:color w:val="auto"/>
                      <w:kern w:val="0"/>
                      <w:sz w:val="18"/>
                      <w:szCs w:val="18"/>
                      <w:vertAlign w:val="baseline"/>
                      <w:lang w:val="en-US" w:eastAsia="zh-CN"/>
                    </w:rPr>
                    <w:t>62.50%</w:t>
                  </w:r>
                </w:p>
              </w:tc>
              <w:tc>
                <w:tcPr>
                  <w:tcW w:w="10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0</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5"/>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PM</w:t>
                  </w:r>
                  <w:r>
                    <w:rPr>
                      <w:rFonts w:hint="default" w:ascii="Times New Roman" w:hAnsi="Times New Roman" w:eastAsia="Times New Roman" w:cs="Times New Roman"/>
                      <w:color w:val="auto"/>
                      <w:spacing w:val="8"/>
                      <w:position w:val="-1"/>
                      <w:sz w:val="18"/>
                      <w:szCs w:val="18"/>
                      <w:vertAlign w:val="subscript"/>
                    </w:rPr>
                    <w:t>10</w:t>
                  </w:r>
                </w:p>
              </w:tc>
              <w:tc>
                <w:tcPr>
                  <w:tcW w:w="170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jc w:val="center"/>
                    <w:textAlignment w:val="auto"/>
                    <w:rPr>
                      <w:rFonts w:hint="default" w:ascii="Times New Roman" w:hAnsi="Times New Roman" w:cs="Times New Roman"/>
                      <w:color w:val="auto"/>
                      <w:kern w:val="0"/>
                      <w:sz w:val="18"/>
                      <w:szCs w:val="18"/>
                      <w:vertAlign w:val="baseline"/>
                    </w:rPr>
                  </w:pPr>
                </w:p>
              </w:tc>
              <w:tc>
                <w:tcPr>
                  <w:tcW w:w="11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eastAsia="宋体" w:cs="Times New Roman"/>
                      <w:color w:val="auto"/>
                      <w:kern w:val="0"/>
                      <w:sz w:val="18"/>
                      <w:szCs w:val="18"/>
                      <w:vertAlign w:val="baseline"/>
                      <w:lang w:val="en-US" w:eastAsia="zh-CN"/>
                    </w:rPr>
                    <w:t>57</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pacing w:val="1"/>
                      <w:sz w:val="18"/>
                      <w:szCs w:val="18"/>
                    </w:rPr>
                    <w:t>70</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rPr>
                  </w:pPr>
                  <w:r>
                    <w:rPr>
                      <w:rFonts w:hint="eastAsia" w:ascii="Times New Roman" w:hAnsi="Times New Roman" w:eastAsia="宋体" w:cs="Times New Roman"/>
                      <w:color w:val="auto"/>
                      <w:kern w:val="0"/>
                      <w:sz w:val="18"/>
                      <w:szCs w:val="18"/>
                      <w:vertAlign w:val="baseline"/>
                      <w:lang w:val="en-US" w:eastAsia="zh-CN"/>
                    </w:rPr>
                    <w:t>81.43%</w:t>
                  </w:r>
                </w:p>
              </w:tc>
              <w:tc>
                <w:tcPr>
                  <w:tcW w:w="10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0</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5"/>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PM</w:t>
                  </w:r>
                  <w:r>
                    <w:rPr>
                      <w:rFonts w:hint="default" w:ascii="Times New Roman" w:hAnsi="Times New Roman" w:eastAsia="Times New Roman" w:cs="Times New Roman"/>
                      <w:color w:val="auto"/>
                      <w:spacing w:val="6"/>
                      <w:position w:val="-1"/>
                      <w:sz w:val="18"/>
                      <w:szCs w:val="18"/>
                      <w:vertAlign w:val="subscript"/>
                    </w:rPr>
                    <w:t>2.5</w:t>
                  </w:r>
                </w:p>
              </w:tc>
              <w:tc>
                <w:tcPr>
                  <w:tcW w:w="170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firstLine="0"/>
                    <w:jc w:val="center"/>
                    <w:textAlignment w:val="auto"/>
                    <w:rPr>
                      <w:rFonts w:hint="default" w:ascii="Times New Roman" w:hAnsi="Times New Roman" w:cs="Times New Roman"/>
                      <w:color w:val="auto"/>
                      <w:kern w:val="0"/>
                      <w:sz w:val="18"/>
                      <w:szCs w:val="18"/>
                      <w:vertAlign w:val="baseline"/>
                    </w:rPr>
                  </w:pPr>
                </w:p>
              </w:tc>
              <w:tc>
                <w:tcPr>
                  <w:tcW w:w="11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ascii="Times New Roman" w:hAnsi="Times New Roman" w:eastAsia="宋体" w:cs="Times New Roman"/>
                      <w:color w:val="auto"/>
                      <w:kern w:val="0"/>
                      <w:sz w:val="18"/>
                      <w:szCs w:val="18"/>
                      <w:vertAlign w:val="baseline"/>
                      <w:lang w:val="en-US" w:eastAsia="zh-CN"/>
                    </w:rPr>
                    <w:t>36</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35</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rPr>
                  </w:pPr>
                  <w:r>
                    <w:rPr>
                      <w:rFonts w:hint="eastAsia" w:ascii="Times New Roman" w:hAnsi="Times New Roman" w:eastAsia="宋体" w:cs="Times New Roman"/>
                      <w:color w:val="auto"/>
                      <w:kern w:val="0"/>
                      <w:sz w:val="18"/>
                      <w:szCs w:val="18"/>
                      <w:vertAlign w:val="baseline"/>
                      <w:lang w:val="en-US" w:eastAsia="zh-CN"/>
                    </w:rPr>
                    <w:t>102.85%</w:t>
                  </w:r>
                </w:p>
              </w:tc>
              <w:tc>
                <w:tcPr>
                  <w:tcW w:w="10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0</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eastAsia" w:ascii="Times New Roman" w:hAnsi="Times New Roman" w:cs="Times New Roman"/>
                      <w:color w:val="auto"/>
                      <w:spacing w:val="5"/>
                      <w:sz w:val="18"/>
                      <w:szCs w:val="18"/>
                      <w:lang w:val="en-US" w:eastAsia="zh-CN"/>
                    </w:rPr>
                    <w:t>超</w:t>
                  </w:r>
                  <w:r>
                    <w:rPr>
                      <w:rFonts w:hint="default" w:ascii="Times New Roman" w:hAnsi="Times New Roman" w:cs="Times New Roman"/>
                      <w:color w:val="auto"/>
                      <w:spacing w:val="5"/>
                      <w:sz w:val="18"/>
                      <w:szCs w:val="18"/>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pacing w:val="2"/>
                      <w:sz w:val="18"/>
                      <w:szCs w:val="18"/>
                    </w:rPr>
                    <w:t>CO</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1"/>
                      <w:sz w:val="18"/>
                      <w:szCs w:val="18"/>
                    </w:rPr>
                    <w:t>日均浓度的第</w:t>
                  </w:r>
                  <w:r>
                    <w:rPr>
                      <w:rFonts w:hint="default" w:ascii="Times New Roman" w:hAnsi="Times New Roman" w:cs="Times New Roman"/>
                      <w:color w:val="auto"/>
                      <w:spacing w:val="-33"/>
                      <w:sz w:val="18"/>
                      <w:szCs w:val="18"/>
                    </w:rPr>
                    <w:t xml:space="preserve"> </w:t>
                  </w:r>
                  <w:r>
                    <w:rPr>
                      <w:rFonts w:hint="default" w:ascii="Times New Roman" w:hAnsi="Times New Roman" w:eastAsia="Times New Roman" w:cs="Times New Roman"/>
                      <w:color w:val="auto"/>
                      <w:spacing w:val="1"/>
                      <w:sz w:val="18"/>
                      <w:szCs w:val="18"/>
                    </w:rPr>
                    <w:t>95</w:t>
                  </w:r>
                  <w:r>
                    <w:rPr>
                      <w:rFonts w:hint="default" w:ascii="Times New Roman" w:hAnsi="Times New Roman" w:cs="Times New Roman"/>
                      <w:color w:val="auto"/>
                      <w:spacing w:val="5"/>
                      <w:sz w:val="18"/>
                      <w:szCs w:val="18"/>
                    </w:rPr>
                    <w:t>百分位数</w:t>
                  </w:r>
                </w:p>
              </w:tc>
              <w:tc>
                <w:tcPr>
                  <w:tcW w:w="11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eastAsia" w:ascii="Times New Roman" w:hAnsi="Times New Roman" w:cs="Times New Roman"/>
                      <w:color w:val="auto"/>
                      <w:spacing w:val="3"/>
                      <w:sz w:val="18"/>
                      <w:szCs w:val="18"/>
                      <w:lang w:val="en-US" w:eastAsia="zh-CN"/>
                    </w:rPr>
                    <w:t>1.3</w:t>
                  </w:r>
                  <w:r>
                    <w:rPr>
                      <w:rFonts w:hint="default" w:ascii="Times New Roman" w:hAnsi="Times New Roman" w:cs="Times New Roman"/>
                      <w:color w:val="auto"/>
                      <w:spacing w:val="3"/>
                      <w:sz w:val="18"/>
                      <w:szCs w:val="18"/>
                    </w:rPr>
                    <w:t>（</w:t>
                  </w:r>
                  <w:r>
                    <w:rPr>
                      <w:rFonts w:hint="default" w:ascii="Times New Roman" w:hAnsi="Times New Roman" w:eastAsia="Times New Roman" w:cs="Times New Roman"/>
                      <w:color w:val="auto"/>
                      <w:sz w:val="18"/>
                      <w:szCs w:val="18"/>
                    </w:rPr>
                    <w:t>m</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r>
                    <w:rPr>
                      <w:rFonts w:hint="default" w:ascii="Times New Roman" w:hAnsi="Times New Roman" w:cs="Times New Roman"/>
                      <w:color w:val="auto"/>
                      <w:spacing w:val="3"/>
                      <w:sz w:val="18"/>
                      <w:szCs w:val="18"/>
                    </w:rPr>
                    <w:t>）</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rightChars="0" w:firstLine="0"/>
                    <w:jc w:val="center"/>
                    <w:textAlignment w:val="auto"/>
                    <w:rPr>
                      <w:rFonts w:hint="default" w:ascii="Times New Roman" w:hAnsi="Times New Roman" w:eastAsia="Times New Roman" w:cs="Times New Roman"/>
                      <w:color w:val="auto"/>
                      <w:spacing w:val="6"/>
                      <w:sz w:val="18"/>
                      <w:szCs w:val="18"/>
                    </w:rPr>
                  </w:pPr>
                  <w:r>
                    <w:rPr>
                      <w:rFonts w:hint="default" w:ascii="Times New Roman" w:hAnsi="Times New Roman" w:eastAsia="Times New Roman" w:cs="Times New Roman"/>
                      <w:color w:val="auto"/>
                      <w:spacing w:val="6"/>
                      <w:sz w:val="18"/>
                      <w:szCs w:val="18"/>
                    </w:rPr>
                    <w:t>4</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rightChars="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6"/>
                      <w:sz w:val="18"/>
                      <w:szCs w:val="18"/>
                    </w:rPr>
                    <w:t>（</w:t>
                  </w:r>
                  <w:r>
                    <w:rPr>
                      <w:rFonts w:hint="default" w:ascii="Times New Roman" w:hAnsi="Times New Roman" w:eastAsia="Times New Roman" w:cs="Times New Roman"/>
                      <w:color w:val="auto"/>
                      <w:sz w:val="18"/>
                      <w:szCs w:val="18"/>
                    </w:rPr>
                    <w:t>m</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r>
                    <w:rPr>
                      <w:rFonts w:hint="default" w:ascii="Times New Roman" w:hAnsi="Times New Roman" w:cs="Times New Roman"/>
                      <w:color w:val="auto"/>
                      <w:spacing w:val="6"/>
                      <w:sz w:val="18"/>
                      <w:szCs w:val="18"/>
                    </w:rPr>
                    <w:t>）</w:t>
                  </w:r>
                </w:p>
              </w:tc>
              <w:tc>
                <w:tcPr>
                  <w:tcW w:w="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rPr>
                  </w:pPr>
                  <w:r>
                    <w:rPr>
                      <w:rFonts w:hint="eastAsia" w:ascii="Times New Roman" w:hAnsi="Times New Roman" w:eastAsia="宋体" w:cs="Times New Roman"/>
                      <w:color w:val="auto"/>
                      <w:kern w:val="0"/>
                      <w:sz w:val="18"/>
                      <w:szCs w:val="18"/>
                      <w:vertAlign w:val="baseline"/>
                      <w:lang w:val="en-US" w:eastAsia="zh-CN"/>
                    </w:rPr>
                    <w:t>32.50%</w:t>
                  </w:r>
                </w:p>
              </w:tc>
              <w:tc>
                <w:tcPr>
                  <w:tcW w:w="10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0</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5"/>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pacing w:val="1"/>
                      <w:sz w:val="18"/>
                      <w:szCs w:val="18"/>
                    </w:rPr>
                    <w:t>O</w:t>
                  </w:r>
                  <w:r>
                    <w:rPr>
                      <w:rFonts w:hint="default" w:ascii="Times New Roman" w:hAnsi="Times New Roman" w:eastAsia="Times New Roman" w:cs="Times New Roman"/>
                      <w:color w:val="auto"/>
                      <w:spacing w:val="1"/>
                      <w:position w:val="-1"/>
                      <w:sz w:val="18"/>
                      <w:szCs w:val="18"/>
                      <w:vertAlign w:val="subscript"/>
                    </w:rPr>
                    <w:t>3</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firstLine="0" w:firstLineChars="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1"/>
                      <w:sz w:val="18"/>
                      <w:szCs w:val="18"/>
                    </w:rPr>
                    <w:t>日最大</w:t>
                  </w:r>
                  <w:r>
                    <w:rPr>
                      <w:rFonts w:hint="default" w:ascii="Times New Roman" w:hAnsi="Times New Roman" w:cs="Times New Roman"/>
                      <w:color w:val="auto"/>
                      <w:spacing w:val="-30"/>
                      <w:sz w:val="18"/>
                      <w:szCs w:val="18"/>
                    </w:rPr>
                    <w:t xml:space="preserve"> </w:t>
                  </w:r>
                  <w:r>
                    <w:rPr>
                      <w:rFonts w:hint="default" w:ascii="Times New Roman" w:hAnsi="Times New Roman" w:eastAsia="Times New Roman" w:cs="Times New Roman"/>
                      <w:color w:val="auto"/>
                      <w:spacing w:val="1"/>
                      <w:sz w:val="18"/>
                      <w:szCs w:val="18"/>
                    </w:rPr>
                    <w:t>8h</w:t>
                  </w:r>
                  <w:r>
                    <w:rPr>
                      <w:rFonts w:hint="default" w:ascii="Times New Roman" w:hAnsi="Times New Roman" w:cs="Times New Roman"/>
                      <w:color w:val="auto"/>
                      <w:spacing w:val="1"/>
                      <w:sz w:val="18"/>
                      <w:szCs w:val="18"/>
                    </w:rPr>
                    <w:t>评价浓</w:t>
                  </w:r>
                  <w:r>
                    <w:rPr>
                      <w:rFonts w:hint="default" w:ascii="Times New Roman" w:hAnsi="Times New Roman" w:cs="Times New Roman"/>
                      <w:color w:val="auto"/>
                      <w:spacing w:val="4"/>
                      <w:sz w:val="18"/>
                      <w:szCs w:val="18"/>
                    </w:rPr>
                    <w:t>度的第</w:t>
                  </w:r>
                  <w:r>
                    <w:rPr>
                      <w:rFonts w:hint="default" w:ascii="Times New Roman" w:hAnsi="Times New Roman" w:cs="Times New Roman"/>
                      <w:color w:val="auto"/>
                      <w:spacing w:val="-36"/>
                      <w:sz w:val="18"/>
                      <w:szCs w:val="18"/>
                    </w:rPr>
                    <w:t xml:space="preserve"> </w:t>
                  </w:r>
                  <w:r>
                    <w:rPr>
                      <w:rFonts w:hint="default" w:ascii="Times New Roman" w:hAnsi="Times New Roman" w:eastAsia="Times New Roman" w:cs="Times New Roman"/>
                      <w:color w:val="auto"/>
                      <w:spacing w:val="4"/>
                      <w:sz w:val="18"/>
                      <w:szCs w:val="18"/>
                    </w:rPr>
                    <w:t>90</w:t>
                  </w:r>
                  <w:r>
                    <w:rPr>
                      <w:rFonts w:hint="default" w:ascii="Times New Roman" w:hAnsi="Times New Roman" w:cs="Times New Roman"/>
                      <w:color w:val="auto"/>
                      <w:spacing w:val="4"/>
                      <w:sz w:val="18"/>
                      <w:szCs w:val="18"/>
                    </w:rPr>
                    <w:t>百分位</w:t>
                  </w:r>
                </w:p>
              </w:tc>
              <w:tc>
                <w:tcPr>
                  <w:tcW w:w="11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default" w:ascii="Times New Roman" w:hAnsi="Times New Roman" w:eastAsia="Times New Roman" w:cs="Times New Roman"/>
                      <w:color w:val="auto"/>
                      <w:spacing w:val="-6"/>
                      <w:sz w:val="18"/>
                      <w:szCs w:val="18"/>
                    </w:rPr>
                    <w:t>1</w:t>
                  </w:r>
                  <w:r>
                    <w:rPr>
                      <w:rFonts w:hint="eastAsia" w:ascii="Times New Roman" w:hAnsi="Times New Roman" w:eastAsia="宋体" w:cs="Times New Roman"/>
                      <w:color w:val="auto"/>
                      <w:spacing w:val="-6"/>
                      <w:sz w:val="18"/>
                      <w:szCs w:val="18"/>
                      <w:lang w:val="en-US" w:eastAsia="zh-CN"/>
                    </w:rPr>
                    <w:t>12</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pacing w:val="-3"/>
                      <w:sz w:val="18"/>
                      <w:szCs w:val="18"/>
                    </w:rPr>
                    <w:t>160</w:t>
                  </w:r>
                  <w:r>
                    <w:rPr>
                      <w:rFonts w:hint="default" w:ascii="Times New Roman" w:hAnsi="Times New Roman" w:cs="Times New Roman"/>
                      <w:color w:val="auto"/>
                      <w:spacing w:val="-3"/>
                      <w:sz w:val="18"/>
                      <w:szCs w:val="18"/>
                    </w:rPr>
                    <w:t>μ</w:t>
                  </w:r>
                  <w:r>
                    <w:rPr>
                      <w:rFonts w:hint="default" w:ascii="Times New Roman" w:hAnsi="Times New Roman" w:eastAsia="Times New Roman" w:cs="Times New Roman"/>
                      <w:color w:val="auto"/>
                      <w:spacing w:val="-3"/>
                      <w:sz w:val="18"/>
                      <w:szCs w:val="18"/>
                    </w:rPr>
                    <w:t>g/m</w:t>
                  </w:r>
                  <w:r>
                    <w:rPr>
                      <w:rFonts w:hint="default" w:ascii="Times New Roman" w:hAnsi="Times New Roman" w:cs="Times New Roman"/>
                      <w:color w:val="auto"/>
                      <w:spacing w:val="-3"/>
                      <w:sz w:val="18"/>
                      <w:szCs w:val="18"/>
                      <w:vertAlign w:val="superscript"/>
                      <w:lang w:val="en-US" w:eastAsia="zh-CN"/>
                    </w:rPr>
                    <w:t>3</w:t>
                  </w:r>
                </w:p>
              </w:tc>
              <w:tc>
                <w:tcPr>
                  <w:tcW w:w="9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eastAsia="宋体" w:cs="Times New Roman"/>
                      <w:color w:val="auto"/>
                      <w:kern w:val="0"/>
                      <w:sz w:val="18"/>
                      <w:szCs w:val="18"/>
                      <w:vertAlign w:val="baseline"/>
                    </w:rPr>
                  </w:pPr>
                  <w:r>
                    <w:rPr>
                      <w:rFonts w:hint="eastAsia" w:ascii="Times New Roman" w:hAnsi="Times New Roman" w:eastAsia="宋体" w:cs="Times New Roman"/>
                      <w:color w:val="auto"/>
                      <w:kern w:val="0"/>
                      <w:sz w:val="18"/>
                      <w:szCs w:val="18"/>
                      <w:vertAlign w:val="baseline"/>
                      <w:lang w:val="en-US" w:eastAsia="zh-CN"/>
                    </w:rPr>
                    <w:t>70%</w:t>
                  </w:r>
                </w:p>
              </w:tc>
              <w:tc>
                <w:tcPr>
                  <w:tcW w:w="10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eastAsia="Times New Roman" w:cs="Times New Roman"/>
                      <w:color w:val="auto"/>
                      <w:sz w:val="18"/>
                      <w:szCs w:val="18"/>
                    </w:rPr>
                    <w:t>0</w:t>
                  </w:r>
                </w:p>
              </w:tc>
              <w:tc>
                <w:tcPr>
                  <w:tcW w:w="10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leftChars="0" w:right="0" w:firstLine="0"/>
                    <w:jc w:val="center"/>
                    <w:textAlignment w:val="auto"/>
                    <w:rPr>
                      <w:rFonts w:hint="default" w:ascii="Times New Roman" w:hAnsi="Times New Roman" w:cs="Times New Roman"/>
                      <w:color w:val="auto"/>
                      <w:kern w:val="0"/>
                      <w:sz w:val="18"/>
                      <w:szCs w:val="18"/>
                      <w:vertAlign w:val="baseline"/>
                    </w:rPr>
                  </w:pPr>
                  <w:r>
                    <w:rPr>
                      <w:rFonts w:hint="default" w:ascii="Times New Roman" w:hAnsi="Times New Roman" w:cs="Times New Roman"/>
                      <w:color w:val="auto"/>
                      <w:spacing w:val="5"/>
                      <w:sz w:val="18"/>
                      <w:szCs w:val="18"/>
                    </w:rPr>
                    <w:t>达标</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40" w:firstLineChars="200"/>
              <w:jc w:val="left"/>
              <w:textAlignment w:val="auto"/>
              <w:rPr>
                <w:rFonts w:hint="default" w:ascii="Times New Roman" w:hAnsi="Times New Roman" w:cs="Times New Roman"/>
                <w:color w:val="auto"/>
                <w:kern w:val="0"/>
                <w:szCs w:val="21"/>
              </w:rPr>
            </w:pPr>
            <w:r>
              <w:rPr>
                <w:rFonts w:hint="eastAsia" w:cs="宋体"/>
                <w:color w:val="auto"/>
                <w:kern w:val="0"/>
                <w:sz w:val="22"/>
                <w:szCs w:val="22"/>
              </w:rPr>
              <w:t>根据《达州市</w:t>
            </w:r>
            <w:r>
              <w:rPr>
                <w:rFonts w:hint="eastAsia" w:cs="宋体"/>
                <w:color w:val="auto"/>
                <w:kern w:val="0"/>
                <w:sz w:val="22"/>
                <w:szCs w:val="22"/>
                <w:lang w:val="en-US" w:eastAsia="zh-CN"/>
              </w:rPr>
              <w:t>2023</w:t>
            </w:r>
            <w:r>
              <w:rPr>
                <w:rFonts w:hint="eastAsia" w:cs="宋体"/>
                <w:color w:val="auto"/>
                <w:kern w:val="0"/>
                <w:sz w:val="22"/>
                <w:szCs w:val="22"/>
              </w:rPr>
              <w:t>年环境空气质量状况》，项目所在</w:t>
            </w:r>
            <w:r>
              <w:rPr>
                <w:rFonts w:hint="eastAsia" w:cs="宋体"/>
                <w:color w:val="auto"/>
                <w:kern w:val="0"/>
                <w:sz w:val="22"/>
                <w:szCs w:val="22"/>
                <w:lang w:val="en-US" w:eastAsia="zh-CN"/>
              </w:rPr>
              <w:t>大竹县</w:t>
            </w:r>
            <w:r>
              <w:rPr>
                <w:rFonts w:hint="eastAsia" w:cs="宋体"/>
                <w:color w:val="auto"/>
                <w:kern w:val="0"/>
                <w:sz w:val="22"/>
                <w:szCs w:val="22"/>
              </w:rPr>
              <w:t>为环境空气质量</w:t>
            </w:r>
            <w:r>
              <w:rPr>
                <w:rFonts w:hint="eastAsia" w:cs="宋体"/>
                <w:color w:val="auto"/>
                <w:kern w:val="0"/>
                <w:sz w:val="22"/>
                <w:szCs w:val="22"/>
                <w:lang w:val="en-US" w:eastAsia="zh-CN"/>
              </w:rPr>
              <w:t>不</w:t>
            </w:r>
            <w:r>
              <w:rPr>
                <w:rFonts w:hint="eastAsia" w:cs="宋体"/>
                <w:color w:val="auto"/>
                <w:kern w:val="0"/>
                <w:sz w:val="22"/>
                <w:szCs w:val="22"/>
              </w:rPr>
              <w:t>达标区</w:t>
            </w:r>
            <w:r>
              <w:rPr>
                <w:rFonts w:hint="default" w:ascii="Times New Roman" w:hAnsi="Times New Roman" w:cs="Times New Roman"/>
                <w:color w:val="auto"/>
                <w:kern w:val="0"/>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42" w:firstLineChars="200"/>
              <w:jc w:val="both"/>
              <w:textAlignment w:val="auto"/>
              <w:rPr>
                <w:rFonts w:hint="eastAsia" w:ascii="Times New Roman" w:hAnsi="Times New Roman" w:eastAsia="宋体" w:cs="宋体"/>
                <w:color w:val="auto"/>
                <w:kern w:val="2"/>
                <w:sz w:val="22"/>
                <w:szCs w:val="22"/>
                <w:lang w:val="zh-CN" w:eastAsia="zh-CN" w:bidi="ar"/>
              </w:rPr>
            </w:pPr>
            <w:r>
              <w:rPr>
                <w:rFonts w:hint="eastAsia" w:ascii="Times New Roman" w:hAnsi="Times New Roman" w:eastAsia="宋体" w:cs="宋体"/>
                <w:b/>
                <w:bCs/>
                <w:color w:val="auto"/>
                <w:kern w:val="2"/>
                <w:sz w:val="22"/>
                <w:szCs w:val="22"/>
                <w:lang w:val="zh-CN" w:eastAsia="zh-CN" w:bidi="ar"/>
              </w:rPr>
              <w:t>（</w:t>
            </w:r>
            <w:r>
              <w:rPr>
                <w:rFonts w:hint="eastAsia" w:ascii="Times New Roman" w:hAnsi="Times New Roman" w:eastAsia="宋体" w:cs="宋体"/>
                <w:b/>
                <w:bCs/>
                <w:color w:val="auto"/>
                <w:kern w:val="2"/>
                <w:sz w:val="22"/>
                <w:szCs w:val="22"/>
                <w:lang w:val="en-US" w:eastAsia="zh-CN" w:bidi="ar"/>
              </w:rPr>
              <w:t>2</w:t>
            </w:r>
            <w:r>
              <w:rPr>
                <w:rFonts w:hint="eastAsia" w:ascii="Times New Roman" w:hAnsi="Times New Roman" w:eastAsia="宋体" w:cs="宋体"/>
                <w:b/>
                <w:bCs/>
                <w:color w:val="auto"/>
                <w:kern w:val="2"/>
                <w:sz w:val="22"/>
                <w:szCs w:val="22"/>
                <w:lang w:val="zh-CN" w:eastAsia="zh-CN" w:bidi="ar"/>
              </w:rPr>
              <w:t>）大气环境质量限期达标规划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40" w:firstLineChars="200"/>
              <w:jc w:val="both"/>
              <w:textAlignment w:val="auto"/>
              <w:rPr>
                <w:rFonts w:hint="eastAsia" w:ascii="Times New Roman" w:hAnsi="Times New Roman" w:eastAsia="宋体" w:cs="宋体"/>
                <w:color w:val="auto"/>
                <w:kern w:val="2"/>
                <w:sz w:val="22"/>
                <w:szCs w:val="22"/>
                <w:lang w:val="en-US" w:eastAsia="zh-CN" w:bidi="ar"/>
              </w:rPr>
            </w:pPr>
            <w:r>
              <w:rPr>
                <w:rFonts w:hint="eastAsia" w:ascii="Times New Roman" w:hAnsi="Times New Roman" w:eastAsia="宋体" w:cs="宋体"/>
                <w:color w:val="auto"/>
                <w:kern w:val="2"/>
                <w:sz w:val="22"/>
                <w:szCs w:val="22"/>
                <w:lang w:val="en-US" w:eastAsia="zh-CN" w:bidi="ar"/>
              </w:rPr>
              <w:t>目前《达州市大气环境质量限期达标规划（</w:t>
            </w:r>
            <w:r>
              <w:rPr>
                <w:rFonts w:hint="default" w:ascii="Times New Roman" w:hAnsi="Times New Roman" w:eastAsia="宋体" w:cs="宋体"/>
                <w:color w:val="auto"/>
                <w:kern w:val="2"/>
                <w:sz w:val="22"/>
                <w:szCs w:val="22"/>
                <w:lang w:val="en-US" w:eastAsia="zh-CN" w:bidi="ar"/>
              </w:rPr>
              <w:t>2018-2030</w:t>
            </w:r>
            <w:r>
              <w:rPr>
                <w:rFonts w:hint="eastAsia" w:ascii="Times New Roman" w:hAnsi="Times New Roman" w:eastAsia="宋体" w:cs="宋体"/>
                <w:color w:val="auto"/>
                <w:kern w:val="2"/>
                <w:sz w:val="22"/>
                <w:szCs w:val="22"/>
                <w:lang w:val="en-US" w:eastAsia="zh-CN" w:bidi="ar"/>
              </w:rPr>
              <w:t>年）》已发布实施，达州市空气质量达标规划具体指标见下表。</w:t>
            </w:r>
          </w:p>
          <w:p>
            <w:pPr>
              <w:keepNext w:val="0"/>
              <w:keepLines w:val="0"/>
              <w:suppressLineNumbers w:val="0"/>
              <w:spacing w:before="0" w:beforeAutospacing="0" w:after="0" w:afterAutospacing="0" w:line="400" w:lineRule="exact"/>
              <w:ind w:left="0" w:right="0" w:firstLine="404" w:firstLineChars="202"/>
              <w:jc w:val="center"/>
              <w:rPr>
                <w:rFonts w:hint="eastAsia" w:eastAsia="黑体"/>
                <w:color w:val="auto"/>
                <w:kern w:val="0"/>
                <w:sz w:val="20"/>
                <w:szCs w:val="20"/>
                <w:lang w:val="en-US" w:eastAsia="zh-CN"/>
              </w:rPr>
            </w:pPr>
            <w:r>
              <w:rPr>
                <w:rFonts w:hint="eastAsia" w:eastAsia="黑体"/>
                <w:color w:val="auto"/>
                <w:kern w:val="0"/>
                <w:sz w:val="20"/>
                <w:szCs w:val="20"/>
                <w:lang w:val="en-US" w:eastAsia="zh-CN"/>
              </w:rPr>
              <w:t>表3-2</w:t>
            </w:r>
            <w:r>
              <w:rPr>
                <w:rFonts w:hint="default" w:eastAsia="黑体"/>
                <w:color w:val="auto"/>
                <w:kern w:val="0"/>
                <w:sz w:val="20"/>
                <w:szCs w:val="20"/>
                <w:lang w:val="en-US" w:eastAsia="zh-CN"/>
              </w:rPr>
              <w:t xml:space="preserve">   </w:t>
            </w:r>
            <w:r>
              <w:rPr>
                <w:rFonts w:hint="eastAsia" w:eastAsia="黑体"/>
                <w:color w:val="auto"/>
                <w:kern w:val="0"/>
                <w:sz w:val="20"/>
                <w:szCs w:val="20"/>
                <w:lang w:val="en-US" w:eastAsia="zh-CN"/>
              </w:rPr>
              <w:t>达州市空气质量达标规划具体指标</w:t>
            </w:r>
          </w:p>
          <w:tbl>
            <w:tblPr>
              <w:tblStyle w:val="14"/>
              <w:tblW w:w="7836"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
            <w:tblGrid>
              <w:gridCol w:w="512"/>
              <w:gridCol w:w="3695"/>
              <w:gridCol w:w="748"/>
              <w:gridCol w:w="695"/>
              <w:gridCol w:w="696"/>
              <w:gridCol w:w="854"/>
              <w:gridCol w:w="63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Ex>
              <w:trPr>
                <w:trHeight w:val="90" w:hRule="atLeast"/>
                <w:jc w:val="center"/>
              </w:trPr>
              <w:tc>
                <w:tcPr>
                  <w:tcW w:w="512"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eastAsia" w:ascii="Times New Roman" w:hAnsi="宋体" w:eastAsia="宋体" w:cs="宋体"/>
                      <w:color w:val="auto"/>
                      <w:kern w:val="2"/>
                      <w:sz w:val="18"/>
                      <w:szCs w:val="18"/>
                      <w:lang w:val="en-US" w:eastAsia="zh-CN" w:bidi="ar"/>
                    </w:rPr>
                    <w:t>序号</w:t>
                  </w:r>
                </w:p>
              </w:tc>
              <w:tc>
                <w:tcPr>
                  <w:tcW w:w="3695"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eastAsia" w:ascii="Times New Roman" w:hAnsi="宋体" w:eastAsia="宋体" w:cs="宋体"/>
                      <w:color w:val="auto"/>
                      <w:kern w:val="2"/>
                      <w:sz w:val="18"/>
                      <w:szCs w:val="18"/>
                      <w:lang w:val="en-US" w:eastAsia="zh-CN" w:bidi="ar"/>
                    </w:rPr>
                    <w:t>环境质量指标</w:t>
                  </w:r>
                </w:p>
              </w:tc>
              <w:tc>
                <w:tcPr>
                  <w:tcW w:w="2139" w:type="dxa"/>
                  <w:gridSpan w:val="3"/>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目标值</w:t>
                  </w:r>
                </w:p>
              </w:tc>
              <w:tc>
                <w:tcPr>
                  <w:tcW w:w="854"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国家空气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质量标准</w:t>
                  </w:r>
                </w:p>
              </w:tc>
              <w:tc>
                <w:tcPr>
                  <w:tcW w:w="636"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属性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Ex>
              <w:trPr>
                <w:trHeight w:val="90" w:hRule="atLeast"/>
                <w:jc w:val="center"/>
              </w:trPr>
              <w:tc>
                <w:tcPr>
                  <w:tcW w:w="512"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Times New Roman" w:hAnsi="Times New Roman" w:cs="Times New Roman"/>
                      <w:color w:val="auto"/>
                      <w:sz w:val="18"/>
                      <w:szCs w:val="18"/>
                    </w:rPr>
                  </w:pPr>
                </w:p>
              </w:tc>
              <w:tc>
                <w:tcPr>
                  <w:tcW w:w="3695"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0" w:right="0"/>
                    <w:textAlignment w:val="auto"/>
                    <w:rPr>
                      <w:rFonts w:hint="default" w:ascii="Times New Roman" w:hAnsi="Times New Roman" w:cs="Times New Roman"/>
                      <w:color w:val="auto"/>
                      <w:sz w:val="18"/>
                      <w:szCs w:val="18"/>
                    </w:rPr>
                  </w:pPr>
                </w:p>
              </w:tc>
              <w:tc>
                <w:tcPr>
                  <w:tcW w:w="748"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近期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 xml:space="preserve">2020 </w:t>
                  </w:r>
                  <w:r>
                    <w:rPr>
                      <w:rFonts w:hint="eastAsia" w:ascii="Times New Roman" w:hAnsi="Times New Roman" w:cs="Times New Roman"/>
                      <w:color w:val="auto"/>
                      <w:spacing w:val="3"/>
                      <w:sz w:val="18"/>
                      <w:szCs w:val="18"/>
                      <w:lang w:val="en-US" w:eastAsia="zh-CN"/>
                    </w:rPr>
                    <w:t>年</w:t>
                  </w:r>
                </w:p>
              </w:tc>
              <w:tc>
                <w:tcPr>
                  <w:tcW w:w="695"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中期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2025</w:t>
                  </w:r>
                  <w:r>
                    <w:rPr>
                      <w:rFonts w:hint="eastAsia" w:ascii="Times New Roman" w:hAnsi="Times New Roman" w:cs="Times New Roman"/>
                      <w:color w:val="auto"/>
                      <w:spacing w:val="3"/>
                      <w:sz w:val="18"/>
                      <w:szCs w:val="18"/>
                      <w:lang w:val="en-US" w:eastAsia="zh-CN"/>
                    </w:rPr>
                    <w:t>年</w:t>
                  </w:r>
                </w:p>
              </w:tc>
              <w:tc>
                <w:tcPr>
                  <w:tcW w:w="696"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远期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2030</w:t>
                  </w:r>
                  <w:r>
                    <w:rPr>
                      <w:rFonts w:hint="eastAsia" w:ascii="Times New Roman" w:hAnsi="Times New Roman" w:cs="Times New Roman"/>
                      <w:color w:val="auto"/>
                      <w:spacing w:val="3"/>
                      <w:sz w:val="18"/>
                      <w:szCs w:val="18"/>
                      <w:lang w:val="en-US" w:eastAsia="zh-CN"/>
                    </w:rPr>
                    <w:t>年</w:t>
                  </w:r>
                </w:p>
              </w:tc>
              <w:tc>
                <w:tcPr>
                  <w:tcW w:w="854"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rPr>
                  </w:pPr>
                </w:p>
              </w:tc>
              <w:tc>
                <w:tcPr>
                  <w:tcW w:w="636"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Ex>
              <w:trPr>
                <w:trHeight w:val="90" w:hRule="atLeast"/>
                <w:jc w:val="center"/>
              </w:trPr>
              <w:tc>
                <w:tcPr>
                  <w:tcW w:w="51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1</w:t>
                  </w:r>
                </w:p>
              </w:tc>
              <w:tc>
                <w:tcPr>
                  <w:tcW w:w="3695"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SO</w:t>
                  </w:r>
                  <w:r>
                    <w:rPr>
                      <w:rFonts w:hint="default" w:ascii="Times New Roman" w:hAnsi="Times New Roman" w:eastAsia="宋体" w:cs="Times New Roman"/>
                      <w:color w:val="auto"/>
                      <w:kern w:val="2"/>
                      <w:sz w:val="18"/>
                      <w:szCs w:val="18"/>
                      <w:vertAlign w:val="subscript"/>
                      <w:lang w:val="en-US" w:eastAsia="zh-CN" w:bidi="ar"/>
                    </w:rPr>
                    <w:t>2</w:t>
                  </w:r>
                  <w:r>
                    <w:rPr>
                      <w:rFonts w:hint="eastAsia" w:ascii="Times New Roman" w:hAnsi="宋体" w:eastAsia="宋体" w:cs="宋体"/>
                      <w:color w:val="auto"/>
                      <w:kern w:val="2"/>
                      <w:sz w:val="18"/>
                      <w:szCs w:val="18"/>
                      <w:lang w:val="en-US" w:eastAsia="zh-CN" w:bidi="ar"/>
                    </w:rPr>
                    <w:t>年均浓度（</w:t>
                  </w:r>
                  <w:r>
                    <w:rPr>
                      <w:rFonts w:hint="default" w:ascii="Times New Roman" w:hAnsi="Times New Roman" w:eastAsia="宋体" w:cs="Times New Roman"/>
                      <w:color w:val="auto"/>
                      <w:kern w:val="2"/>
                      <w:sz w:val="18"/>
                      <w:szCs w:val="18"/>
                      <w:lang w:val="en-US" w:eastAsia="zh-CN" w:bidi="ar"/>
                    </w:rPr>
                    <w:t>μg/m</w:t>
                  </w:r>
                  <w:r>
                    <w:rPr>
                      <w:rFonts w:hint="default" w:ascii="Times New Roman" w:hAnsi="Times New Roman" w:eastAsia="宋体" w:cs="Times New Roman"/>
                      <w:color w:val="auto"/>
                      <w:kern w:val="2"/>
                      <w:sz w:val="18"/>
                      <w:szCs w:val="18"/>
                      <w:vertAlign w:val="superscript"/>
                      <w:lang w:val="en-US" w:eastAsia="zh-CN" w:bidi="ar"/>
                    </w:rPr>
                    <w:t>3</w:t>
                  </w:r>
                  <w:r>
                    <w:rPr>
                      <w:rFonts w:hint="eastAsia" w:ascii="Times New Roman" w:hAnsi="宋体" w:eastAsia="宋体" w:cs="宋体"/>
                      <w:color w:val="auto"/>
                      <w:kern w:val="2"/>
                      <w:sz w:val="18"/>
                      <w:szCs w:val="18"/>
                      <w:lang w:val="en-US" w:eastAsia="zh-CN" w:bidi="ar"/>
                    </w:rPr>
                    <w:t>）</w:t>
                  </w:r>
                </w:p>
              </w:tc>
              <w:tc>
                <w:tcPr>
                  <w:tcW w:w="2139" w:type="dxa"/>
                  <w:gridSpan w:val="3"/>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≤60</w:t>
                  </w:r>
                </w:p>
              </w:tc>
              <w:tc>
                <w:tcPr>
                  <w:tcW w:w="854"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≤60</w:t>
                  </w:r>
                </w:p>
              </w:tc>
              <w:tc>
                <w:tcPr>
                  <w:tcW w:w="636"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Ex>
              <w:trPr>
                <w:trHeight w:val="90" w:hRule="atLeast"/>
                <w:jc w:val="center"/>
              </w:trPr>
              <w:tc>
                <w:tcPr>
                  <w:tcW w:w="51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2</w:t>
                  </w:r>
                </w:p>
              </w:tc>
              <w:tc>
                <w:tcPr>
                  <w:tcW w:w="3695"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NO</w:t>
                  </w:r>
                  <w:r>
                    <w:rPr>
                      <w:rFonts w:hint="default" w:ascii="Times New Roman" w:hAnsi="Times New Roman" w:eastAsia="宋体" w:cs="Times New Roman"/>
                      <w:color w:val="auto"/>
                      <w:kern w:val="2"/>
                      <w:sz w:val="18"/>
                      <w:szCs w:val="18"/>
                      <w:vertAlign w:val="subscript"/>
                      <w:lang w:val="en-US" w:eastAsia="zh-CN" w:bidi="ar"/>
                    </w:rPr>
                    <w:t>2</w:t>
                  </w:r>
                  <w:r>
                    <w:rPr>
                      <w:rFonts w:hint="eastAsia" w:ascii="Times New Roman" w:hAnsi="宋体" w:eastAsia="宋体" w:cs="宋体"/>
                      <w:color w:val="auto"/>
                      <w:kern w:val="2"/>
                      <w:sz w:val="18"/>
                      <w:szCs w:val="18"/>
                      <w:lang w:val="en-US" w:eastAsia="zh-CN" w:bidi="ar"/>
                    </w:rPr>
                    <w:t>年均浓度（</w:t>
                  </w:r>
                  <w:r>
                    <w:rPr>
                      <w:rFonts w:hint="default" w:ascii="Times New Roman" w:hAnsi="Times New Roman" w:eastAsia="宋体" w:cs="Times New Roman"/>
                      <w:color w:val="auto"/>
                      <w:kern w:val="2"/>
                      <w:sz w:val="18"/>
                      <w:szCs w:val="18"/>
                      <w:lang w:val="en-US" w:eastAsia="zh-CN" w:bidi="ar"/>
                    </w:rPr>
                    <w:t>μg/m</w:t>
                  </w:r>
                  <w:r>
                    <w:rPr>
                      <w:rFonts w:hint="default" w:ascii="Times New Roman" w:hAnsi="Times New Roman" w:eastAsia="宋体" w:cs="Times New Roman"/>
                      <w:color w:val="auto"/>
                      <w:kern w:val="2"/>
                      <w:sz w:val="18"/>
                      <w:szCs w:val="18"/>
                      <w:vertAlign w:val="superscript"/>
                      <w:lang w:val="en-US" w:eastAsia="zh-CN" w:bidi="ar"/>
                    </w:rPr>
                    <w:t>3</w:t>
                  </w:r>
                  <w:r>
                    <w:rPr>
                      <w:rFonts w:hint="eastAsia" w:ascii="Times New Roman" w:hAnsi="宋体" w:eastAsia="宋体" w:cs="宋体"/>
                      <w:color w:val="auto"/>
                      <w:kern w:val="2"/>
                      <w:sz w:val="18"/>
                      <w:szCs w:val="18"/>
                      <w:lang w:val="en-US" w:eastAsia="zh-CN" w:bidi="ar"/>
                    </w:rPr>
                    <w:t>）</w:t>
                  </w:r>
                </w:p>
              </w:tc>
              <w:tc>
                <w:tcPr>
                  <w:tcW w:w="2139" w:type="dxa"/>
                  <w:gridSpan w:val="3"/>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≤40</w:t>
                  </w:r>
                </w:p>
              </w:tc>
              <w:tc>
                <w:tcPr>
                  <w:tcW w:w="854"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≤40</w:t>
                  </w:r>
                </w:p>
              </w:tc>
              <w:tc>
                <w:tcPr>
                  <w:tcW w:w="636"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Ex>
              <w:trPr>
                <w:trHeight w:val="90" w:hRule="atLeast"/>
                <w:jc w:val="center"/>
              </w:trPr>
              <w:tc>
                <w:tcPr>
                  <w:tcW w:w="51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3</w:t>
                  </w:r>
                </w:p>
              </w:tc>
              <w:tc>
                <w:tcPr>
                  <w:tcW w:w="3695"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PM</w:t>
                  </w:r>
                  <w:r>
                    <w:rPr>
                      <w:rFonts w:hint="default" w:ascii="Times New Roman" w:hAnsi="Times New Roman" w:eastAsia="宋体" w:cs="Times New Roman"/>
                      <w:color w:val="auto"/>
                      <w:kern w:val="2"/>
                      <w:sz w:val="18"/>
                      <w:szCs w:val="18"/>
                      <w:vertAlign w:val="subscript"/>
                      <w:lang w:val="en-US" w:eastAsia="zh-CN" w:bidi="ar"/>
                    </w:rPr>
                    <w:t>10</w:t>
                  </w:r>
                  <w:r>
                    <w:rPr>
                      <w:rFonts w:hint="eastAsia" w:ascii="Times New Roman" w:hAnsi="宋体" w:eastAsia="宋体" w:cs="宋体"/>
                      <w:color w:val="auto"/>
                      <w:kern w:val="2"/>
                      <w:sz w:val="18"/>
                      <w:szCs w:val="18"/>
                      <w:lang w:val="en-US" w:eastAsia="zh-CN" w:bidi="ar"/>
                    </w:rPr>
                    <w:t>年均浓度（</w:t>
                  </w:r>
                  <w:r>
                    <w:rPr>
                      <w:rFonts w:hint="default" w:ascii="Times New Roman" w:hAnsi="Times New Roman" w:eastAsia="宋体" w:cs="Times New Roman"/>
                      <w:color w:val="auto"/>
                      <w:kern w:val="2"/>
                      <w:sz w:val="18"/>
                      <w:szCs w:val="18"/>
                      <w:lang w:val="en-US" w:eastAsia="zh-CN" w:bidi="ar"/>
                    </w:rPr>
                    <w:t>μg/m</w:t>
                  </w:r>
                  <w:r>
                    <w:rPr>
                      <w:rFonts w:hint="default" w:ascii="Times New Roman" w:hAnsi="Times New Roman" w:eastAsia="宋体" w:cs="Times New Roman"/>
                      <w:color w:val="auto"/>
                      <w:kern w:val="2"/>
                      <w:sz w:val="18"/>
                      <w:szCs w:val="18"/>
                      <w:vertAlign w:val="superscript"/>
                      <w:lang w:val="en-US" w:eastAsia="zh-CN" w:bidi="ar"/>
                    </w:rPr>
                    <w:t>3</w:t>
                  </w:r>
                  <w:r>
                    <w:rPr>
                      <w:rFonts w:hint="eastAsia" w:ascii="Times New Roman" w:hAnsi="宋体" w:eastAsia="宋体" w:cs="宋体"/>
                      <w:color w:val="auto"/>
                      <w:kern w:val="2"/>
                      <w:sz w:val="18"/>
                      <w:szCs w:val="18"/>
                      <w:lang w:val="en-US" w:eastAsia="zh-CN" w:bidi="ar"/>
                    </w:rPr>
                    <w:t>）</w:t>
                  </w:r>
                </w:p>
              </w:tc>
              <w:tc>
                <w:tcPr>
                  <w:tcW w:w="748"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w:t>
                  </w:r>
                </w:p>
              </w:tc>
              <w:tc>
                <w:tcPr>
                  <w:tcW w:w="695"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w:t>
                  </w:r>
                </w:p>
              </w:tc>
              <w:tc>
                <w:tcPr>
                  <w:tcW w:w="696"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≤70</w:t>
                  </w:r>
                </w:p>
              </w:tc>
              <w:tc>
                <w:tcPr>
                  <w:tcW w:w="854"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≤70</w:t>
                  </w:r>
                </w:p>
              </w:tc>
              <w:tc>
                <w:tcPr>
                  <w:tcW w:w="636"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Ex>
              <w:trPr>
                <w:trHeight w:val="90" w:hRule="atLeast"/>
                <w:jc w:val="center"/>
              </w:trPr>
              <w:tc>
                <w:tcPr>
                  <w:tcW w:w="51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4</w:t>
                  </w:r>
                </w:p>
              </w:tc>
              <w:tc>
                <w:tcPr>
                  <w:tcW w:w="3695"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PM</w:t>
                  </w:r>
                  <w:r>
                    <w:rPr>
                      <w:rFonts w:hint="default" w:ascii="Times New Roman" w:hAnsi="Times New Roman" w:eastAsia="宋体" w:cs="Times New Roman"/>
                      <w:color w:val="auto"/>
                      <w:kern w:val="2"/>
                      <w:sz w:val="18"/>
                      <w:szCs w:val="18"/>
                      <w:vertAlign w:val="subscript"/>
                      <w:lang w:val="en-US" w:eastAsia="zh-CN" w:bidi="ar"/>
                    </w:rPr>
                    <w:t>2.5</w:t>
                  </w:r>
                  <w:r>
                    <w:rPr>
                      <w:rFonts w:hint="eastAsia" w:ascii="Times New Roman" w:hAnsi="宋体" w:eastAsia="宋体" w:cs="宋体"/>
                      <w:color w:val="auto"/>
                      <w:kern w:val="2"/>
                      <w:sz w:val="18"/>
                      <w:szCs w:val="18"/>
                      <w:lang w:val="en-US" w:eastAsia="zh-CN" w:bidi="ar"/>
                    </w:rPr>
                    <w:t>年均浓度（</w:t>
                  </w:r>
                  <w:r>
                    <w:rPr>
                      <w:rFonts w:hint="default" w:ascii="Times New Roman" w:hAnsi="Times New Roman" w:eastAsia="宋体" w:cs="Times New Roman"/>
                      <w:color w:val="auto"/>
                      <w:kern w:val="2"/>
                      <w:sz w:val="18"/>
                      <w:szCs w:val="18"/>
                      <w:lang w:val="en-US" w:eastAsia="zh-CN" w:bidi="ar"/>
                    </w:rPr>
                    <w:t>μg/m</w:t>
                  </w:r>
                  <w:r>
                    <w:rPr>
                      <w:rFonts w:hint="default" w:ascii="Times New Roman" w:hAnsi="Times New Roman" w:eastAsia="宋体" w:cs="Times New Roman"/>
                      <w:color w:val="auto"/>
                      <w:kern w:val="2"/>
                      <w:sz w:val="18"/>
                      <w:szCs w:val="18"/>
                      <w:vertAlign w:val="superscript"/>
                      <w:lang w:val="en-US" w:eastAsia="zh-CN" w:bidi="ar"/>
                    </w:rPr>
                    <w:t>3</w:t>
                  </w:r>
                  <w:r>
                    <w:rPr>
                      <w:rFonts w:hint="eastAsia" w:ascii="Times New Roman" w:hAnsi="宋体" w:eastAsia="宋体" w:cs="宋体"/>
                      <w:color w:val="auto"/>
                      <w:kern w:val="2"/>
                      <w:sz w:val="18"/>
                      <w:szCs w:val="18"/>
                      <w:lang w:val="en-US" w:eastAsia="zh-CN" w:bidi="ar"/>
                    </w:rPr>
                    <w:t>）</w:t>
                  </w:r>
                </w:p>
              </w:tc>
              <w:tc>
                <w:tcPr>
                  <w:tcW w:w="748"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≤48.9</w:t>
                  </w:r>
                </w:p>
              </w:tc>
              <w:tc>
                <w:tcPr>
                  <w:tcW w:w="695"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≤39.9</w:t>
                  </w:r>
                </w:p>
              </w:tc>
              <w:tc>
                <w:tcPr>
                  <w:tcW w:w="696"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≤34.3</w:t>
                  </w:r>
                </w:p>
              </w:tc>
              <w:tc>
                <w:tcPr>
                  <w:tcW w:w="854"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≤35</w:t>
                  </w:r>
                </w:p>
              </w:tc>
              <w:tc>
                <w:tcPr>
                  <w:tcW w:w="636"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90" w:hRule="atLeast"/>
                <w:jc w:val="center"/>
              </w:trPr>
              <w:tc>
                <w:tcPr>
                  <w:tcW w:w="51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5</w:t>
                  </w:r>
                </w:p>
              </w:tc>
              <w:tc>
                <w:tcPr>
                  <w:tcW w:w="3695"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CO</w:t>
                  </w:r>
                  <w:r>
                    <w:rPr>
                      <w:rFonts w:hint="eastAsia" w:ascii="Times New Roman" w:hAnsi="宋体" w:eastAsia="宋体" w:cs="宋体"/>
                      <w:color w:val="auto"/>
                      <w:kern w:val="2"/>
                      <w:sz w:val="18"/>
                      <w:szCs w:val="18"/>
                      <w:lang w:val="en-US" w:eastAsia="zh-CN" w:bidi="ar"/>
                    </w:rPr>
                    <w:t>日平均值的第</w:t>
                  </w:r>
                  <w:r>
                    <w:rPr>
                      <w:rFonts w:hint="default" w:ascii="Times New Roman" w:hAnsi="Times New Roman" w:eastAsia="宋体" w:cs="Times New Roman"/>
                      <w:color w:val="auto"/>
                      <w:kern w:val="2"/>
                      <w:sz w:val="18"/>
                      <w:szCs w:val="18"/>
                      <w:lang w:val="en-US" w:eastAsia="zh-CN" w:bidi="ar"/>
                    </w:rPr>
                    <w:t>95</w:t>
                  </w:r>
                  <w:r>
                    <w:rPr>
                      <w:rFonts w:hint="eastAsia" w:ascii="Times New Roman" w:hAnsi="宋体" w:eastAsia="宋体" w:cs="宋体"/>
                      <w:color w:val="auto"/>
                      <w:kern w:val="2"/>
                      <w:sz w:val="18"/>
                      <w:szCs w:val="18"/>
                      <w:lang w:val="en-US" w:eastAsia="zh-CN" w:bidi="ar"/>
                    </w:rPr>
                    <w:t>百分位数（</w:t>
                  </w:r>
                  <w:r>
                    <w:rPr>
                      <w:rFonts w:hint="default" w:ascii="Times New Roman" w:hAnsi="Times New Roman" w:eastAsia="宋体" w:cs="Times New Roman"/>
                      <w:color w:val="auto"/>
                      <w:kern w:val="2"/>
                      <w:sz w:val="18"/>
                      <w:szCs w:val="18"/>
                      <w:lang w:val="zh-CN" w:eastAsia="zh-CN" w:bidi="ar"/>
                    </w:rPr>
                    <w:t>mg/m</w:t>
                  </w:r>
                  <w:r>
                    <w:rPr>
                      <w:rFonts w:hint="default" w:ascii="Times New Roman" w:hAnsi="Times New Roman" w:eastAsia="宋体" w:cs="Times New Roman"/>
                      <w:color w:val="auto"/>
                      <w:kern w:val="2"/>
                      <w:sz w:val="18"/>
                      <w:szCs w:val="18"/>
                      <w:vertAlign w:val="superscript"/>
                      <w:lang w:val="zh-CN" w:eastAsia="zh-CN" w:bidi="ar"/>
                    </w:rPr>
                    <w:t>3</w:t>
                  </w:r>
                  <w:r>
                    <w:rPr>
                      <w:rFonts w:hint="eastAsia" w:ascii="Times New Roman" w:hAnsi="宋体" w:eastAsia="宋体" w:cs="宋体"/>
                      <w:color w:val="auto"/>
                      <w:kern w:val="2"/>
                      <w:sz w:val="18"/>
                      <w:szCs w:val="18"/>
                      <w:lang w:val="en-US" w:eastAsia="zh-CN" w:bidi="ar"/>
                    </w:rPr>
                    <w:t>）</w:t>
                  </w:r>
                </w:p>
              </w:tc>
              <w:tc>
                <w:tcPr>
                  <w:tcW w:w="2139" w:type="dxa"/>
                  <w:gridSpan w:val="3"/>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≤4</w:t>
                  </w:r>
                </w:p>
              </w:tc>
              <w:tc>
                <w:tcPr>
                  <w:tcW w:w="854"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≤4</w:t>
                  </w:r>
                </w:p>
              </w:tc>
              <w:tc>
                <w:tcPr>
                  <w:tcW w:w="636"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约束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Ex>
              <w:trPr>
                <w:trHeight w:val="177" w:hRule="atLeast"/>
                <w:jc w:val="center"/>
              </w:trPr>
              <w:tc>
                <w:tcPr>
                  <w:tcW w:w="51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6</w:t>
                  </w:r>
                </w:p>
              </w:tc>
              <w:tc>
                <w:tcPr>
                  <w:tcW w:w="3695"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default" w:ascii="Times New Roman" w:hAnsi="Times New Roman" w:eastAsia="宋体" w:cs="Times New Roman"/>
                      <w:color w:val="auto"/>
                      <w:kern w:val="2"/>
                      <w:sz w:val="18"/>
                      <w:szCs w:val="18"/>
                      <w:lang w:val="en-US" w:eastAsia="zh-CN" w:bidi="ar"/>
                    </w:rPr>
                    <w:t>O</w:t>
                  </w:r>
                  <w:r>
                    <w:rPr>
                      <w:rFonts w:hint="default" w:ascii="Times New Roman" w:hAnsi="Times New Roman" w:eastAsia="宋体" w:cs="Times New Roman"/>
                      <w:color w:val="auto"/>
                      <w:kern w:val="2"/>
                      <w:position w:val="-2"/>
                      <w:sz w:val="18"/>
                      <w:szCs w:val="18"/>
                      <w:lang w:val="en-US" w:eastAsia="zh-CN" w:bidi="ar"/>
                    </w:rPr>
                    <w:t>3</w:t>
                  </w:r>
                  <w:r>
                    <w:rPr>
                      <w:rFonts w:hint="eastAsia" w:ascii="Times New Roman" w:hAnsi="宋体" w:eastAsia="宋体" w:cs="宋体"/>
                      <w:color w:val="auto"/>
                      <w:kern w:val="2"/>
                      <w:sz w:val="18"/>
                      <w:szCs w:val="18"/>
                      <w:lang w:val="en-US" w:eastAsia="zh-CN" w:bidi="ar"/>
                    </w:rPr>
                    <w:t>日最大</w:t>
                  </w:r>
                  <w:r>
                    <w:rPr>
                      <w:rFonts w:hint="default" w:ascii="Times New Roman" w:hAnsi="Times New Roman" w:eastAsia="宋体" w:cs="Times New Roman"/>
                      <w:color w:val="auto"/>
                      <w:kern w:val="2"/>
                      <w:sz w:val="18"/>
                      <w:szCs w:val="18"/>
                      <w:lang w:val="en-US" w:eastAsia="zh-CN" w:bidi="ar"/>
                    </w:rPr>
                    <w:t>8</w:t>
                  </w:r>
                  <w:r>
                    <w:rPr>
                      <w:rFonts w:hint="eastAsia" w:ascii="Times New Roman" w:hAnsi="宋体" w:eastAsia="宋体" w:cs="宋体"/>
                      <w:color w:val="auto"/>
                      <w:kern w:val="2"/>
                      <w:sz w:val="18"/>
                      <w:szCs w:val="18"/>
                      <w:lang w:val="en-US" w:eastAsia="zh-CN" w:bidi="ar"/>
                    </w:rPr>
                    <w:t>小时平均值的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eastAsia" w:ascii="Times New Roman" w:hAnsi="宋体" w:eastAsia="宋体" w:cs="宋体"/>
                      <w:color w:val="auto"/>
                      <w:kern w:val="2"/>
                      <w:sz w:val="18"/>
                      <w:szCs w:val="18"/>
                      <w:lang w:val="en-US" w:eastAsia="zh-CN" w:bidi="ar"/>
                    </w:rPr>
                    <w:t>第</w:t>
                  </w:r>
                  <w:r>
                    <w:rPr>
                      <w:rFonts w:hint="default" w:ascii="Times New Roman" w:hAnsi="Times New Roman" w:eastAsia="宋体" w:cs="Times New Roman"/>
                      <w:color w:val="auto"/>
                      <w:kern w:val="2"/>
                      <w:sz w:val="18"/>
                      <w:szCs w:val="18"/>
                      <w:lang w:val="en-US" w:eastAsia="zh-CN" w:bidi="ar"/>
                    </w:rPr>
                    <w:t>90</w:t>
                  </w:r>
                  <w:r>
                    <w:rPr>
                      <w:rFonts w:hint="eastAsia" w:ascii="Times New Roman" w:hAnsi="宋体" w:eastAsia="宋体" w:cs="宋体"/>
                      <w:color w:val="auto"/>
                      <w:kern w:val="2"/>
                      <w:sz w:val="18"/>
                      <w:szCs w:val="18"/>
                      <w:lang w:val="en-US" w:eastAsia="zh-CN" w:bidi="ar"/>
                    </w:rPr>
                    <w:t>百分位数（</w:t>
                  </w:r>
                  <w:r>
                    <w:rPr>
                      <w:rFonts w:hint="default" w:ascii="Times New Roman" w:hAnsi="Times New Roman" w:eastAsia="宋体" w:cs="Times New Roman"/>
                      <w:color w:val="auto"/>
                      <w:kern w:val="2"/>
                      <w:sz w:val="18"/>
                      <w:szCs w:val="18"/>
                      <w:lang w:val="en-US" w:eastAsia="zh-CN" w:bidi="ar"/>
                    </w:rPr>
                    <w:t>μg/m</w:t>
                  </w:r>
                  <w:r>
                    <w:rPr>
                      <w:rFonts w:hint="default" w:ascii="Times New Roman" w:hAnsi="Times New Roman" w:eastAsia="宋体" w:cs="Times New Roman"/>
                      <w:color w:val="auto"/>
                      <w:kern w:val="2"/>
                      <w:sz w:val="18"/>
                      <w:szCs w:val="18"/>
                      <w:vertAlign w:val="superscript"/>
                      <w:lang w:val="en-US" w:eastAsia="zh-CN" w:bidi="ar"/>
                    </w:rPr>
                    <w:t>3</w:t>
                  </w:r>
                  <w:r>
                    <w:rPr>
                      <w:rFonts w:hint="eastAsia" w:ascii="Times New Roman" w:hAnsi="宋体" w:eastAsia="宋体" w:cs="宋体"/>
                      <w:color w:val="auto"/>
                      <w:kern w:val="2"/>
                      <w:sz w:val="18"/>
                      <w:szCs w:val="18"/>
                      <w:lang w:val="en-US" w:eastAsia="zh-CN" w:bidi="ar"/>
                    </w:rPr>
                    <w:t>）</w:t>
                  </w:r>
                </w:p>
              </w:tc>
              <w:tc>
                <w:tcPr>
                  <w:tcW w:w="2139" w:type="dxa"/>
                  <w:gridSpan w:val="3"/>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≤160</w:t>
                  </w:r>
                </w:p>
              </w:tc>
              <w:tc>
                <w:tcPr>
                  <w:tcW w:w="854"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≤160</w:t>
                  </w:r>
                </w:p>
              </w:tc>
              <w:tc>
                <w:tcPr>
                  <w:tcW w:w="636"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指导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Ex>
              <w:trPr>
                <w:trHeight w:val="90" w:hRule="atLeast"/>
                <w:jc w:val="center"/>
              </w:trPr>
              <w:tc>
                <w:tcPr>
                  <w:tcW w:w="512"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7</w:t>
                  </w:r>
                </w:p>
              </w:tc>
              <w:tc>
                <w:tcPr>
                  <w:tcW w:w="3695"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firstLine="0" w:firstLineChars="0"/>
                    <w:jc w:val="center"/>
                    <w:textAlignment w:val="auto"/>
                    <w:rPr>
                      <w:rFonts w:hint="default" w:ascii="Times New Roman" w:hAnsi="Times New Roman" w:cs="Times New Roman"/>
                      <w:color w:val="auto"/>
                      <w:sz w:val="18"/>
                      <w:szCs w:val="18"/>
                      <w:lang w:val="en-US"/>
                    </w:rPr>
                  </w:pPr>
                  <w:r>
                    <w:rPr>
                      <w:rFonts w:hint="eastAsia" w:ascii="Times New Roman" w:hAnsi="宋体" w:eastAsia="宋体" w:cs="宋体"/>
                      <w:color w:val="auto"/>
                      <w:spacing w:val="21"/>
                      <w:kern w:val="2"/>
                      <w:sz w:val="18"/>
                      <w:szCs w:val="18"/>
                      <w:lang w:val="en-US" w:eastAsia="zh-CN" w:bidi="ar"/>
                    </w:rPr>
                    <w:t>空气质量优良天数比例</w:t>
                  </w:r>
                  <w:r>
                    <w:rPr>
                      <w:rFonts w:hint="eastAsia" w:ascii="Times New Roman" w:hAnsi="宋体" w:eastAsia="宋体" w:cs="宋体"/>
                      <w:color w:val="auto"/>
                      <w:kern w:val="2"/>
                      <w:sz w:val="18"/>
                      <w:szCs w:val="18"/>
                      <w:lang w:val="en-US" w:eastAsia="zh-CN" w:bidi="ar"/>
                    </w:rPr>
                    <w:t>（</w:t>
                  </w:r>
                  <w:r>
                    <w:rPr>
                      <w:rFonts w:hint="default" w:ascii="Times New Roman" w:hAnsi="Times New Roman" w:eastAsia="宋体" w:cs="Times New Roman"/>
                      <w:color w:val="auto"/>
                      <w:kern w:val="2"/>
                      <w:sz w:val="18"/>
                      <w:szCs w:val="18"/>
                      <w:lang w:val="en-US" w:eastAsia="zh-CN" w:bidi="ar"/>
                    </w:rPr>
                    <w:t>%</w:t>
                  </w:r>
                  <w:r>
                    <w:rPr>
                      <w:rFonts w:hint="eastAsia" w:ascii="Times New Roman" w:hAnsi="宋体" w:eastAsia="宋体" w:cs="宋体"/>
                      <w:color w:val="auto"/>
                      <w:kern w:val="2"/>
                      <w:sz w:val="18"/>
                      <w:szCs w:val="18"/>
                      <w:lang w:val="en-US" w:eastAsia="zh-CN" w:bidi="ar"/>
                    </w:rPr>
                    <w:t>）</w:t>
                  </w:r>
                </w:p>
              </w:tc>
              <w:tc>
                <w:tcPr>
                  <w:tcW w:w="748"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≥78.2</w:t>
                  </w:r>
                </w:p>
              </w:tc>
              <w:tc>
                <w:tcPr>
                  <w:tcW w:w="695"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≥85</w:t>
                  </w:r>
                </w:p>
              </w:tc>
              <w:tc>
                <w:tcPr>
                  <w:tcW w:w="696"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≥90</w:t>
                  </w:r>
                </w:p>
              </w:tc>
              <w:tc>
                <w:tcPr>
                  <w:tcW w:w="854"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default" w:ascii="Times New Roman" w:hAnsi="Times New Roman" w:cs="Times New Roman"/>
                      <w:color w:val="auto"/>
                      <w:spacing w:val="3"/>
                      <w:sz w:val="18"/>
                      <w:szCs w:val="18"/>
                      <w:lang w:val="en-US" w:eastAsia="zh-CN"/>
                    </w:rPr>
                    <w:t>—</w:t>
                  </w:r>
                </w:p>
              </w:tc>
              <w:tc>
                <w:tcPr>
                  <w:tcW w:w="636" w:type="dxa"/>
                  <w:tcBorders>
                    <w:top w:val="single" w:color="auto" w:sz="2" w:space="0"/>
                    <w:left w:val="single" w:color="auto" w:sz="2" w:space="0"/>
                    <w:bottom w:val="single" w:color="auto" w:sz="2" w:space="0"/>
                    <w:right w:val="single" w:color="auto" w:sz="2"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jc w:val="center"/>
                    <w:textAlignment w:val="auto"/>
                    <w:rPr>
                      <w:rFonts w:hint="default" w:ascii="Times New Roman" w:hAnsi="Times New Roman" w:cs="Times New Roman"/>
                      <w:color w:val="auto"/>
                      <w:spacing w:val="3"/>
                      <w:sz w:val="18"/>
                      <w:szCs w:val="18"/>
                      <w:lang w:val="en-US"/>
                    </w:rPr>
                  </w:pPr>
                  <w:r>
                    <w:rPr>
                      <w:rFonts w:hint="eastAsia" w:ascii="Times New Roman" w:hAnsi="Times New Roman" w:cs="Times New Roman"/>
                      <w:color w:val="auto"/>
                      <w:spacing w:val="3"/>
                      <w:sz w:val="18"/>
                      <w:szCs w:val="18"/>
                      <w:lang w:val="en-US" w:eastAsia="zh-CN"/>
                    </w:rPr>
                    <w:t>预期</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42" w:firstLineChars="200"/>
              <w:jc w:val="both"/>
              <w:textAlignment w:val="auto"/>
              <w:rPr>
                <w:rFonts w:hint="default"/>
                <w:b/>
                <w:bCs w:val="0"/>
                <w:color w:val="auto"/>
                <w:sz w:val="22"/>
                <w:szCs w:val="22"/>
                <w:lang w:val="en-US"/>
              </w:rPr>
            </w:pPr>
            <w:r>
              <w:rPr>
                <w:rFonts w:hint="eastAsia" w:ascii="Times New Roman" w:hAnsi="Times New Roman" w:eastAsia="宋体" w:cs="宋体"/>
                <w:b/>
                <w:bCs w:val="0"/>
                <w:color w:val="auto"/>
                <w:kern w:val="2"/>
                <w:sz w:val="22"/>
                <w:szCs w:val="22"/>
                <w:lang w:val="en-US" w:eastAsia="zh-CN" w:bidi="ar"/>
              </w:rPr>
              <w:t>大气质量限期达标战略：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42" w:firstLineChars="200"/>
              <w:jc w:val="both"/>
              <w:textAlignment w:val="auto"/>
              <w:rPr>
                <w:rFonts w:hint="default"/>
                <w:b/>
                <w:bCs w:val="0"/>
                <w:color w:val="auto"/>
                <w:sz w:val="22"/>
                <w:szCs w:val="22"/>
                <w:lang w:val="en-US"/>
              </w:rPr>
            </w:pPr>
            <w:r>
              <w:rPr>
                <w:rFonts w:hint="eastAsia" w:ascii="Times New Roman" w:hAnsi="Times New Roman" w:eastAsia="宋体" w:cs="宋体"/>
                <w:b/>
                <w:bCs w:val="0"/>
                <w:color w:val="auto"/>
                <w:kern w:val="2"/>
                <w:sz w:val="22"/>
                <w:szCs w:val="22"/>
                <w:lang w:val="en-US" w:eastAsia="zh-CN" w:bidi="ar"/>
              </w:rPr>
              <w:t>（</w:t>
            </w:r>
            <w:r>
              <w:rPr>
                <w:rFonts w:hint="default" w:ascii="Times New Roman" w:hAnsi="Times New Roman" w:eastAsia="宋体" w:cs="Times New Roman"/>
                <w:b/>
                <w:bCs w:val="0"/>
                <w:color w:val="auto"/>
                <w:kern w:val="2"/>
                <w:sz w:val="22"/>
                <w:szCs w:val="22"/>
                <w:lang w:val="en-US" w:eastAsia="zh-CN" w:bidi="ar"/>
              </w:rPr>
              <w:t>1</w:t>
            </w:r>
            <w:r>
              <w:rPr>
                <w:rFonts w:hint="eastAsia" w:ascii="Times New Roman" w:hAnsi="Times New Roman" w:eastAsia="宋体" w:cs="宋体"/>
                <w:b/>
                <w:bCs w:val="0"/>
                <w:color w:val="auto"/>
                <w:kern w:val="2"/>
                <w:sz w:val="22"/>
                <w:szCs w:val="22"/>
                <w:lang w:val="en-US" w:eastAsia="zh-CN" w:bidi="ar"/>
              </w:rPr>
              <w:t>）总体战略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40" w:firstLineChars="200"/>
              <w:jc w:val="both"/>
              <w:textAlignment w:val="auto"/>
              <w:rPr>
                <w:rFonts w:hint="default"/>
                <w:color w:val="auto"/>
                <w:sz w:val="22"/>
                <w:szCs w:val="22"/>
                <w:lang w:val="en-US"/>
              </w:rPr>
            </w:pPr>
            <w:r>
              <w:rPr>
                <w:rFonts w:hint="eastAsia" w:ascii="Times New Roman" w:hAnsi="Times New Roman" w:eastAsia="宋体" w:cs="宋体"/>
                <w:color w:val="auto"/>
                <w:kern w:val="2"/>
                <w:sz w:val="22"/>
                <w:szCs w:val="22"/>
                <w:lang w:val="en-US" w:eastAsia="zh-CN" w:bidi="ar"/>
              </w:rPr>
              <w:t>以大气环境质量达标为核心，以</w:t>
            </w:r>
            <w:r>
              <w:rPr>
                <w:rFonts w:hint="default" w:ascii="Times New Roman" w:hAnsi="Times New Roman" w:eastAsia="宋体" w:cs="Times New Roman"/>
                <w:color w:val="auto"/>
                <w:kern w:val="2"/>
                <w:sz w:val="22"/>
                <w:szCs w:val="22"/>
                <w:lang w:val="en-US" w:eastAsia="zh-CN" w:bidi="ar"/>
              </w:rPr>
              <w:t>PM</w:t>
            </w:r>
            <w:r>
              <w:rPr>
                <w:rFonts w:hint="default" w:ascii="Times New Roman" w:hAnsi="Times New Roman" w:eastAsia="宋体" w:cs="Times New Roman"/>
                <w:color w:val="auto"/>
                <w:kern w:val="2"/>
                <w:sz w:val="22"/>
                <w:szCs w:val="22"/>
                <w:vertAlign w:val="subscript"/>
                <w:lang w:val="en-US" w:eastAsia="zh-CN" w:bidi="ar"/>
              </w:rPr>
              <w:t>2.5</w:t>
            </w:r>
            <w:r>
              <w:rPr>
                <w:rFonts w:hint="eastAsia" w:ascii="Times New Roman" w:hAnsi="Times New Roman" w:eastAsia="宋体" w:cs="宋体"/>
                <w:color w:val="auto"/>
                <w:kern w:val="2"/>
                <w:sz w:val="22"/>
                <w:szCs w:val="22"/>
                <w:lang w:val="en-US" w:eastAsia="zh-CN" w:bidi="ar"/>
              </w:rPr>
              <w:t>作为重点控制对象，实施空气质量达标战略，包括：优化产业结构和布局，推进能源结构调整，深化火电超低排放、工业锅炉、建材行业、冶金行业治理整顿，有效控制扬尘、移动源、秸秆焚烧的污染排放，加快推进</w:t>
            </w:r>
            <w:r>
              <w:rPr>
                <w:rFonts w:hint="default" w:ascii="Times New Roman" w:hAnsi="Times New Roman" w:eastAsia="宋体" w:cs="Times New Roman"/>
                <w:color w:val="auto"/>
                <w:kern w:val="2"/>
                <w:sz w:val="22"/>
                <w:szCs w:val="22"/>
                <w:lang w:val="en-US" w:eastAsia="zh-CN" w:bidi="ar"/>
              </w:rPr>
              <w:t>VOC</w:t>
            </w:r>
            <w:r>
              <w:rPr>
                <w:rFonts w:hint="default" w:ascii="Times New Roman" w:hAnsi="Times New Roman" w:eastAsia="宋体" w:cs="Times New Roman"/>
                <w:color w:val="auto"/>
                <w:kern w:val="2"/>
                <w:sz w:val="22"/>
                <w:szCs w:val="22"/>
                <w:vertAlign w:val="subscript"/>
                <w:lang w:val="en-US" w:eastAsia="zh-CN" w:bidi="ar"/>
              </w:rPr>
              <w:t>S</w:t>
            </w:r>
            <w:r>
              <w:rPr>
                <w:rFonts w:hint="eastAsia" w:ascii="Times New Roman" w:hAnsi="Times New Roman" w:eastAsia="宋体" w:cs="宋体"/>
                <w:color w:val="auto"/>
                <w:kern w:val="2"/>
                <w:sz w:val="22"/>
                <w:szCs w:val="22"/>
                <w:lang w:val="en-US" w:eastAsia="zh-CN" w:bidi="ar"/>
              </w:rPr>
              <w:t>综合整治，促进多污染物协同控制及区域联防联控，提升大气污染精细化防控能力。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42" w:firstLineChars="200"/>
              <w:jc w:val="both"/>
              <w:textAlignment w:val="auto"/>
              <w:rPr>
                <w:rFonts w:hint="default"/>
                <w:b/>
                <w:bCs w:val="0"/>
                <w:color w:val="auto"/>
                <w:sz w:val="22"/>
                <w:szCs w:val="22"/>
                <w:lang w:val="en-US"/>
              </w:rPr>
            </w:pPr>
            <w:r>
              <w:rPr>
                <w:rFonts w:hint="eastAsia" w:ascii="Times New Roman" w:hAnsi="Times New Roman" w:eastAsia="宋体" w:cs="宋体"/>
                <w:b/>
                <w:bCs w:val="0"/>
                <w:color w:val="auto"/>
                <w:kern w:val="2"/>
                <w:sz w:val="22"/>
                <w:szCs w:val="22"/>
                <w:lang w:val="en-US" w:eastAsia="zh-CN" w:bidi="ar"/>
              </w:rPr>
              <w:t>（</w:t>
            </w:r>
            <w:r>
              <w:rPr>
                <w:rFonts w:hint="default" w:ascii="Times New Roman" w:hAnsi="Times New Roman" w:eastAsia="宋体" w:cs="Times New Roman"/>
                <w:b/>
                <w:bCs w:val="0"/>
                <w:color w:val="auto"/>
                <w:kern w:val="2"/>
                <w:sz w:val="22"/>
                <w:szCs w:val="22"/>
                <w:lang w:val="en-US" w:eastAsia="zh-CN" w:bidi="ar"/>
              </w:rPr>
              <w:t>2</w:t>
            </w:r>
            <w:r>
              <w:rPr>
                <w:rFonts w:hint="eastAsia" w:ascii="Times New Roman" w:hAnsi="Times New Roman" w:eastAsia="宋体" w:cs="宋体"/>
                <w:b/>
                <w:bCs w:val="0"/>
                <w:color w:val="auto"/>
                <w:kern w:val="2"/>
                <w:sz w:val="22"/>
                <w:szCs w:val="22"/>
                <w:lang w:val="en-US" w:eastAsia="zh-CN" w:bidi="ar"/>
              </w:rPr>
              <w:t>）分阶段战略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42" w:firstLineChars="200"/>
              <w:jc w:val="both"/>
              <w:textAlignment w:val="auto"/>
              <w:rPr>
                <w:rFonts w:hint="default"/>
                <w:color w:val="auto"/>
                <w:sz w:val="22"/>
                <w:szCs w:val="22"/>
                <w:lang w:val="en-US"/>
              </w:rPr>
            </w:pPr>
            <w:r>
              <w:rPr>
                <w:rFonts w:hint="eastAsia" w:ascii="Times New Roman" w:hAnsi="Times New Roman" w:eastAsia="宋体" w:cs="宋体"/>
                <w:b/>
                <w:bCs w:val="0"/>
                <w:color w:val="auto"/>
                <w:kern w:val="2"/>
                <w:sz w:val="22"/>
                <w:szCs w:val="22"/>
                <w:lang w:val="en-US" w:eastAsia="zh-CN" w:bidi="ar"/>
              </w:rPr>
              <w:t>近期（</w:t>
            </w:r>
            <w:r>
              <w:rPr>
                <w:rFonts w:hint="default" w:ascii="Times New Roman" w:hAnsi="Times New Roman" w:eastAsia="宋体" w:cs="Times New Roman"/>
                <w:b/>
                <w:bCs w:val="0"/>
                <w:color w:val="auto"/>
                <w:kern w:val="2"/>
                <w:sz w:val="22"/>
                <w:szCs w:val="22"/>
                <w:lang w:val="en-US" w:eastAsia="zh-CN" w:bidi="ar"/>
              </w:rPr>
              <w:t>2018-2020</w:t>
            </w:r>
            <w:r>
              <w:rPr>
                <w:rFonts w:hint="eastAsia" w:ascii="Times New Roman" w:hAnsi="Times New Roman" w:eastAsia="宋体" w:cs="宋体"/>
                <w:b/>
                <w:bCs w:val="0"/>
                <w:color w:val="auto"/>
                <w:kern w:val="2"/>
                <w:sz w:val="22"/>
                <w:szCs w:val="22"/>
                <w:lang w:val="en-US" w:eastAsia="zh-CN" w:bidi="ar"/>
              </w:rPr>
              <w:t>年）：协同减排促改善，实现空气质量初步改善。</w:t>
            </w:r>
            <w:r>
              <w:rPr>
                <w:rFonts w:hint="default" w:ascii="Times New Roman" w:hAnsi="Times New Roman" w:eastAsia="宋体" w:cs="Times New Roman"/>
                <w:color w:val="auto"/>
                <w:kern w:val="2"/>
                <w:sz w:val="22"/>
                <w:szCs w:val="22"/>
                <w:lang w:val="en-US" w:eastAsia="zh-CN" w:bidi="ar"/>
              </w:rPr>
              <w:t>“</w:t>
            </w:r>
            <w:r>
              <w:rPr>
                <w:rFonts w:hint="eastAsia" w:cs="宋体"/>
                <w:color w:val="auto"/>
                <w:kern w:val="2"/>
                <w:sz w:val="22"/>
                <w:szCs w:val="22"/>
                <w:lang w:val="en-US" w:eastAsia="zh-CN" w:bidi="ar"/>
              </w:rPr>
              <w:t>“十三五”</w:t>
            </w:r>
            <w:r>
              <w:rPr>
                <w:rFonts w:hint="default" w:ascii="Times New Roman" w:hAnsi="Times New Roman" w:eastAsia="宋体" w:cs="Times New Roman"/>
                <w:color w:val="auto"/>
                <w:kern w:val="2"/>
                <w:sz w:val="22"/>
                <w:szCs w:val="22"/>
                <w:lang w:val="en-US" w:eastAsia="zh-CN" w:bidi="ar"/>
              </w:rPr>
              <w:t>”</w:t>
            </w:r>
            <w:r>
              <w:rPr>
                <w:rFonts w:hint="eastAsia" w:ascii="Times New Roman" w:hAnsi="Times New Roman" w:eastAsia="宋体" w:cs="宋体"/>
                <w:color w:val="auto"/>
                <w:kern w:val="2"/>
                <w:sz w:val="22"/>
                <w:szCs w:val="22"/>
                <w:lang w:val="en-US" w:eastAsia="zh-CN" w:bidi="ar"/>
              </w:rPr>
              <w:t>期间，通过调整优化产业结构和布局、优化能源结构，强化污染减排，逐步推进大气污染源头控制；加快淘汰落后和化解过剩产能，提高行业准入的技术和规模门槛，减轻污染排放负荷；全面取缔、整治分散燃煤锅炉，推动煤炭清洁利用、热电联产，实现煤炭消费总量控制；将重点行业工业企业治污减排作为大气环境质量改善的重要着力点，通过提升污染物排放控制技术和管理水平、增强企业的污染治理能力等手段，大幅降低大气污染物排放量；通过淘汰黄标车、油品升级、机动车排放标准升级等综合管理措施，提升机动车综合管理水平，减少机动车尾气排放；通过控制扬尘污染、控制秸秆露天焚烧、控制餐饮油烟污染等手段深化面源综合治理，大力减少颗粒物排放量；通过全面落实</w:t>
            </w:r>
            <w:r>
              <w:rPr>
                <w:rFonts w:hint="default" w:ascii="Times New Roman" w:hAnsi="Times New Roman" w:eastAsia="宋体" w:cs="Times New Roman"/>
                <w:color w:val="auto"/>
                <w:kern w:val="2"/>
                <w:sz w:val="22"/>
                <w:szCs w:val="22"/>
                <w:lang w:val="en-US" w:eastAsia="zh-CN" w:bidi="ar"/>
              </w:rPr>
              <w:t>“</w:t>
            </w:r>
            <w:r>
              <w:rPr>
                <w:rFonts w:hint="eastAsia" w:ascii="Times New Roman" w:hAnsi="Times New Roman" w:eastAsia="宋体" w:cs="宋体"/>
                <w:color w:val="auto"/>
                <w:kern w:val="2"/>
                <w:sz w:val="22"/>
                <w:szCs w:val="22"/>
                <w:lang w:val="en-US" w:eastAsia="zh-CN" w:bidi="ar"/>
              </w:rPr>
              <w:t>减排、控煤、抑尘、治车、控秸</w:t>
            </w:r>
            <w:r>
              <w:rPr>
                <w:rFonts w:hint="default" w:ascii="Times New Roman" w:hAnsi="Times New Roman" w:eastAsia="宋体" w:cs="Times New Roman"/>
                <w:color w:val="auto"/>
                <w:kern w:val="2"/>
                <w:sz w:val="22"/>
                <w:szCs w:val="22"/>
                <w:lang w:val="en-US" w:eastAsia="zh-CN" w:bidi="ar"/>
              </w:rPr>
              <w:t>”</w:t>
            </w:r>
            <w:r>
              <w:rPr>
                <w:rFonts w:hint="eastAsia" w:ascii="Times New Roman" w:hAnsi="Times New Roman" w:eastAsia="宋体" w:cs="宋体"/>
                <w:color w:val="auto"/>
                <w:kern w:val="2"/>
                <w:sz w:val="22"/>
                <w:szCs w:val="22"/>
                <w:lang w:val="en-US" w:eastAsia="zh-CN" w:bidi="ar"/>
              </w:rPr>
              <w:t>等综合措施，切实有效减少污染物排放量。到</w:t>
            </w:r>
            <w:r>
              <w:rPr>
                <w:rFonts w:hint="default" w:ascii="Times New Roman" w:hAnsi="Times New Roman" w:eastAsia="宋体" w:cs="Times New Roman"/>
                <w:color w:val="auto"/>
                <w:kern w:val="2"/>
                <w:sz w:val="22"/>
                <w:szCs w:val="22"/>
                <w:lang w:val="en-US" w:eastAsia="zh-CN" w:bidi="ar"/>
              </w:rPr>
              <w:t>2020</w:t>
            </w:r>
            <w:r>
              <w:rPr>
                <w:rFonts w:hint="eastAsia" w:ascii="Times New Roman" w:hAnsi="Times New Roman" w:eastAsia="宋体" w:cs="宋体"/>
                <w:color w:val="auto"/>
                <w:kern w:val="2"/>
                <w:sz w:val="22"/>
                <w:szCs w:val="22"/>
                <w:lang w:val="en-US" w:eastAsia="zh-CN" w:bidi="ar"/>
              </w:rPr>
              <w:t>年，实现</w:t>
            </w:r>
            <w:r>
              <w:rPr>
                <w:rFonts w:hint="default" w:ascii="Times New Roman" w:hAnsi="Times New Roman" w:eastAsia="宋体" w:cs="Times New Roman"/>
                <w:color w:val="auto"/>
                <w:kern w:val="2"/>
                <w:sz w:val="22"/>
                <w:szCs w:val="22"/>
                <w:lang w:val="en-US" w:eastAsia="zh-CN" w:bidi="ar"/>
              </w:rPr>
              <w:t>PM</w:t>
            </w:r>
            <w:r>
              <w:rPr>
                <w:rFonts w:hint="default" w:ascii="Times New Roman" w:hAnsi="Times New Roman" w:eastAsia="宋体" w:cs="Times New Roman"/>
                <w:color w:val="auto"/>
                <w:kern w:val="2"/>
                <w:sz w:val="22"/>
                <w:szCs w:val="22"/>
                <w:vertAlign w:val="subscript"/>
                <w:lang w:val="en-US" w:eastAsia="zh-CN" w:bidi="ar"/>
              </w:rPr>
              <w:t>2.5</w:t>
            </w:r>
            <w:r>
              <w:rPr>
                <w:rFonts w:hint="eastAsia" w:ascii="Times New Roman" w:hAnsi="Times New Roman" w:eastAsia="宋体" w:cs="宋体"/>
                <w:color w:val="auto"/>
                <w:kern w:val="2"/>
                <w:sz w:val="22"/>
                <w:szCs w:val="22"/>
                <w:lang w:val="en-US" w:eastAsia="zh-CN" w:bidi="ar"/>
              </w:rPr>
              <w:t>、</w:t>
            </w:r>
            <w:r>
              <w:rPr>
                <w:rFonts w:hint="default" w:ascii="Times New Roman" w:hAnsi="Times New Roman" w:eastAsia="宋体" w:cs="Times New Roman"/>
                <w:color w:val="auto"/>
                <w:kern w:val="2"/>
                <w:sz w:val="22"/>
                <w:szCs w:val="22"/>
                <w:lang w:val="en-US" w:eastAsia="zh-CN" w:bidi="ar"/>
              </w:rPr>
              <w:t>PM</w:t>
            </w:r>
            <w:r>
              <w:rPr>
                <w:rFonts w:hint="default" w:ascii="Times New Roman" w:hAnsi="Times New Roman" w:eastAsia="宋体" w:cs="Times New Roman"/>
                <w:color w:val="auto"/>
                <w:kern w:val="2"/>
                <w:sz w:val="22"/>
                <w:szCs w:val="22"/>
                <w:vertAlign w:val="subscript"/>
                <w:lang w:val="en-US" w:eastAsia="zh-CN" w:bidi="ar"/>
              </w:rPr>
              <w:t>10</w:t>
            </w:r>
            <w:r>
              <w:rPr>
                <w:rFonts w:hint="eastAsia" w:ascii="Times New Roman" w:hAnsi="Times New Roman" w:eastAsia="宋体" w:cs="宋体"/>
                <w:color w:val="auto"/>
                <w:kern w:val="2"/>
                <w:sz w:val="22"/>
                <w:szCs w:val="22"/>
                <w:lang w:val="en-US" w:eastAsia="zh-CN" w:bidi="ar"/>
              </w:rPr>
              <w:t>浓度明显下降，其余指标全部达标，重污染天气显著降低，环境空气质量得到初步改善。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26" w:firstLineChars="200"/>
              <w:jc w:val="left"/>
              <w:textAlignment w:val="auto"/>
              <w:rPr>
                <w:rFonts w:hint="eastAsia" w:ascii="Times New Roman" w:hAnsi="Times New Roman" w:eastAsia="宋体" w:cs="Times New Roman"/>
                <w:color w:val="auto"/>
                <w:kern w:val="2"/>
                <w:sz w:val="22"/>
                <w:szCs w:val="22"/>
                <w:lang w:val="en-US" w:eastAsia="zh-CN" w:bidi="ar"/>
              </w:rPr>
            </w:pPr>
            <w:r>
              <w:rPr>
                <w:rFonts w:hint="eastAsia" w:ascii="Times New Roman" w:hAnsi="Times New Roman" w:eastAsia="宋体" w:cs="Times New Roman"/>
                <w:b/>
                <w:bCs w:val="0"/>
                <w:color w:val="auto"/>
                <w:spacing w:val="-4"/>
                <w:kern w:val="2"/>
                <w:sz w:val="22"/>
                <w:szCs w:val="22"/>
                <w:lang w:val="en-US" w:eastAsia="zh-CN" w:bidi="ar"/>
              </w:rPr>
              <w:t>中长期（</w:t>
            </w:r>
            <w:r>
              <w:rPr>
                <w:rFonts w:hint="default" w:ascii="Times New Roman" w:hAnsi="Times New Roman" w:eastAsia="宋体" w:cs="Times New Roman"/>
                <w:b/>
                <w:bCs w:val="0"/>
                <w:color w:val="auto"/>
                <w:spacing w:val="-4"/>
                <w:kern w:val="2"/>
                <w:sz w:val="22"/>
                <w:szCs w:val="22"/>
                <w:lang w:val="en-US" w:eastAsia="zh-CN" w:bidi="ar"/>
              </w:rPr>
              <w:t>2021-2030</w:t>
            </w:r>
            <w:r>
              <w:rPr>
                <w:rFonts w:hint="eastAsia" w:ascii="Times New Roman" w:hAnsi="Times New Roman" w:eastAsia="宋体" w:cs="Times New Roman"/>
                <w:b/>
                <w:bCs w:val="0"/>
                <w:color w:val="auto"/>
                <w:spacing w:val="-4"/>
                <w:kern w:val="2"/>
                <w:sz w:val="22"/>
                <w:szCs w:val="22"/>
                <w:lang w:val="en-US" w:eastAsia="zh-CN" w:bidi="ar"/>
              </w:rPr>
              <w:t>年）：调整结构促转型，力争空气质量稳定达标。</w:t>
            </w:r>
            <w:r>
              <w:rPr>
                <w:rFonts w:hint="eastAsia" w:ascii="Times New Roman" w:hAnsi="Times New Roman" w:eastAsia="宋体" w:cs="Times New Roman"/>
                <w:color w:val="auto"/>
                <w:kern w:val="2"/>
                <w:sz w:val="22"/>
                <w:szCs w:val="22"/>
                <w:lang w:val="en-US" w:eastAsia="zh-CN" w:bidi="ar"/>
              </w:rPr>
              <w:t>在不断巩固和深化</w:t>
            </w:r>
            <w:r>
              <w:rPr>
                <w:rFonts w:hint="default" w:ascii="Times New Roman" w:hAnsi="Times New Roman" w:eastAsia="宋体" w:cs="Times New Roman"/>
                <w:color w:val="auto"/>
                <w:kern w:val="2"/>
                <w:sz w:val="22"/>
                <w:szCs w:val="22"/>
                <w:lang w:val="en-US" w:eastAsia="zh-CN" w:bidi="ar"/>
              </w:rPr>
              <w:t>“</w:t>
            </w:r>
            <w:r>
              <w:rPr>
                <w:rFonts w:hint="eastAsia" w:cs="Times New Roman"/>
                <w:color w:val="auto"/>
                <w:kern w:val="2"/>
                <w:sz w:val="22"/>
                <w:szCs w:val="22"/>
                <w:lang w:val="en-US" w:eastAsia="zh-CN" w:bidi="ar"/>
              </w:rPr>
              <w:t>“十三五”</w:t>
            </w:r>
            <w:r>
              <w:rPr>
                <w:rFonts w:hint="default" w:ascii="Times New Roman" w:hAnsi="Times New Roman" w:eastAsia="宋体" w:cs="Times New Roman"/>
                <w:color w:val="auto"/>
                <w:kern w:val="2"/>
                <w:sz w:val="22"/>
                <w:szCs w:val="22"/>
                <w:lang w:val="en-US" w:eastAsia="zh-CN" w:bidi="ar"/>
              </w:rPr>
              <w:t>”</w:t>
            </w:r>
            <w:r>
              <w:rPr>
                <w:rFonts w:hint="eastAsia" w:ascii="Times New Roman" w:hAnsi="Times New Roman" w:eastAsia="宋体" w:cs="Times New Roman"/>
                <w:color w:val="auto"/>
                <w:kern w:val="2"/>
                <w:sz w:val="22"/>
                <w:szCs w:val="22"/>
                <w:lang w:val="en-US" w:eastAsia="zh-CN" w:bidi="ar"/>
              </w:rPr>
              <w:t>大气污染防治工作成效的基础上，进一步优化产业格局和严格环境准入，实施更为深入、更具针对性的减排措施，以大气环境质量达标倒逼产业转型。具体包括：逐步调整产业结构和布局；调整能源结构；优化城市功能和空间布局；发展清洁产业和循环经济；逐步实现大气污染控制从末端治理到源头控制过渡，强化源头控制等。以空间格局及产业布局优化为切入点，通过严格环境准入、企业搬迁、落后产能淘汰等差别化管理倒逼能源结构和产业结构优化升级，引导经济绿色低碳、循环发展。通过全面落实更为深入、更具针对性的大气污染防治措施，力争到</w:t>
            </w:r>
            <w:r>
              <w:rPr>
                <w:rFonts w:hint="default" w:ascii="Times New Roman" w:hAnsi="Times New Roman" w:eastAsia="宋体" w:cs="Times New Roman"/>
                <w:color w:val="auto"/>
                <w:kern w:val="2"/>
                <w:sz w:val="22"/>
                <w:szCs w:val="22"/>
                <w:lang w:val="en-US" w:eastAsia="zh-CN" w:bidi="ar"/>
              </w:rPr>
              <w:t>2030</w:t>
            </w:r>
            <w:r>
              <w:rPr>
                <w:rFonts w:hint="eastAsia" w:ascii="Times New Roman" w:hAnsi="Times New Roman" w:eastAsia="宋体" w:cs="Times New Roman"/>
                <w:color w:val="auto"/>
                <w:kern w:val="2"/>
                <w:sz w:val="22"/>
                <w:szCs w:val="22"/>
                <w:lang w:val="en-US" w:eastAsia="zh-CN" w:bidi="ar"/>
              </w:rPr>
              <w:t>年实现空气质量稳定达标。</w:t>
            </w:r>
          </w:p>
          <w:p>
            <w:pPr>
              <w:keepNext w:val="0"/>
              <w:keepLines w:val="0"/>
              <w:suppressLineNumbers w:val="0"/>
              <w:spacing w:before="0" w:beforeAutospacing="0" w:after="0" w:afterAutospacing="0" w:line="400" w:lineRule="exact"/>
              <w:ind w:left="420" w:leftChars="200" w:right="0" w:firstLine="4" w:firstLineChars="2"/>
              <w:rPr>
                <w:rFonts w:hint="default" w:cs="宋体"/>
                <w:b/>
                <w:color w:val="auto"/>
                <w:kern w:val="0"/>
                <w:szCs w:val="21"/>
              </w:rPr>
            </w:pPr>
            <w:r>
              <w:rPr>
                <w:rFonts w:hint="default" w:cs="宋体"/>
                <w:b/>
                <w:color w:val="auto"/>
                <w:kern w:val="0"/>
                <w:szCs w:val="21"/>
              </w:rPr>
              <w:t xml:space="preserve"> （</w:t>
            </w:r>
            <w:r>
              <w:rPr>
                <w:rFonts w:hint="eastAsia" w:cs="宋体"/>
                <w:b/>
                <w:color w:val="auto"/>
                <w:kern w:val="0"/>
                <w:szCs w:val="21"/>
              </w:rPr>
              <w:t>2</w:t>
            </w:r>
            <w:r>
              <w:rPr>
                <w:rFonts w:hint="default" w:cs="宋体"/>
                <w:b/>
                <w:color w:val="auto"/>
                <w:kern w:val="0"/>
                <w:szCs w:val="21"/>
              </w:rPr>
              <w:t>）特征因子补充监测评价</w:t>
            </w:r>
          </w:p>
          <w:p>
            <w:pPr>
              <w:keepNext w:val="0"/>
              <w:keepLines w:val="0"/>
              <w:suppressLineNumbers w:val="0"/>
              <w:spacing w:before="0" w:beforeAutospacing="0" w:after="0" w:afterAutospacing="0" w:line="400" w:lineRule="exact"/>
              <w:ind w:left="0" w:right="0" w:firstLine="424" w:firstLineChars="202"/>
              <w:rPr>
                <w:rFonts w:hint="default" w:cs="宋体"/>
                <w:color w:val="auto"/>
                <w:kern w:val="0"/>
                <w:szCs w:val="21"/>
              </w:rPr>
            </w:pPr>
            <w:r>
              <w:rPr>
                <w:rFonts w:hint="eastAsia" w:cs="宋体"/>
                <w:color w:val="auto"/>
                <w:kern w:val="0"/>
                <w:szCs w:val="21"/>
              </w:rPr>
              <w:t>四川融华环境检测有限公司于202</w:t>
            </w:r>
            <w:r>
              <w:rPr>
                <w:rFonts w:hint="eastAsia" w:cs="宋体"/>
                <w:color w:val="auto"/>
                <w:kern w:val="0"/>
                <w:szCs w:val="21"/>
                <w:lang w:val="en-US" w:eastAsia="zh-CN"/>
              </w:rPr>
              <w:t>4</w:t>
            </w:r>
            <w:r>
              <w:rPr>
                <w:rFonts w:hint="eastAsia" w:cs="宋体"/>
                <w:color w:val="auto"/>
                <w:kern w:val="0"/>
                <w:szCs w:val="21"/>
              </w:rPr>
              <w:t>年</w:t>
            </w:r>
            <w:r>
              <w:rPr>
                <w:rFonts w:hint="eastAsia" w:cs="宋体"/>
                <w:color w:val="auto"/>
                <w:kern w:val="0"/>
                <w:szCs w:val="21"/>
                <w:lang w:val="en-US" w:eastAsia="zh-CN"/>
              </w:rPr>
              <w:t>5</w:t>
            </w:r>
            <w:r>
              <w:rPr>
                <w:rFonts w:hint="eastAsia" w:cs="宋体"/>
                <w:color w:val="auto"/>
                <w:kern w:val="0"/>
                <w:szCs w:val="21"/>
              </w:rPr>
              <w:t>月</w:t>
            </w:r>
            <w:r>
              <w:rPr>
                <w:rFonts w:hint="eastAsia" w:cs="宋体"/>
                <w:color w:val="auto"/>
                <w:kern w:val="0"/>
                <w:szCs w:val="21"/>
                <w:lang w:val="en-US" w:eastAsia="zh-CN"/>
              </w:rPr>
              <w:t>21</w:t>
            </w:r>
            <w:r>
              <w:rPr>
                <w:rFonts w:hint="eastAsia" w:cs="宋体"/>
                <w:color w:val="auto"/>
                <w:kern w:val="0"/>
                <w:szCs w:val="21"/>
              </w:rPr>
              <w:t>日~</w:t>
            </w:r>
            <w:r>
              <w:rPr>
                <w:rFonts w:hint="eastAsia" w:cs="宋体"/>
                <w:color w:val="auto"/>
                <w:kern w:val="0"/>
                <w:szCs w:val="21"/>
                <w:lang w:val="en-US" w:eastAsia="zh-CN"/>
              </w:rPr>
              <w:t>5</w:t>
            </w:r>
            <w:r>
              <w:rPr>
                <w:rFonts w:hint="eastAsia" w:cs="宋体"/>
                <w:color w:val="auto"/>
                <w:kern w:val="0"/>
                <w:szCs w:val="21"/>
              </w:rPr>
              <w:t>月</w:t>
            </w:r>
            <w:r>
              <w:rPr>
                <w:rFonts w:hint="default" w:cs="宋体"/>
                <w:color w:val="auto"/>
                <w:kern w:val="0"/>
                <w:szCs w:val="21"/>
              </w:rPr>
              <w:t>2</w:t>
            </w:r>
            <w:r>
              <w:rPr>
                <w:rFonts w:hint="eastAsia" w:cs="宋体"/>
                <w:color w:val="auto"/>
                <w:kern w:val="0"/>
                <w:szCs w:val="21"/>
                <w:lang w:val="en-US" w:eastAsia="zh-CN"/>
              </w:rPr>
              <w:t>3</w:t>
            </w:r>
            <w:r>
              <w:rPr>
                <w:rFonts w:hint="eastAsia" w:cs="宋体"/>
                <w:color w:val="auto"/>
                <w:kern w:val="0"/>
                <w:szCs w:val="21"/>
              </w:rPr>
              <w:t>日对项目区的环境空气质量进行现状监测。监测因子：TSP。监测点位：项目区内</w:t>
            </w:r>
            <w:r>
              <w:rPr>
                <w:rFonts w:hint="eastAsia" w:cs="宋体"/>
                <w:color w:val="auto"/>
                <w:kern w:val="0"/>
                <w:szCs w:val="21"/>
                <w:lang w:val="en-US" w:eastAsia="zh-CN"/>
              </w:rPr>
              <w:t>下风向处</w:t>
            </w:r>
            <w:r>
              <w:rPr>
                <w:rFonts w:hint="eastAsia" w:cs="宋体"/>
                <w:color w:val="auto"/>
                <w:kern w:val="0"/>
                <w:szCs w:val="21"/>
              </w:rPr>
              <w:t>。监测频次：连续检测3天，每天采样1次，取日均值。</w:t>
            </w:r>
            <w:r>
              <w:rPr>
                <w:rFonts w:hint="default" w:cs="宋体"/>
                <w:color w:val="auto"/>
                <w:kern w:val="0"/>
                <w:szCs w:val="21"/>
              </w:rPr>
              <w:t>评价标准：采用</w:t>
            </w:r>
            <w:r>
              <w:rPr>
                <w:rFonts w:hint="eastAsia" w:cs="宋体"/>
                <w:color w:val="auto"/>
                <w:kern w:val="0"/>
                <w:szCs w:val="21"/>
              </w:rPr>
              <w:t>《环境空气质量标准》（GB 3095-2012）的限值要求</w:t>
            </w:r>
            <w:r>
              <w:rPr>
                <w:rFonts w:hint="default" w:cs="宋体"/>
                <w:color w:val="auto"/>
                <w:kern w:val="0"/>
                <w:szCs w:val="21"/>
              </w:rPr>
              <w:t>。</w:t>
            </w:r>
          </w:p>
          <w:p>
            <w:pPr>
              <w:keepNext w:val="0"/>
              <w:keepLines w:val="0"/>
              <w:suppressLineNumbers w:val="0"/>
              <w:spacing w:before="0" w:beforeAutospacing="0" w:after="0" w:afterAutospacing="0" w:line="400" w:lineRule="exact"/>
              <w:ind w:left="0" w:right="0" w:firstLine="424" w:firstLineChars="202"/>
              <w:rPr>
                <w:rFonts w:hint="default" w:cs="宋体"/>
                <w:color w:val="auto"/>
                <w:kern w:val="0"/>
                <w:szCs w:val="21"/>
              </w:rPr>
            </w:pPr>
            <w:r>
              <w:rPr>
                <w:rFonts w:hint="eastAsia" w:cs="宋体"/>
                <w:color w:val="auto"/>
                <w:kern w:val="0"/>
                <w:szCs w:val="21"/>
              </w:rPr>
              <w:t>监测结果及评价结果如下表：</w:t>
            </w:r>
          </w:p>
          <w:p>
            <w:pPr>
              <w:keepNext w:val="0"/>
              <w:keepLines w:val="0"/>
              <w:suppressLineNumbers w:val="0"/>
              <w:spacing w:before="0" w:beforeAutospacing="0" w:after="0" w:afterAutospacing="0" w:line="400" w:lineRule="exact"/>
              <w:ind w:left="-53" w:leftChars="-25" w:right="-53" w:rightChars="-25"/>
              <w:jc w:val="center"/>
              <w:rPr>
                <w:rFonts w:hint="default" w:eastAsia="黑体"/>
                <w:color w:val="auto"/>
                <w:sz w:val="18"/>
                <w:szCs w:val="18"/>
              </w:rPr>
            </w:pPr>
            <w:r>
              <w:rPr>
                <w:rFonts w:hint="default" w:ascii="黑体" w:hAnsi="黑体" w:eastAsia="黑体"/>
                <w:color w:val="auto"/>
                <w:sz w:val="18"/>
                <w:szCs w:val="18"/>
              </w:rPr>
              <w:t>表</w:t>
            </w:r>
            <w:r>
              <w:rPr>
                <w:rFonts w:hint="eastAsia" w:eastAsia="黑体"/>
                <w:color w:val="auto"/>
                <w:sz w:val="18"/>
                <w:szCs w:val="18"/>
              </w:rPr>
              <w:t>3-</w:t>
            </w:r>
            <w:r>
              <w:rPr>
                <w:rFonts w:hint="eastAsia" w:eastAsia="黑体"/>
                <w:color w:val="auto"/>
                <w:sz w:val="18"/>
                <w:szCs w:val="18"/>
                <w:lang w:val="en-US" w:eastAsia="zh-CN"/>
              </w:rPr>
              <w:t>3</w:t>
            </w:r>
            <w:r>
              <w:rPr>
                <w:rFonts w:hint="eastAsia" w:eastAsia="黑体"/>
                <w:color w:val="auto"/>
                <w:sz w:val="18"/>
                <w:szCs w:val="18"/>
              </w:rPr>
              <w:t xml:space="preserve">    </w:t>
            </w:r>
            <w:r>
              <w:rPr>
                <w:rFonts w:hint="default" w:ascii="黑体" w:hAnsi="黑体" w:eastAsia="黑体"/>
                <w:color w:val="auto"/>
                <w:sz w:val="18"/>
                <w:szCs w:val="18"/>
              </w:rPr>
              <w:t>环境空气（</w:t>
            </w:r>
            <w:r>
              <w:rPr>
                <w:rFonts w:hint="eastAsia" w:eastAsia="黑体"/>
                <w:color w:val="auto"/>
                <w:sz w:val="18"/>
                <w:szCs w:val="18"/>
              </w:rPr>
              <w:t>TSP</w:t>
            </w:r>
            <w:r>
              <w:rPr>
                <w:rFonts w:hint="default" w:ascii="黑体" w:hAnsi="黑体" w:eastAsia="黑体"/>
                <w:color w:val="auto"/>
                <w:sz w:val="18"/>
                <w:szCs w:val="18"/>
              </w:rPr>
              <w:t>）现状评价结果表</w:t>
            </w:r>
          </w:p>
          <w:tbl>
            <w:tblPr>
              <w:tblStyle w:val="14"/>
              <w:tblW w:w="76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88"/>
              <w:gridCol w:w="1294"/>
              <w:gridCol w:w="1294"/>
              <w:gridCol w:w="1410"/>
              <w:gridCol w:w="1129"/>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142" w:hRule="atLeast"/>
                <w:jc w:val="center"/>
              </w:trPr>
              <w:tc>
                <w:tcPr>
                  <w:tcW w:w="1388"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b/>
                      <w:bCs/>
                      <w:color w:val="auto"/>
                      <w:sz w:val="18"/>
                    </w:rPr>
                  </w:pPr>
                  <w:r>
                    <w:rPr>
                      <w:rFonts w:hint="default" w:ascii="宋体" w:hAnsi="宋体"/>
                      <w:b/>
                      <w:bCs/>
                      <w:color w:val="auto"/>
                      <w:sz w:val="18"/>
                    </w:rPr>
                    <w:t>监测点位</w:t>
                  </w:r>
                </w:p>
              </w:tc>
              <w:tc>
                <w:tcPr>
                  <w:tcW w:w="1294"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b/>
                      <w:bCs/>
                      <w:color w:val="auto"/>
                      <w:sz w:val="18"/>
                    </w:rPr>
                  </w:pPr>
                  <w:r>
                    <w:rPr>
                      <w:rFonts w:hint="default" w:ascii="宋体" w:hAnsi="宋体"/>
                      <w:b/>
                      <w:bCs/>
                      <w:color w:val="auto"/>
                      <w:sz w:val="18"/>
                    </w:rPr>
                    <w:t>监测日期</w:t>
                  </w:r>
                </w:p>
              </w:tc>
              <w:tc>
                <w:tcPr>
                  <w:tcW w:w="1294"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b/>
                      <w:bCs/>
                      <w:color w:val="auto"/>
                      <w:sz w:val="18"/>
                    </w:rPr>
                  </w:pPr>
                  <w:r>
                    <w:rPr>
                      <w:rFonts w:hint="eastAsia" w:ascii="宋体" w:hAnsi="宋体"/>
                      <w:b/>
                      <w:bCs/>
                      <w:color w:val="auto"/>
                      <w:sz w:val="18"/>
                    </w:rPr>
                    <w:t>监测结果</w:t>
                  </w:r>
                </w:p>
              </w:tc>
              <w:tc>
                <w:tcPr>
                  <w:tcW w:w="1410"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b/>
                      <w:bCs/>
                      <w:color w:val="auto"/>
                      <w:sz w:val="18"/>
                    </w:rPr>
                  </w:pPr>
                  <w:r>
                    <w:rPr>
                      <w:rFonts w:hint="default" w:ascii="宋体" w:hAnsi="宋体"/>
                      <w:b/>
                      <w:bCs/>
                      <w:color w:val="auto"/>
                      <w:sz w:val="18"/>
                    </w:rPr>
                    <w:t>标准值</w:t>
                  </w:r>
                </w:p>
              </w:tc>
              <w:tc>
                <w:tcPr>
                  <w:tcW w:w="1129"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b/>
                      <w:bCs/>
                      <w:color w:val="auto"/>
                      <w:sz w:val="18"/>
                    </w:rPr>
                  </w:pPr>
                  <w:r>
                    <w:rPr>
                      <w:rFonts w:hint="default" w:ascii="宋体" w:hAnsi="宋体"/>
                      <w:b/>
                      <w:bCs/>
                      <w:color w:val="auto"/>
                      <w:sz w:val="18"/>
                    </w:rPr>
                    <w:t>占标率</w:t>
                  </w:r>
                </w:p>
              </w:tc>
              <w:tc>
                <w:tcPr>
                  <w:tcW w:w="1146"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hAnsi="宋体"/>
                      <w:b/>
                      <w:bCs/>
                      <w:color w:val="auto"/>
                      <w:sz w:val="18"/>
                    </w:rPr>
                  </w:pPr>
                  <w:r>
                    <w:rPr>
                      <w:rFonts w:hint="default" w:ascii="宋体" w:hAnsi="宋体"/>
                      <w:b/>
                      <w:bCs/>
                      <w:color w:val="auto"/>
                      <w:sz w:val="18"/>
                    </w:rPr>
                    <w:t>超标率（</w:t>
                  </w:r>
                  <w:r>
                    <w:rPr>
                      <w:rFonts w:hint="default"/>
                      <w:b/>
                      <w:bCs/>
                      <w:color w:val="auto"/>
                      <w:sz w:val="18"/>
                    </w:rPr>
                    <w:t>%</w:t>
                  </w:r>
                  <w:r>
                    <w:rPr>
                      <w:rFonts w:hint="default" w:ascii="宋体" w:hAnsi="宋体"/>
                      <w:b/>
                      <w:bCs/>
                      <w:color w:val="auto"/>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142" w:hRule="atLeast"/>
                <w:jc w:val="center"/>
              </w:trPr>
              <w:tc>
                <w:tcPr>
                  <w:tcW w:w="1388" w:type="dxa"/>
                  <w:vMerge w:val="restart"/>
                  <w:vAlign w:val="center"/>
                </w:tcPr>
                <w:p>
                  <w:pPr>
                    <w:keepNext w:val="0"/>
                    <w:keepLines w:val="0"/>
                    <w:widowControl/>
                    <w:suppressLineNumbers w:val="0"/>
                    <w:spacing w:before="0" w:beforeAutospacing="0" w:after="0" w:afterAutospacing="0" w:line="320" w:lineRule="exact"/>
                    <w:ind w:left="0" w:right="0"/>
                    <w:jc w:val="center"/>
                    <w:rPr>
                      <w:rFonts w:hint="default"/>
                      <w:color w:val="auto"/>
                      <w:sz w:val="18"/>
                    </w:rPr>
                  </w:pPr>
                  <w:r>
                    <w:rPr>
                      <w:rFonts w:hint="eastAsia" w:ascii="宋体" w:hAnsi="宋体"/>
                      <w:color w:val="auto"/>
                      <w:sz w:val="18"/>
                    </w:rPr>
                    <w:t>项目区内</w:t>
                  </w:r>
                </w:p>
              </w:tc>
              <w:tc>
                <w:tcPr>
                  <w:tcW w:w="1294" w:type="dxa"/>
                  <w:vAlign w:val="center"/>
                </w:tcPr>
                <w:p>
                  <w:pPr>
                    <w:keepNext w:val="0"/>
                    <w:keepLines w:val="0"/>
                    <w:suppressLineNumbers w:val="0"/>
                    <w:adjustRightInd w:val="0"/>
                    <w:snapToGrid w:val="0"/>
                    <w:spacing w:before="0" w:beforeAutospacing="0" w:after="0" w:afterAutospacing="0" w:line="320" w:lineRule="exact"/>
                    <w:ind w:left="-105" w:leftChars="-50" w:right="-105" w:rightChars="-50"/>
                    <w:jc w:val="center"/>
                    <w:rPr>
                      <w:rFonts w:hint="default" w:eastAsia="宋体"/>
                      <w:color w:val="auto"/>
                      <w:sz w:val="18"/>
                      <w:lang w:val="en-US" w:eastAsia="zh-CN"/>
                    </w:rPr>
                  </w:pPr>
                  <w:r>
                    <w:rPr>
                      <w:rFonts w:hint="eastAsia"/>
                      <w:color w:val="auto"/>
                      <w:sz w:val="18"/>
                    </w:rPr>
                    <w:t>202</w:t>
                  </w:r>
                  <w:r>
                    <w:rPr>
                      <w:rFonts w:hint="eastAsia"/>
                      <w:color w:val="auto"/>
                      <w:sz w:val="18"/>
                      <w:lang w:val="en-US" w:eastAsia="zh-CN"/>
                    </w:rPr>
                    <w:t>4.5.21</w:t>
                  </w:r>
                </w:p>
              </w:tc>
              <w:tc>
                <w:tcPr>
                  <w:tcW w:w="1294" w:type="dxa"/>
                  <w:vAlign w:val="center"/>
                </w:tcPr>
                <w:p>
                  <w:pPr>
                    <w:keepNext w:val="0"/>
                    <w:keepLines w:val="0"/>
                    <w:suppressLineNumbers w:val="0"/>
                    <w:spacing w:before="0" w:beforeAutospacing="0" w:after="0" w:afterAutospacing="0" w:line="320" w:lineRule="exact"/>
                    <w:ind w:left="-105" w:leftChars="-50" w:right="-105" w:rightChars="-50"/>
                    <w:jc w:val="center"/>
                    <w:rPr>
                      <w:rFonts w:hint="default"/>
                      <w:color w:val="auto"/>
                      <w:sz w:val="18"/>
                    </w:rPr>
                  </w:pPr>
                  <w:r>
                    <w:rPr>
                      <w:rFonts w:hint="eastAsia"/>
                      <w:color w:val="auto"/>
                      <w:sz w:val="18"/>
                      <w:lang w:val="en-US" w:eastAsia="zh-CN"/>
                    </w:rPr>
                    <w:t>232</w:t>
                  </w:r>
                  <w:r>
                    <w:rPr>
                      <w:rFonts w:hint="default"/>
                      <w:color w:val="auto"/>
                      <w:sz w:val="18"/>
                    </w:rPr>
                    <w:t>ug/m</w:t>
                  </w:r>
                  <w:r>
                    <w:rPr>
                      <w:rFonts w:hint="default"/>
                      <w:color w:val="auto"/>
                      <w:sz w:val="18"/>
                      <w:vertAlign w:val="superscript"/>
                    </w:rPr>
                    <w:t>3</w:t>
                  </w:r>
                </w:p>
              </w:tc>
              <w:tc>
                <w:tcPr>
                  <w:tcW w:w="1410"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300u</w:t>
                  </w:r>
                  <w:r>
                    <w:rPr>
                      <w:rFonts w:hint="default"/>
                      <w:color w:val="auto"/>
                      <w:sz w:val="18"/>
                    </w:rPr>
                    <w:t>g/m</w:t>
                  </w:r>
                  <w:r>
                    <w:rPr>
                      <w:rFonts w:hint="default"/>
                      <w:color w:val="auto"/>
                      <w:sz w:val="18"/>
                      <w:vertAlign w:val="superscript"/>
                    </w:rPr>
                    <w:t>3</w:t>
                  </w:r>
                </w:p>
              </w:tc>
              <w:tc>
                <w:tcPr>
                  <w:tcW w:w="1129"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lang w:val="en-US" w:eastAsia="zh-CN"/>
                    </w:rPr>
                    <w:t>77</w:t>
                  </w:r>
                  <w:r>
                    <w:rPr>
                      <w:rFonts w:hint="eastAsia"/>
                      <w:color w:val="auto"/>
                      <w:sz w:val="18"/>
                    </w:rPr>
                    <w:t>.33%</w:t>
                  </w:r>
                </w:p>
              </w:tc>
              <w:tc>
                <w:tcPr>
                  <w:tcW w:w="1146"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142" w:hRule="atLeast"/>
                <w:jc w:val="center"/>
              </w:trPr>
              <w:tc>
                <w:tcPr>
                  <w:tcW w:w="1388" w:type="dxa"/>
                  <w:vMerge w:val="continue"/>
                  <w:vAlign w:val="center"/>
                </w:tcPr>
                <w:p>
                  <w:pPr>
                    <w:keepNext w:val="0"/>
                    <w:keepLines w:val="0"/>
                    <w:widowControl/>
                    <w:suppressLineNumbers w:val="0"/>
                    <w:spacing w:before="0" w:beforeAutospacing="0" w:after="0" w:afterAutospacing="0"/>
                    <w:ind w:left="0" w:right="0"/>
                    <w:jc w:val="center"/>
                    <w:rPr>
                      <w:rFonts w:hint="default"/>
                      <w:color w:val="auto"/>
                      <w:sz w:val="18"/>
                    </w:rPr>
                  </w:pPr>
                </w:p>
              </w:tc>
              <w:tc>
                <w:tcPr>
                  <w:tcW w:w="1294" w:type="dxa"/>
                  <w:vAlign w:val="center"/>
                </w:tcPr>
                <w:p>
                  <w:pPr>
                    <w:keepNext w:val="0"/>
                    <w:keepLines w:val="0"/>
                    <w:suppressLineNumbers w:val="0"/>
                    <w:adjustRightInd w:val="0"/>
                    <w:snapToGrid w:val="0"/>
                    <w:spacing w:before="0" w:beforeAutospacing="0" w:after="0" w:afterAutospacing="0" w:line="320" w:lineRule="exact"/>
                    <w:ind w:left="-105" w:leftChars="-50" w:right="-105" w:rightChars="-50"/>
                    <w:jc w:val="center"/>
                    <w:rPr>
                      <w:rFonts w:hint="default"/>
                      <w:color w:val="auto"/>
                      <w:sz w:val="18"/>
                    </w:rPr>
                  </w:pPr>
                  <w:r>
                    <w:rPr>
                      <w:rFonts w:hint="eastAsia"/>
                      <w:color w:val="auto"/>
                      <w:sz w:val="18"/>
                    </w:rPr>
                    <w:t>202</w:t>
                  </w:r>
                  <w:r>
                    <w:rPr>
                      <w:rFonts w:hint="eastAsia"/>
                      <w:color w:val="auto"/>
                      <w:sz w:val="18"/>
                      <w:lang w:val="en-US" w:eastAsia="zh-CN"/>
                    </w:rPr>
                    <w:t>4.5.22</w:t>
                  </w:r>
                </w:p>
              </w:tc>
              <w:tc>
                <w:tcPr>
                  <w:tcW w:w="1294" w:type="dxa"/>
                  <w:vAlign w:val="center"/>
                </w:tcPr>
                <w:p>
                  <w:pPr>
                    <w:keepNext w:val="0"/>
                    <w:keepLines w:val="0"/>
                    <w:suppressLineNumbers w:val="0"/>
                    <w:spacing w:before="0" w:beforeAutospacing="0" w:after="0" w:afterAutospacing="0" w:line="320" w:lineRule="exact"/>
                    <w:ind w:left="-105" w:leftChars="-50" w:right="-105" w:rightChars="-50"/>
                    <w:jc w:val="center"/>
                    <w:rPr>
                      <w:rFonts w:hint="default"/>
                      <w:color w:val="auto"/>
                      <w:sz w:val="18"/>
                    </w:rPr>
                  </w:pPr>
                  <w:r>
                    <w:rPr>
                      <w:rFonts w:hint="eastAsia"/>
                      <w:color w:val="auto"/>
                      <w:sz w:val="18"/>
                      <w:lang w:val="en-US" w:eastAsia="zh-CN"/>
                    </w:rPr>
                    <w:t>283</w:t>
                  </w:r>
                  <w:r>
                    <w:rPr>
                      <w:rFonts w:hint="default"/>
                      <w:color w:val="auto"/>
                      <w:sz w:val="18"/>
                    </w:rPr>
                    <w:t>ug/m</w:t>
                  </w:r>
                  <w:r>
                    <w:rPr>
                      <w:rFonts w:hint="default"/>
                      <w:color w:val="auto"/>
                      <w:sz w:val="18"/>
                      <w:vertAlign w:val="superscript"/>
                    </w:rPr>
                    <w:t>3</w:t>
                  </w:r>
                </w:p>
              </w:tc>
              <w:tc>
                <w:tcPr>
                  <w:tcW w:w="1410"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300u</w:t>
                  </w:r>
                  <w:r>
                    <w:rPr>
                      <w:rFonts w:hint="default"/>
                      <w:color w:val="auto"/>
                      <w:sz w:val="18"/>
                    </w:rPr>
                    <w:t>g/m</w:t>
                  </w:r>
                  <w:r>
                    <w:rPr>
                      <w:rFonts w:hint="default"/>
                      <w:color w:val="auto"/>
                      <w:sz w:val="18"/>
                      <w:vertAlign w:val="superscript"/>
                    </w:rPr>
                    <w:t>3</w:t>
                  </w:r>
                </w:p>
              </w:tc>
              <w:tc>
                <w:tcPr>
                  <w:tcW w:w="1129"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lang w:val="en-US" w:eastAsia="zh-CN"/>
                    </w:rPr>
                    <w:t>94.33</w:t>
                  </w:r>
                  <w:r>
                    <w:rPr>
                      <w:rFonts w:hint="eastAsia"/>
                      <w:color w:val="auto"/>
                      <w:sz w:val="18"/>
                    </w:rPr>
                    <w:t>%</w:t>
                  </w:r>
                </w:p>
              </w:tc>
              <w:tc>
                <w:tcPr>
                  <w:tcW w:w="1146"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150" w:hRule="atLeast"/>
                <w:jc w:val="center"/>
              </w:trPr>
              <w:tc>
                <w:tcPr>
                  <w:tcW w:w="1388" w:type="dxa"/>
                  <w:vMerge w:val="continue"/>
                  <w:vAlign w:val="center"/>
                </w:tcPr>
                <w:p>
                  <w:pPr>
                    <w:keepNext w:val="0"/>
                    <w:keepLines w:val="0"/>
                    <w:widowControl/>
                    <w:suppressLineNumbers w:val="0"/>
                    <w:spacing w:before="0" w:beforeAutospacing="0" w:after="0" w:afterAutospacing="0"/>
                    <w:ind w:left="0" w:right="0"/>
                    <w:jc w:val="center"/>
                    <w:rPr>
                      <w:rFonts w:hint="default"/>
                      <w:color w:val="auto"/>
                      <w:sz w:val="18"/>
                    </w:rPr>
                  </w:pPr>
                </w:p>
              </w:tc>
              <w:tc>
                <w:tcPr>
                  <w:tcW w:w="1294" w:type="dxa"/>
                  <w:vAlign w:val="center"/>
                </w:tcPr>
                <w:p>
                  <w:pPr>
                    <w:keepNext w:val="0"/>
                    <w:keepLines w:val="0"/>
                    <w:suppressLineNumbers w:val="0"/>
                    <w:adjustRightInd w:val="0"/>
                    <w:snapToGrid w:val="0"/>
                    <w:spacing w:before="0" w:beforeAutospacing="0" w:after="0" w:afterAutospacing="0" w:line="320" w:lineRule="exact"/>
                    <w:ind w:left="-105" w:leftChars="-50" w:right="-105" w:rightChars="-50"/>
                    <w:jc w:val="center"/>
                    <w:rPr>
                      <w:rFonts w:hint="default"/>
                      <w:color w:val="auto"/>
                      <w:sz w:val="18"/>
                      <w:lang w:val="en-US"/>
                    </w:rPr>
                  </w:pPr>
                  <w:r>
                    <w:rPr>
                      <w:rFonts w:hint="eastAsia"/>
                      <w:color w:val="auto"/>
                      <w:sz w:val="18"/>
                    </w:rPr>
                    <w:t>202</w:t>
                  </w:r>
                  <w:r>
                    <w:rPr>
                      <w:rFonts w:hint="eastAsia"/>
                      <w:color w:val="auto"/>
                      <w:sz w:val="18"/>
                      <w:lang w:val="en-US" w:eastAsia="zh-CN"/>
                    </w:rPr>
                    <w:t>4.5.23</w:t>
                  </w:r>
                </w:p>
              </w:tc>
              <w:tc>
                <w:tcPr>
                  <w:tcW w:w="1294" w:type="dxa"/>
                  <w:vAlign w:val="center"/>
                </w:tcPr>
                <w:p>
                  <w:pPr>
                    <w:keepNext w:val="0"/>
                    <w:keepLines w:val="0"/>
                    <w:suppressLineNumbers w:val="0"/>
                    <w:spacing w:before="0" w:beforeAutospacing="0" w:after="0" w:afterAutospacing="0" w:line="320" w:lineRule="exact"/>
                    <w:ind w:left="-105" w:leftChars="-50" w:right="-105" w:rightChars="-50"/>
                    <w:jc w:val="center"/>
                    <w:rPr>
                      <w:rFonts w:hint="default"/>
                      <w:color w:val="auto"/>
                      <w:sz w:val="18"/>
                    </w:rPr>
                  </w:pPr>
                  <w:r>
                    <w:rPr>
                      <w:rFonts w:hint="eastAsia"/>
                      <w:color w:val="auto"/>
                      <w:sz w:val="18"/>
                      <w:lang w:val="en-US" w:eastAsia="zh-CN"/>
                    </w:rPr>
                    <w:t>279</w:t>
                  </w:r>
                  <w:r>
                    <w:rPr>
                      <w:rFonts w:hint="default"/>
                      <w:color w:val="auto"/>
                      <w:sz w:val="18"/>
                    </w:rPr>
                    <w:t>ug/m</w:t>
                  </w:r>
                  <w:r>
                    <w:rPr>
                      <w:rFonts w:hint="default"/>
                      <w:color w:val="auto"/>
                      <w:sz w:val="18"/>
                      <w:vertAlign w:val="superscript"/>
                    </w:rPr>
                    <w:t>3</w:t>
                  </w:r>
                </w:p>
              </w:tc>
              <w:tc>
                <w:tcPr>
                  <w:tcW w:w="1410"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300u</w:t>
                  </w:r>
                  <w:r>
                    <w:rPr>
                      <w:rFonts w:hint="default"/>
                      <w:color w:val="auto"/>
                      <w:sz w:val="18"/>
                    </w:rPr>
                    <w:t>g/m</w:t>
                  </w:r>
                  <w:r>
                    <w:rPr>
                      <w:rFonts w:hint="default"/>
                      <w:color w:val="auto"/>
                      <w:sz w:val="18"/>
                      <w:vertAlign w:val="superscript"/>
                    </w:rPr>
                    <w:t>3</w:t>
                  </w:r>
                </w:p>
              </w:tc>
              <w:tc>
                <w:tcPr>
                  <w:tcW w:w="1129"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lang w:val="en-US" w:eastAsia="zh-CN"/>
                    </w:rPr>
                    <w:t>93.00</w:t>
                  </w:r>
                  <w:r>
                    <w:rPr>
                      <w:rFonts w:hint="eastAsia"/>
                      <w:color w:val="auto"/>
                      <w:sz w:val="18"/>
                    </w:rPr>
                    <w:t>%</w:t>
                  </w:r>
                </w:p>
              </w:tc>
              <w:tc>
                <w:tcPr>
                  <w:tcW w:w="1146"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0</w:t>
                  </w:r>
                </w:p>
              </w:tc>
            </w:tr>
          </w:tbl>
          <w:p>
            <w:pPr>
              <w:keepNext w:val="0"/>
              <w:keepLines w:val="0"/>
              <w:suppressLineNumbers w:val="0"/>
              <w:spacing w:before="0" w:beforeAutospacing="0" w:after="0" w:afterAutospacing="0" w:line="400" w:lineRule="exact"/>
              <w:ind w:left="0" w:right="0" w:firstLine="424" w:firstLineChars="202"/>
              <w:rPr>
                <w:rFonts w:hint="default" w:cs="宋体"/>
                <w:color w:val="auto"/>
                <w:kern w:val="0"/>
                <w:szCs w:val="21"/>
              </w:rPr>
            </w:pPr>
            <w:r>
              <w:rPr>
                <w:rFonts w:hint="default" w:cs="宋体"/>
                <w:color w:val="auto"/>
                <w:kern w:val="0"/>
                <w:szCs w:val="21"/>
              </w:rPr>
              <w:t>由上表可见，项目区环境空气特征因子</w:t>
            </w:r>
            <w:r>
              <w:rPr>
                <w:rFonts w:hint="eastAsia" w:cs="宋体"/>
                <w:color w:val="auto"/>
                <w:kern w:val="0"/>
                <w:szCs w:val="21"/>
              </w:rPr>
              <w:t>TSP</w:t>
            </w:r>
            <w:r>
              <w:rPr>
                <w:rFonts w:hint="default" w:cs="宋体"/>
                <w:color w:val="auto"/>
                <w:kern w:val="0"/>
                <w:szCs w:val="21"/>
              </w:rPr>
              <w:t>评价指标的占标率均小于100%。评价结果表明，项目所在地环境空气质量（</w:t>
            </w:r>
            <w:r>
              <w:rPr>
                <w:rFonts w:hint="eastAsia" w:cs="宋体"/>
                <w:color w:val="auto"/>
                <w:kern w:val="0"/>
                <w:szCs w:val="21"/>
              </w:rPr>
              <w:t>TSP</w:t>
            </w:r>
            <w:r>
              <w:rPr>
                <w:rFonts w:hint="default" w:cs="宋体"/>
                <w:color w:val="auto"/>
                <w:kern w:val="0"/>
                <w:szCs w:val="21"/>
              </w:rPr>
              <w:t>）能够满足相关要求。</w:t>
            </w:r>
          </w:p>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2</w:t>
            </w:r>
            <w:r>
              <w:rPr>
                <w:rFonts w:hint="default" w:ascii="黑体" w:hAnsi="黑体" w:eastAsia="黑体" w:cs="宋体"/>
                <w:bCs/>
                <w:color w:val="auto"/>
                <w:sz w:val="22"/>
                <w:szCs w:val="22"/>
              </w:rPr>
              <w:t>、</w:t>
            </w:r>
            <w:r>
              <w:rPr>
                <w:rFonts w:hint="eastAsia" w:ascii="黑体" w:hAnsi="黑体" w:eastAsia="黑体" w:cs="宋体"/>
                <w:bCs/>
                <w:color w:val="auto"/>
                <w:sz w:val="22"/>
                <w:szCs w:val="22"/>
              </w:rPr>
              <w:t>地表水环境质量现状及评价</w:t>
            </w:r>
          </w:p>
          <w:p>
            <w:pPr>
              <w:keepNext w:val="0"/>
              <w:keepLines w:val="0"/>
              <w:suppressLineNumbers w:val="0"/>
              <w:spacing w:before="0" w:beforeAutospacing="0" w:after="0" w:afterAutospacing="0" w:line="400" w:lineRule="exact"/>
              <w:ind w:left="0" w:right="0" w:firstLine="424" w:firstLineChars="202"/>
              <w:rPr>
                <w:rFonts w:hint="default" w:cs="宋体"/>
                <w:color w:val="auto"/>
                <w:kern w:val="0"/>
                <w:szCs w:val="21"/>
                <w:highlight w:val="none"/>
                <w:lang w:val="zh-CN"/>
              </w:rPr>
            </w:pPr>
            <w:r>
              <w:rPr>
                <w:rFonts w:hint="default" w:cs="宋体"/>
                <w:color w:val="auto"/>
                <w:kern w:val="0"/>
                <w:szCs w:val="21"/>
                <w:highlight w:val="none"/>
              </w:rPr>
              <w:t>根据调查，项目区</w:t>
            </w:r>
            <w:r>
              <w:rPr>
                <w:rFonts w:hint="eastAsia" w:cs="宋体"/>
                <w:color w:val="auto"/>
                <w:kern w:val="0"/>
                <w:szCs w:val="21"/>
                <w:highlight w:val="none"/>
                <w:lang w:val="en-US" w:eastAsia="zh-CN"/>
              </w:rPr>
              <w:t>域地表</w:t>
            </w:r>
            <w:r>
              <w:rPr>
                <w:rFonts w:hint="default" w:cs="宋体"/>
                <w:color w:val="auto"/>
                <w:kern w:val="0"/>
                <w:szCs w:val="21"/>
                <w:highlight w:val="none"/>
              </w:rPr>
              <w:t>水体为</w:t>
            </w:r>
            <w:r>
              <w:rPr>
                <w:rFonts w:hint="eastAsia"/>
                <w:color w:val="auto"/>
                <w:kern w:val="0"/>
                <w:szCs w:val="21"/>
              </w:rPr>
              <w:t>东面的</w:t>
            </w:r>
            <w:r>
              <w:rPr>
                <w:rFonts w:hint="eastAsia"/>
                <w:color w:val="auto"/>
                <w:kern w:val="0"/>
                <w:szCs w:val="21"/>
                <w:lang w:val="en-US" w:eastAsia="zh-CN"/>
              </w:rPr>
              <w:t>季节性溪沟，该季节性溪沟仅雨季有汇集的山水</w:t>
            </w:r>
            <w:r>
              <w:rPr>
                <w:rFonts w:hint="eastAsia"/>
                <w:color w:val="auto"/>
                <w:kern w:val="0"/>
                <w:szCs w:val="21"/>
              </w:rPr>
              <w:t>，</w:t>
            </w:r>
            <w:r>
              <w:rPr>
                <w:rFonts w:hint="eastAsia"/>
                <w:color w:val="auto"/>
                <w:kern w:val="0"/>
                <w:szCs w:val="21"/>
                <w:lang w:val="en-US" w:eastAsia="zh-CN"/>
              </w:rPr>
              <w:t>向北面汇入大竹县护城河南支流，最终汇入东柳河。</w:t>
            </w:r>
            <w:r>
              <w:rPr>
                <w:rFonts w:hint="default" w:cs="宋体"/>
                <w:color w:val="auto"/>
                <w:kern w:val="0"/>
                <w:szCs w:val="21"/>
                <w:highlight w:val="none"/>
              </w:rPr>
              <w:t>因此本报告采用</w:t>
            </w:r>
            <w:r>
              <w:rPr>
                <w:rFonts w:hint="eastAsia" w:cs="宋体"/>
                <w:color w:val="auto"/>
                <w:kern w:val="0"/>
                <w:szCs w:val="21"/>
                <w:highlight w:val="none"/>
                <w:lang w:val="en-US" w:eastAsia="zh-CN"/>
              </w:rPr>
              <w:t>东柳</w:t>
            </w:r>
            <w:r>
              <w:rPr>
                <w:rFonts w:hint="default" w:cs="宋体"/>
                <w:color w:val="auto"/>
                <w:kern w:val="0"/>
                <w:szCs w:val="21"/>
                <w:highlight w:val="none"/>
              </w:rPr>
              <w:t>河的水质月报数据说明区域的水环境质量。</w:t>
            </w:r>
          </w:p>
          <w:p>
            <w:pPr>
              <w:keepNext w:val="0"/>
              <w:keepLines w:val="0"/>
              <w:suppressLineNumbers w:val="0"/>
              <w:spacing w:before="0" w:beforeAutospacing="0" w:after="0" w:afterAutospacing="0" w:line="400" w:lineRule="exact"/>
              <w:ind w:left="0" w:right="0" w:firstLine="424" w:firstLineChars="202"/>
              <w:rPr>
                <w:rFonts w:hint="default" w:cs="宋体"/>
                <w:color w:val="auto"/>
                <w:kern w:val="0"/>
                <w:szCs w:val="21"/>
                <w:highlight w:val="none"/>
              </w:rPr>
            </w:pPr>
            <w:r>
              <w:rPr>
                <w:rFonts w:hint="default" w:cs="宋体"/>
                <w:color w:val="auto"/>
                <w:kern w:val="0"/>
                <w:szCs w:val="21"/>
                <w:highlight w:val="none"/>
                <w:lang w:val="zh-CN"/>
              </w:rPr>
              <w:t>2024年4月全市37个河流断面中，优（Ⅰ~Ⅱ类）良（Ⅲ类）水质断面34个，占比 91.9%；轻度污染（Ⅳ类）水质断面3个，占比8.1%。全市河流超标情况为：流江河白兔乡断面受到轻度污染，主要污染指标为五日生化需氧量；施家河岩登坡桥、平滩河碧山中学断面受到轻度污染，主要污染指标均为高锰酸盐指数</w:t>
            </w:r>
            <w:r>
              <w:rPr>
                <w:rFonts w:hint="eastAsia" w:cs="宋体"/>
                <w:color w:val="auto"/>
                <w:kern w:val="0"/>
                <w:szCs w:val="21"/>
                <w:highlight w:val="none"/>
                <w:lang w:val="zh-CN"/>
              </w:rPr>
              <w:t>。</w:t>
            </w:r>
          </w:p>
          <w:p>
            <w:pPr>
              <w:keepNext w:val="0"/>
              <w:keepLines w:val="0"/>
              <w:suppressLineNumbers w:val="0"/>
              <w:autoSpaceDE w:val="0"/>
              <w:autoSpaceDN w:val="0"/>
              <w:adjustRightInd w:val="0"/>
              <w:snapToGrid w:val="0"/>
              <w:spacing w:before="0" w:beforeAutospacing="0" w:after="0" w:afterAutospacing="0" w:line="392" w:lineRule="exact"/>
              <w:ind w:left="0" w:right="0" w:firstLine="420" w:firstLineChars="200"/>
              <w:jc w:val="left"/>
              <w:rPr>
                <w:rFonts w:hint="default" w:ascii="Times New Roman" w:hAnsi="Times New Roman" w:cs="Times New Roman"/>
                <w:color w:val="auto"/>
                <w:szCs w:val="28"/>
                <w:highlight w:val="none"/>
                <w:lang w:val="zh-CN"/>
              </w:rPr>
            </w:pPr>
            <w:r>
              <w:rPr>
                <w:rFonts w:hint="default" w:ascii="Times New Roman" w:hAnsi="Times New Roman" w:cs="Times New Roman"/>
                <w:color w:val="auto"/>
                <w:szCs w:val="28"/>
                <w:highlight w:val="none"/>
              </w:rPr>
              <w:t>区域</w:t>
            </w:r>
            <w:r>
              <w:rPr>
                <w:rFonts w:hint="default" w:ascii="Times New Roman" w:hAnsi="Times New Roman" w:cs="Times New Roman"/>
                <w:color w:val="auto"/>
                <w:szCs w:val="28"/>
                <w:highlight w:val="none"/>
                <w:lang w:val="zh-CN"/>
              </w:rPr>
              <w:t>水质评价结果表如下。</w:t>
            </w:r>
          </w:p>
          <w:p>
            <w:pPr>
              <w:keepNext w:val="0"/>
              <w:keepLines w:val="0"/>
              <w:suppressLineNumbers w:val="0"/>
              <w:tabs>
                <w:tab w:val="left" w:pos="0"/>
              </w:tabs>
              <w:autoSpaceDE w:val="0"/>
              <w:autoSpaceDN w:val="0"/>
              <w:adjustRightInd w:val="0"/>
              <w:snapToGrid w:val="0"/>
              <w:spacing w:before="0" w:beforeAutospacing="0" w:after="0" w:afterAutospacing="0" w:line="360" w:lineRule="exact"/>
              <w:ind w:left="0" w:right="0"/>
              <w:jc w:val="center"/>
              <w:rPr>
                <w:rFonts w:hint="default" w:ascii="Times New Roman" w:hAnsi="Times New Roman" w:eastAsia="黑体" w:cs="Times New Roman"/>
                <w:color w:val="auto"/>
                <w:kern w:val="0"/>
                <w:sz w:val="18"/>
                <w:szCs w:val="18"/>
                <w:highlight w:val="none"/>
                <w:lang w:val="zh-CN"/>
              </w:rPr>
            </w:pPr>
            <w:r>
              <w:rPr>
                <w:rFonts w:hint="default" w:ascii="Times New Roman" w:hAnsi="Times New Roman" w:eastAsia="黑体" w:cs="Times New Roman"/>
                <w:color w:val="auto"/>
                <w:kern w:val="0"/>
                <w:sz w:val="18"/>
                <w:szCs w:val="18"/>
                <w:highlight w:val="none"/>
                <w:lang w:val="zh-CN"/>
              </w:rPr>
              <w:t>表3-</w:t>
            </w:r>
            <w:r>
              <w:rPr>
                <w:rFonts w:hint="eastAsia" w:eastAsia="黑体" w:cs="Times New Roman"/>
                <w:color w:val="auto"/>
                <w:kern w:val="0"/>
                <w:sz w:val="18"/>
                <w:szCs w:val="18"/>
                <w:highlight w:val="none"/>
                <w:lang w:val="en-US" w:eastAsia="zh-CN"/>
              </w:rPr>
              <w:t>4</w:t>
            </w:r>
            <w:r>
              <w:rPr>
                <w:rFonts w:hint="default" w:ascii="Times New Roman" w:hAnsi="Times New Roman" w:eastAsia="黑体" w:cs="Times New Roman"/>
                <w:color w:val="auto"/>
                <w:kern w:val="0"/>
                <w:sz w:val="18"/>
                <w:szCs w:val="18"/>
                <w:highlight w:val="none"/>
                <w:lang w:val="zh-CN"/>
              </w:rPr>
              <w:t xml:space="preserve">  202</w:t>
            </w:r>
            <w:r>
              <w:rPr>
                <w:rFonts w:hint="eastAsia" w:ascii="Times New Roman" w:hAnsi="Times New Roman" w:eastAsia="黑体" w:cs="Times New Roman"/>
                <w:color w:val="auto"/>
                <w:kern w:val="0"/>
                <w:sz w:val="18"/>
                <w:szCs w:val="18"/>
                <w:highlight w:val="none"/>
                <w:lang w:val="en-US" w:eastAsia="zh-CN"/>
              </w:rPr>
              <w:t>4</w:t>
            </w:r>
            <w:r>
              <w:rPr>
                <w:rFonts w:hint="default" w:ascii="Times New Roman" w:hAnsi="Times New Roman" w:eastAsia="黑体" w:cs="Times New Roman"/>
                <w:color w:val="auto"/>
                <w:kern w:val="0"/>
                <w:sz w:val="18"/>
                <w:szCs w:val="18"/>
                <w:highlight w:val="none"/>
                <w:lang w:val="zh-CN"/>
              </w:rPr>
              <w:t>年</w:t>
            </w:r>
            <w:r>
              <w:rPr>
                <w:rFonts w:hint="eastAsia" w:eastAsia="黑体" w:cs="Times New Roman"/>
                <w:color w:val="auto"/>
                <w:kern w:val="0"/>
                <w:sz w:val="18"/>
                <w:szCs w:val="18"/>
                <w:highlight w:val="none"/>
                <w:lang w:val="en-US" w:eastAsia="zh-CN"/>
              </w:rPr>
              <w:t>4</w:t>
            </w:r>
            <w:r>
              <w:rPr>
                <w:rFonts w:hint="default" w:ascii="Times New Roman" w:hAnsi="Times New Roman" w:eastAsia="黑体" w:cs="Times New Roman"/>
                <w:color w:val="auto"/>
                <w:kern w:val="0"/>
                <w:sz w:val="18"/>
                <w:szCs w:val="18"/>
                <w:highlight w:val="none"/>
                <w:lang w:val="zh-CN"/>
              </w:rPr>
              <w:t>月</w:t>
            </w:r>
            <w:r>
              <w:rPr>
                <w:rFonts w:hint="eastAsia" w:eastAsia="黑体" w:cs="Times New Roman"/>
                <w:color w:val="auto"/>
                <w:kern w:val="0"/>
                <w:sz w:val="18"/>
                <w:szCs w:val="18"/>
                <w:highlight w:val="none"/>
                <w:lang w:val="en-US" w:eastAsia="zh-CN"/>
              </w:rPr>
              <w:t>东柳河</w:t>
            </w:r>
            <w:r>
              <w:rPr>
                <w:rFonts w:hint="default" w:ascii="Times New Roman" w:hAnsi="Times New Roman" w:eastAsia="黑体" w:cs="Times New Roman"/>
                <w:color w:val="auto"/>
                <w:kern w:val="0"/>
                <w:sz w:val="18"/>
                <w:szCs w:val="18"/>
                <w:highlight w:val="none"/>
                <w:lang w:val="zh-CN"/>
              </w:rPr>
              <w:t>水质评价结果表</w:t>
            </w:r>
          </w:p>
          <w:tbl>
            <w:tblPr>
              <w:tblStyle w:val="14"/>
              <w:tblW w:w="7877"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0"/>
              <w:gridCol w:w="475"/>
              <w:gridCol w:w="674"/>
              <w:gridCol w:w="969"/>
              <w:gridCol w:w="1889"/>
              <w:gridCol w:w="781"/>
              <w:gridCol w:w="551"/>
              <w:gridCol w:w="457"/>
              <w:gridCol w:w="465"/>
              <w:gridCol w:w="10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69" w:hRule="atLeast"/>
                <w:jc w:val="center"/>
              </w:trPr>
              <w:tc>
                <w:tcPr>
                  <w:tcW w:w="530"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序号</w:t>
                  </w:r>
                </w:p>
              </w:tc>
              <w:tc>
                <w:tcPr>
                  <w:tcW w:w="1149" w:type="dxa"/>
                  <w:gridSpan w:val="2"/>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河流</w:t>
                  </w:r>
                </w:p>
              </w:tc>
              <w:tc>
                <w:tcPr>
                  <w:tcW w:w="969"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断面名称</w:t>
                  </w:r>
                </w:p>
              </w:tc>
              <w:tc>
                <w:tcPr>
                  <w:tcW w:w="1889"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断面属性</w:t>
                  </w:r>
                </w:p>
              </w:tc>
              <w:tc>
                <w:tcPr>
                  <w:tcW w:w="781"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断面性质</w:t>
                  </w:r>
                </w:p>
              </w:tc>
              <w:tc>
                <w:tcPr>
                  <w:tcW w:w="551"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上年</w:t>
                  </w:r>
                </w:p>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同期</w:t>
                  </w:r>
                </w:p>
              </w:tc>
              <w:tc>
                <w:tcPr>
                  <w:tcW w:w="457"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上月</w:t>
                  </w:r>
                </w:p>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类别</w:t>
                  </w:r>
                </w:p>
              </w:tc>
              <w:tc>
                <w:tcPr>
                  <w:tcW w:w="465"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本月</w:t>
                  </w:r>
                </w:p>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类别</w:t>
                  </w:r>
                </w:p>
              </w:tc>
              <w:tc>
                <w:tcPr>
                  <w:tcW w:w="1086"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主要污染指标（类别）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0" w:hRule="atLeast"/>
                <w:jc w:val="center"/>
              </w:trPr>
              <w:tc>
                <w:tcPr>
                  <w:tcW w:w="530"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475"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州河水系</w:t>
                  </w:r>
                </w:p>
              </w:tc>
              <w:tc>
                <w:tcPr>
                  <w:tcW w:w="674" w:type="dxa"/>
                  <w:vAlign w:val="center"/>
                </w:tcPr>
                <w:p>
                  <w:pPr>
                    <w:keepNext w:val="0"/>
                    <w:keepLines w:val="0"/>
                    <w:widowControl/>
                    <w:suppressLineNumbers w:val="0"/>
                    <w:spacing w:before="0" w:beforeAutospacing="0" w:after="0" w:afterAutospacing="0" w:line="260" w:lineRule="exact"/>
                    <w:ind w:left="0" w:right="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东柳河</w:t>
                  </w:r>
                </w:p>
              </w:tc>
              <w:tc>
                <w:tcPr>
                  <w:tcW w:w="969"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墩子河</w:t>
                  </w:r>
                </w:p>
              </w:tc>
              <w:tc>
                <w:tcPr>
                  <w:tcW w:w="1889"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界（</w:t>
                  </w:r>
                  <w:r>
                    <w:rPr>
                      <w:rFonts w:hint="eastAsia" w:cs="Times New Roman"/>
                      <w:color w:val="auto"/>
                      <w:sz w:val="18"/>
                      <w:szCs w:val="18"/>
                      <w:highlight w:val="none"/>
                      <w:lang w:val="en-US" w:eastAsia="zh-CN"/>
                    </w:rPr>
                    <w:t>大竹县—渠县</w:t>
                  </w:r>
                  <w:r>
                    <w:rPr>
                      <w:rFonts w:hint="default" w:ascii="Times New Roman" w:hAnsi="Times New Roman" w:cs="Times New Roman"/>
                      <w:color w:val="auto"/>
                      <w:sz w:val="18"/>
                      <w:szCs w:val="18"/>
                      <w:highlight w:val="none"/>
                    </w:rPr>
                    <w:t>）</w:t>
                  </w:r>
                </w:p>
              </w:tc>
              <w:tc>
                <w:tcPr>
                  <w:tcW w:w="781"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省控考核评价</w:t>
                  </w:r>
                </w:p>
              </w:tc>
              <w:tc>
                <w:tcPr>
                  <w:tcW w:w="551"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Ⅲ</w:t>
                  </w:r>
                </w:p>
              </w:tc>
              <w:tc>
                <w:tcPr>
                  <w:tcW w:w="457"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Ⅲ</w:t>
                  </w:r>
                </w:p>
              </w:tc>
              <w:tc>
                <w:tcPr>
                  <w:tcW w:w="465"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Ⅲ</w:t>
                  </w:r>
                </w:p>
              </w:tc>
              <w:tc>
                <w:tcPr>
                  <w:tcW w:w="1086"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ascii="Times New Roman" w:hAnsi="Times New Roman" w:cs="Times New Roman"/>
                <w:color w:val="auto"/>
                <w:szCs w:val="28"/>
                <w:highlight w:val="none"/>
                <w:lang w:val="zh-CN"/>
              </w:rPr>
              <w:t>本项目位于</w:t>
            </w:r>
            <w:r>
              <w:rPr>
                <w:rFonts w:hint="eastAsia" w:cs="Times New Roman"/>
                <w:color w:val="auto"/>
                <w:szCs w:val="28"/>
                <w:highlight w:val="none"/>
                <w:lang w:val="en-US" w:eastAsia="zh-CN"/>
              </w:rPr>
              <w:t>大竹县莲印乡天生村11组</w:t>
            </w:r>
            <w:r>
              <w:rPr>
                <w:rFonts w:hint="default" w:ascii="Times New Roman" w:hAnsi="Times New Roman" w:cs="Times New Roman"/>
                <w:color w:val="auto"/>
                <w:szCs w:val="28"/>
                <w:highlight w:val="none"/>
                <w:lang w:val="zh-CN"/>
              </w:rPr>
              <w:t>，与项目</w:t>
            </w:r>
            <w:r>
              <w:rPr>
                <w:rFonts w:hint="eastAsia" w:ascii="Times New Roman" w:hAnsi="Times New Roman" w:cs="Times New Roman"/>
                <w:color w:val="auto"/>
                <w:szCs w:val="28"/>
                <w:highlight w:val="none"/>
                <w:lang w:val="en-US" w:eastAsia="zh-CN"/>
              </w:rPr>
              <w:t>有关</w:t>
            </w:r>
            <w:r>
              <w:rPr>
                <w:rFonts w:hint="default" w:ascii="Times New Roman" w:hAnsi="Times New Roman" w:cs="Times New Roman"/>
                <w:color w:val="auto"/>
                <w:szCs w:val="28"/>
                <w:highlight w:val="none"/>
                <w:lang w:val="zh-CN"/>
              </w:rPr>
              <w:t>的监测断面为</w:t>
            </w:r>
            <w:r>
              <w:rPr>
                <w:rFonts w:hint="eastAsia" w:cs="Times New Roman"/>
                <w:color w:val="auto"/>
                <w:szCs w:val="28"/>
                <w:highlight w:val="none"/>
                <w:lang w:val="en-US" w:eastAsia="zh-CN"/>
              </w:rPr>
              <w:t>东柳河的</w:t>
            </w:r>
            <w:r>
              <w:rPr>
                <w:rFonts w:hint="default" w:ascii="Times New Roman" w:hAnsi="Times New Roman" w:cs="Times New Roman"/>
                <w:color w:val="auto"/>
                <w:szCs w:val="28"/>
                <w:highlight w:val="none"/>
                <w:lang w:val="zh-CN"/>
              </w:rPr>
              <w:t>墩子</w:t>
            </w:r>
            <w:r>
              <w:rPr>
                <w:rFonts w:hint="eastAsia" w:cs="Times New Roman"/>
                <w:color w:val="auto"/>
                <w:szCs w:val="28"/>
                <w:highlight w:val="none"/>
                <w:lang w:val="en-US" w:eastAsia="zh-CN"/>
              </w:rPr>
              <w:t>河</w:t>
            </w:r>
            <w:r>
              <w:rPr>
                <w:rFonts w:hint="default" w:ascii="Times New Roman" w:hAnsi="Times New Roman" w:cs="Times New Roman"/>
                <w:color w:val="auto"/>
                <w:szCs w:val="28"/>
                <w:highlight w:val="none"/>
                <w:lang w:val="zh-CN"/>
              </w:rPr>
              <w:t>断面。根据《202</w:t>
            </w:r>
            <w:r>
              <w:rPr>
                <w:rFonts w:hint="eastAsia" w:ascii="Times New Roman" w:hAnsi="Times New Roman" w:cs="Times New Roman"/>
                <w:color w:val="auto"/>
                <w:szCs w:val="28"/>
                <w:highlight w:val="none"/>
                <w:lang w:val="en-US" w:eastAsia="zh-CN"/>
              </w:rPr>
              <w:t>4</w:t>
            </w:r>
            <w:r>
              <w:rPr>
                <w:rFonts w:hint="default" w:ascii="Times New Roman" w:hAnsi="Times New Roman" w:cs="Times New Roman"/>
                <w:color w:val="auto"/>
                <w:szCs w:val="28"/>
                <w:highlight w:val="none"/>
                <w:lang w:val="zh-CN"/>
              </w:rPr>
              <w:t>年</w:t>
            </w:r>
            <w:r>
              <w:rPr>
                <w:rFonts w:hint="eastAsia" w:cs="Times New Roman"/>
                <w:color w:val="auto"/>
                <w:szCs w:val="28"/>
                <w:highlight w:val="none"/>
                <w:lang w:val="en-US" w:eastAsia="zh-CN"/>
              </w:rPr>
              <w:t>4</w:t>
            </w:r>
            <w:r>
              <w:rPr>
                <w:rFonts w:hint="default" w:ascii="Times New Roman" w:hAnsi="Times New Roman" w:cs="Times New Roman"/>
                <w:color w:val="auto"/>
                <w:szCs w:val="28"/>
                <w:highlight w:val="none"/>
                <w:lang w:val="zh-CN"/>
              </w:rPr>
              <w:t>月达州市地表水水质月报》数据，</w:t>
            </w:r>
            <w:r>
              <w:rPr>
                <w:rFonts w:hint="eastAsia" w:cs="Times New Roman"/>
                <w:color w:val="auto"/>
                <w:szCs w:val="28"/>
                <w:highlight w:val="none"/>
                <w:lang w:val="en-US" w:eastAsia="zh-CN"/>
              </w:rPr>
              <w:t>东柳河</w:t>
            </w:r>
            <w:r>
              <w:rPr>
                <w:rFonts w:hint="default" w:ascii="Times New Roman" w:hAnsi="Times New Roman" w:cs="Times New Roman"/>
                <w:color w:val="auto"/>
                <w:szCs w:val="28"/>
                <w:highlight w:val="none"/>
                <w:lang w:val="zh-CN"/>
              </w:rPr>
              <w:t>墩子</w:t>
            </w:r>
            <w:r>
              <w:rPr>
                <w:rFonts w:hint="eastAsia" w:cs="Times New Roman"/>
                <w:color w:val="auto"/>
                <w:szCs w:val="28"/>
                <w:highlight w:val="none"/>
                <w:lang w:val="en-US" w:eastAsia="zh-CN"/>
              </w:rPr>
              <w:t>河</w:t>
            </w:r>
            <w:r>
              <w:rPr>
                <w:rFonts w:hint="default" w:ascii="Times New Roman" w:hAnsi="Times New Roman" w:cs="Times New Roman"/>
                <w:color w:val="auto"/>
                <w:szCs w:val="28"/>
                <w:highlight w:val="none"/>
                <w:lang w:val="zh-CN"/>
              </w:rPr>
              <w:t>断面监测数据</w:t>
            </w:r>
            <w:r>
              <w:rPr>
                <w:rFonts w:hint="default" w:ascii="Times New Roman" w:hAnsi="Times New Roman" w:cs="Times New Roman"/>
                <w:color w:val="auto"/>
                <w:szCs w:val="28"/>
                <w:highlight w:val="none"/>
              </w:rPr>
              <w:t>能够</w:t>
            </w:r>
            <w:r>
              <w:rPr>
                <w:rFonts w:hint="default" w:ascii="Times New Roman" w:hAnsi="Times New Roman" w:cs="Times New Roman"/>
                <w:color w:val="auto"/>
                <w:szCs w:val="28"/>
                <w:highlight w:val="none"/>
                <w:lang w:val="zh-CN"/>
              </w:rPr>
              <w:t>满足《地表水环境质量标准》（GB3838-2002）Ⅲ类水质标准</w:t>
            </w:r>
            <w:r>
              <w:rPr>
                <w:rFonts w:hint="default"/>
                <w:color w:val="auto"/>
              </w:rPr>
              <w:t>。</w:t>
            </w:r>
          </w:p>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3</w:t>
            </w:r>
            <w:r>
              <w:rPr>
                <w:rFonts w:hint="default" w:ascii="黑体" w:hAnsi="黑体" w:eastAsia="黑体" w:cs="宋体"/>
                <w:bCs/>
                <w:color w:val="auto"/>
                <w:sz w:val="22"/>
                <w:szCs w:val="22"/>
              </w:rPr>
              <w:t>、声环境质量现状监测及评价</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 w:val="24"/>
                <w:szCs w:val="21"/>
              </w:rPr>
            </w:pPr>
            <w:r>
              <w:rPr>
                <w:rFonts w:hint="default" w:cs="宋体"/>
                <w:color w:val="auto"/>
                <w:kern w:val="0"/>
                <w:szCs w:val="21"/>
              </w:rPr>
              <w:t>四川融华环境检测有限公司于20</w:t>
            </w:r>
            <w:r>
              <w:rPr>
                <w:rFonts w:hint="eastAsia" w:cs="宋体"/>
                <w:color w:val="auto"/>
                <w:kern w:val="0"/>
                <w:szCs w:val="21"/>
                <w:lang w:val="en-US" w:eastAsia="zh-CN"/>
              </w:rPr>
              <w:t>24</w:t>
            </w:r>
            <w:r>
              <w:rPr>
                <w:rFonts w:hint="default" w:cs="宋体"/>
                <w:color w:val="auto"/>
                <w:kern w:val="0"/>
                <w:szCs w:val="21"/>
              </w:rPr>
              <w:t>年</w:t>
            </w:r>
            <w:r>
              <w:rPr>
                <w:rFonts w:hint="eastAsia" w:cs="宋体"/>
                <w:color w:val="auto"/>
                <w:kern w:val="0"/>
                <w:szCs w:val="21"/>
                <w:lang w:val="en-US" w:eastAsia="zh-CN"/>
              </w:rPr>
              <w:t>5</w:t>
            </w:r>
            <w:r>
              <w:rPr>
                <w:rFonts w:hint="default" w:cs="宋体"/>
                <w:color w:val="auto"/>
                <w:kern w:val="0"/>
                <w:szCs w:val="21"/>
              </w:rPr>
              <w:t>月</w:t>
            </w:r>
            <w:r>
              <w:rPr>
                <w:rFonts w:hint="eastAsia" w:cs="宋体"/>
                <w:color w:val="auto"/>
                <w:kern w:val="0"/>
                <w:szCs w:val="21"/>
                <w:lang w:val="en-US" w:eastAsia="zh-CN"/>
              </w:rPr>
              <w:t>22</w:t>
            </w:r>
            <w:r>
              <w:rPr>
                <w:rFonts w:hint="default" w:cs="宋体"/>
                <w:color w:val="auto"/>
                <w:kern w:val="0"/>
                <w:szCs w:val="21"/>
              </w:rPr>
              <w:t>日</w:t>
            </w:r>
            <w:r>
              <w:rPr>
                <w:rFonts w:hint="eastAsia" w:cs="宋体"/>
                <w:color w:val="auto"/>
                <w:kern w:val="0"/>
                <w:szCs w:val="21"/>
              </w:rPr>
              <w:t>，</w:t>
            </w:r>
            <w:r>
              <w:rPr>
                <w:rFonts w:hint="default" w:cs="宋体"/>
                <w:color w:val="auto"/>
                <w:kern w:val="0"/>
                <w:szCs w:val="21"/>
              </w:rPr>
              <w:t>在项目区设有3个环境噪声监测点位。将监测结果与评价标准进行对照，得出评价结果如下表。</w:t>
            </w:r>
          </w:p>
          <w:p>
            <w:pPr>
              <w:keepNext w:val="0"/>
              <w:keepLines w:val="0"/>
              <w:suppressLineNumbers w:val="0"/>
              <w:spacing w:before="0" w:beforeAutospacing="0" w:after="0" w:afterAutospacing="0" w:line="440" w:lineRule="exact"/>
              <w:ind w:left="0" w:right="0"/>
              <w:jc w:val="center"/>
              <w:rPr>
                <w:rFonts w:hint="default" w:ascii="黑体" w:eastAsia="黑体"/>
                <w:color w:val="auto"/>
                <w:sz w:val="18"/>
                <w:szCs w:val="18"/>
              </w:rPr>
            </w:pPr>
          </w:p>
          <w:p>
            <w:pPr>
              <w:keepNext w:val="0"/>
              <w:keepLines w:val="0"/>
              <w:suppressLineNumbers w:val="0"/>
              <w:spacing w:before="0" w:beforeAutospacing="0" w:after="0" w:afterAutospacing="0" w:line="440" w:lineRule="exact"/>
              <w:ind w:left="0" w:right="0"/>
              <w:jc w:val="center"/>
              <w:rPr>
                <w:rFonts w:hint="default" w:ascii="黑体" w:eastAsia="黑体"/>
                <w:color w:val="auto"/>
                <w:sz w:val="18"/>
                <w:szCs w:val="18"/>
              </w:rPr>
            </w:pPr>
          </w:p>
          <w:p>
            <w:pPr>
              <w:keepNext w:val="0"/>
              <w:keepLines w:val="0"/>
              <w:suppressLineNumbers w:val="0"/>
              <w:spacing w:before="0" w:beforeAutospacing="0" w:after="0" w:afterAutospacing="0" w:line="440" w:lineRule="exact"/>
              <w:ind w:left="0" w:right="0"/>
              <w:jc w:val="center"/>
              <w:rPr>
                <w:rFonts w:hint="default" w:ascii="黑体" w:eastAsia="黑体"/>
                <w:color w:val="auto"/>
                <w:sz w:val="18"/>
                <w:szCs w:val="18"/>
              </w:rPr>
            </w:pPr>
          </w:p>
          <w:p>
            <w:pPr>
              <w:keepNext w:val="0"/>
              <w:keepLines w:val="0"/>
              <w:suppressLineNumbers w:val="0"/>
              <w:spacing w:before="0" w:beforeAutospacing="0" w:after="0" w:afterAutospacing="0" w:line="440" w:lineRule="exact"/>
              <w:ind w:left="0" w:right="0"/>
              <w:jc w:val="center"/>
              <w:rPr>
                <w:rFonts w:hint="default" w:eastAsia="黑体"/>
                <w:color w:val="auto"/>
                <w:sz w:val="18"/>
                <w:szCs w:val="18"/>
              </w:rPr>
            </w:pPr>
            <w:r>
              <w:rPr>
                <w:rFonts w:hint="default" w:ascii="黑体" w:eastAsia="黑体"/>
                <w:color w:val="auto"/>
                <w:sz w:val="18"/>
                <w:szCs w:val="18"/>
              </w:rPr>
              <w:t>表</w:t>
            </w:r>
            <w:r>
              <w:rPr>
                <w:rFonts w:hint="eastAsia" w:ascii="黑体" w:eastAsia="黑体"/>
                <w:color w:val="auto"/>
                <w:sz w:val="18"/>
                <w:szCs w:val="18"/>
              </w:rPr>
              <w:t>3-</w:t>
            </w:r>
            <w:r>
              <w:rPr>
                <w:rFonts w:hint="eastAsia" w:ascii="黑体" w:eastAsia="黑体"/>
                <w:color w:val="auto"/>
                <w:sz w:val="18"/>
                <w:szCs w:val="18"/>
                <w:lang w:val="en-US" w:eastAsia="zh-CN"/>
              </w:rPr>
              <w:t>5</w:t>
            </w:r>
            <w:r>
              <w:rPr>
                <w:rFonts w:hint="eastAsia" w:ascii="黑体" w:eastAsia="黑体"/>
                <w:color w:val="auto"/>
                <w:sz w:val="18"/>
                <w:szCs w:val="18"/>
              </w:rPr>
              <w:t xml:space="preserve">   </w:t>
            </w:r>
            <w:r>
              <w:rPr>
                <w:rFonts w:hint="default" w:ascii="黑体" w:eastAsia="黑体"/>
                <w:color w:val="auto"/>
                <w:sz w:val="18"/>
                <w:szCs w:val="18"/>
              </w:rPr>
              <w:t>噪声</w:t>
            </w:r>
            <w:r>
              <w:rPr>
                <w:rFonts w:hint="eastAsia" w:ascii="黑体" w:eastAsia="黑体"/>
                <w:color w:val="auto"/>
                <w:sz w:val="18"/>
                <w:szCs w:val="18"/>
              </w:rPr>
              <w:t>环境</w:t>
            </w:r>
            <w:r>
              <w:rPr>
                <w:rFonts w:hint="default" w:ascii="黑体" w:eastAsia="黑体"/>
                <w:color w:val="auto"/>
                <w:sz w:val="18"/>
                <w:szCs w:val="18"/>
              </w:rPr>
              <w:t>现状评价结果</w:t>
            </w:r>
            <w:r>
              <w:rPr>
                <w:rFonts w:hint="default" w:eastAsia="黑体"/>
                <w:color w:val="auto"/>
                <w:sz w:val="18"/>
                <w:szCs w:val="18"/>
              </w:rPr>
              <w:t xml:space="preserve">  </w:t>
            </w:r>
            <w:r>
              <w:rPr>
                <w:rFonts w:hint="default" w:ascii="黑体" w:eastAsia="黑体"/>
                <w:color w:val="auto"/>
                <w:sz w:val="18"/>
                <w:szCs w:val="18"/>
              </w:rPr>
              <w:t>单位：</w:t>
            </w:r>
            <w:r>
              <w:rPr>
                <w:rFonts w:hint="default" w:eastAsia="黑体"/>
                <w:color w:val="auto"/>
                <w:sz w:val="18"/>
                <w:szCs w:val="18"/>
              </w:rPr>
              <w:t>dB(A)</w:t>
            </w:r>
          </w:p>
          <w:tbl>
            <w:tblPr>
              <w:tblStyle w:val="14"/>
              <w:tblW w:w="71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507"/>
              <w:gridCol w:w="1357"/>
              <w:gridCol w:w="1534"/>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78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default"/>
                      <w:color w:val="auto"/>
                      <w:kern w:val="0"/>
                      <w:sz w:val="18"/>
                      <w:szCs w:val="18"/>
                    </w:rPr>
                  </w:pPr>
                  <w:bookmarkStart w:id="2" w:name="OLE_LINK2"/>
                  <w:r>
                    <w:rPr>
                      <w:rFonts w:hint="default"/>
                      <w:color w:val="auto"/>
                      <w:kern w:val="0"/>
                      <w:sz w:val="18"/>
                      <w:szCs w:val="18"/>
                    </w:rPr>
                    <w:t>监测点位</w:t>
                  </w:r>
                </w:p>
              </w:tc>
              <w:tc>
                <w:tcPr>
                  <w:tcW w:w="1507" w:type="dxa"/>
                  <w:vMerge w:val="restart"/>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default"/>
                      <w:color w:val="auto"/>
                      <w:kern w:val="0"/>
                      <w:sz w:val="18"/>
                      <w:szCs w:val="18"/>
                    </w:rPr>
                  </w:pPr>
                  <w:r>
                    <w:rPr>
                      <w:rFonts w:hint="default"/>
                      <w:color w:val="auto"/>
                      <w:kern w:val="0"/>
                      <w:sz w:val="18"/>
                      <w:szCs w:val="18"/>
                    </w:rPr>
                    <w:t>监测</w:t>
                  </w:r>
                  <w:r>
                    <w:rPr>
                      <w:rFonts w:hint="eastAsia"/>
                      <w:color w:val="auto"/>
                      <w:kern w:val="0"/>
                      <w:sz w:val="18"/>
                      <w:szCs w:val="18"/>
                    </w:rPr>
                    <w:t>日期</w:t>
                  </w:r>
                </w:p>
              </w:tc>
              <w:tc>
                <w:tcPr>
                  <w:tcW w:w="135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default"/>
                      <w:color w:val="auto"/>
                      <w:kern w:val="0"/>
                      <w:sz w:val="18"/>
                      <w:szCs w:val="18"/>
                    </w:rPr>
                  </w:pPr>
                  <w:r>
                    <w:rPr>
                      <w:rFonts w:hint="default"/>
                      <w:color w:val="auto"/>
                      <w:kern w:val="0"/>
                      <w:sz w:val="18"/>
                      <w:szCs w:val="18"/>
                    </w:rPr>
                    <w:t>监测结果</w:t>
                  </w:r>
                </w:p>
              </w:tc>
              <w:tc>
                <w:tcPr>
                  <w:tcW w:w="15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default"/>
                      <w:color w:val="auto"/>
                      <w:kern w:val="0"/>
                      <w:sz w:val="18"/>
                      <w:szCs w:val="18"/>
                    </w:rPr>
                  </w:pPr>
                  <w:r>
                    <w:rPr>
                      <w:rFonts w:hint="default"/>
                      <w:color w:val="auto"/>
                      <w:kern w:val="0"/>
                      <w:sz w:val="18"/>
                      <w:szCs w:val="18"/>
                    </w:rPr>
                    <w:t>评价标准</w:t>
                  </w:r>
                </w:p>
              </w:tc>
              <w:tc>
                <w:tcPr>
                  <w:tcW w:w="101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default"/>
                      <w:color w:val="auto"/>
                      <w:kern w:val="0"/>
                      <w:sz w:val="18"/>
                      <w:szCs w:val="18"/>
                    </w:rPr>
                  </w:pPr>
                  <w:r>
                    <w:rPr>
                      <w:rFonts w:hint="default"/>
                      <w:color w:val="auto"/>
                      <w:kern w:val="0"/>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78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left"/>
                    <w:rPr>
                      <w:rFonts w:hint="default"/>
                      <w:color w:val="auto"/>
                      <w:kern w:val="0"/>
                      <w:sz w:val="18"/>
                      <w:szCs w:val="18"/>
                    </w:rPr>
                  </w:pPr>
                </w:p>
              </w:tc>
              <w:tc>
                <w:tcPr>
                  <w:tcW w:w="1507"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left"/>
                    <w:rPr>
                      <w:rFonts w:hint="default"/>
                      <w:color w:val="auto"/>
                      <w:kern w:val="0"/>
                      <w:sz w:val="18"/>
                      <w:szCs w:val="18"/>
                    </w:rPr>
                  </w:pPr>
                </w:p>
              </w:tc>
              <w:tc>
                <w:tcPr>
                  <w:tcW w:w="135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default"/>
                      <w:color w:val="auto"/>
                      <w:kern w:val="0"/>
                      <w:sz w:val="18"/>
                      <w:szCs w:val="18"/>
                    </w:rPr>
                  </w:pPr>
                  <w:r>
                    <w:rPr>
                      <w:rFonts w:hint="default"/>
                      <w:color w:val="auto"/>
                      <w:kern w:val="0"/>
                      <w:sz w:val="18"/>
                      <w:szCs w:val="18"/>
                    </w:rPr>
                    <w:t>昼间</w:t>
                  </w:r>
                </w:p>
              </w:tc>
              <w:tc>
                <w:tcPr>
                  <w:tcW w:w="153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default"/>
                      <w:color w:val="auto"/>
                      <w:kern w:val="0"/>
                      <w:sz w:val="18"/>
                      <w:szCs w:val="18"/>
                    </w:rPr>
                  </w:pPr>
                  <w:r>
                    <w:rPr>
                      <w:rFonts w:hint="default"/>
                      <w:color w:val="auto"/>
                      <w:kern w:val="0"/>
                      <w:sz w:val="18"/>
                      <w:szCs w:val="18"/>
                    </w:rPr>
                    <w:t>昼间</w:t>
                  </w:r>
                </w:p>
              </w:tc>
              <w:tc>
                <w:tcPr>
                  <w:tcW w:w="101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default"/>
                      <w:color w:val="auto"/>
                      <w:kern w:val="0"/>
                      <w:sz w:val="18"/>
                      <w:szCs w:val="18"/>
                    </w:rPr>
                  </w:pPr>
                  <w:r>
                    <w:rPr>
                      <w:rFonts w:hint="default"/>
                      <w:color w:val="auto"/>
                      <w:kern w:val="0"/>
                      <w:sz w:val="18"/>
                      <w:szCs w:val="18"/>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789" w:type="dxa"/>
                  <w:tcBorders>
                    <w:top w:val="nil"/>
                    <w:left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default"/>
                      <w:color w:val="auto"/>
                      <w:kern w:val="0"/>
                      <w:sz w:val="18"/>
                      <w:szCs w:val="18"/>
                    </w:rPr>
                  </w:pPr>
                  <w:bookmarkStart w:id="3" w:name="OLE_LINK1"/>
                  <w:r>
                    <w:rPr>
                      <w:rFonts w:hint="eastAsia"/>
                      <w:color w:val="auto"/>
                      <w:kern w:val="0"/>
                      <w:sz w:val="18"/>
                      <w:szCs w:val="18"/>
                    </w:rPr>
                    <w:t>1#</w:t>
                  </w:r>
                  <w:bookmarkEnd w:id="3"/>
                  <w:r>
                    <w:rPr>
                      <w:rFonts w:hint="eastAsia"/>
                      <w:color w:val="auto"/>
                      <w:kern w:val="0"/>
                      <w:sz w:val="18"/>
                      <w:szCs w:val="18"/>
                    </w:rPr>
                    <w:t>（</w:t>
                  </w:r>
                  <w:r>
                    <w:rPr>
                      <w:rFonts w:hint="eastAsia" w:cs="宋体"/>
                      <w:color w:val="auto"/>
                      <w:kern w:val="0"/>
                      <w:sz w:val="18"/>
                      <w:szCs w:val="18"/>
                      <w:lang w:val="en-US" w:eastAsia="zh-CN"/>
                    </w:rPr>
                    <w:t>北面</w:t>
                  </w:r>
                  <w:r>
                    <w:rPr>
                      <w:rFonts w:hint="eastAsia" w:cs="宋体"/>
                      <w:color w:val="auto"/>
                      <w:kern w:val="0"/>
                      <w:sz w:val="18"/>
                      <w:szCs w:val="18"/>
                    </w:rPr>
                    <w:t>厂界</w:t>
                  </w:r>
                  <w:r>
                    <w:rPr>
                      <w:rFonts w:hint="eastAsia"/>
                      <w:color w:val="auto"/>
                      <w:kern w:val="0"/>
                      <w:sz w:val="18"/>
                      <w:szCs w:val="18"/>
                    </w:rPr>
                    <w:t>）</w:t>
                  </w:r>
                </w:p>
              </w:tc>
              <w:tc>
                <w:tcPr>
                  <w:tcW w:w="150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exact"/>
                    <w:ind w:left="0" w:right="0"/>
                    <w:jc w:val="center"/>
                    <w:rPr>
                      <w:rFonts w:hint="default" w:eastAsia="宋体"/>
                      <w:color w:val="auto"/>
                      <w:sz w:val="18"/>
                      <w:szCs w:val="18"/>
                      <w:lang w:val="en-US" w:eastAsia="zh-CN"/>
                    </w:rPr>
                  </w:pPr>
                  <w:r>
                    <w:rPr>
                      <w:rFonts w:hint="eastAsia"/>
                      <w:color w:val="auto"/>
                      <w:sz w:val="18"/>
                      <w:szCs w:val="18"/>
                    </w:rPr>
                    <w:t>202</w:t>
                  </w:r>
                  <w:r>
                    <w:rPr>
                      <w:rFonts w:hint="eastAsia"/>
                      <w:color w:val="auto"/>
                      <w:sz w:val="18"/>
                      <w:szCs w:val="18"/>
                      <w:lang w:val="en-US" w:eastAsia="zh-CN"/>
                    </w:rPr>
                    <w:t>4.5.22</w:t>
                  </w:r>
                </w:p>
              </w:tc>
              <w:tc>
                <w:tcPr>
                  <w:tcW w:w="135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exact"/>
                    <w:ind w:left="0" w:right="0"/>
                    <w:jc w:val="center"/>
                    <w:rPr>
                      <w:rFonts w:hint="default" w:eastAsia="宋体"/>
                      <w:color w:val="auto"/>
                      <w:sz w:val="18"/>
                      <w:szCs w:val="18"/>
                      <w:lang w:val="en-US" w:eastAsia="zh-CN"/>
                    </w:rPr>
                  </w:pPr>
                  <w:r>
                    <w:rPr>
                      <w:rFonts w:hint="eastAsia"/>
                      <w:color w:val="auto"/>
                      <w:sz w:val="18"/>
                      <w:szCs w:val="18"/>
                      <w:lang w:val="en-US" w:eastAsia="zh-CN"/>
                    </w:rPr>
                    <w:t>55.2</w:t>
                  </w:r>
                </w:p>
              </w:tc>
              <w:tc>
                <w:tcPr>
                  <w:tcW w:w="1534" w:type="dxa"/>
                  <w:tcBorders>
                    <w:top w:val="nil"/>
                    <w:left w:val="nil"/>
                    <w:right w:val="single" w:color="auto" w:sz="4" w:space="0"/>
                  </w:tcBorders>
                  <w:vAlign w:val="center"/>
                </w:tcPr>
                <w:p>
                  <w:pPr>
                    <w:keepNext w:val="0"/>
                    <w:keepLines w:val="0"/>
                    <w:suppressLineNumbers w:val="0"/>
                    <w:spacing w:before="0" w:beforeAutospacing="0" w:after="0" w:afterAutospacing="0" w:line="360" w:lineRule="exact"/>
                    <w:ind w:left="0" w:right="0"/>
                    <w:jc w:val="center"/>
                    <w:rPr>
                      <w:rFonts w:hint="default" w:eastAsia="宋体"/>
                      <w:color w:val="auto"/>
                      <w:kern w:val="0"/>
                      <w:sz w:val="18"/>
                      <w:szCs w:val="18"/>
                      <w:lang w:val="en-US" w:eastAsia="zh-CN"/>
                    </w:rPr>
                  </w:pPr>
                  <w:r>
                    <w:rPr>
                      <w:rFonts w:hint="eastAsia"/>
                      <w:color w:val="auto"/>
                      <w:kern w:val="0"/>
                      <w:sz w:val="18"/>
                      <w:szCs w:val="18"/>
                      <w:lang w:val="en-US" w:eastAsia="zh-CN"/>
                    </w:rPr>
                    <w:t>60</w:t>
                  </w:r>
                </w:p>
              </w:tc>
              <w:tc>
                <w:tcPr>
                  <w:tcW w:w="101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exact"/>
                    <w:ind w:left="0" w:right="0"/>
                    <w:jc w:val="center"/>
                    <w:rPr>
                      <w:rFonts w:hint="default"/>
                      <w:color w:val="auto"/>
                      <w:sz w:val="18"/>
                      <w:szCs w:val="18"/>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789" w:type="dxa"/>
                  <w:tcBorders>
                    <w:top w:val="nil"/>
                    <w:left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default"/>
                      <w:color w:val="auto"/>
                      <w:kern w:val="0"/>
                      <w:sz w:val="18"/>
                      <w:szCs w:val="18"/>
                    </w:rPr>
                  </w:pPr>
                  <w:r>
                    <w:rPr>
                      <w:rFonts w:hint="eastAsia"/>
                      <w:color w:val="auto"/>
                      <w:kern w:val="0"/>
                      <w:sz w:val="18"/>
                      <w:szCs w:val="18"/>
                    </w:rPr>
                    <w:t>2#（</w:t>
                  </w:r>
                  <w:r>
                    <w:rPr>
                      <w:rFonts w:hint="eastAsia"/>
                      <w:color w:val="auto"/>
                      <w:kern w:val="0"/>
                      <w:sz w:val="18"/>
                      <w:szCs w:val="18"/>
                      <w:lang w:val="en-US" w:eastAsia="zh-CN"/>
                    </w:rPr>
                    <w:t>西</w:t>
                  </w:r>
                  <w:r>
                    <w:rPr>
                      <w:rFonts w:hint="eastAsia"/>
                      <w:color w:val="auto"/>
                      <w:kern w:val="0"/>
                      <w:sz w:val="18"/>
                      <w:szCs w:val="18"/>
                    </w:rPr>
                    <w:t>面厂界）</w:t>
                  </w:r>
                </w:p>
              </w:tc>
              <w:tc>
                <w:tcPr>
                  <w:tcW w:w="150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exact"/>
                    <w:ind w:left="0" w:right="0"/>
                    <w:jc w:val="center"/>
                    <w:rPr>
                      <w:rFonts w:hint="default"/>
                      <w:color w:val="auto"/>
                      <w:sz w:val="18"/>
                      <w:szCs w:val="18"/>
                    </w:rPr>
                  </w:pPr>
                  <w:r>
                    <w:rPr>
                      <w:rFonts w:hint="eastAsia"/>
                      <w:color w:val="auto"/>
                      <w:sz w:val="18"/>
                      <w:szCs w:val="18"/>
                    </w:rPr>
                    <w:t>202</w:t>
                  </w:r>
                  <w:r>
                    <w:rPr>
                      <w:rFonts w:hint="eastAsia"/>
                      <w:color w:val="auto"/>
                      <w:sz w:val="18"/>
                      <w:szCs w:val="18"/>
                      <w:lang w:val="en-US" w:eastAsia="zh-CN"/>
                    </w:rPr>
                    <w:t>4.5.22</w:t>
                  </w:r>
                </w:p>
              </w:tc>
              <w:tc>
                <w:tcPr>
                  <w:tcW w:w="135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exact"/>
                    <w:ind w:left="0" w:right="0"/>
                    <w:jc w:val="center"/>
                    <w:rPr>
                      <w:rFonts w:hint="default" w:eastAsia="宋体"/>
                      <w:color w:val="auto"/>
                      <w:sz w:val="18"/>
                      <w:szCs w:val="18"/>
                      <w:lang w:val="en-US" w:eastAsia="zh-CN"/>
                    </w:rPr>
                  </w:pPr>
                  <w:r>
                    <w:rPr>
                      <w:rFonts w:hint="default"/>
                      <w:color w:val="auto"/>
                      <w:sz w:val="18"/>
                      <w:szCs w:val="18"/>
                    </w:rPr>
                    <w:t>5</w:t>
                  </w:r>
                  <w:r>
                    <w:rPr>
                      <w:rFonts w:hint="eastAsia"/>
                      <w:color w:val="auto"/>
                      <w:sz w:val="18"/>
                      <w:szCs w:val="18"/>
                      <w:lang w:val="en-US" w:eastAsia="zh-CN"/>
                    </w:rPr>
                    <w:t>6.8</w:t>
                  </w:r>
                </w:p>
              </w:tc>
              <w:tc>
                <w:tcPr>
                  <w:tcW w:w="1534" w:type="dxa"/>
                  <w:tcBorders>
                    <w:left w:val="nil"/>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default"/>
                      <w:color w:val="auto"/>
                      <w:kern w:val="0"/>
                      <w:sz w:val="18"/>
                      <w:szCs w:val="18"/>
                    </w:rPr>
                  </w:pPr>
                  <w:r>
                    <w:rPr>
                      <w:rFonts w:hint="eastAsia"/>
                      <w:color w:val="auto"/>
                      <w:kern w:val="0"/>
                      <w:sz w:val="18"/>
                      <w:szCs w:val="18"/>
                    </w:rPr>
                    <w:t>60</w:t>
                  </w:r>
                </w:p>
              </w:tc>
              <w:tc>
                <w:tcPr>
                  <w:tcW w:w="101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exact"/>
                    <w:ind w:left="0" w:right="0"/>
                    <w:jc w:val="center"/>
                    <w:rPr>
                      <w:rFonts w:hint="default"/>
                      <w:color w:val="auto"/>
                      <w:sz w:val="18"/>
                      <w:szCs w:val="18"/>
                    </w:rPr>
                  </w:pPr>
                  <w:r>
                    <w:rPr>
                      <w:rFonts w:hint="default"/>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789" w:type="dxa"/>
                  <w:tcBorders>
                    <w:top w:val="nil"/>
                    <w:left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default"/>
                      <w:color w:val="auto"/>
                      <w:kern w:val="0"/>
                      <w:sz w:val="18"/>
                      <w:szCs w:val="18"/>
                    </w:rPr>
                  </w:pPr>
                  <w:r>
                    <w:rPr>
                      <w:rFonts w:hint="eastAsia"/>
                      <w:color w:val="auto"/>
                      <w:kern w:val="0"/>
                      <w:sz w:val="18"/>
                      <w:szCs w:val="18"/>
                    </w:rPr>
                    <w:t>3#（西</w:t>
                  </w:r>
                  <w:r>
                    <w:rPr>
                      <w:rFonts w:hint="eastAsia"/>
                      <w:color w:val="auto"/>
                      <w:kern w:val="0"/>
                      <w:sz w:val="18"/>
                      <w:szCs w:val="18"/>
                      <w:lang w:val="en-US" w:eastAsia="zh-CN"/>
                    </w:rPr>
                    <w:t>北</w:t>
                  </w:r>
                  <w:r>
                    <w:rPr>
                      <w:rFonts w:hint="eastAsia" w:cs="宋体"/>
                      <w:color w:val="auto"/>
                      <w:kern w:val="0"/>
                      <w:sz w:val="18"/>
                      <w:szCs w:val="18"/>
                    </w:rPr>
                    <w:t>面</w:t>
                  </w:r>
                  <w:r>
                    <w:rPr>
                      <w:rFonts w:hint="eastAsia" w:cs="宋体"/>
                      <w:color w:val="auto"/>
                      <w:kern w:val="0"/>
                      <w:sz w:val="18"/>
                      <w:szCs w:val="18"/>
                      <w:lang w:val="en-US" w:eastAsia="zh-CN"/>
                    </w:rPr>
                    <w:t>住户</w:t>
                  </w:r>
                  <w:r>
                    <w:rPr>
                      <w:rFonts w:hint="eastAsia"/>
                      <w:color w:val="auto"/>
                      <w:kern w:val="0"/>
                      <w:sz w:val="18"/>
                      <w:szCs w:val="18"/>
                    </w:rPr>
                    <w:t>）</w:t>
                  </w:r>
                </w:p>
              </w:tc>
              <w:tc>
                <w:tcPr>
                  <w:tcW w:w="150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exact"/>
                    <w:ind w:left="0" w:right="0"/>
                    <w:jc w:val="center"/>
                    <w:rPr>
                      <w:rFonts w:hint="default"/>
                      <w:color w:val="auto"/>
                      <w:sz w:val="18"/>
                      <w:szCs w:val="18"/>
                    </w:rPr>
                  </w:pPr>
                  <w:r>
                    <w:rPr>
                      <w:rFonts w:hint="eastAsia"/>
                      <w:color w:val="auto"/>
                      <w:sz w:val="18"/>
                      <w:szCs w:val="18"/>
                    </w:rPr>
                    <w:t>202</w:t>
                  </w:r>
                  <w:r>
                    <w:rPr>
                      <w:rFonts w:hint="eastAsia"/>
                      <w:color w:val="auto"/>
                      <w:sz w:val="18"/>
                      <w:szCs w:val="18"/>
                      <w:lang w:val="en-US" w:eastAsia="zh-CN"/>
                    </w:rPr>
                    <w:t>4.5.22</w:t>
                  </w:r>
                </w:p>
              </w:tc>
              <w:tc>
                <w:tcPr>
                  <w:tcW w:w="135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exact"/>
                    <w:ind w:left="0" w:right="0"/>
                    <w:jc w:val="center"/>
                    <w:rPr>
                      <w:rFonts w:hint="default" w:eastAsia="宋体"/>
                      <w:color w:val="auto"/>
                      <w:sz w:val="18"/>
                      <w:szCs w:val="18"/>
                      <w:lang w:val="en-US" w:eastAsia="zh-CN"/>
                    </w:rPr>
                  </w:pPr>
                  <w:r>
                    <w:rPr>
                      <w:rFonts w:hint="eastAsia"/>
                      <w:color w:val="auto"/>
                      <w:sz w:val="18"/>
                      <w:szCs w:val="18"/>
                    </w:rPr>
                    <w:t>5</w:t>
                  </w:r>
                  <w:r>
                    <w:rPr>
                      <w:rFonts w:hint="eastAsia"/>
                      <w:color w:val="auto"/>
                      <w:sz w:val="18"/>
                      <w:szCs w:val="18"/>
                      <w:lang w:val="en-US" w:eastAsia="zh-CN"/>
                    </w:rPr>
                    <w:t>3.0</w:t>
                  </w:r>
                </w:p>
              </w:tc>
              <w:tc>
                <w:tcPr>
                  <w:tcW w:w="1534" w:type="dxa"/>
                  <w:tcBorders>
                    <w:left w:val="nil"/>
                    <w:right w:val="single" w:color="auto" w:sz="4" w:space="0"/>
                  </w:tcBorders>
                  <w:vAlign w:val="center"/>
                </w:tcPr>
                <w:p>
                  <w:pPr>
                    <w:keepNext w:val="0"/>
                    <w:keepLines w:val="0"/>
                    <w:widowControl/>
                    <w:suppressLineNumbers w:val="0"/>
                    <w:spacing w:before="0" w:beforeAutospacing="0" w:after="0" w:afterAutospacing="0" w:line="360" w:lineRule="exact"/>
                    <w:ind w:left="0" w:right="0"/>
                    <w:jc w:val="center"/>
                    <w:rPr>
                      <w:rFonts w:hint="default"/>
                      <w:color w:val="auto"/>
                      <w:kern w:val="0"/>
                      <w:sz w:val="18"/>
                      <w:szCs w:val="18"/>
                    </w:rPr>
                  </w:pPr>
                  <w:r>
                    <w:rPr>
                      <w:rFonts w:hint="eastAsia"/>
                      <w:color w:val="auto"/>
                      <w:kern w:val="0"/>
                      <w:sz w:val="18"/>
                      <w:szCs w:val="18"/>
                    </w:rPr>
                    <w:t>60</w:t>
                  </w:r>
                </w:p>
              </w:tc>
              <w:tc>
                <w:tcPr>
                  <w:tcW w:w="101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60" w:lineRule="exact"/>
                    <w:ind w:left="0" w:right="0"/>
                    <w:jc w:val="center"/>
                    <w:rPr>
                      <w:rFonts w:hint="default"/>
                      <w:color w:val="auto"/>
                      <w:sz w:val="18"/>
                      <w:szCs w:val="18"/>
                    </w:rPr>
                  </w:pPr>
                  <w:r>
                    <w:rPr>
                      <w:rFonts w:hint="default"/>
                      <w:color w:val="auto"/>
                      <w:sz w:val="18"/>
                      <w:szCs w:val="18"/>
                    </w:rPr>
                    <w:t>达标</w:t>
                  </w:r>
                </w:p>
              </w:tc>
            </w:tr>
            <w:bookmarkEnd w:id="2"/>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rPr>
                <w:rFonts w:hint="default" w:cs="宋体"/>
                <w:color w:val="auto"/>
                <w:kern w:val="0"/>
                <w:szCs w:val="21"/>
              </w:rPr>
            </w:pPr>
            <w:r>
              <w:rPr>
                <w:rFonts w:hint="eastAsia" w:cs="宋体"/>
                <w:color w:val="auto"/>
                <w:kern w:val="0"/>
                <w:szCs w:val="21"/>
              </w:rPr>
              <w:t>由上表监测结果可知，项目区周围环境噪声值能够满足《声环境质量标准》（</w:t>
            </w:r>
            <w:r>
              <w:rPr>
                <w:rFonts w:hint="default" w:cs="宋体"/>
                <w:color w:val="auto"/>
                <w:kern w:val="0"/>
                <w:szCs w:val="21"/>
              </w:rPr>
              <w:t>GB3096-2008</w:t>
            </w:r>
            <w:r>
              <w:rPr>
                <w:rFonts w:hint="eastAsia" w:cs="宋体"/>
                <w:color w:val="auto"/>
                <w:kern w:val="0"/>
                <w:szCs w:val="21"/>
              </w:rPr>
              <w:t>）中</w:t>
            </w:r>
            <w:r>
              <w:rPr>
                <w:rFonts w:hint="eastAsia" w:cs="宋体"/>
                <w:color w:val="auto"/>
                <w:kern w:val="0"/>
                <w:szCs w:val="21"/>
                <w:lang w:val="en-US" w:eastAsia="zh-CN"/>
              </w:rPr>
              <w:t>的</w:t>
            </w:r>
            <w:r>
              <w:rPr>
                <w:rFonts w:hint="eastAsia" w:cs="宋体"/>
                <w:color w:val="auto"/>
                <w:kern w:val="0"/>
                <w:szCs w:val="21"/>
              </w:rPr>
              <w:t>2类声环境功能区标准限值要求。</w:t>
            </w:r>
          </w:p>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4</w:t>
            </w:r>
            <w:r>
              <w:rPr>
                <w:rFonts w:hint="default" w:ascii="黑体" w:hAnsi="黑体" w:eastAsia="黑体" w:cs="宋体"/>
                <w:bCs/>
                <w:color w:val="auto"/>
                <w:sz w:val="22"/>
                <w:szCs w:val="22"/>
              </w:rPr>
              <w:t>、生态环境质量现状及评价</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lang w:val="zh-CN"/>
              </w:rPr>
            </w:pPr>
            <w:r>
              <w:rPr>
                <w:rFonts w:hint="eastAsia" w:cs="宋体"/>
                <w:color w:val="auto"/>
                <w:kern w:val="0"/>
                <w:szCs w:val="21"/>
              </w:rPr>
              <w:t>本项目位于</w:t>
            </w:r>
            <w:r>
              <w:rPr>
                <w:rFonts w:hint="eastAsia" w:cs="宋体"/>
                <w:color w:val="auto"/>
                <w:kern w:val="0"/>
                <w:szCs w:val="21"/>
                <w:lang w:val="en-US" w:eastAsia="zh-CN"/>
              </w:rPr>
              <w:t>大竹县莲印乡天生村11</w:t>
            </w:r>
            <w:r>
              <w:rPr>
                <w:rFonts w:hint="eastAsia" w:cs="宋体"/>
                <w:color w:val="auto"/>
                <w:kern w:val="0"/>
                <w:szCs w:val="21"/>
              </w:rPr>
              <w:t>组。项目周边主要为山体，植被主要以乔木、低矮灌木、杂草为主；受人类活动影响，评价区域的动物多为一些常见的非保护性动物（如鼠、兔、蛇等），无大型野生动物，调查过程未见受保护的野生动物活动。项目占地范围内无植被分布。区域生态环境质量较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jc w:val="center"/>
        </w:trPr>
        <w:tc>
          <w:tcPr>
            <w:tcW w:w="800"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保护</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目标</w:t>
            </w:r>
          </w:p>
        </w:tc>
        <w:tc>
          <w:tcPr>
            <w:tcW w:w="8062"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4"/>
              </w:rPr>
            </w:pPr>
            <w:r>
              <w:rPr>
                <w:rFonts w:hint="default" w:ascii="黑体" w:hAnsi="黑体" w:eastAsia="黑体" w:cs="宋体"/>
                <w:bCs/>
                <w:color w:val="auto"/>
                <w:sz w:val="22"/>
                <w:szCs w:val="22"/>
              </w:rPr>
              <w:t>1</w:t>
            </w:r>
            <w:r>
              <w:rPr>
                <w:rFonts w:hint="eastAsia" w:ascii="黑体" w:hAnsi="黑体" w:eastAsia="黑体" w:cs="宋体"/>
                <w:bCs/>
                <w:color w:val="auto"/>
                <w:sz w:val="22"/>
                <w:szCs w:val="22"/>
              </w:rPr>
              <w:t>、大气环境</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项目厂界外500m范围内仅有少量散居住户，无自然保护区、风景名胜区、文化区和人口较集中的区域等保护目标。项目的大气环境保护目标如下。</w:t>
            </w: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eastAsia="黑体"/>
                <w:color w:val="auto"/>
                <w:kern w:val="0"/>
                <w:sz w:val="18"/>
                <w:szCs w:val="20"/>
              </w:rPr>
            </w:pPr>
            <w:r>
              <w:rPr>
                <w:rFonts w:hint="default" w:ascii="黑体" w:hAnsi="黑体" w:eastAsia="黑体"/>
                <w:color w:val="auto"/>
                <w:kern w:val="0"/>
                <w:sz w:val="18"/>
                <w:szCs w:val="20"/>
              </w:rPr>
              <w:t>表</w:t>
            </w:r>
            <w:r>
              <w:rPr>
                <w:rFonts w:hint="default" w:eastAsia="黑体"/>
                <w:color w:val="auto"/>
                <w:kern w:val="0"/>
                <w:sz w:val="18"/>
                <w:szCs w:val="20"/>
              </w:rPr>
              <w:t>3-</w:t>
            </w:r>
            <w:r>
              <w:rPr>
                <w:rFonts w:hint="eastAsia" w:eastAsia="黑体"/>
                <w:color w:val="auto"/>
                <w:kern w:val="0"/>
                <w:sz w:val="18"/>
                <w:szCs w:val="20"/>
                <w:lang w:val="en-US" w:eastAsia="zh-CN"/>
              </w:rPr>
              <w:t>6</w:t>
            </w:r>
            <w:r>
              <w:rPr>
                <w:rFonts w:hint="default" w:eastAsia="黑体"/>
                <w:color w:val="auto"/>
                <w:kern w:val="0"/>
                <w:sz w:val="18"/>
                <w:szCs w:val="20"/>
              </w:rPr>
              <w:t xml:space="preserve">   </w:t>
            </w:r>
            <w:r>
              <w:rPr>
                <w:rFonts w:hint="default" w:ascii="黑体" w:hAnsi="黑体" w:eastAsia="黑体"/>
                <w:color w:val="auto"/>
                <w:kern w:val="0"/>
                <w:sz w:val="18"/>
                <w:szCs w:val="20"/>
              </w:rPr>
              <w:t>大气环境保护目标</w:t>
            </w:r>
          </w:p>
          <w:tbl>
            <w:tblPr>
              <w:tblStyle w:val="14"/>
              <w:tblW w:w="771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15"/>
              <w:gridCol w:w="1512"/>
              <w:gridCol w:w="809"/>
              <w:gridCol w:w="1244"/>
              <w:gridCol w:w="1604"/>
              <w:gridCol w:w="15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20" w:hRule="atLeast"/>
                <w:jc w:val="center"/>
              </w:trPr>
              <w:tc>
                <w:tcPr>
                  <w:tcW w:w="101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highlight w:val="none"/>
                      <w:lang w:val="en-US"/>
                    </w:rPr>
                  </w:pPr>
                  <w:r>
                    <w:rPr>
                      <w:rFonts w:hint="eastAsia" w:ascii="Times New Roman" w:hAnsi="宋体" w:eastAsia="宋体" w:cs="宋体"/>
                      <w:b/>
                      <w:bCs w:val="0"/>
                      <w:color w:val="auto"/>
                      <w:kern w:val="2"/>
                      <w:sz w:val="18"/>
                      <w:szCs w:val="18"/>
                      <w:highlight w:val="none"/>
                      <w:lang w:val="en-US" w:eastAsia="zh-CN" w:bidi="ar"/>
                    </w:rPr>
                    <w:t>环境要素</w:t>
                  </w:r>
                </w:p>
              </w:tc>
              <w:tc>
                <w:tcPr>
                  <w:tcW w:w="151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hAnsi="宋体"/>
                      <w:b/>
                      <w:bCs w:val="0"/>
                      <w:color w:val="auto"/>
                      <w:sz w:val="18"/>
                      <w:szCs w:val="18"/>
                      <w:highlight w:val="none"/>
                      <w:lang w:val="en-US"/>
                    </w:rPr>
                  </w:pPr>
                  <w:r>
                    <w:rPr>
                      <w:rFonts w:hint="eastAsia" w:ascii="Times New Roman" w:hAnsi="宋体" w:eastAsia="宋体" w:cs="宋体"/>
                      <w:b/>
                      <w:bCs w:val="0"/>
                      <w:color w:val="auto"/>
                      <w:kern w:val="2"/>
                      <w:sz w:val="18"/>
                      <w:szCs w:val="18"/>
                      <w:highlight w:val="none"/>
                      <w:lang w:val="en-US" w:eastAsia="zh-CN" w:bidi="ar"/>
                    </w:rPr>
                    <w:t>保护目标</w:t>
                  </w:r>
                </w:p>
              </w:tc>
              <w:tc>
                <w:tcPr>
                  <w:tcW w:w="8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highlight w:val="none"/>
                      <w:lang w:val="en-US"/>
                    </w:rPr>
                  </w:pPr>
                  <w:r>
                    <w:rPr>
                      <w:rFonts w:hint="eastAsia" w:ascii="Times New Roman" w:hAnsi="宋体" w:eastAsia="宋体" w:cs="宋体"/>
                      <w:b/>
                      <w:bCs w:val="0"/>
                      <w:color w:val="auto"/>
                      <w:kern w:val="2"/>
                      <w:sz w:val="18"/>
                      <w:szCs w:val="18"/>
                      <w:highlight w:val="none"/>
                      <w:lang w:val="en-US" w:eastAsia="zh-CN" w:bidi="ar"/>
                    </w:rPr>
                    <w:t>方位</w:t>
                  </w:r>
                </w:p>
              </w:tc>
              <w:tc>
                <w:tcPr>
                  <w:tcW w:w="12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highlight w:val="none"/>
                      <w:lang w:val="en-US"/>
                    </w:rPr>
                  </w:pPr>
                  <w:r>
                    <w:rPr>
                      <w:rFonts w:hint="default" w:ascii="Times New Roman" w:hAnsi="宋体" w:eastAsia="宋体" w:cs="Times New Roman"/>
                      <w:b/>
                      <w:bCs w:val="0"/>
                      <w:color w:val="auto"/>
                      <w:kern w:val="2"/>
                      <w:sz w:val="18"/>
                      <w:szCs w:val="18"/>
                      <w:highlight w:val="none"/>
                      <w:lang w:val="en-US" w:eastAsia="zh-CN" w:bidi="ar"/>
                    </w:rPr>
                    <w:t>500m</w:t>
                  </w:r>
                  <w:r>
                    <w:rPr>
                      <w:rFonts w:hint="eastAsia" w:ascii="Times New Roman" w:hAnsi="宋体" w:eastAsia="宋体" w:cs="宋体"/>
                      <w:b/>
                      <w:bCs w:val="0"/>
                      <w:color w:val="auto"/>
                      <w:kern w:val="2"/>
                      <w:sz w:val="18"/>
                      <w:szCs w:val="18"/>
                      <w:highlight w:val="none"/>
                      <w:lang w:val="en-US" w:eastAsia="zh-CN" w:bidi="ar"/>
                    </w:rPr>
                    <w:t>范围</w:t>
                  </w:r>
                </w:p>
              </w:tc>
              <w:tc>
                <w:tcPr>
                  <w:tcW w:w="16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highlight w:val="none"/>
                      <w:lang w:val="en-US"/>
                    </w:rPr>
                  </w:pPr>
                  <w:r>
                    <w:rPr>
                      <w:rFonts w:hint="eastAsia" w:ascii="Times New Roman" w:hAnsi="宋体" w:eastAsia="宋体" w:cs="宋体"/>
                      <w:b/>
                      <w:bCs w:val="0"/>
                      <w:color w:val="auto"/>
                      <w:kern w:val="2"/>
                      <w:sz w:val="18"/>
                      <w:szCs w:val="18"/>
                      <w:highlight w:val="none"/>
                      <w:lang w:val="en-US" w:eastAsia="zh-CN" w:bidi="ar"/>
                    </w:rPr>
                    <w:t>规模</w:t>
                  </w:r>
                </w:p>
              </w:tc>
              <w:tc>
                <w:tcPr>
                  <w:tcW w:w="15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b/>
                      <w:bCs w:val="0"/>
                      <w:color w:val="auto"/>
                      <w:sz w:val="18"/>
                      <w:szCs w:val="18"/>
                      <w:highlight w:val="none"/>
                      <w:lang w:val="en-US"/>
                    </w:rPr>
                  </w:pPr>
                  <w:r>
                    <w:rPr>
                      <w:rFonts w:hint="eastAsia" w:ascii="Times New Roman" w:hAnsi="宋体" w:eastAsia="宋体" w:cs="宋体"/>
                      <w:b/>
                      <w:bCs w:val="0"/>
                      <w:color w:val="auto"/>
                      <w:kern w:val="0"/>
                      <w:sz w:val="18"/>
                      <w:szCs w:val="18"/>
                      <w:highlight w:val="none"/>
                      <w:lang w:val="en-US" w:eastAsia="zh-CN" w:bidi="ar"/>
                    </w:rPr>
                    <w:t>保护等级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20" w:hRule="atLeast"/>
                <w:jc w:val="center"/>
              </w:trPr>
              <w:tc>
                <w:tcPr>
                  <w:tcW w:w="1015"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highlight w:val="none"/>
                      <w:lang w:val="en-US"/>
                    </w:rPr>
                  </w:pPr>
                  <w:r>
                    <w:rPr>
                      <w:rFonts w:hint="eastAsia" w:ascii="Times New Roman" w:hAnsi="宋体" w:eastAsia="宋体" w:cs="宋体"/>
                      <w:color w:val="auto"/>
                      <w:kern w:val="2"/>
                      <w:sz w:val="18"/>
                      <w:szCs w:val="18"/>
                      <w:highlight w:val="none"/>
                      <w:lang w:val="en-US" w:eastAsia="zh-CN" w:bidi="ar"/>
                    </w:rPr>
                    <w:t>环境空气</w:t>
                  </w:r>
                </w:p>
              </w:tc>
              <w:tc>
                <w:tcPr>
                  <w:tcW w:w="151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highlight w:val="none"/>
                      <w:lang w:val="en-US"/>
                    </w:rPr>
                  </w:pPr>
                  <w:r>
                    <w:rPr>
                      <w:rFonts w:hint="eastAsia" w:ascii="Times New Roman" w:hAnsi="宋体" w:eastAsia="宋体" w:cs="宋体"/>
                      <w:color w:val="auto"/>
                      <w:kern w:val="2"/>
                      <w:sz w:val="18"/>
                      <w:szCs w:val="18"/>
                      <w:highlight w:val="none"/>
                      <w:lang w:val="en-US" w:eastAsia="zh-CN" w:bidi="ar"/>
                    </w:rPr>
                    <w:t>散户居民</w:t>
                  </w:r>
                </w:p>
              </w:tc>
              <w:tc>
                <w:tcPr>
                  <w:tcW w:w="8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东面</w:t>
                  </w:r>
                </w:p>
              </w:tc>
              <w:tc>
                <w:tcPr>
                  <w:tcW w:w="12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cs="Times New Roman"/>
                      <w:color w:val="auto"/>
                      <w:kern w:val="2"/>
                      <w:sz w:val="18"/>
                      <w:szCs w:val="18"/>
                      <w:highlight w:val="none"/>
                      <w:lang w:val="en-US" w:eastAsia="zh-CN" w:bidi="ar"/>
                    </w:rPr>
                  </w:pPr>
                  <w:r>
                    <w:rPr>
                      <w:rFonts w:hint="eastAsia" w:cs="Times New Roman"/>
                      <w:color w:val="auto"/>
                      <w:kern w:val="2"/>
                      <w:sz w:val="18"/>
                      <w:szCs w:val="18"/>
                      <w:highlight w:val="none"/>
                      <w:lang w:val="en-US" w:eastAsia="zh-CN" w:bidi="ar"/>
                    </w:rPr>
                    <w:t>125</w:t>
                  </w:r>
                  <w:r>
                    <w:rPr>
                      <w:rFonts w:hint="default" w:cs="Times New Roman"/>
                      <w:color w:val="auto"/>
                      <w:kern w:val="2"/>
                      <w:sz w:val="18"/>
                      <w:szCs w:val="18"/>
                      <w:highlight w:val="none"/>
                      <w:lang w:val="en-US" w:eastAsia="zh-CN" w:bidi="ar"/>
                    </w:rPr>
                    <w:t>m</w:t>
                  </w:r>
                </w:p>
              </w:tc>
              <w:tc>
                <w:tcPr>
                  <w:tcW w:w="16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highlight w:val="none"/>
                      <w:lang w:val="en-US"/>
                    </w:rPr>
                  </w:pPr>
                  <w:r>
                    <w:rPr>
                      <w:rFonts w:hint="eastAsia" w:hAnsi="宋体" w:cs="Times New Roman"/>
                      <w:color w:val="auto"/>
                      <w:kern w:val="2"/>
                      <w:sz w:val="18"/>
                      <w:szCs w:val="18"/>
                      <w:highlight w:val="none"/>
                      <w:lang w:val="en-US" w:eastAsia="zh-CN" w:bidi="ar"/>
                    </w:rPr>
                    <w:t>4</w:t>
                  </w:r>
                  <w:r>
                    <w:rPr>
                      <w:rFonts w:hint="eastAsia" w:ascii="Times New Roman" w:hAnsi="宋体" w:eastAsia="宋体" w:cs="宋体"/>
                      <w:color w:val="auto"/>
                      <w:kern w:val="2"/>
                      <w:sz w:val="18"/>
                      <w:szCs w:val="18"/>
                      <w:highlight w:val="none"/>
                      <w:lang w:val="en-US" w:eastAsia="zh-CN" w:bidi="ar"/>
                    </w:rPr>
                    <w:t>户，约</w:t>
                  </w:r>
                  <w:r>
                    <w:rPr>
                      <w:rFonts w:hint="eastAsia" w:hAnsi="宋体" w:cs="Times New Roman"/>
                      <w:color w:val="auto"/>
                      <w:kern w:val="2"/>
                      <w:sz w:val="18"/>
                      <w:szCs w:val="18"/>
                      <w:highlight w:val="none"/>
                      <w:lang w:val="en-US" w:eastAsia="zh-CN" w:bidi="ar"/>
                    </w:rPr>
                    <w:t>10</w:t>
                  </w:r>
                  <w:r>
                    <w:rPr>
                      <w:rFonts w:hint="eastAsia" w:ascii="Times New Roman" w:hAnsi="宋体" w:eastAsia="宋体" w:cs="宋体"/>
                      <w:color w:val="auto"/>
                      <w:kern w:val="2"/>
                      <w:sz w:val="18"/>
                      <w:szCs w:val="18"/>
                      <w:highlight w:val="none"/>
                      <w:lang w:val="en-US" w:eastAsia="zh-CN" w:bidi="ar"/>
                    </w:rPr>
                    <w:t>人</w:t>
                  </w:r>
                </w:p>
              </w:tc>
              <w:tc>
                <w:tcPr>
                  <w:tcW w:w="1533"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highlight w:val="none"/>
                      <w:lang w:val="en-US"/>
                    </w:rPr>
                  </w:pPr>
                  <w:r>
                    <w:rPr>
                      <w:rFonts w:hint="eastAsia" w:ascii="Times New Roman" w:hAnsi="宋体" w:eastAsia="宋体" w:cs="宋体"/>
                      <w:color w:val="auto"/>
                      <w:kern w:val="0"/>
                      <w:sz w:val="18"/>
                      <w:szCs w:val="18"/>
                      <w:highlight w:val="none"/>
                      <w:lang w:val="en-US" w:eastAsia="zh-CN" w:bidi="ar"/>
                    </w:rPr>
                    <w:t>《环境空气质量标准（</w:t>
                  </w:r>
                  <w:r>
                    <w:rPr>
                      <w:rFonts w:hint="default" w:ascii="Times New Roman" w:hAnsi="Times New Roman" w:eastAsia="宋体" w:cs="Times New Roman"/>
                      <w:color w:val="auto"/>
                      <w:kern w:val="0"/>
                      <w:sz w:val="18"/>
                      <w:szCs w:val="18"/>
                      <w:highlight w:val="none"/>
                      <w:lang w:val="en-US" w:eastAsia="zh-CN" w:bidi="ar"/>
                    </w:rPr>
                    <w:t>GB3095-2012</w:t>
                  </w:r>
                  <w:r>
                    <w:rPr>
                      <w:rFonts w:hint="eastAsia" w:ascii="Times New Roman" w:hAnsi="宋体" w:eastAsia="宋体" w:cs="宋体"/>
                      <w:color w:val="auto"/>
                      <w:kern w:val="0"/>
                      <w:sz w:val="18"/>
                      <w:szCs w:val="18"/>
                      <w:highlight w:val="none"/>
                      <w:lang w:val="en-US" w:eastAsia="zh-CN" w:bidi="ar"/>
                    </w:rPr>
                    <w:t>）中的二级标准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0" w:hRule="atLeast"/>
                <w:jc w:val="center"/>
              </w:trPr>
              <w:tc>
                <w:tcPr>
                  <w:tcW w:w="1015"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highlight w:val="none"/>
                    </w:rPr>
                  </w:pPr>
                </w:p>
              </w:tc>
              <w:tc>
                <w:tcPr>
                  <w:tcW w:w="151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highlight w:val="none"/>
                      <w:lang w:val="en-US"/>
                    </w:rPr>
                  </w:pPr>
                  <w:r>
                    <w:rPr>
                      <w:rFonts w:hint="eastAsia" w:ascii="Times New Roman" w:hAnsi="宋体" w:eastAsia="宋体" w:cs="宋体"/>
                      <w:color w:val="auto"/>
                      <w:kern w:val="2"/>
                      <w:sz w:val="18"/>
                      <w:szCs w:val="18"/>
                      <w:highlight w:val="none"/>
                      <w:lang w:val="en-US" w:eastAsia="zh-CN" w:bidi="ar"/>
                    </w:rPr>
                    <w:t>散户居民</w:t>
                  </w:r>
                </w:p>
              </w:tc>
              <w:tc>
                <w:tcPr>
                  <w:tcW w:w="8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东面</w:t>
                  </w:r>
                </w:p>
              </w:tc>
              <w:tc>
                <w:tcPr>
                  <w:tcW w:w="12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cs="Times New Roman"/>
                      <w:color w:val="auto"/>
                      <w:kern w:val="2"/>
                      <w:sz w:val="18"/>
                      <w:szCs w:val="18"/>
                      <w:highlight w:val="none"/>
                      <w:lang w:val="en-US" w:eastAsia="zh-CN" w:bidi="ar"/>
                    </w:rPr>
                  </w:pPr>
                  <w:r>
                    <w:rPr>
                      <w:rFonts w:hint="eastAsia" w:cs="Times New Roman"/>
                      <w:color w:val="auto"/>
                      <w:kern w:val="2"/>
                      <w:sz w:val="18"/>
                      <w:szCs w:val="18"/>
                      <w:highlight w:val="none"/>
                      <w:lang w:val="en-US" w:eastAsia="zh-CN" w:bidi="ar"/>
                    </w:rPr>
                    <w:t>160</w:t>
                  </w:r>
                  <w:r>
                    <w:rPr>
                      <w:rFonts w:hint="default" w:cs="Times New Roman"/>
                      <w:color w:val="auto"/>
                      <w:kern w:val="2"/>
                      <w:sz w:val="18"/>
                      <w:szCs w:val="18"/>
                      <w:highlight w:val="none"/>
                      <w:lang w:val="en-US" w:eastAsia="zh-CN" w:bidi="ar"/>
                    </w:rPr>
                    <w:t>m</w:t>
                  </w:r>
                </w:p>
              </w:tc>
              <w:tc>
                <w:tcPr>
                  <w:tcW w:w="16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olor w:val="auto"/>
                      <w:sz w:val="18"/>
                      <w:szCs w:val="18"/>
                      <w:highlight w:val="none"/>
                      <w:lang w:val="en-US"/>
                    </w:rPr>
                  </w:pPr>
                  <w:r>
                    <w:rPr>
                      <w:rFonts w:hint="eastAsia" w:hAnsi="宋体" w:cs="Times New Roman"/>
                      <w:color w:val="auto"/>
                      <w:kern w:val="2"/>
                      <w:sz w:val="18"/>
                      <w:szCs w:val="18"/>
                      <w:highlight w:val="none"/>
                      <w:lang w:val="en-US" w:eastAsia="zh-CN" w:bidi="ar"/>
                    </w:rPr>
                    <w:t>2</w:t>
                  </w:r>
                  <w:r>
                    <w:rPr>
                      <w:rFonts w:hint="eastAsia" w:ascii="Times New Roman" w:hAnsi="宋体" w:eastAsia="宋体" w:cs="宋体"/>
                      <w:color w:val="auto"/>
                      <w:kern w:val="2"/>
                      <w:sz w:val="18"/>
                      <w:szCs w:val="18"/>
                      <w:highlight w:val="none"/>
                      <w:lang w:val="en-US" w:eastAsia="zh-CN" w:bidi="ar"/>
                    </w:rPr>
                    <w:t>户，约</w:t>
                  </w:r>
                  <w:r>
                    <w:rPr>
                      <w:rFonts w:hint="eastAsia" w:hAnsi="宋体" w:cs="Times New Roman"/>
                      <w:color w:val="auto"/>
                      <w:kern w:val="2"/>
                      <w:sz w:val="18"/>
                      <w:szCs w:val="18"/>
                      <w:highlight w:val="none"/>
                      <w:lang w:val="en-US" w:eastAsia="zh-CN" w:bidi="ar"/>
                    </w:rPr>
                    <w:t>4</w:t>
                  </w:r>
                  <w:r>
                    <w:rPr>
                      <w:rFonts w:hint="eastAsia" w:ascii="Times New Roman" w:hAnsi="宋体" w:eastAsia="宋体" w:cs="宋体"/>
                      <w:color w:val="auto"/>
                      <w:kern w:val="2"/>
                      <w:sz w:val="18"/>
                      <w:szCs w:val="18"/>
                      <w:highlight w:val="none"/>
                      <w:lang w:val="en-US" w:eastAsia="zh-CN" w:bidi="ar"/>
                    </w:rPr>
                    <w:t>人</w:t>
                  </w:r>
                </w:p>
              </w:tc>
              <w:tc>
                <w:tcPr>
                  <w:tcW w:w="1533"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20" w:hRule="atLeast"/>
                <w:jc w:val="center"/>
              </w:trPr>
              <w:tc>
                <w:tcPr>
                  <w:tcW w:w="1015"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highlight w:val="none"/>
                    </w:rPr>
                  </w:pPr>
                </w:p>
              </w:tc>
              <w:tc>
                <w:tcPr>
                  <w:tcW w:w="151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宋体" w:eastAsia="宋体" w:cs="宋体"/>
                      <w:color w:val="auto"/>
                      <w:kern w:val="2"/>
                      <w:sz w:val="18"/>
                      <w:szCs w:val="18"/>
                      <w:highlight w:val="none"/>
                      <w:lang w:val="en-US" w:eastAsia="zh-CN" w:bidi="ar"/>
                    </w:rPr>
                    <w:t>散户居民</w:t>
                  </w:r>
                </w:p>
              </w:tc>
              <w:tc>
                <w:tcPr>
                  <w:tcW w:w="8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宋体"/>
                      <w:color w:val="auto"/>
                      <w:kern w:val="2"/>
                      <w:sz w:val="18"/>
                      <w:szCs w:val="18"/>
                      <w:highlight w:val="none"/>
                      <w:lang w:val="en-US" w:eastAsia="zh-CN" w:bidi="ar"/>
                    </w:rPr>
                  </w:pPr>
                  <w:r>
                    <w:rPr>
                      <w:rFonts w:hint="eastAsia" w:cs="宋体"/>
                      <w:color w:val="auto"/>
                      <w:kern w:val="2"/>
                      <w:sz w:val="18"/>
                      <w:szCs w:val="18"/>
                      <w:highlight w:val="none"/>
                      <w:lang w:val="en-US" w:eastAsia="zh-CN" w:bidi="ar"/>
                    </w:rPr>
                    <w:t>东南面</w:t>
                  </w:r>
                </w:p>
              </w:tc>
              <w:tc>
                <w:tcPr>
                  <w:tcW w:w="12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cs="Times New Roman"/>
                      <w:color w:val="auto"/>
                      <w:kern w:val="2"/>
                      <w:sz w:val="18"/>
                      <w:szCs w:val="18"/>
                      <w:highlight w:val="none"/>
                      <w:lang w:val="en-US" w:eastAsia="zh-CN" w:bidi="ar"/>
                    </w:rPr>
                  </w:pPr>
                  <w:r>
                    <w:rPr>
                      <w:rFonts w:hint="default" w:cs="Times New Roman"/>
                      <w:color w:val="auto"/>
                      <w:kern w:val="2"/>
                      <w:sz w:val="18"/>
                      <w:szCs w:val="18"/>
                      <w:highlight w:val="none"/>
                      <w:lang w:val="en-US" w:eastAsia="zh-CN" w:bidi="ar"/>
                    </w:rPr>
                    <w:t>204~500m</w:t>
                  </w:r>
                </w:p>
              </w:tc>
              <w:tc>
                <w:tcPr>
                  <w:tcW w:w="16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hAnsi="宋体" w:cs="Times New Roman"/>
                      <w:color w:val="auto"/>
                      <w:kern w:val="2"/>
                      <w:sz w:val="18"/>
                      <w:szCs w:val="18"/>
                      <w:highlight w:val="none"/>
                      <w:lang w:val="en-US" w:eastAsia="zh-CN" w:bidi="ar"/>
                    </w:rPr>
                    <w:t>4</w:t>
                  </w:r>
                  <w:r>
                    <w:rPr>
                      <w:rFonts w:hint="eastAsia" w:ascii="Times New Roman" w:hAnsi="宋体" w:eastAsia="宋体" w:cs="宋体"/>
                      <w:color w:val="auto"/>
                      <w:kern w:val="2"/>
                      <w:sz w:val="18"/>
                      <w:szCs w:val="18"/>
                      <w:highlight w:val="none"/>
                      <w:lang w:val="en-US" w:eastAsia="zh-CN" w:bidi="ar"/>
                    </w:rPr>
                    <w:t>户，约</w:t>
                  </w:r>
                  <w:r>
                    <w:rPr>
                      <w:rFonts w:hint="eastAsia" w:hAnsi="宋体" w:cs="Times New Roman"/>
                      <w:color w:val="auto"/>
                      <w:kern w:val="2"/>
                      <w:sz w:val="18"/>
                      <w:szCs w:val="18"/>
                      <w:highlight w:val="none"/>
                      <w:lang w:val="en-US" w:eastAsia="zh-CN" w:bidi="ar"/>
                    </w:rPr>
                    <w:t>11</w:t>
                  </w:r>
                  <w:r>
                    <w:rPr>
                      <w:rFonts w:hint="eastAsia" w:ascii="Times New Roman" w:hAnsi="宋体" w:eastAsia="宋体" w:cs="宋体"/>
                      <w:color w:val="auto"/>
                      <w:kern w:val="2"/>
                      <w:sz w:val="18"/>
                      <w:szCs w:val="18"/>
                      <w:highlight w:val="none"/>
                      <w:lang w:val="en-US" w:eastAsia="zh-CN" w:bidi="ar"/>
                    </w:rPr>
                    <w:t>人</w:t>
                  </w:r>
                </w:p>
              </w:tc>
              <w:tc>
                <w:tcPr>
                  <w:tcW w:w="1533"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20" w:hRule="atLeast"/>
                <w:jc w:val="center"/>
              </w:trPr>
              <w:tc>
                <w:tcPr>
                  <w:tcW w:w="1015"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highlight w:val="none"/>
                    </w:rPr>
                  </w:pPr>
                </w:p>
              </w:tc>
              <w:tc>
                <w:tcPr>
                  <w:tcW w:w="151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宋体" w:eastAsia="宋体" w:cs="宋体"/>
                      <w:color w:val="auto"/>
                      <w:kern w:val="2"/>
                      <w:sz w:val="18"/>
                      <w:szCs w:val="18"/>
                      <w:highlight w:val="none"/>
                      <w:lang w:val="en-US" w:eastAsia="zh-CN" w:bidi="ar"/>
                    </w:rPr>
                    <w:t>散户居民</w:t>
                  </w:r>
                </w:p>
              </w:tc>
              <w:tc>
                <w:tcPr>
                  <w:tcW w:w="8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宋体"/>
                      <w:color w:val="auto"/>
                      <w:kern w:val="2"/>
                      <w:sz w:val="18"/>
                      <w:szCs w:val="18"/>
                      <w:highlight w:val="none"/>
                      <w:lang w:val="en-US" w:eastAsia="zh-CN" w:bidi="ar"/>
                    </w:rPr>
                  </w:pPr>
                  <w:r>
                    <w:rPr>
                      <w:rFonts w:hint="eastAsia" w:cs="宋体"/>
                      <w:color w:val="auto"/>
                      <w:kern w:val="2"/>
                      <w:sz w:val="18"/>
                      <w:szCs w:val="18"/>
                      <w:highlight w:val="none"/>
                      <w:lang w:val="en-US" w:eastAsia="zh-CN" w:bidi="ar"/>
                    </w:rPr>
                    <w:t>南面</w:t>
                  </w:r>
                </w:p>
              </w:tc>
              <w:tc>
                <w:tcPr>
                  <w:tcW w:w="12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
                    </w:rPr>
                    <w:t>400</w:t>
                  </w:r>
                  <w:r>
                    <w:rPr>
                      <w:rFonts w:hint="default" w:ascii="Times New Roman" w:hAnsi="Times New Roman" w:eastAsia="宋体" w:cs="Times New Roman"/>
                      <w:color w:val="auto"/>
                      <w:kern w:val="2"/>
                      <w:sz w:val="18"/>
                      <w:szCs w:val="18"/>
                      <w:highlight w:val="none"/>
                      <w:lang w:val="en-US" w:eastAsia="zh-CN" w:bidi="ar"/>
                    </w:rPr>
                    <w:t>m</w:t>
                  </w:r>
                </w:p>
              </w:tc>
              <w:tc>
                <w:tcPr>
                  <w:tcW w:w="16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hAnsi="宋体" w:cs="Times New Roman"/>
                      <w:color w:val="auto"/>
                      <w:kern w:val="2"/>
                      <w:sz w:val="18"/>
                      <w:szCs w:val="18"/>
                      <w:highlight w:val="none"/>
                      <w:lang w:val="en-US" w:eastAsia="zh-CN" w:bidi="ar"/>
                    </w:rPr>
                    <w:t>2</w:t>
                  </w:r>
                  <w:r>
                    <w:rPr>
                      <w:rFonts w:hint="eastAsia" w:ascii="Times New Roman" w:hAnsi="宋体" w:eastAsia="宋体" w:cs="宋体"/>
                      <w:color w:val="auto"/>
                      <w:kern w:val="2"/>
                      <w:sz w:val="18"/>
                      <w:szCs w:val="18"/>
                      <w:highlight w:val="none"/>
                      <w:lang w:val="en-US" w:eastAsia="zh-CN" w:bidi="ar"/>
                    </w:rPr>
                    <w:t>户，约</w:t>
                  </w:r>
                  <w:r>
                    <w:rPr>
                      <w:rFonts w:hint="eastAsia" w:hAnsi="宋体" w:cs="Times New Roman"/>
                      <w:color w:val="auto"/>
                      <w:kern w:val="2"/>
                      <w:sz w:val="18"/>
                      <w:szCs w:val="18"/>
                      <w:highlight w:val="none"/>
                      <w:lang w:val="en-US" w:eastAsia="zh-CN" w:bidi="ar"/>
                    </w:rPr>
                    <w:t>4</w:t>
                  </w:r>
                  <w:r>
                    <w:rPr>
                      <w:rFonts w:hint="eastAsia" w:ascii="Times New Roman" w:hAnsi="宋体" w:eastAsia="宋体" w:cs="宋体"/>
                      <w:color w:val="auto"/>
                      <w:kern w:val="2"/>
                      <w:sz w:val="18"/>
                      <w:szCs w:val="18"/>
                      <w:highlight w:val="none"/>
                      <w:lang w:val="en-US" w:eastAsia="zh-CN" w:bidi="ar"/>
                    </w:rPr>
                    <w:t>人</w:t>
                  </w:r>
                </w:p>
              </w:tc>
              <w:tc>
                <w:tcPr>
                  <w:tcW w:w="1533"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20" w:hRule="atLeast"/>
                <w:jc w:val="center"/>
              </w:trPr>
              <w:tc>
                <w:tcPr>
                  <w:tcW w:w="1015"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highlight w:val="none"/>
                    </w:rPr>
                  </w:pPr>
                </w:p>
              </w:tc>
              <w:tc>
                <w:tcPr>
                  <w:tcW w:w="151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宋体" w:eastAsia="宋体" w:cs="宋体"/>
                      <w:color w:val="auto"/>
                      <w:kern w:val="2"/>
                      <w:sz w:val="18"/>
                      <w:szCs w:val="18"/>
                      <w:highlight w:val="none"/>
                      <w:lang w:val="en-US" w:eastAsia="zh-CN" w:bidi="ar"/>
                    </w:rPr>
                  </w:pPr>
                  <w:r>
                    <w:rPr>
                      <w:rFonts w:hint="eastAsia" w:ascii="Times New Roman" w:hAnsi="宋体" w:eastAsia="宋体" w:cs="宋体"/>
                      <w:color w:val="auto"/>
                      <w:kern w:val="2"/>
                      <w:sz w:val="18"/>
                      <w:szCs w:val="18"/>
                      <w:highlight w:val="none"/>
                      <w:lang w:val="en-US" w:eastAsia="zh-CN" w:bidi="ar"/>
                    </w:rPr>
                    <w:t>散户居民</w:t>
                  </w:r>
                </w:p>
              </w:tc>
              <w:tc>
                <w:tcPr>
                  <w:tcW w:w="8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宋体"/>
                      <w:color w:val="auto"/>
                      <w:kern w:val="2"/>
                      <w:sz w:val="18"/>
                      <w:szCs w:val="18"/>
                      <w:highlight w:val="none"/>
                      <w:lang w:val="en-US" w:eastAsia="zh-CN" w:bidi="ar"/>
                    </w:rPr>
                  </w:pPr>
                  <w:r>
                    <w:rPr>
                      <w:rFonts w:hint="eastAsia" w:cs="宋体"/>
                      <w:color w:val="auto"/>
                      <w:kern w:val="2"/>
                      <w:sz w:val="18"/>
                      <w:szCs w:val="18"/>
                      <w:highlight w:val="none"/>
                      <w:lang w:val="en-US" w:eastAsia="zh-CN" w:bidi="ar"/>
                    </w:rPr>
                    <w:t>西面</w:t>
                  </w:r>
                </w:p>
              </w:tc>
              <w:tc>
                <w:tcPr>
                  <w:tcW w:w="12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cs="Times New Roman"/>
                      <w:color w:val="auto"/>
                      <w:kern w:val="2"/>
                      <w:sz w:val="18"/>
                      <w:szCs w:val="18"/>
                      <w:highlight w:val="none"/>
                      <w:lang w:val="en-US" w:eastAsia="zh-CN" w:bidi="ar"/>
                    </w:rPr>
                  </w:pPr>
                  <w:r>
                    <w:rPr>
                      <w:rFonts w:hint="eastAsia" w:cs="Times New Roman"/>
                      <w:color w:val="auto"/>
                      <w:kern w:val="2"/>
                      <w:sz w:val="18"/>
                      <w:szCs w:val="18"/>
                      <w:highlight w:val="none"/>
                      <w:lang w:val="en-US" w:eastAsia="zh-CN" w:bidi="ar"/>
                    </w:rPr>
                    <w:t>120m</w:t>
                  </w:r>
                </w:p>
              </w:tc>
              <w:tc>
                <w:tcPr>
                  <w:tcW w:w="16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hAnsi="宋体" w:cs="Times New Roman"/>
                      <w:color w:val="auto"/>
                      <w:kern w:val="2"/>
                      <w:sz w:val="18"/>
                      <w:szCs w:val="18"/>
                      <w:highlight w:val="none"/>
                      <w:lang w:val="en-US" w:eastAsia="zh-CN" w:bidi="ar"/>
                    </w:rPr>
                  </w:pPr>
                  <w:r>
                    <w:rPr>
                      <w:rFonts w:hint="eastAsia" w:hAnsi="宋体" w:cs="Times New Roman"/>
                      <w:color w:val="auto"/>
                      <w:kern w:val="2"/>
                      <w:sz w:val="18"/>
                      <w:szCs w:val="18"/>
                      <w:highlight w:val="none"/>
                      <w:lang w:val="en-US" w:eastAsia="zh-CN" w:bidi="ar"/>
                    </w:rPr>
                    <w:t>1</w:t>
                  </w:r>
                  <w:r>
                    <w:rPr>
                      <w:rFonts w:hint="eastAsia" w:ascii="Times New Roman" w:hAnsi="宋体" w:eastAsia="宋体" w:cs="宋体"/>
                      <w:color w:val="auto"/>
                      <w:kern w:val="2"/>
                      <w:sz w:val="18"/>
                      <w:szCs w:val="18"/>
                      <w:highlight w:val="none"/>
                      <w:lang w:val="en-US" w:eastAsia="zh-CN" w:bidi="ar"/>
                    </w:rPr>
                    <w:t>户，约</w:t>
                  </w:r>
                  <w:r>
                    <w:rPr>
                      <w:rFonts w:hint="eastAsia" w:hAnsi="宋体" w:cs="Times New Roman"/>
                      <w:color w:val="auto"/>
                      <w:kern w:val="2"/>
                      <w:sz w:val="18"/>
                      <w:szCs w:val="18"/>
                      <w:highlight w:val="none"/>
                      <w:lang w:val="en-US" w:eastAsia="zh-CN" w:bidi="ar"/>
                    </w:rPr>
                    <w:t>3</w:t>
                  </w:r>
                  <w:r>
                    <w:rPr>
                      <w:rFonts w:hint="eastAsia" w:ascii="Times New Roman" w:hAnsi="宋体" w:eastAsia="宋体" w:cs="宋体"/>
                      <w:color w:val="auto"/>
                      <w:kern w:val="2"/>
                      <w:sz w:val="18"/>
                      <w:szCs w:val="18"/>
                      <w:highlight w:val="none"/>
                      <w:lang w:val="en-US" w:eastAsia="zh-CN" w:bidi="ar"/>
                    </w:rPr>
                    <w:t>人</w:t>
                  </w:r>
                </w:p>
              </w:tc>
              <w:tc>
                <w:tcPr>
                  <w:tcW w:w="1533"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31" w:hRule="atLeast"/>
                <w:jc w:val="center"/>
              </w:trPr>
              <w:tc>
                <w:tcPr>
                  <w:tcW w:w="1015"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highlight w:val="none"/>
                    </w:rPr>
                  </w:pPr>
                </w:p>
              </w:tc>
              <w:tc>
                <w:tcPr>
                  <w:tcW w:w="1512" w:type="dxa"/>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Times New Roman" w:hAnsi="宋体" w:eastAsia="宋体" w:cs="宋体"/>
                      <w:color w:val="auto"/>
                      <w:kern w:val="2"/>
                      <w:sz w:val="18"/>
                      <w:szCs w:val="18"/>
                      <w:highlight w:val="none"/>
                      <w:lang w:val="en-US" w:eastAsia="zh-CN" w:bidi="ar"/>
                    </w:rPr>
                  </w:pPr>
                  <w:r>
                    <w:rPr>
                      <w:rFonts w:hint="eastAsia" w:ascii="Times New Roman" w:hAnsi="宋体" w:eastAsia="宋体" w:cs="宋体"/>
                      <w:color w:val="auto"/>
                      <w:kern w:val="2"/>
                      <w:sz w:val="18"/>
                      <w:szCs w:val="18"/>
                      <w:highlight w:val="none"/>
                      <w:lang w:val="en-US" w:eastAsia="zh-CN" w:bidi="ar"/>
                    </w:rPr>
                    <w:t>散户居民</w:t>
                  </w:r>
                </w:p>
              </w:tc>
              <w:tc>
                <w:tcPr>
                  <w:tcW w:w="80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宋体"/>
                      <w:color w:val="auto"/>
                      <w:kern w:val="2"/>
                      <w:sz w:val="18"/>
                      <w:szCs w:val="18"/>
                      <w:highlight w:val="none"/>
                      <w:lang w:val="en-US" w:eastAsia="zh-CN" w:bidi="ar"/>
                    </w:rPr>
                  </w:pPr>
                  <w:r>
                    <w:rPr>
                      <w:rFonts w:hint="eastAsia" w:cs="宋体"/>
                      <w:color w:val="auto"/>
                      <w:kern w:val="2"/>
                      <w:sz w:val="18"/>
                      <w:szCs w:val="18"/>
                      <w:highlight w:val="none"/>
                      <w:lang w:val="en-US" w:eastAsia="zh-CN" w:bidi="ar"/>
                    </w:rPr>
                    <w:t>西面</w:t>
                  </w:r>
                </w:p>
              </w:tc>
              <w:tc>
                <w:tcPr>
                  <w:tcW w:w="124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default" w:cs="Times New Roman"/>
                      <w:color w:val="auto"/>
                      <w:kern w:val="2"/>
                      <w:sz w:val="18"/>
                      <w:szCs w:val="18"/>
                      <w:highlight w:val="none"/>
                      <w:lang w:val="en-US" w:eastAsia="zh-CN" w:bidi="ar"/>
                    </w:rPr>
                  </w:pPr>
                  <w:r>
                    <w:rPr>
                      <w:rFonts w:hint="eastAsia" w:cs="Times New Roman"/>
                      <w:color w:val="auto"/>
                      <w:kern w:val="2"/>
                      <w:sz w:val="18"/>
                      <w:szCs w:val="18"/>
                      <w:highlight w:val="none"/>
                      <w:lang w:val="en-US" w:eastAsia="zh-CN" w:bidi="ar"/>
                    </w:rPr>
                    <w:t>240m</w:t>
                  </w:r>
                </w:p>
              </w:tc>
              <w:tc>
                <w:tcPr>
                  <w:tcW w:w="160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hAnsi="宋体" w:cs="Times New Roman"/>
                      <w:color w:val="auto"/>
                      <w:kern w:val="2"/>
                      <w:sz w:val="18"/>
                      <w:szCs w:val="18"/>
                      <w:highlight w:val="none"/>
                      <w:lang w:val="en-US" w:eastAsia="zh-CN" w:bidi="ar"/>
                    </w:rPr>
                  </w:pPr>
                  <w:r>
                    <w:rPr>
                      <w:rFonts w:hint="eastAsia" w:hAnsi="宋体" w:cs="Times New Roman"/>
                      <w:color w:val="auto"/>
                      <w:kern w:val="2"/>
                      <w:sz w:val="18"/>
                      <w:szCs w:val="18"/>
                      <w:highlight w:val="none"/>
                      <w:lang w:val="en-US" w:eastAsia="zh-CN" w:bidi="ar"/>
                    </w:rPr>
                    <w:t>1</w:t>
                  </w:r>
                  <w:r>
                    <w:rPr>
                      <w:rFonts w:hint="eastAsia" w:ascii="Times New Roman" w:hAnsi="宋体" w:eastAsia="宋体" w:cs="宋体"/>
                      <w:color w:val="auto"/>
                      <w:kern w:val="2"/>
                      <w:sz w:val="18"/>
                      <w:szCs w:val="18"/>
                      <w:highlight w:val="none"/>
                      <w:lang w:val="en-US" w:eastAsia="zh-CN" w:bidi="ar"/>
                    </w:rPr>
                    <w:t>户，约</w:t>
                  </w:r>
                  <w:r>
                    <w:rPr>
                      <w:rFonts w:hint="eastAsia" w:hAnsi="宋体" w:cs="Times New Roman"/>
                      <w:color w:val="auto"/>
                      <w:kern w:val="2"/>
                      <w:sz w:val="18"/>
                      <w:szCs w:val="18"/>
                      <w:highlight w:val="none"/>
                      <w:lang w:val="en-US" w:eastAsia="zh-CN" w:bidi="ar"/>
                    </w:rPr>
                    <w:t>2</w:t>
                  </w:r>
                  <w:r>
                    <w:rPr>
                      <w:rFonts w:hint="eastAsia" w:ascii="Times New Roman" w:hAnsi="宋体" w:eastAsia="宋体" w:cs="宋体"/>
                      <w:color w:val="auto"/>
                      <w:kern w:val="2"/>
                      <w:sz w:val="18"/>
                      <w:szCs w:val="18"/>
                      <w:highlight w:val="none"/>
                      <w:lang w:val="en-US" w:eastAsia="zh-CN" w:bidi="ar"/>
                    </w:rPr>
                    <w:t>人</w:t>
                  </w:r>
                </w:p>
              </w:tc>
              <w:tc>
                <w:tcPr>
                  <w:tcW w:w="1533" w:type="dxa"/>
                  <w:vMerge w:val="continue"/>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Times New Roman" w:hAnsi="Times New Roman" w:cs="Times New Roman"/>
                      <w:color w:val="auto"/>
                      <w:sz w:val="18"/>
                      <w:szCs w:val="18"/>
                      <w:highlight w:val="none"/>
                    </w:rPr>
                  </w:pPr>
                </w:p>
              </w:tc>
            </w:tr>
          </w:tbl>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default" w:ascii="黑体" w:hAnsi="黑体" w:eastAsia="黑体" w:cs="宋体"/>
                <w:bCs/>
                <w:color w:val="auto"/>
                <w:sz w:val="22"/>
                <w:szCs w:val="22"/>
              </w:rPr>
              <w:t>2</w:t>
            </w:r>
            <w:r>
              <w:rPr>
                <w:rFonts w:hint="eastAsia" w:ascii="黑体" w:hAnsi="黑体" w:eastAsia="黑体" w:cs="宋体"/>
                <w:bCs/>
                <w:color w:val="auto"/>
                <w:sz w:val="22"/>
                <w:szCs w:val="22"/>
              </w:rPr>
              <w:t>、声环境</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根据调查，项目厂界外50米范围内无声环境保护目标。</w:t>
            </w:r>
          </w:p>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3、地表水</w:t>
            </w:r>
          </w:p>
          <w:p>
            <w:pPr>
              <w:keepNext w:val="0"/>
              <w:keepLines w:val="0"/>
              <w:suppressLineNumbers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与项目有关的地表水体为</w:t>
            </w:r>
            <w:r>
              <w:rPr>
                <w:rFonts w:hint="eastAsia" w:cs="宋体"/>
                <w:color w:val="auto"/>
                <w:kern w:val="0"/>
                <w:szCs w:val="21"/>
                <w:lang w:val="en-US" w:eastAsia="zh-CN"/>
              </w:rPr>
              <w:t>东面的季节性溪沟以及东柳河</w:t>
            </w:r>
            <w:r>
              <w:rPr>
                <w:rFonts w:hint="eastAsia" w:cs="宋体"/>
                <w:color w:val="auto"/>
                <w:kern w:val="0"/>
                <w:szCs w:val="21"/>
              </w:rPr>
              <w:t>，</w:t>
            </w:r>
            <w:r>
              <w:rPr>
                <w:rFonts w:hint="default"/>
                <w:color w:val="auto"/>
              </w:rPr>
              <w:t>项目评价河段不涉及饮用水源保护区等水环境敏感区。地表水环境保护目标为</w:t>
            </w:r>
            <w:r>
              <w:rPr>
                <w:rFonts w:hint="eastAsia"/>
                <w:color w:val="auto"/>
                <w:lang w:val="en-US" w:eastAsia="zh-CN"/>
              </w:rPr>
              <w:t>东柳河及季节性溪沟</w:t>
            </w:r>
            <w:r>
              <w:rPr>
                <w:rFonts w:hint="default"/>
                <w:color w:val="auto"/>
              </w:rPr>
              <w:t>评价河段的水环境，确保其水质满足《地表水环境质量标准》（GB3838-2002）Ⅲ类水域水质标准。</w:t>
            </w:r>
          </w:p>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4、地下水环境</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根据调查，项目厂界外</w:t>
            </w:r>
            <w:r>
              <w:rPr>
                <w:rFonts w:hint="default" w:cs="宋体"/>
                <w:color w:val="auto"/>
                <w:kern w:val="0"/>
                <w:szCs w:val="21"/>
              </w:rPr>
              <w:t>500</w:t>
            </w:r>
            <w:r>
              <w:rPr>
                <w:rFonts w:hint="eastAsia" w:cs="宋体"/>
                <w:color w:val="auto"/>
                <w:kern w:val="0"/>
                <w:szCs w:val="21"/>
              </w:rPr>
              <w:t>米范围内的无地下水集中式饮用水水源和热水、矿泉水、温泉等特殊地下水资源。</w:t>
            </w:r>
          </w:p>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5、生态环境</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rPr>
            </w:pPr>
            <w:r>
              <w:rPr>
                <w:rFonts w:hint="eastAsia" w:cs="宋体"/>
                <w:color w:val="auto"/>
                <w:kern w:val="0"/>
                <w:szCs w:val="21"/>
              </w:rPr>
              <w:t>根据现场调查，项目区域内不涉及自然保护区、森林公园及风景名胜区、生活饮用水水源保护区及其他需要特别保护区域，区域内无国家保护的重点野生动植物，无名木古树及珍稀动植物等，无特殊文物保护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800"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污染</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物排</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放控</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制标</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准</w:t>
            </w:r>
          </w:p>
          <w:p>
            <w:pPr>
              <w:keepNext w:val="0"/>
              <w:keepLines w:val="0"/>
              <w:suppressLineNumbers w:val="0"/>
              <w:spacing w:before="0" w:beforeAutospacing="0" w:after="0" w:afterAutospacing="0"/>
              <w:ind w:left="0" w:right="0"/>
              <w:rPr>
                <w:rFonts w:hint="default"/>
                <w:color w:val="auto"/>
              </w:rPr>
            </w:pPr>
          </w:p>
        </w:tc>
        <w:tc>
          <w:tcPr>
            <w:tcW w:w="8062"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rPr>
                <w:rFonts w:hint="default" w:cs="宋体" w:eastAsiaTheme="minorEastAsia"/>
                <w:color w:val="auto"/>
                <w:szCs w:val="21"/>
              </w:rPr>
            </w:pPr>
            <w:r>
              <w:rPr>
                <w:rFonts w:hint="default" w:cs="宋体"/>
                <w:color w:val="auto"/>
                <w:kern w:val="0"/>
                <w:szCs w:val="21"/>
              </w:rPr>
              <w:t>1.</w:t>
            </w:r>
            <w:r>
              <w:rPr>
                <w:rFonts w:hint="eastAsia" w:cs="宋体"/>
                <w:color w:val="auto"/>
                <w:kern w:val="0"/>
                <w:szCs w:val="21"/>
              </w:rPr>
              <w:t>大气污染物：施工期废气排放执行</w:t>
            </w:r>
            <w:r>
              <w:rPr>
                <w:rFonts w:hint="eastAsia" w:cs="宋体" w:eastAsiaTheme="minorEastAsia"/>
                <w:color w:val="auto"/>
                <w:szCs w:val="21"/>
              </w:rPr>
              <w:t>《四川省施工场地扬尘排放标准》（DB512682-2020）。</w:t>
            </w:r>
          </w:p>
          <w:p>
            <w:pPr>
              <w:keepNext w:val="0"/>
              <w:keepLines w:val="0"/>
              <w:suppressLineNumbers w:val="0"/>
              <w:autoSpaceDE w:val="0"/>
              <w:autoSpaceDN w:val="0"/>
              <w:adjustRightInd w:val="0"/>
              <w:snapToGrid w:val="0"/>
              <w:spacing w:before="0" w:beforeAutospacing="0" w:after="0" w:afterAutospacing="0" w:line="400" w:lineRule="exact"/>
              <w:ind w:left="0" w:right="0" w:firstLine="360" w:firstLineChars="200"/>
              <w:jc w:val="center"/>
              <w:rPr>
                <w:rFonts w:hint="default" w:eastAsia="黑体"/>
                <w:color w:val="auto"/>
                <w:kern w:val="0"/>
                <w:sz w:val="20"/>
                <w:szCs w:val="21"/>
              </w:rPr>
            </w:pPr>
            <w:r>
              <w:rPr>
                <w:rFonts w:hint="default" w:eastAsia="黑体"/>
                <w:color w:val="auto"/>
                <w:kern w:val="0"/>
                <w:sz w:val="18"/>
                <w:szCs w:val="20"/>
                <w:lang w:val="zh-CN"/>
              </w:rPr>
              <w:t>表</w:t>
            </w:r>
            <w:r>
              <w:rPr>
                <w:rFonts w:hint="default" w:eastAsia="黑体"/>
                <w:color w:val="auto"/>
                <w:kern w:val="0"/>
                <w:sz w:val="18"/>
                <w:szCs w:val="20"/>
              </w:rPr>
              <w:t>3</w:t>
            </w:r>
            <w:r>
              <w:rPr>
                <w:rFonts w:hint="eastAsia" w:eastAsia="黑体"/>
                <w:color w:val="auto"/>
                <w:kern w:val="0"/>
                <w:sz w:val="18"/>
                <w:szCs w:val="20"/>
              </w:rPr>
              <w:t>-</w:t>
            </w:r>
            <w:r>
              <w:rPr>
                <w:rFonts w:hint="eastAsia" w:eastAsia="黑体"/>
                <w:color w:val="auto"/>
                <w:kern w:val="0"/>
                <w:sz w:val="18"/>
                <w:szCs w:val="20"/>
                <w:lang w:val="en-US" w:eastAsia="zh-CN"/>
              </w:rPr>
              <w:t>7</w:t>
            </w:r>
            <w:r>
              <w:rPr>
                <w:rFonts w:hint="eastAsia" w:eastAsia="黑体"/>
                <w:color w:val="auto"/>
                <w:kern w:val="0"/>
                <w:sz w:val="18"/>
                <w:szCs w:val="20"/>
              </w:rPr>
              <w:t xml:space="preserve"> </w:t>
            </w:r>
            <w:r>
              <w:rPr>
                <w:rFonts w:hint="default" w:eastAsia="黑体"/>
                <w:color w:val="auto"/>
                <w:kern w:val="0"/>
                <w:sz w:val="18"/>
                <w:szCs w:val="20"/>
                <w:lang w:val="zh-CN"/>
              </w:rPr>
              <w:t xml:space="preserve">  </w:t>
            </w:r>
            <w:r>
              <w:rPr>
                <w:rFonts w:hint="default" w:eastAsia="黑体"/>
                <w:color w:val="auto"/>
                <w:kern w:val="0"/>
                <w:sz w:val="18"/>
                <w:szCs w:val="20"/>
              </w:rPr>
              <w:t>四川省施工场地扬尘排放限值</w:t>
            </w:r>
          </w:p>
          <w:tbl>
            <w:tblPr>
              <w:tblStyle w:val="14"/>
              <w:tblW w:w="76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708"/>
              <w:gridCol w:w="2690"/>
              <w:gridCol w:w="1564"/>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344" w:type="dxa"/>
                  <w:vAlign w:val="center"/>
                </w:tcPr>
                <w:p>
                  <w:pPr>
                    <w:keepNext w:val="0"/>
                    <w:keepLines w:val="0"/>
                    <w:suppressLineNumbers w:val="0"/>
                    <w:spacing w:before="0" w:beforeAutospacing="0" w:after="0" w:afterAutospacing="0" w:line="360" w:lineRule="exact"/>
                    <w:ind w:left="-105" w:leftChars="-50" w:right="-105" w:rightChars="-50"/>
                    <w:jc w:val="center"/>
                    <w:rPr>
                      <w:rFonts w:hint="default"/>
                      <w:b/>
                      <w:bCs/>
                      <w:color w:val="auto"/>
                      <w:sz w:val="18"/>
                      <w:szCs w:val="18"/>
                    </w:rPr>
                  </w:pPr>
                  <w:r>
                    <w:rPr>
                      <w:rFonts w:hint="default"/>
                      <w:b/>
                      <w:bCs/>
                      <w:color w:val="auto"/>
                      <w:sz w:val="18"/>
                      <w:szCs w:val="18"/>
                    </w:rPr>
                    <w:t>监测项目</w:t>
                  </w:r>
                </w:p>
              </w:tc>
              <w:tc>
                <w:tcPr>
                  <w:tcW w:w="708" w:type="dxa"/>
                  <w:vAlign w:val="center"/>
                </w:tcPr>
                <w:p>
                  <w:pPr>
                    <w:keepNext w:val="0"/>
                    <w:keepLines w:val="0"/>
                    <w:suppressLineNumbers w:val="0"/>
                    <w:spacing w:before="0" w:beforeAutospacing="0" w:after="0" w:afterAutospacing="0" w:line="360" w:lineRule="exact"/>
                    <w:ind w:left="-105" w:leftChars="-50" w:right="-105" w:rightChars="-50"/>
                    <w:jc w:val="center"/>
                    <w:rPr>
                      <w:rFonts w:hint="default"/>
                      <w:b/>
                      <w:bCs/>
                      <w:color w:val="auto"/>
                      <w:sz w:val="18"/>
                      <w:szCs w:val="18"/>
                    </w:rPr>
                  </w:pPr>
                  <w:r>
                    <w:rPr>
                      <w:rFonts w:hint="default"/>
                      <w:b/>
                      <w:bCs/>
                      <w:color w:val="auto"/>
                      <w:sz w:val="18"/>
                      <w:szCs w:val="18"/>
                    </w:rPr>
                    <w:t>区域</w:t>
                  </w:r>
                </w:p>
              </w:tc>
              <w:tc>
                <w:tcPr>
                  <w:tcW w:w="2690" w:type="dxa"/>
                  <w:vAlign w:val="center"/>
                </w:tcPr>
                <w:p>
                  <w:pPr>
                    <w:keepNext w:val="0"/>
                    <w:keepLines w:val="0"/>
                    <w:suppressLineNumbers w:val="0"/>
                    <w:spacing w:before="0" w:beforeAutospacing="0" w:after="0" w:afterAutospacing="0" w:line="360" w:lineRule="exact"/>
                    <w:ind w:left="-105" w:leftChars="-50" w:right="-105" w:rightChars="-50"/>
                    <w:jc w:val="center"/>
                    <w:rPr>
                      <w:rFonts w:hint="default"/>
                      <w:b/>
                      <w:bCs/>
                      <w:color w:val="auto"/>
                      <w:sz w:val="18"/>
                      <w:szCs w:val="18"/>
                    </w:rPr>
                  </w:pPr>
                  <w:r>
                    <w:rPr>
                      <w:rFonts w:hint="default"/>
                      <w:b/>
                      <w:bCs/>
                      <w:color w:val="auto"/>
                      <w:sz w:val="18"/>
                      <w:szCs w:val="18"/>
                    </w:rPr>
                    <w:t>施工阶段</w:t>
                  </w:r>
                </w:p>
              </w:tc>
              <w:tc>
                <w:tcPr>
                  <w:tcW w:w="1564" w:type="dxa"/>
                  <w:vAlign w:val="center"/>
                </w:tcPr>
                <w:p>
                  <w:pPr>
                    <w:keepNext w:val="0"/>
                    <w:keepLines w:val="0"/>
                    <w:suppressLineNumbers w:val="0"/>
                    <w:spacing w:before="0" w:beforeAutospacing="0" w:after="0" w:afterAutospacing="0" w:line="360" w:lineRule="exact"/>
                    <w:ind w:left="-105" w:leftChars="-50" w:right="-105" w:rightChars="-50"/>
                    <w:jc w:val="center"/>
                    <w:rPr>
                      <w:rFonts w:hint="default"/>
                      <w:b/>
                      <w:bCs/>
                      <w:color w:val="auto"/>
                      <w:sz w:val="18"/>
                      <w:szCs w:val="18"/>
                    </w:rPr>
                  </w:pPr>
                  <w:r>
                    <w:rPr>
                      <w:rFonts w:hint="default"/>
                      <w:b/>
                      <w:bCs/>
                      <w:color w:val="auto"/>
                      <w:sz w:val="18"/>
                      <w:szCs w:val="18"/>
                    </w:rPr>
                    <w:t>监测点排放限值</w:t>
                  </w:r>
                </w:p>
                <w:p>
                  <w:pPr>
                    <w:keepNext w:val="0"/>
                    <w:keepLines w:val="0"/>
                    <w:suppressLineNumbers w:val="0"/>
                    <w:spacing w:before="0" w:beforeAutospacing="0" w:after="0" w:afterAutospacing="0" w:line="360" w:lineRule="exact"/>
                    <w:ind w:left="-105" w:leftChars="-50" w:right="-105" w:rightChars="-50"/>
                    <w:jc w:val="center"/>
                    <w:rPr>
                      <w:rFonts w:hint="default"/>
                      <w:b/>
                      <w:bCs/>
                      <w:color w:val="auto"/>
                      <w:sz w:val="18"/>
                      <w:szCs w:val="18"/>
                    </w:rPr>
                  </w:pPr>
                  <w:r>
                    <w:rPr>
                      <w:rFonts w:hint="default"/>
                      <w:b/>
                      <w:bCs/>
                      <w:color w:val="auto"/>
                      <w:sz w:val="18"/>
                      <w:szCs w:val="18"/>
                    </w:rPr>
                    <w:t>（μg/m</w:t>
                  </w:r>
                  <w:r>
                    <w:rPr>
                      <w:rFonts w:hint="default"/>
                      <w:b/>
                      <w:bCs/>
                      <w:color w:val="auto"/>
                      <w:sz w:val="18"/>
                      <w:szCs w:val="18"/>
                      <w:vertAlign w:val="superscript"/>
                    </w:rPr>
                    <w:t>3</w:t>
                  </w:r>
                  <w:r>
                    <w:rPr>
                      <w:rFonts w:hint="default"/>
                      <w:b/>
                      <w:bCs/>
                      <w:color w:val="auto"/>
                      <w:sz w:val="18"/>
                      <w:szCs w:val="18"/>
                    </w:rPr>
                    <w:t>）</w:t>
                  </w:r>
                </w:p>
              </w:tc>
              <w:tc>
                <w:tcPr>
                  <w:tcW w:w="1350" w:type="dxa"/>
                  <w:vAlign w:val="center"/>
                </w:tcPr>
                <w:p>
                  <w:pPr>
                    <w:keepNext w:val="0"/>
                    <w:keepLines w:val="0"/>
                    <w:suppressLineNumbers w:val="0"/>
                    <w:spacing w:before="0" w:beforeAutospacing="0" w:after="0" w:afterAutospacing="0" w:line="360" w:lineRule="exact"/>
                    <w:ind w:left="-105" w:leftChars="-50" w:right="-105" w:rightChars="-50"/>
                    <w:jc w:val="center"/>
                    <w:rPr>
                      <w:rFonts w:hint="default"/>
                      <w:b/>
                      <w:bCs/>
                      <w:color w:val="auto"/>
                      <w:sz w:val="18"/>
                      <w:szCs w:val="18"/>
                    </w:rPr>
                  </w:pPr>
                  <w:r>
                    <w:rPr>
                      <w:rFonts w:hint="default"/>
                      <w:b/>
                      <w:bCs/>
                      <w:color w:val="auto"/>
                      <w:sz w:val="18"/>
                      <w:szCs w:val="18"/>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344" w:type="dxa"/>
                  <w:vMerge w:val="restart"/>
                  <w:vAlign w:val="center"/>
                </w:tcPr>
                <w:p>
                  <w:pPr>
                    <w:keepNext w:val="0"/>
                    <w:keepLines w:val="0"/>
                    <w:suppressLineNumbers w:val="0"/>
                    <w:spacing w:before="0" w:beforeAutospacing="0" w:after="0" w:afterAutospacing="0" w:line="360" w:lineRule="exact"/>
                    <w:ind w:left="-105" w:leftChars="-50" w:right="-105" w:rightChars="-50"/>
                    <w:jc w:val="center"/>
                    <w:rPr>
                      <w:rFonts w:hint="default"/>
                      <w:color w:val="auto"/>
                      <w:sz w:val="18"/>
                      <w:szCs w:val="18"/>
                    </w:rPr>
                  </w:pPr>
                  <w:r>
                    <w:rPr>
                      <w:rFonts w:hint="default"/>
                      <w:color w:val="auto"/>
                      <w:sz w:val="18"/>
                      <w:szCs w:val="18"/>
                    </w:rPr>
                    <w:t>总悬浮颗粒物</w:t>
                  </w:r>
                </w:p>
                <w:p>
                  <w:pPr>
                    <w:keepNext w:val="0"/>
                    <w:keepLines w:val="0"/>
                    <w:suppressLineNumbers w:val="0"/>
                    <w:spacing w:before="0" w:beforeAutospacing="0" w:after="0" w:afterAutospacing="0" w:line="360" w:lineRule="exact"/>
                    <w:ind w:left="-105" w:leftChars="-50" w:right="-105" w:rightChars="-50"/>
                    <w:jc w:val="center"/>
                    <w:rPr>
                      <w:rFonts w:hint="default"/>
                      <w:color w:val="auto"/>
                      <w:sz w:val="18"/>
                      <w:szCs w:val="18"/>
                    </w:rPr>
                  </w:pPr>
                  <w:r>
                    <w:rPr>
                      <w:rFonts w:hint="default"/>
                      <w:color w:val="auto"/>
                      <w:sz w:val="18"/>
                      <w:szCs w:val="18"/>
                    </w:rPr>
                    <w:t>（TSP）</w:t>
                  </w:r>
                </w:p>
              </w:tc>
              <w:tc>
                <w:tcPr>
                  <w:tcW w:w="708" w:type="dxa"/>
                  <w:vMerge w:val="restart"/>
                  <w:vAlign w:val="center"/>
                </w:tcPr>
                <w:p>
                  <w:pPr>
                    <w:keepNext w:val="0"/>
                    <w:keepLines w:val="0"/>
                    <w:suppressLineNumbers w:val="0"/>
                    <w:spacing w:before="0" w:beforeAutospacing="0" w:after="0" w:afterAutospacing="0" w:line="360" w:lineRule="exact"/>
                    <w:ind w:left="-105" w:leftChars="-50" w:right="-105" w:rightChars="-50"/>
                    <w:jc w:val="center"/>
                    <w:rPr>
                      <w:rFonts w:hint="default"/>
                      <w:color w:val="auto"/>
                      <w:sz w:val="18"/>
                      <w:szCs w:val="18"/>
                    </w:rPr>
                  </w:pPr>
                  <w:r>
                    <w:rPr>
                      <w:rFonts w:hint="default"/>
                      <w:color w:val="auto"/>
                      <w:sz w:val="18"/>
                      <w:szCs w:val="18"/>
                    </w:rPr>
                    <w:t>达州市</w:t>
                  </w:r>
                </w:p>
              </w:tc>
              <w:tc>
                <w:tcPr>
                  <w:tcW w:w="2690" w:type="dxa"/>
                  <w:vAlign w:val="center"/>
                </w:tcPr>
                <w:p>
                  <w:pPr>
                    <w:keepNext w:val="0"/>
                    <w:keepLines w:val="0"/>
                    <w:suppressLineNumbers w:val="0"/>
                    <w:spacing w:before="0" w:beforeAutospacing="0" w:after="0" w:afterAutospacing="0" w:line="360" w:lineRule="exact"/>
                    <w:ind w:left="-105" w:leftChars="-50" w:right="-105" w:rightChars="-50"/>
                    <w:jc w:val="center"/>
                    <w:rPr>
                      <w:rFonts w:hint="default"/>
                      <w:color w:val="auto"/>
                      <w:sz w:val="18"/>
                      <w:szCs w:val="18"/>
                    </w:rPr>
                  </w:pPr>
                  <w:r>
                    <w:rPr>
                      <w:rFonts w:hint="default"/>
                      <w:color w:val="auto"/>
                      <w:sz w:val="18"/>
                      <w:szCs w:val="18"/>
                    </w:rPr>
                    <w:t>拆除工程/土方开挖/土方回填阶段</w:t>
                  </w:r>
                </w:p>
              </w:tc>
              <w:tc>
                <w:tcPr>
                  <w:tcW w:w="1564" w:type="dxa"/>
                  <w:vAlign w:val="center"/>
                </w:tcPr>
                <w:p>
                  <w:pPr>
                    <w:keepNext w:val="0"/>
                    <w:keepLines w:val="0"/>
                    <w:suppressLineNumbers w:val="0"/>
                    <w:spacing w:before="0" w:beforeAutospacing="0" w:after="0" w:afterAutospacing="0" w:line="360" w:lineRule="exact"/>
                    <w:ind w:left="-105" w:leftChars="-50" w:right="-105" w:rightChars="-50"/>
                    <w:jc w:val="center"/>
                    <w:rPr>
                      <w:rFonts w:hint="default"/>
                      <w:color w:val="auto"/>
                      <w:sz w:val="18"/>
                      <w:szCs w:val="18"/>
                    </w:rPr>
                  </w:pPr>
                  <w:r>
                    <w:rPr>
                      <w:rFonts w:hint="default"/>
                      <w:color w:val="auto"/>
                      <w:sz w:val="18"/>
                      <w:szCs w:val="18"/>
                    </w:rPr>
                    <w:t>600</w:t>
                  </w:r>
                </w:p>
              </w:tc>
              <w:tc>
                <w:tcPr>
                  <w:tcW w:w="1350" w:type="dxa"/>
                  <w:vMerge w:val="restart"/>
                  <w:vAlign w:val="center"/>
                </w:tcPr>
                <w:p>
                  <w:pPr>
                    <w:keepNext w:val="0"/>
                    <w:keepLines w:val="0"/>
                    <w:suppressLineNumbers w:val="0"/>
                    <w:spacing w:before="0" w:beforeAutospacing="0" w:after="0" w:afterAutospacing="0" w:line="360" w:lineRule="exact"/>
                    <w:ind w:left="-105" w:leftChars="-50" w:right="-105" w:rightChars="-50"/>
                    <w:jc w:val="center"/>
                    <w:rPr>
                      <w:rFonts w:hint="default"/>
                      <w:color w:val="auto"/>
                      <w:sz w:val="18"/>
                      <w:szCs w:val="18"/>
                    </w:rPr>
                  </w:pPr>
                  <w:r>
                    <w:rPr>
                      <w:rFonts w:hint="default"/>
                      <w:color w:val="auto"/>
                      <w:sz w:val="18"/>
                      <w:szCs w:val="18"/>
                    </w:rPr>
                    <w:t>自监测起持续15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jc w:val="center"/>
              </w:trPr>
              <w:tc>
                <w:tcPr>
                  <w:tcW w:w="1344" w:type="dxa"/>
                  <w:vMerge w:val="continue"/>
                  <w:vAlign w:val="center"/>
                </w:tcPr>
                <w:p>
                  <w:pPr>
                    <w:keepNext w:val="0"/>
                    <w:keepLines w:val="0"/>
                    <w:suppressLineNumbers w:val="0"/>
                    <w:spacing w:before="0" w:beforeAutospacing="0" w:after="0" w:afterAutospacing="0" w:line="360" w:lineRule="exact"/>
                    <w:ind w:left="-105" w:leftChars="-50" w:right="-105" w:rightChars="-50"/>
                    <w:jc w:val="center"/>
                    <w:rPr>
                      <w:rFonts w:hint="default"/>
                      <w:color w:val="auto"/>
                      <w:sz w:val="18"/>
                      <w:szCs w:val="18"/>
                    </w:rPr>
                  </w:pPr>
                </w:p>
              </w:tc>
              <w:tc>
                <w:tcPr>
                  <w:tcW w:w="708" w:type="dxa"/>
                  <w:vMerge w:val="continue"/>
                  <w:vAlign w:val="center"/>
                </w:tcPr>
                <w:p>
                  <w:pPr>
                    <w:keepNext w:val="0"/>
                    <w:keepLines w:val="0"/>
                    <w:suppressLineNumbers w:val="0"/>
                    <w:spacing w:before="0" w:beforeAutospacing="0" w:after="0" w:afterAutospacing="0" w:line="360" w:lineRule="exact"/>
                    <w:ind w:left="-105" w:leftChars="-50" w:right="-105" w:rightChars="-50"/>
                    <w:jc w:val="center"/>
                    <w:rPr>
                      <w:rFonts w:hint="default"/>
                      <w:color w:val="auto"/>
                      <w:sz w:val="18"/>
                      <w:szCs w:val="18"/>
                    </w:rPr>
                  </w:pPr>
                </w:p>
              </w:tc>
              <w:tc>
                <w:tcPr>
                  <w:tcW w:w="2690" w:type="dxa"/>
                  <w:vAlign w:val="center"/>
                </w:tcPr>
                <w:p>
                  <w:pPr>
                    <w:keepNext w:val="0"/>
                    <w:keepLines w:val="0"/>
                    <w:suppressLineNumbers w:val="0"/>
                    <w:spacing w:before="0" w:beforeAutospacing="0" w:after="0" w:afterAutospacing="0" w:line="360" w:lineRule="exact"/>
                    <w:ind w:left="-105" w:leftChars="-50" w:right="-105" w:rightChars="-50"/>
                    <w:jc w:val="center"/>
                    <w:rPr>
                      <w:rFonts w:hint="default"/>
                      <w:color w:val="auto"/>
                      <w:sz w:val="18"/>
                      <w:szCs w:val="18"/>
                    </w:rPr>
                  </w:pPr>
                  <w:r>
                    <w:rPr>
                      <w:rFonts w:hint="default"/>
                      <w:color w:val="auto"/>
                      <w:sz w:val="18"/>
                      <w:szCs w:val="18"/>
                    </w:rPr>
                    <w:t>其他工程阶段</w:t>
                  </w:r>
                </w:p>
              </w:tc>
              <w:tc>
                <w:tcPr>
                  <w:tcW w:w="1564" w:type="dxa"/>
                  <w:vAlign w:val="center"/>
                </w:tcPr>
                <w:p>
                  <w:pPr>
                    <w:keepNext w:val="0"/>
                    <w:keepLines w:val="0"/>
                    <w:suppressLineNumbers w:val="0"/>
                    <w:spacing w:before="0" w:beforeAutospacing="0" w:after="0" w:afterAutospacing="0" w:line="360" w:lineRule="exact"/>
                    <w:ind w:left="-105" w:leftChars="-50" w:right="-105" w:rightChars="-50"/>
                    <w:jc w:val="center"/>
                    <w:rPr>
                      <w:rFonts w:hint="default"/>
                      <w:color w:val="auto"/>
                      <w:sz w:val="18"/>
                      <w:szCs w:val="18"/>
                    </w:rPr>
                  </w:pPr>
                  <w:r>
                    <w:rPr>
                      <w:rFonts w:hint="default"/>
                      <w:color w:val="auto"/>
                      <w:sz w:val="18"/>
                      <w:szCs w:val="18"/>
                    </w:rPr>
                    <w:t>250</w:t>
                  </w:r>
                </w:p>
              </w:tc>
              <w:tc>
                <w:tcPr>
                  <w:tcW w:w="1350" w:type="dxa"/>
                  <w:vMerge w:val="continue"/>
                  <w:vAlign w:val="center"/>
                </w:tcPr>
                <w:p>
                  <w:pPr>
                    <w:keepNext w:val="0"/>
                    <w:keepLines w:val="0"/>
                    <w:suppressLineNumbers w:val="0"/>
                    <w:spacing w:before="0" w:beforeAutospacing="0" w:after="0" w:afterAutospacing="0" w:line="360" w:lineRule="exact"/>
                    <w:ind w:left="-105" w:leftChars="-50" w:right="-105" w:rightChars="-50"/>
                    <w:jc w:val="center"/>
                    <w:rPr>
                      <w:rFonts w:hint="default"/>
                      <w:color w:val="auto"/>
                      <w:sz w:val="18"/>
                      <w:szCs w:val="18"/>
                    </w:rPr>
                  </w:pP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营运期废气排放执行《大气污染物综合排放标准》</w:t>
            </w:r>
            <w:r>
              <w:rPr>
                <w:rFonts w:hint="default" w:cs="宋体"/>
                <w:color w:val="auto"/>
                <w:kern w:val="0"/>
                <w:szCs w:val="21"/>
              </w:rPr>
              <w:t>(GB16297-1996)</w:t>
            </w:r>
            <w:r>
              <w:rPr>
                <w:rFonts w:hint="eastAsia" w:cs="宋体"/>
                <w:color w:val="auto"/>
                <w:kern w:val="0"/>
                <w:szCs w:val="21"/>
              </w:rPr>
              <w:t>表</w:t>
            </w:r>
            <w:r>
              <w:rPr>
                <w:rFonts w:hint="default" w:cs="宋体"/>
                <w:color w:val="auto"/>
                <w:kern w:val="0"/>
                <w:szCs w:val="21"/>
              </w:rPr>
              <w:t>2</w:t>
            </w:r>
            <w:r>
              <w:rPr>
                <w:rFonts w:hint="eastAsia" w:cs="宋体"/>
                <w:color w:val="auto"/>
                <w:kern w:val="0"/>
                <w:szCs w:val="21"/>
              </w:rPr>
              <w:t>新污染源大气污染物排放限值。</w:t>
            </w: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eastAsia="黑体"/>
                <w:color w:val="auto"/>
                <w:kern w:val="0"/>
                <w:sz w:val="18"/>
                <w:szCs w:val="20"/>
                <w:lang w:val="zh-CN"/>
              </w:rPr>
            </w:pPr>
            <w:r>
              <w:rPr>
                <w:rFonts w:hint="default" w:eastAsia="黑体"/>
                <w:color w:val="auto"/>
                <w:kern w:val="0"/>
                <w:sz w:val="18"/>
                <w:szCs w:val="20"/>
                <w:lang w:val="zh-CN"/>
              </w:rPr>
              <w:t>表3</w:t>
            </w:r>
            <w:r>
              <w:rPr>
                <w:rFonts w:hint="eastAsia" w:eastAsia="黑体"/>
                <w:color w:val="auto"/>
                <w:kern w:val="0"/>
                <w:sz w:val="18"/>
                <w:szCs w:val="20"/>
              </w:rPr>
              <w:t>-</w:t>
            </w:r>
            <w:r>
              <w:rPr>
                <w:rFonts w:hint="default" w:eastAsia="黑体"/>
                <w:color w:val="auto"/>
                <w:kern w:val="0"/>
                <w:sz w:val="18"/>
                <w:szCs w:val="20"/>
              </w:rPr>
              <w:t>8</w:t>
            </w:r>
            <w:r>
              <w:rPr>
                <w:rFonts w:hint="eastAsia" w:eastAsia="黑体"/>
                <w:color w:val="auto"/>
                <w:kern w:val="0"/>
                <w:sz w:val="18"/>
                <w:szCs w:val="20"/>
              </w:rPr>
              <w:t xml:space="preserve"> </w:t>
            </w:r>
            <w:r>
              <w:rPr>
                <w:rFonts w:hint="default" w:eastAsia="黑体"/>
                <w:color w:val="auto"/>
                <w:kern w:val="0"/>
                <w:sz w:val="18"/>
                <w:szCs w:val="20"/>
              </w:rPr>
              <w:t xml:space="preserve"> </w:t>
            </w:r>
            <w:r>
              <w:rPr>
                <w:rFonts w:hint="default" w:eastAsia="黑体"/>
                <w:color w:val="auto"/>
                <w:kern w:val="0"/>
                <w:sz w:val="18"/>
                <w:szCs w:val="20"/>
                <w:lang w:val="zh-CN"/>
              </w:rPr>
              <w:t xml:space="preserve"> 项目</w:t>
            </w:r>
            <w:r>
              <w:rPr>
                <w:rFonts w:hint="default" w:eastAsia="黑体"/>
                <w:color w:val="auto"/>
                <w:kern w:val="0"/>
                <w:sz w:val="18"/>
                <w:szCs w:val="20"/>
              </w:rPr>
              <w:t>大气</w:t>
            </w:r>
            <w:r>
              <w:rPr>
                <w:rFonts w:hint="default" w:eastAsia="黑体"/>
                <w:color w:val="auto"/>
                <w:kern w:val="0"/>
                <w:sz w:val="18"/>
                <w:szCs w:val="20"/>
                <w:lang w:val="zh-CN"/>
              </w:rPr>
              <w:t>污染物排放控制标准</w:t>
            </w:r>
          </w:p>
          <w:tbl>
            <w:tblPr>
              <w:tblStyle w:val="14"/>
              <w:tblW w:w="78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80"/>
              <w:gridCol w:w="850"/>
              <w:gridCol w:w="3941"/>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190" w:hRule="atLeast"/>
                <w:jc w:val="center"/>
              </w:trPr>
              <w:tc>
                <w:tcPr>
                  <w:tcW w:w="1530" w:type="dxa"/>
                  <w:gridSpan w:val="2"/>
                  <w:tcMar>
                    <w:left w:w="17" w:type="dxa"/>
                    <w:right w:w="17" w:type="dxa"/>
                  </w:tcMar>
                  <w:vAlign w:val="center"/>
                </w:tcPr>
                <w:p>
                  <w:pPr>
                    <w:keepNext w:val="0"/>
                    <w:keepLines w:val="0"/>
                    <w:suppressLineNumbers w:val="0"/>
                    <w:snapToGrid w:val="0"/>
                    <w:spacing w:before="0" w:beforeAutospacing="0" w:after="0" w:afterAutospacing="0" w:line="380" w:lineRule="exact"/>
                    <w:ind w:left="0" w:right="0"/>
                    <w:jc w:val="center"/>
                    <w:rPr>
                      <w:rFonts w:hint="default"/>
                      <w:b/>
                      <w:color w:val="auto"/>
                      <w:sz w:val="18"/>
                      <w:szCs w:val="18"/>
                    </w:rPr>
                  </w:pPr>
                  <w:r>
                    <w:rPr>
                      <w:rFonts w:hint="default"/>
                      <w:b/>
                      <w:color w:val="auto"/>
                      <w:sz w:val="18"/>
                      <w:szCs w:val="18"/>
                    </w:rPr>
                    <w:t>污染类别</w:t>
                  </w:r>
                </w:p>
              </w:tc>
              <w:tc>
                <w:tcPr>
                  <w:tcW w:w="3941" w:type="dxa"/>
                  <w:tcMar>
                    <w:left w:w="17" w:type="dxa"/>
                    <w:right w:w="17" w:type="dxa"/>
                  </w:tcMar>
                  <w:vAlign w:val="center"/>
                </w:tcPr>
                <w:p>
                  <w:pPr>
                    <w:keepNext w:val="0"/>
                    <w:keepLines w:val="0"/>
                    <w:suppressLineNumbers w:val="0"/>
                    <w:snapToGrid w:val="0"/>
                    <w:spacing w:before="0" w:beforeAutospacing="0" w:after="0" w:afterAutospacing="0" w:line="380" w:lineRule="exact"/>
                    <w:ind w:left="0" w:right="0"/>
                    <w:jc w:val="center"/>
                    <w:rPr>
                      <w:rFonts w:hint="default"/>
                      <w:b/>
                      <w:color w:val="auto"/>
                      <w:sz w:val="18"/>
                      <w:szCs w:val="18"/>
                    </w:rPr>
                  </w:pPr>
                  <w:r>
                    <w:rPr>
                      <w:rFonts w:hint="default"/>
                      <w:b/>
                      <w:color w:val="auto"/>
                      <w:sz w:val="18"/>
                      <w:szCs w:val="18"/>
                    </w:rPr>
                    <w:t>标准名称及代号</w:t>
                  </w:r>
                </w:p>
              </w:tc>
              <w:tc>
                <w:tcPr>
                  <w:tcW w:w="2413" w:type="dxa"/>
                  <w:tcMar>
                    <w:left w:w="17" w:type="dxa"/>
                    <w:right w:w="17" w:type="dxa"/>
                  </w:tcMar>
                  <w:vAlign w:val="center"/>
                </w:tcPr>
                <w:p>
                  <w:pPr>
                    <w:keepNext w:val="0"/>
                    <w:keepLines w:val="0"/>
                    <w:suppressLineNumbers w:val="0"/>
                    <w:snapToGrid w:val="0"/>
                    <w:spacing w:before="0" w:beforeAutospacing="0" w:after="0" w:afterAutospacing="0" w:line="380" w:lineRule="exact"/>
                    <w:ind w:left="0" w:right="0"/>
                    <w:jc w:val="center"/>
                    <w:rPr>
                      <w:rFonts w:hint="default"/>
                      <w:b/>
                      <w:color w:val="auto"/>
                      <w:sz w:val="18"/>
                      <w:szCs w:val="18"/>
                    </w:rPr>
                  </w:pPr>
                  <w:r>
                    <w:rPr>
                      <w:rFonts w:hint="default"/>
                      <w:b/>
                      <w:color w:val="auto"/>
                      <w:sz w:val="18"/>
                      <w:szCs w:val="18"/>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195" w:hRule="atLeast"/>
                <w:jc w:val="center"/>
              </w:trPr>
              <w:tc>
                <w:tcPr>
                  <w:tcW w:w="680" w:type="dxa"/>
                  <w:tcMar>
                    <w:left w:w="17" w:type="dxa"/>
                    <w:right w:w="17" w:type="dxa"/>
                  </w:tcMar>
                  <w:vAlign w:val="center"/>
                </w:tcPr>
                <w:p>
                  <w:pPr>
                    <w:keepNext w:val="0"/>
                    <w:keepLines w:val="0"/>
                    <w:suppressLineNumbers w:val="0"/>
                    <w:snapToGrid w:val="0"/>
                    <w:spacing w:before="0" w:beforeAutospacing="0" w:after="0" w:afterAutospacing="0" w:line="380" w:lineRule="exact"/>
                    <w:ind w:left="0" w:right="0"/>
                    <w:jc w:val="center"/>
                    <w:rPr>
                      <w:rFonts w:hint="default"/>
                      <w:bCs/>
                      <w:color w:val="auto"/>
                      <w:sz w:val="18"/>
                      <w:szCs w:val="18"/>
                    </w:rPr>
                  </w:pPr>
                  <w:r>
                    <w:rPr>
                      <w:rFonts w:hint="default"/>
                      <w:bCs/>
                      <w:color w:val="auto"/>
                      <w:sz w:val="18"/>
                      <w:szCs w:val="18"/>
                    </w:rPr>
                    <w:t>废气</w:t>
                  </w:r>
                </w:p>
              </w:tc>
              <w:tc>
                <w:tcPr>
                  <w:tcW w:w="850" w:type="dxa"/>
                  <w:tcMar>
                    <w:left w:w="17" w:type="dxa"/>
                    <w:right w:w="17" w:type="dxa"/>
                  </w:tcMar>
                  <w:vAlign w:val="center"/>
                </w:tcPr>
                <w:p>
                  <w:pPr>
                    <w:keepNext w:val="0"/>
                    <w:keepLines w:val="0"/>
                    <w:suppressLineNumbers w:val="0"/>
                    <w:snapToGrid w:val="0"/>
                    <w:spacing w:before="0" w:beforeAutospacing="0" w:after="0" w:afterAutospacing="0" w:line="380" w:lineRule="exact"/>
                    <w:ind w:left="0" w:right="0"/>
                    <w:jc w:val="center"/>
                    <w:rPr>
                      <w:rFonts w:hint="default"/>
                      <w:bCs/>
                      <w:color w:val="auto"/>
                      <w:sz w:val="18"/>
                      <w:szCs w:val="18"/>
                    </w:rPr>
                  </w:pPr>
                  <w:r>
                    <w:rPr>
                      <w:rFonts w:hint="default"/>
                      <w:bCs/>
                      <w:color w:val="auto"/>
                      <w:sz w:val="18"/>
                      <w:szCs w:val="18"/>
                    </w:rPr>
                    <w:t>颗粒物</w:t>
                  </w:r>
                </w:p>
              </w:tc>
              <w:tc>
                <w:tcPr>
                  <w:tcW w:w="3941" w:type="dxa"/>
                  <w:tcMar>
                    <w:left w:w="17" w:type="dxa"/>
                    <w:right w:w="17" w:type="dxa"/>
                  </w:tcMar>
                  <w:vAlign w:val="center"/>
                </w:tcPr>
                <w:p>
                  <w:pPr>
                    <w:keepNext w:val="0"/>
                    <w:keepLines w:val="0"/>
                    <w:suppressLineNumbers w:val="0"/>
                    <w:snapToGrid w:val="0"/>
                    <w:spacing w:before="0" w:beforeAutospacing="0" w:after="0" w:afterAutospacing="0" w:line="380" w:lineRule="exact"/>
                    <w:ind w:left="0" w:right="0"/>
                    <w:jc w:val="center"/>
                    <w:rPr>
                      <w:rFonts w:hint="default"/>
                      <w:bCs/>
                      <w:color w:val="auto"/>
                      <w:sz w:val="18"/>
                      <w:szCs w:val="18"/>
                    </w:rPr>
                  </w:pPr>
                  <w:r>
                    <w:rPr>
                      <w:rFonts w:hint="default"/>
                      <w:bCs/>
                      <w:color w:val="auto"/>
                      <w:sz w:val="18"/>
                      <w:szCs w:val="18"/>
                      <w:lang w:val="zh-CN"/>
                    </w:rPr>
                    <w:t>《大气污染物综合排放标准》(GB16297-1996)</w:t>
                  </w:r>
                </w:p>
              </w:tc>
              <w:tc>
                <w:tcPr>
                  <w:tcW w:w="2413" w:type="dxa"/>
                  <w:tcMar>
                    <w:left w:w="17" w:type="dxa"/>
                    <w:right w:w="17" w:type="dxa"/>
                  </w:tcMar>
                  <w:vAlign w:val="center"/>
                </w:tcPr>
                <w:p>
                  <w:pPr>
                    <w:keepNext w:val="0"/>
                    <w:keepLines w:val="0"/>
                    <w:suppressLineNumbers w:val="0"/>
                    <w:snapToGrid w:val="0"/>
                    <w:spacing w:before="0" w:beforeAutospacing="0" w:after="0" w:afterAutospacing="0" w:line="380" w:lineRule="exact"/>
                    <w:ind w:left="0" w:right="0"/>
                    <w:jc w:val="center"/>
                    <w:rPr>
                      <w:rFonts w:hint="default"/>
                      <w:bCs/>
                      <w:color w:val="auto"/>
                      <w:sz w:val="18"/>
                      <w:szCs w:val="18"/>
                    </w:rPr>
                  </w:pPr>
                  <w:r>
                    <w:rPr>
                      <w:rFonts w:hint="default"/>
                      <w:bCs/>
                      <w:color w:val="auto"/>
                      <w:sz w:val="18"/>
                      <w:szCs w:val="18"/>
                    </w:rPr>
                    <w:t>周界外浓度最高点≤1.0mg/m</w:t>
                  </w:r>
                  <w:r>
                    <w:rPr>
                      <w:rFonts w:hint="default"/>
                      <w:bCs/>
                      <w:color w:val="auto"/>
                      <w:sz w:val="18"/>
                      <w:szCs w:val="18"/>
                      <w:vertAlign w:val="superscript"/>
                    </w:rPr>
                    <w:t>3</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cs="宋体"/>
                <w:color w:val="auto"/>
                <w:kern w:val="0"/>
                <w:szCs w:val="21"/>
              </w:rPr>
              <w:t>2.</w:t>
            </w:r>
            <w:r>
              <w:rPr>
                <w:rFonts w:hint="eastAsia" w:cs="宋体"/>
                <w:color w:val="auto"/>
                <w:kern w:val="0"/>
                <w:szCs w:val="21"/>
              </w:rPr>
              <w:t>生产废水</w:t>
            </w:r>
            <w:r>
              <w:rPr>
                <w:rFonts w:hint="eastAsia" w:cs="宋体"/>
                <w:color w:val="auto"/>
                <w:kern w:val="0"/>
                <w:szCs w:val="21"/>
                <w:lang w:val="en-US" w:eastAsia="zh-CN"/>
              </w:rPr>
              <w:t>经自建设施</w:t>
            </w:r>
            <w:r>
              <w:rPr>
                <w:rFonts w:hint="eastAsia" w:cs="宋体"/>
                <w:color w:val="auto"/>
                <w:kern w:val="0"/>
                <w:szCs w:val="21"/>
              </w:rPr>
              <w:t>收集处理后全部循环回用，不外排。生活污水设化粪池收集后</w:t>
            </w:r>
            <w:r>
              <w:rPr>
                <w:rFonts w:hint="eastAsia" w:cs="宋体"/>
                <w:color w:val="auto"/>
                <w:kern w:val="0"/>
                <w:szCs w:val="21"/>
                <w:lang w:val="en-US" w:eastAsia="zh-CN"/>
              </w:rPr>
              <w:t>定期清掏做农肥使用</w:t>
            </w:r>
            <w:r>
              <w:rPr>
                <w:rFonts w:hint="eastAsia" w:cs="宋体"/>
                <w:color w:val="auto"/>
                <w:kern w:val="0"/>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cs="宋体"/>
                <w:color w:val="auto"/>
                <w:kern w:val="0"/>
                <w:szCs w:val="21"/>
              </w:rPr>
              <w:t>3.</w:t>
            </w:r>
            <w:r>
              <w:rPr>
                <w:rFonts w:hint="eastAsia" w:cs="宋体"/>
                <w:color w:val="auto"/>
                <w:kern w:val="0"/>
                <w:szCs w:val="21"/>
              </w:rPr>
              <w:t>噪声：施工期执行《建筑施工场界环境噪声排放标准》</w:t>
            </w:r>
            <w:r>
              <w:rPr>
                <w:rFonts w:hint="default" w:cs="宋体"/>
                <w:color w:val="auto"/>
                <w:kern w:val="0"/>
                <w:szCs w:val="21"/>
              </w:rPr>
              <w:t>(GB 12523</w:t>
            </w:r>
            <w:r>
              <w:rPr>
                <w:rFonts w:hint="eastAsia" w:cs="宋体"/>
                <w:color w:val="auto"/>
                <w:kern w:val="0"/>
                <w:szCs w:val="21"/>
              </w:rPr>
              <w:t>－</w:t>
            </w:r>
            <w:r>
              <w:rPr>
                <w:rFonts w:hint="default" w:cs="宋体"/>
                <w:color w:val="auto"/>
                <w:kern w:val="0"/>
                <w:szCs w:val="21"/>
              </w:rPr>
              <w:t>2011)</w:t>
            </w:r>
            <w:r>
              <w:rPr>
                <w:rFonts w:hint="eastAsia" w:cs="宋体"/>
                <w:color w:val="auto"/>
                <w:kern w:val="0"/>
                <w:szCs w:val="21"/>
              </w:rPr>
              <w:t>表</w:t>
            </w:r>
            <w:r>
              <w:rPr>
                <w:rFonts w:hint="default" w:cs="宋体"/>
                <w:color w:val="auto"/>
                <w:kern w:val="0"/>
                <w:szCs w:val="21"/>
              </w:rPr>
              <w:t>1</w:t>
            </w:r>
            <w:r>
              <w:rPr>
                <w:rFonts w:hint="eastAsia" w:cs="宋体"/>
                <w:color w:val="auto"/>
                <w:kern w:val="0"/>
                <w:szCs w:val="21"/>
              </w:rPr>
              <w:t>中的排放限值。</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center"/>
              <w:rPr>
                <w:rFonts w:hint="default" w:cs="宋体"/>
                <w:color w:val="auto"/>
                <w:kern w:val="0"/>
                <w:szCs w:val="21"/>
              </w:rPr>
            </w:pPr>
            <w:r>
              <w:rPr>
                <w:rFonts w:hint="default" w:cs="宋体"/>
                <w:color w:val="auto"/>
                <w:kern w:val="0"/>
                <w:szCs w:val="21"/>
              </w:rPr>
              <w:t xml:space="preserve">LAeq：昼间&lt;70dB(A) </w:t>
            </w:r>
            <w:r>
              <w:rPr>
                <w:rFonts w:hint="eastAsia" w:cs="宋体"/>
                <w:color w:val="auto"/>
                <w:kern w:val="0"/>
                <w:szCs w:val="21"/>
              </w:rPr>
              <w:t xml:space="preserve"> </w:t>
            </w:r>
            <w:r>
              <w:rPr>
                <w:rFonts w:hint="default" w:cs="宋体"/>
                <w:color w:val="auto"/>
                <w:kern w:val="0"/>
                <w:szCs w:val="21"/>
              </w:rPr>
              <w:t xml:space="preserve">   夜间&lt;55dB(A)</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cs="宋体"/>
                <w:color w:val="auto"/>
                <w:kern w:val="0"/>
                <w:szCs w:val="21"/>
              </w:rPr>
              <w:t xml:space="preserve">营运期厂界噪声执行《工业企业厂界环境噪声排放标准》(GB 12348-2008) </w:t>
            </w:r>
            <w:r>
              <w:rPr>
                <w:rFonts w:hint="eastAsia" w:cs="宋体"/>
                <w:color w:val="auto"/>
                <w:kern w:val="0"/>
                <w:szCs w:val="21"/>
              </w:rPr>
              <w:t>2类及4类</w:t>
            </w:r>
            <w:r>
              <w:rPr>
                <w:rFonts w:hint="default" w:cs="宋体"/>
                <w:color w:val="auto"/>
                <w:kern w:val="0"/>
                <w:szCs w:val="21"/>
              </w:rPr>
              <w:t>标准。</w:t>
            </w:r>
            <w:r>
              <w:rPr>
                <w:rFonts w:hint="eastAsia" w:cs="宋体"/>
                <w:color w:val="auto"/>
                <w:kern w:val="0"/>
                <w:szCs w:val="21"/>
              </w:rPr>
              <w:t>环境噪声排放限值见下表。</w:t>
            </w: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eastAsia="黑体"/>
                <w:color w:val="auto"/>
                <w:kern w:val="0"/>
                <w:sz w:val="18"/>
                <w:szCs w:val="18"/>
                <w:lang w:val="zh-CN"/>
              </w:rPr>
            </w:pPr>
            <w:r>
              <w:rPr>
                <w:rFonts w:hint="default" w:eastAsia="黑体"/>
                <w:color w:val="auto"/>
                <w:kern w:val="0"/>
                <w:sz w:val="18"/>
                <w:szCs w:val="18"/>
                <w:lang w:val="zh-CN"/>
              </w:rPr>
              <w:t>表3</w:t>
            </w:r>
            <w:r>
              <w:rPr>
                <w:rFonts w:hint="eastAsia" w:eastAsia="黑体"/>
                <w:color w:val="auto"/>
                <w:kern w:val="0"/>
                <w:sz w:val="18"/>
                <w:szCs w:val="18"/>
              </w:rPr>
              <w:t>-</w:t>
            </w:r>
            <w:r>
              <w:rPr>
                <w:rFonts w:hint="eastAsia" w:eastAsia="黑体"/>
                <w:color w:val="auto"/>
                <w:kern w:val="0"/>
                <w:sz w:val="18"/>
                <w:szCs w:val="18"/>
                <w:lang w:val="en-US" w:eastAsia="zh-CN"/>
              </w:rPr>
              <w:t>9</w:t>
            </w:r>
            <w:r>
              <w:rPr>
                <w:rFonts w:hint="eastAsia" w:eastAsia="黑体"/>
                <w:color w:val="auto"/>
                <w:kern w:val="0"/>
                <w:sz w:val="18"/>
                <w:szCs w:val="18"/>
              </w:rPr>
              <w:t xml:space="preserve"> </w:t>
            </w:r>
            <w:r>
              <w:rPr>
                <w:rFonts w:hint="default" w:eastAsia="黑体"/>
                <w:color w:val="auto"/>
                <w:kern w:val="0"/>
                <w:sz w:val="18"/>
                <w:szCs w:val="18"/>
              </w:rPr>
              <w:t xml:space="preserve"> </w:t>
            </w:r>
            <w:r>
              <w:rPr>
                <w:rFonts w:hint="default" w:eastAsia="黑体"/>
                <w:color w:val="auto"/>
                <w:kern w:val="0"/>
                <w:sz w:val="18"/>
                <w:szCs w:val="18"/>
                <w:lang w:val="zh-CN"/>
              </w:rPr>
              <w:t xml:space="preserve"> </w:t>
            </w:r>
            <w:r>
              <w:rPr>
                <w:rFonts w:hint="default" w:eastAsia="黑体"/>
                <w:color w:val="auto"/>
                <w:kern w:val="0"/>
                <w:sz w:val="18"/>
                <w:szCs w:val="18"/>
              </w:rPr>
              <w:t>工业企业厂界环境噪声排放标准</w:t>
            </w:r>
            <w:r>
              <w:rPr>
                <w:rFonts w:hint="eastAsia" w:eastAsia="黑体"/>
                <w:color w:val="auto"/>
                <w:kern w:val="0"/>
                <w:sz w:val="18"/>
                <w:szCs w:val="18"/>
              </w:rPr>
              <w:t>限值</w:t>
            </w:r>
          </w:p>
          <w:tbl>
            <w:tblPr>
              <w:tblStyle w:val="14"/>
              <w:tblW w:w="77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000"/>
              <w:gridCol w:w="2083"/>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199" w:hRule="atLeast"/>
                <w:jc w:val="center"/>
              </w:trPr>
              <w:tc>
                <w:tcPr>
                  <w:tcW w:w="4000" w:type="dxa"/>
                  <w:tcBorders>
                    <w:tl2br w:val="single" w:color="auto" w:sz="4" w:space="0"/>
                  </w:tcBorders>
                  <w:tcMar>
                    <w:left w:w="17" w:type="dxa"/>
                    <w:right w:w="17" w:type="dxa"/>
                  </w:tcMar>
                  <w:vAlign w:val="center"/>
                </w:tcPr>
                <w:p>
                  <w:pPr>
                    <w:keepNext w:val="0"/>
                    <w:keepLines w:val="0"/>
                    <w:suppressLineNumbers w:val="0"/>
                    <w:bidi w:val="0"/>
                    <w:spacing w:before="0" w:beforeAutospacing="0" w:after="0" w:afterAutospacing="0"/>
                    <w:ind w:left="0" w:right="0"/>
                    <w:rPr>
                      <w:rFonts w:hint="default"/>
                      <w:color w:val="auto"/>
                    </w:rPr>
                  </w:pPr>
                  <w:r>
                    <w:rPr>
                      <w:rFonts w:hint="eastAsia"/>
                      <w:color w:val="auto"/>
                    </w:rPr>
                    <w:t xml:space="preserve">         </w:t>
                  </w:r>
                  <w:r>
                    <w:rPr>
                      <w:rFonts w:hint="default"/>
                      <w:color w:val="auto"/>
                    </w:rPr>
                    <w:t xml:space="preserve"> </w:t>
                  </w:r>
                  <w:r>
                    <w:rPr>
                      <w:rFonts w:hint="eastAsia"/>
                      <w:color w:val="auto"/>
                    </w:rPr>
                    <w:t>时段</w:t>
                  </w:r>
                </w:p>
                <w:p>
                  <w:pPr>
                    <w:keepNext w:val="0"/>
                    <w:keepLines w:val="0"/>
                    <w:suppressLineNumbers w:val="0"/>
                    <w:spacing w:before="0" w:beforeAutospacing="0" w:after="0" w:afterAutospacing="0" w:line="300" w:lineRule="exact"/>
                    <w:ind w:left="0" w:right="0"/>
                    <w:rPr>
                      <w:rFonts w:hint="default"/>
                      <w:color w:val="auto"/>
                    </w:rPr>
                  </w:pPr>
                  <w:r>
                    <w:rPr>
                      <w:rFonts w:hint="eastAsia"/>
                      <w:color w:val="auto"/>
                      <w:sz w:val="18"/>
                      <w:szCs w:val="18"/>
                    </w:rPr>
                    <w:t>厂界外声环境功能区类别</w:t>
                  </w:r>
                </w:p>
              </w:tc>
              <w:tc>
                <w:tcPr>
                  <w:tcW w:w="2083" w:type="dxa"/>
                  <w:tcMar>
                    <w:left w:w="17" w:type="dxa"/>
                    <w:right w:w="17" w:type="dxa"/>
                  </w:tcMar>
                  <w:vAlign w:val="center"/>
                </w:tcPr>
                <w:p>
                  <w:pPr>
                    <w:keepNext w:val="0"/>
                    <w:keepLines w:val="0"/>
                    <w:suppressLineNumbers w:val="0"/>
                    <w:snapToGrid w:val="0"/>
                    <w:spacing w:before="0" w:beforeAutospacing="0" w:after="0" w:afterAutospacing="0" w:line="380" w:lineRule="exact"/>
                    <w:ind w:left="0" w:right="0"/>
                    <w:jc w:val="center"/>
                    <w:rPr>
                      <w:rFonts w:hint="default"/>
                      <w:b/>
                      <w:color w:val="auto"/>
                      <w:sz w:val="18"/>
                      <w:szCs w:val="18"/>
                    </w:rPr>
                  </w:pPr>
                  <w:r>
                    <w:rPr>
                      <w:rFonts w:hint="default"/>
                      <w:color w:val="auto"/>
                      <w:sz w:val="18"/>
                      <w:szCs w:val="18"/>
                    </w:rPr>
                    <w:t>昼间dB(A)</w:t>
                  </w:r>
                </w:p>
              </w:tc>
              <w:tc>
                <w:tcPr>
                  <w:tcW w:w="1642" w:type="dxa"/>
                  <w:tcMar>
                    <w:left w:w="17" w:type="dxa"/>
                    <w:right w:w="17" w:type="dxa"/>
                  </w:tcMar>
                  <w:vAlign w:val="center"/>
                </w:tcPr>
                <w:p>
                  <w:pPr>
                    <w:keepNext w:val="0"/>
                    <w:keepLines w:val="0"/>
                    <w:suppressLineNumbers w:val="0"/>
                    <w:snapToGrid w:val="0"/>
                    <w:spacing w:before="0" w:beforeAutospacing="0" w:after="0" w:afterAutospacing="0" w:line="380" w:lineRule="exact"/>
                    <w:ind w:left="0" w:right="0"/>
                    <w:jc w:val="center"/>
                    <w:rPr>
                      <w:rFonts w:hint="default"/>
                      <w:b/>
                      <w:color w:val="auto"/>
                      <w:sz w:val="18"/>
                      <w:szCs w:val="18"/>
                    </w:rPr>
                  </w:pPr>
                  <w:r>
                    <w:rPr>
                      <w:rFonts w:hint="default"/>
                      <w:color w:val="auto"/>
                      <w:sz w:val="18"/>
                      <w:szCs w:val="18"/>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cantSplit/>
                <w:trHeight w:val="39" w:hRule="atLeast"/>
                <w:jc w:val="center"/>
              </w:trPr>
              <w:tc>
                <w:tcPr>
                  <w:tcW w:w="4000" w:type="dxa"/>
                  <w:tcMar>
                    <w:left w:w="17" w:type="dxa"/>
                    <w:right w:w="17" w:type="dxa"/>
                  </w:tcMar>
                  <w:vAlign w:val="center"/>
                </w:tcPr>
                <w:p>
                  <w:pPr>
                    <w:keepNext w:val="0"/>
                    <w:keepLines w:val="0"/>
                    <w:suppressLineNumbers w:val="0"/>
                    <w:snapToGrid w:val="0"/>
                    <w:spacing w:before="0" w:beforeAutospacing="0" w:after="0" w:afterAutospacing="0" w:line="300" w:lineRule="exact"/>
                    <w:ind w:left="0" w:right="0"/>
                    <w:jc w:val="center"/>
                    <w:rPr>
                      <w:rFonts w:hint="default"/>
                      <w:b/>
                      <w:color w:val="auto"/>
                      <w:sz w:val="18"/>
                      <w:szCs w:val="18"/>
                    </w:rPr>
                  </w:pPr>
                  <w:r>
                    <w:rPr>
                      <w:rFonts w:hint="default"/>
                      <w:color w:val="auto"/>
                      <w:sz w:val="18"/>
                      <w:szCs w:val="18"/>
                    </w:rPr>
                    <w:t>2类</w:t>
                  </w:r>
                </w:p>
              </w:tc>
              <w:tc>
                <w:tcPr>
                  <w:tcW w:w="2083" w:type="dxa"/>
                  <w:tcMar>
                    <w:left w:w="17" w:type="dxa"/>
                    <w:right w:w="17" w:type="dxa"/>
                  </w:tcMar>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60</w:t>
                  </w:r>
                </w:p>
              </w:tc>
              <w:tc>
                <w:tcPr>
                  <w:tcW w:w="1642" w:type="dxa"/>
                  <w:tcMar>
                    <w:left w:w="17" w:type="dxa"/>
                    <w:right w:w="17" w:type="dxa"/>
                  </w:tcMar>
                  <w:vAlign w:val="center"/>
                </w:tcPr>
                <w:p>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50</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宋体"/>
                <w:color w:val="auto"/>
                <w:kern w:val="0"/>
                <w:szCs w:val="21"/>
              </w:rPr>
            </w:pPr>
            <w:r>
              <w:rPr>
                <w:rFonts w:hint="default" w:cs="宋体"/>
                <w:color w:val="auto"/>
                <w:kern w:val="0"/>
                <w:szCs w:val="21"/>
              </w:rPr>
              <w:t>4.</w:t>
            </w:r>
            <w:r>
              <w:rPr>
                <w:rFonts w:hint="eastAsia" w:cs="宋体"/>
                <w:color w:val="auto"/>
                <w:kern w:val="0"/>
                <w:szCs w:val="21"/>
              </w:rPr>
              <w:t>固体废物：</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lang w:val="en-US" w:eastAsia="zh-CN"/>
              </w:rPr>
              <w:t>项目废包装材料、泥饼等的贮存要求</w:t>
            </w:r>
            <w:r>
              <w:rPr>
                <w:rFonts w:hint="eastAsia" w:cs="宋体"/>
                <w:color w:val="auto"/>
                <w:kern w:val="0"/>
                <w:szCs w:val="21"/>
                <w:highlight w:val="none"/>
                <w:lang w:val="en-US" w:eastAsia="zh-CN"/>
              </w:rPr>
              <w:t>参照《一般工业固体废物贮存和填埋污染控制标准》（</w:t>
            </w:r>
            <w:r>
              <w:rPr>
                <w:rFonts w:hint="default" w:cs="宋体"/>
                <w:color w:val="auto"/>
                <w:kern w:val="0"/>
                <w:szCs w:val="21"/>
                <w:highlight w:val="none"/>
                <w:lang w:val="en-US" w:eastAsia="zh-CN"/>
              </w:rPr>
              <w:t>GB18599-2020</w:t>
            </w:r>
            <w:r>
              <w:rPr>
                <w:rFonts w:hint="eastAsia" w:cs="宋体"/>
                <w:color w:val="auto"/>
                <w:kern w:val="0"/>
                <w:szCs w:val="21"/>
                <w:highlight w:val="none"/>
                <w:lang w:val="en-US" w:eastAsia="zh-CN"/>
              </w:rPr>
              <w:t>）中</w:t>
            </w:r>
            <w:r>
              <w:rPr>
                <w:rFonts w:hint="default" w:cs="宋体"/>
                <w:color w:val="auto"/>
                <w:kern w:val="0"/>
                <w:szCs w:val="21"/>
                <w:highlight w:val="none"/>
                <w:lang w:val="en-US" w:eastAsia="zh-CN"/>
              </w:rPr>
              <w:t>“</w:t>
            </w:r>
            <w:r>
              <w:rPr>
                <w:rFonts w:hint="eastAsia" w:cs="宋体"/>
                <w:color w:val="auto"/>
                <w:kern w:val="0"/>
                <w:szCs w:val="21"/>
                <w:highlight w:val="none"/>
                <w:lang w:val="en-US" w:eastAsia="zh-CN"/>
              </w:rPr>
              <w:t>用库房、包装工具（罐、桶、包装袋等）贮存一般工业固体废物过程的污染控制，其贮存过程应满足相应防渗漏、防雨淋、防扬尘等环境保护要求</w:t>
            </w:r>
            <w:r>
              <w:rPr>
                <w:rFonts w:hint="default" w:cs="宋体"/>
                <w:color w:val="auto"/>
                <w:kern w:val="0"/>
                <w:szCs w:val="21"/>
                <w:highlight w:val="none"/>
                <w:lang w:val="en-US" w:eastAsia="zh-CN"/>
              </w:rPr>
              <w:t>”</w:t>
            </w:r>
            <w:r>
              <w:rPr>
                <w:rFonts w:hint="eastAsia" w:cs="宋体"/>
                <w:color w:val="auto"/>
                <w:kern w:val="0"/>
                <w:szCs w:val="21"/>
              </w:rPr>
              <w:t>。危险废物执行《危险废物贮存污染控制标准》（GB1859-2023）中的有关规定。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800" w:type="dxa"/>
            <w:tcBorders>
              <w:top w:val="single" w:color="auto" w:sz="4" w:space="0"/>
              <w:left w:val="single" w:color="auto" w:sz="8" w:space="0"/>
              <w:bottom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color w:val="auto"/>
              </w:rPr>
            </w:pPr>
          </w:p>
          <w:p>
            <w:pPr>
              <w:keepNext w:val="0"/>
              <w:keepLines w:val="0"/>
              <w:suppressLineNumbers w:val="0"/>
              <w:adjustRightInd w:val="0"/>
              <w:snapToGrid w:val="0"/>
              <w:spacing w:before="0" w:beforeAutospacing="0" w:after="0" w:afterAutospacing="0"/>
              <w:ind w:left="0" w:right="0"/>
              <w:jc w:val="center"/>
              <w:rPr>
                <w:rFonts w:hint="default"/>
                <w:color w:val="auto"/>
              </w:rPr>
            </w:pPr>
            <w:r>
              <w:rPr>
                <w:rFonts w:hint="eastAsia"/>
                <w:color w:val="auto"/>
              </w:rPr>
              <w:t>总量</w:t>
            </w:r>
          </w:p>
          <w:p>
            <w:pPr>
              <w:keepNext w:val="0"/>
              <w:keepLines w:val="0"/>
              <w:suppressLineNumbers w:val="0"/>
              <w:adjustRightInd w:val="0"/>
              <w:snapToGrid w:val="0"/>
              <w:spacing w:before="0" w:beforeAutospacing="0" w:after="0" w:afterAutospacing="0"/>
              <w:ind w:left="0" w:right="0"/>
              <w:jc w:val="center"/>
              <w:rPr>
                <w:rFonts w:hint="default"/>
                <w:color w:val="auto"/>
              </w:rPr>
            </w:pPr>
            <w:r>
              <w:rPr>
                <w:rFonts w:hint="eastAsia"/>
                <w:color w:val="auto"/>
              </w:rPr>
              <w:t>控制</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color w:val="auto"/>
              </w:rPr>
              <w:t>指标</w:t>
            </w:r>
          </w:p>
          <w:p>
            <w:pPr>
              <w:keepNext w:val="0"/>
              <w:keepLines w:val="0"/>
              <w:suppressLineNumbers w:val="0"/>
              <w:spacing w:before="0" w:beforeAutospacing="0" w:after="0" w:afterAutospacing="0" w:line="100" w:lineRule="exact"/>
              <w:ind w:left="0" w:right="0"/>
              <w:rPr>
                <w:rFonts w:hint="default" w:ascii="宋体" w:hAnsi="宋体" w:cs="宋体"/>
                <w:color w:val="auto"/>
                <w:kern w:val="0"/>
                <w:szCs w:val="21"/>
              </w:rPr>
            </w:pPr>
          </w:p>
        </w:tc>
        <w:tc>
          <w:tcPr>
            <w:tcW w:w="8062" w:type="dxa"/>
            <w:tcBorders>
              <w:top w:val="single" w:color="auto" w:sz="4" w:space="0"/>
              <w:left w:val="single" w:color="auto" w:sz="4" w:space="0"/>
              <w:bottom w:val="single" w:color="auto" w:sz="8" w:space="0"/>
              <w:right w:val="single" w:color="auto" w:sz="8" w:space="0"/>
            </w:tcBorders>
            <w:vAlign w:val="center"/>
          </w:tcPr>
          <w:p>
            <w:pPr>
              <w:keepNext w:val="0"/>
              <w:keepLines w:val="0"/>
              <w:suppressLineNumbers w:val="0"/>
              <w:bidi w:val="0"/>
              <w:spacing w:before="0" w:beforeAutospacing="0" w:after="0" w:afterAutospacing="0"/>
              <w:ind w:left="0" w:right="0"/>
              <w:rPr>
                <w:rFonts w:hint="default"/>
                <w:color w:val="auto"/>
              </w:rPr>
            </w:pPr>
            <w:r>
              <w:rPr>
                <w:rFonts w:hint="eastAsia"/>
                <w:color w:val="auto"/>
              </w:rPr>
              <w:t xml:space="preserve"> 无</w:t>
            </w:r>
          </w:p>
        </w:tc>
      </w:tr>
    </w:tbl>
    <w:p>
      <w:pPr>
        <w:jc w:val="center"/>
        <w:outlineLvl w:val="0"/>
        <w:rPr>
          <w:rFonts w:ascii="黑体" w:hAnsi="黑体" w:eastAsia="黑体" w:cs="Times New Roman"/>
          <w:snapToGrid w:val="0"/>
          <w:color w:val="auto"/>
          <w:kern w:val="0"/>
          <w:sz w:val="30"/>
          <w:szCs w:val="30"/>
        </w:rPr>
      </w:pPr>
      <w:r>
        <w:rPr>
          <w:rFonts w:hint="eastAsia" w:ascii="黑体" w:hAnsi="黑体" w:eastAsia="黑体"/>
          <w:snapToGrid w:val="0"/>
          <w:color w:val="auto"/>
          <w:kern w:val="0"/>
          <w:sz w:val="36"/>
          <w:szCs w:val="36"/>
        </w:rPr>
        <w:br w:type="page"/>
      </w:r>
      <w:r>
        <w:rPr>
          <w:rFonts w:hint="eastAsia" w:ascii="黑体" w:hAnsi="黑体" w:eastAsia="黑体"/>
          <w:snapToGrid w:val="0"/>
          <w:color w:val="auto"/>
          <w:sz w:val="30"/>
          <w:szCs w:val="30"/>
        </w:rPr>
        <w:t>四、主要环境影响和保护措施</w:t>
      </w:r>
    </w:p>
    <w:tbl>
      <w:tblPr>
        <w:tblStyle w:val="14"/>
        <w:tblW w:w="89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7"/>
        <w:gridCol w:w="81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178" w:hRule="atLeast"/>
          <w:jc w:val="center"/>
        </w:trPr>
        <w:tc>
          <w:tcPr>
            <w:tcW w:w="777"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color w:val="auto"/>
                <w:sz w:val="21"/>
                <w:szCs w:val="21"/>
              </w:rPr>
              <w:t>施工</w:t>
            </w:r>
          </w:p>
          <w:p>
            <w:pPr>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color w:val="auto"/>
                <w:sz w:val="21"/>
                <w:szCs w:val="21"/>
              </w:rPr>
              <w:t>期环</w:t>
            </w:r>
          </w:p>
          <w:p>
            <w:pPr>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color w:val="auto"/>
                <w:sz w:val="21"/>
                <w:szCs w:val="21"/>
              </w:rPr>
              <w:t>境保</w:t>
            </w:r>
          </w:p>
          <w:p>
            <w:pPr>
              <w:keepNext w:val="0"/>
              <w:keepLines w:val="0"/>
              <w:suppressLineNumbers w:val="0"/>
              <w:adjustRightInd w:val="0"/>
              <w:snapToGrid w:val="0"/>
              <w:spacing w:before="0" w:beforeAutospacing="0" w:after="0" w:afterAutospacing="0"/>
              <w:ind w:left="0" w:right="0"/>
              <w:jc w:val="center"/>
              <w:rPr>
                <w:rFonts w:hint="default" w:cs="宋体"/>
                <w:color w:val="auto"/>
                <w:sz w:val="21"/>
                <w:szCs w:val="21"/>
              </w:rPr>
            </w:pPr>
            <w:r>
              <w:rPr>
                <w:rFonts w:hint="eastAsia" w:cs="宋体"/>
                <w:color w:val="auto"/>
                <w:sz w:val="21"/>
                <w:szCs w:val="21"/>
              </w:rPr>
              <w:t>护措</w:t>
            </w:r>
          </w:p>
          <w:p>
            <w:pPr>
              <w:keepNext w:val="0"/>
              <w:keepLines w:val="0"/>
              <w:suppressLineNumbers w:val="0"/>
              <w:adjustRightInd w:val="0"/>
              <w:snapToGrid w:val="0"/>
              <w:spacing w:before="0" w:beforeAutospacing="0" w:after="0" w:afterAutospacing="0"/>
              <w:ind w:left="0" w:right="0"/>
              <w:jc w:val="center"/>
              <w:rPr>
                <w:rFonts w:hint="default" w:cs="宋体"/>
                <w:bCs/>
                <w:color w:val="auto"/>
                <w:sz w:val="21"/>
                <w:szCs w:val="21"/>
              </w:rPr>
            </w:pPr>
            <w:r>
              <w:rPr>
                <w:rFonts w:hint="eastAsia" w:cs="宋体"/>
                <w:color w:val="auto"/>
                <w:sz w:val="21"/>
                <w:szCs w:val="21"/>
              </w:rPr>
              <w:t>施</w:t>
            </w:r>
          </w:p>
        </w:tc>
        <w:tc>
          <w:tcPr>
            <w:tcW w:w="8131" w:type="dxa"/>
            <w:tcBorders>
              <w:top w:val="single" w:color="auto" w:sz="8"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黑体" w:hAnsi="黑体" w:eastAsia="黑体" w:cs="宋体"/>
                <w:bCs/>
                <w:color w:val="auto"/>
                <w:szCs w:val="21"/>
              </w:rPr>
            </w:pPr>
            <w:r>
              <w:rPr>
                <w:rFonts w:hint="eastAsia" w:ascii="黑体" w:hAnsi="黑体" w:eastAsia="黑体" w:cs="宋体"/>
                <w:bCs/>
                <w:color w:val="auto"/>
                <w:szCs w:val="21"/>
              </w:rPr>
              <w:t>1、废气</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s="宋体"/>
                <w:color w:val="auto"/>
                <w:kern w:val="0"/>
                <w:szCs w:val="21"/>
              </w:rPr>
            </w:pPr>
            <w:r>
              <w:rPr>
                <w:rFonts w:hint="eastAsia" w:ascii="宋体" w:hAnsi="宋体" w:cs="宋体"/>
                <w:color w:val="auto"/>
                <w:kern w:val="0"/>
                <w:szCs w:val="21"/>
              </w:rPr>
              <w:t>施工期废气主要包括施工扬尘和燃油机械运行产生的燃油废气。建设单位应采取如下控制措施：</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szCs w:val="21"/>
              </w:rPr>
            </w:pPr>
            <w:r>
              <w:rPr>
                <w:rFonts w:hint="default" w:ascii="宋体" w:hAnsi="宋体"/>
                <w:color w:val="auto"/>
                <w:kern w:val="0"/>
                <w:szCs w:val="21"/>
              </w:rPr>
              <w:t>施工期废气主要为扬尘和机械设备的燃油废气。建设单位应采取如下控制措施：</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ascii="宋体" w:hAnsi="宋体"/>
                <w:color w:val="auto"/>
                <w:kern w:val="0"/>
                <w:szCs w:val="21"/>
              </w:rPr>
            </w:pPr>
            <w:r>
              <w:rPr>
                <w:rFonts w:hint="default" w:ascii="宋体" w:hAnsi="宋体"/>
                <w:color w:val="auto"/>
                <w:kern w:val="0"/>
                <w:szCs w:val="21"/>
              </w:rPr>
              <w:t>①</w:t>
            </w:r>
            <w:r>
              <w:rPr>
                <w:rFonts w:hint="eastAsia" w:ascii="宋体" w:hAnsi="宋体"/>
                <w:color w:val="auto"/>
                <w:kern w:val="0"/>
                <w:szCs w:val="21"/>
              </w:rPr>
              <w:t>根据</w:t>
            </w:r>
            <w:r>
              <w:rPr>
                <w:rFonts w:hint="eastAsia" w:ascii="宋体" w:hAnsi="宋体"/>
                <w:color w:val="auto"/>
                <w:kern w:val="0"/>
                <w:szCs w:val="21"/>
                <w:lang w:val="en-US" w:eastAsia="zh-CN"/>
              </w:rPr>
              <w:t>建筑</w:t>
            </w:r>
            <w:r>
              <w:rPr>
                <w:rFonts w:hint="eastAsia" w:ascii="宋体" w:hAnsi="宋体"/>
                <w:color w:val="auto"/>
                <w:kern w:val="0"/>
                <w:szCs w:val="21"/>
              </w:rPr>
              <w:t>施工工地扬尘治理管理制度和工程技术规程，在工地管理中落实施工现场管理“六必须"、“六不准”和“六个100%”，即：必须湿法作业、必须打围作业、必须硬化道路、必须设置冲洗设施、必须配齐保洁人员、必须定时清扫施工现场；不准车辆带泥出门、不准运渣车辆冒顶装载、不准高空抛洒建渣、不准现场搅拌</w:t>
            </w:r>
            <w:r>
              <w:rPr>
                <w:rFonts w:hint="eastAsia" w:ascii="宋体" w:hAnsi="宋体"/>
                <w:color w:val="auto"/>
                <w:kern w:val="0"/>
                <w:szCs w:val="21"/>
                <w:lang w:eastAsia="zh-CN"/>
              </w:rPr>
              <w:t>混凝土</w:t>
            </w:r>
            <w:r>
              <w:rPr>
                <w:rFonts w:hint="eastAsia" w:ascii="宋体" w:hAnsi="宋体"/>
                <w:color w:val="auto"/>
                <w:kern w:val="0"/>
                <w:szCs w:val="21"/>
              </w:rPr>
              <w:t>、不准场地积水、不准现场焚烧废弃物。施工现场要100%设立围挡、施工现场的所有物料堆放要100%覆盖、施工现场裸露地面是道路的要100%绿化、进出施工现场的车辆要100%喷淋、拆除和土方作业时要100%喷淋、渣土运输车辆要100%封闭。</w:t>
            </w:r>
          </w:p>
          <w:p>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rPr>
              <w:t>②严禁在围墙外堆放施工材料、建筑垃圾等。</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szCs w:val="21"/>
              </w:rPr>
            </w:pPr>
            <w:r>
              <w:rPr>
                <w:rFonts w:hint="default" w:ascii="宋体" w:hAnsi="宋体"/>
                <w:color w:val="auto"/>
                <w:kern w:val="0"/>
                <w:szCs w:val="21"/>
              </w:rPr>
              <w:t>③加强运输车辆管理，建筑材料运输车辆采取篷布覆盖运输以及限制车速等方式；严禁沙、石及水泥运输车辆冒顶超载及洒漏；特别是外购弃土的运输车辆必须采用篷布遮盖，装车时严禁转载过高。</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szCs w:val="21"/>
              </w:rPr>
            </w:pPr>
            <w:r>
              <w:rPr>
                <w:rFonts w:hint="default" w:ascii="宋体" w:hAnsi="宋体"/>
                <w:color w:val="auto"/>
                <w:kern w:val="0"/>
                <w:szCs w:val="21"/>
              </w:rPr>
              <w:t>④施工现场旧厂房</w:t>
            </w:r>
            <w:r>
              <w:rPr>
                <w:rFonts w:hint="eastAsia" w:ascii="宋体" w:hAnsi="宋体"/>
                <w:color w:val="auto"/>
                <w:kern w:val="0"/>
                <w:szCs w:val="21"/>
                <w:lang w:eastAsia="zh-CN"/>
              </w:rPr>
              <w:t>、</w:t>
            </w:r>
            <w:r>
              <w:rPr>
                <w:rFonts w:hint="eastAsia" w:ascii="宋体" w:hAnsi="宋体"/>
                <w:color w:val="auto"/>
                <w:kern w:val="0"/>
                <w:szCs w:val="21"/>
                <w:lang w:val="en-US" w:eastAsia="zh-CN"/>
              </w:rPr>
              <w:t>废旧生产设施等</w:t>
            </w:r>
            <w:r>
              <w:rPr>
                <w:rFonts w:hint="default" w:ascii="宋体" w:hAnsi="宋体"/>
                <w:color w:val="auto"/>
                <w:kern w:val="0"/>
                <w:szCs w:val="21"/>
              </w:rPr>
              <w:t>拆除过程，应配备雾炮机采取喷雾降尘措施。进出口设置车辆冲洗台及沉淀池。</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szCs w:val="21"/>
              </w:rPr>
            </w:pPr>
            <w:r>
              <w:rPr>
                <w:rFonts w:hint="default" w:ascii="宋体" w:hAnsi="宋体"/>
                <w:color w:val="auto"/>
                <w:kern w:val="0"/>
                <w:szCs w:val="21"/>
              </w:rPr>
              <w:t>⑤</w:t>
            </w:r>
            <w:r>
              <w:rPr>
                <w:rFonts w:hint="eastAsia" w:ascii="宋体" w:hAnsi="宋体"/>
                <w:color w:val="auto"/>
                <w:kern w:val="0"/>
                <w:szCs w:val="21"/>
                <w:lang w:val="en-US" w:eastAsia="zh-CN"/>
              </w:rPr>
              <w:t>建筑垃圾或沉淀池开挖产生的少量土石方，应及时在场地平整或低洼处回填</w:t>
            </w:r>
            <w:r>
              <w:rPr>
                <w:rFonts w:hint="default" w:ascii="宋体" w:hAnsi="宋体"/>
                <w:color w:val="auto"/>
                <w:kern w:val="0"/>
                <w:szCs w:val="21"/>
              </w:rPr>
              <w:t>。若</w:t>
            </w:r>
            <w:r>
              <w:rPr>
                <w:rFonts w:hint="eastAsia" w:ascii="宋体" w:hAnsi="宋体"/>
                <w:color w:val="auto"/>
                <w:kern w:val="0"/>
                <w:szCs w:val="21"/>
                <w:lang w:val="en-US" w:eastAsia="zh-CN"/>
              </w:rPr>
              <w:t>不能及时回填</w:t>
            </w:r>
            <w:r>
              <w:rPr>
                <w:rFonts w:hint="default" w:ascii="宋体" w:hAnsi="宋体"/>
                <w:color w:val="auto"/>
                <w:kern w:val="0"/>
                <w:szCs w:val="21"/>
              </w:rPr>
              <w:t>确需临时堆存时，应采用防尘防雨材料进行遮盖</w:t>
            </w:r>
            <w:r>
              <w:rPr>
                <w:rFonts w:hint="eastAsia" w:ascii="宋体" w:hAnsi="宋体"/>
                <w:color w:val="auto"/>
                <w:kern w:val="0"/>
                <w:szCs w:val="21"/>
                <w:lang w:eastAsia="zh-CN"/>
              </w:rPr>
              <w:t>，</w:t>
            </w:r>
            <w:r>
              <w:rPr>
                <w:rFonts w:hint="eastAsia" w:ascii="宋体" w:hAnsi="宋体"/>
                <w:color w:val="auto"/>
                <w:kern w:val="0"/>
                <w:szCs w:val="21"/>
                <w:lang w:val="en-US" w:eastAsia="zh-CN"/>
              </w:rPr>
              <w:t>并及时外运至当地政府指定的弃土场处置</w:t>
            </w:r>
            <w:r>
              <w:rPr>
                <w:rFonts w:hint="default" w:ascii="宋体" w:hAnsi="宋体"/>
                <w:color w:val="auto"/>
                <w:kern w:val="0"/>
                <w:szCs w:val="21"/>
              </w:rPr>
              <w:t>。低洼处回填施工现场应配置雾炮机除尘。</w:t>
            </w:r>
          </w:p>
          <w:p>
            <w:pPr>
              <w:keepNext w:val="0"/>
              <w:keepLines w:val="0"/>
              <w:suppressLineNumbers w:val="0"/>
              <w:autoSpaceDE w:val="0"/>
              <w:autoSpaceDN w:val="0"/>
              <w:adjustRightInd w:val="0"/>
              <w:snapToGrid w:val="0"/>
              <w:spacing w:before="0" w:beforeAutospacing="0" w:after="0" w:afterAutospacing="0" w:line="400" w:lineRule="exact"/>
              <w:ind w:left="420" w:leftChars="200" w:right="0"/>
              <w:jc w:val="left"/>
              <w:rPr>
                <w:rFonts w:hint="default" w:ascii="宋体" w:hAnsi="宋体"/>
                <w:color w:val="auto"/>
                <w:kern w:val="0"/>
                <w:szCs w:val="21"/>
              </w:rPr>
            </w:pPr>
            <w:r>
              <w:rPr>
                <w:rFonts w:hint="default" w:ascii="宋体" w:hAnsi="宋体"/>
                <w:color w:val="auto"/>
                <w:kern w:val="0"/>
                <w:szCs w:val="21"/>
              </w:rPr>
              <w:t>⑥施工机械设备采用先进环保型设备和轻质燃油，加强对机械、车辆的维修保养。</w:t>
            </w:r>
            <w:r>
              <w:rPr>
                <w:rFonts w:hint="eastAsia"/>
                <w:color w:val="auto"/>
                <w:szCs w:val="21"/>
              </w:rPr>
              <w:t>通过采取有效的环保措施后，施工废气不会对区域大气环境产生污染性影响。</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黑体" w:hAnsi="黑体" w:eastAsia="黑体" w:cs="宋体"/>
                <w:bCs/>
                <w:color w:val="auto"/>
                <w:szCs w:val="21"/>
              </w:rPr>
            </w:pPr>
            <w:r>
              <w:rPr>
                <w:rFonts w:hint="default" w:ascii="黑体" w:hAnsi="黑体" w:eastAsia="黑体" w:cs="宋体"/>
                <w:bCs/>
                <w:color w:val="auto"/>
                <w:szCs w:val="21"/>
              </w:rPr>
              <w:t>2、废水</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szCs w:val="21"/>
              </w:rPr>
            </w:pPr>
            <w:r>
              <w:rPr>
                <w:rFonts w:hint="default" w:ascii="宋体" w:hAnsi="宋体"/>
                <w:color w:val="auto"/>
                <w:kern w:val="0"/>
                <w:szCs w:val="21"/>
              </w:rPr>
              <w:t>施工废水主要来源于各种设备的清洗废水，其主要污染物为SS和石油类。施工工人会产生少量的生活污水。建设单位应采取如下防治措施：</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szCs w:val="21"/>
              </w:rPr>
            </w:pPr>
            <w:r>
              <w:rPr>
                <w:rFonts w:hint="default" w:ascii="宋体" w:hAnsi="宋体"/>
                <w:color w:val="auto"/>
                <w:kern w:val="0"/>
                <w:szCs w:val="21"/>
              </w:rPr>
              <w:t>①在场界周围修建截排水沟，施工区域内修建一个临时沉砂池，施工废水排入沉砂池内，静置沉淀后全部回用，禁止废水无组织漫流，增大重复用水率，降低污水产生量。</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szCs w:val="21"/>
              </w:rPr>
            </w:pPr>
            <w:r>
              <w:rPr>
                <w:rFonts w:hint="default" w:ascii="宋体" w:hAnsi="宋体"/>
                <w:color w:val="auto"/>
                <w:kern w:val="0"/>
                <w:szCs w:val="21"/>
              </w:rPr>
              <w:t>②建筑材料应远离厂区占地边缘地带堆放，并设置雨棚等措施遮盖，必要时放置在室内暂存，防止被雨水冲刷流入水体。</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szCs w:val="21"/>
              </w:rPr>
            </w:pPr>
            <w:r>
              <w:rPr>
                <w:rFonts w:hint="default" w:ascii="宋体" w:hAnsi="宋体"/>
                <w:color w:val="auto"/>
                <w:kern w:val="0"/>
                <w:szCs w:val="21"/>
              </w:rPr>
              <w:t>③施工期生活污水利用厂区</w:t>
            </w:r>
            <w:r>
              <w:rPr>
                <w:rFonts w:hint="eastAsia" w:ascii="宋体" w:hAnsi="宋体"/>
                <w:color w:val="auto"/>
                <w:kern w:val="0"/>
                <w:szCs w:val="21"/>
                <w:lang w:val="en-US" w:eastAsia="zh-CN"/>
              </w:rPr>
              <w:t>租用闲置房屋的化粪池</w:t>
            </w:r>
            <w:r>
              <w:rPr>
                <w:rFonts w:hint="default" w:ascii="宋体" w:hAnsi="宋体"/>
                <w:color w:val="auto"/>
                <w:kern w:val="0"/>
                <w:szCs w:val="21"/>
              </w:rPr>
              <w:t>收集处理，</w:t>
            </w:r>
            <w:r>
              <w:rPr>
                <w:rFonts w:hint="eastAsia" w:ascii="宋体" w:hAnsi="宋体"/>
                <w:color w:val="auto"/>
                <w:kern w:val="0"/>
                <w:szCs w:val="21"/>
                <w:lang w:val="en-US" w:eastAsia="zh-CN"/>
              </w:rPr>
              <w:t>定期清掏做农肥使用不外排</w:t>
            </w:r>
            <w:r>
              <w:rPr>
                <w:rFonts w:hint="default" w:ascii="宋体" w:hAnsi="宋体"/>
                <w:color w:val="auto"/>
                <w:kern w:val="0"/>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szCs w:val="21"/>
              </w:rPr>
            </w:pPr>
            <w:r>
              <w:rPr>
                <w:rFonts w:hint="default" w:ascii="宋体" w:hAnsi="宋体"/>
                <w:color w:val="auto"/>
                <w:kern w:val="0"/>
              </w:rPr>
              <w:t>通过采取以上措施后，</w:t>
            </w:r>
            <w:r>
              <w:rPr>
                <w:rFonts w:hint="eastAsia" w:ascii="宋体" w:hAnsi="宋体"/>
                <w:color w:val="auto"/>
                <w:kern w:val="0"/>
              </w:rPr>
              <w:t>能够</w:t>
            </w:r>
            <w:r>
              <w:rPr>
                <w:rFonts w:hint="default" w:ascii="宋体" w:hAnsi="宋体"/>
                <w:color w:val="auto"/>
                <w:kern w:val="0"/>
              </w:rPr>
              <w:t>避免施工废水对周围环境造成污染性影响。</w:t>
            </w:r>
          </w:p>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Cs w:val="21"/>
              </w:rPr>
            </w:pPr>
            <w:r>
              <w:rPr>
                <w:rFonts w:hint="default" w:ascii="黑体" w:hAnsi="黑体" w:eastAsia="黑体" w:cs="宋体"/>
                <w:bCs/>
                <w:color w:val="auto"/>
                <w:szCs w:val="21"/>
              </w:rPr>
              <w:t>3、噪声</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rPr>
            </w:pPr>
            <w:r>
              <w:rPr>
                <w:rFonts w:hint="eastAsia" w:cs="宋体"/>
                <w:color w:val="auto"/>
                <w:kern w:val="0"/>
                <w:szCs w:val="21"/>
                <w:lang w:bidi="ar"/>
              </w:rPr>
              <w:t>施工机械噪声是项目施工建设中主要污染因子。建筑施工的机械作业一般位于露天，其噪声传播距离远，影响范围大，是重要的临时性声源。本项目施工期常用的施工机械有：钻机、挖机、切割机等，产生的声源强度约为</w:t>
            </w:r>
            <w:r>
              <w:rPr>
                <w:rFonts w:hint="default"/>
                <w:color w:val="auto"/>
                <w:kern w:val="0"/>
                <w:szCs w:val="21"/>
                <w:lang w:bidi="ar"/>
              </w:rPr>
              <w:t>85</w:t>
            </w:r>
            <w:r>
              <w:rPr>
                <w:rFonts w:hint="eastAsia" w:cs="宋体"/>
                <w:color w:val="auto"/>
                <w:kern w:val="0"/>
                <w:szCs w:val="21"/>
                <w:lang w:bidi="ar"/>
              </w:rPr>
              <w:t>～</w:t>
            </w:r>
            <w:r>
              <w:rPr>
                <w:rFonts w:hint="default"/>
                <w:color w:val="auto"/>
                <w:kern w:val="0"/>
                <w:szCs w:val="21"/>
                <w:lang w:bidi="ar"/>
              </w:rPr>
              <w:t>95dB(A</w:t>
            </w:r>
            <w:r>
              <w:rPr>
                <w:rFonts w:hint="eastAsia" w:cs="宋体"/>
                <w:color w:val="auto"/>
                <w:kern w:val="0"/>
                <w:szCs w:val="21"/>
                <w:lang w:bidi="ar"/>
              </w:rPr>
              <w:t>）。另外，施工材料运输车辆也会产生一定的交通噪声。</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rPr>
            </w:pPr>
            <w:r>
              <w:rPr>
                <w:rFonts w:hint="eastAsia" w:cs="宋体"/>
                <w:color w:val="auto"/>
                <w:kern w:val="0"/>
                <w:szCs w:val="21"/>
                <w:lang w:bidi="ar"/>
              </w:rPr>
              <w:t>本次环评采用衰减模式预测施工设备的噪声影响值，各设备声源在不同距离的衰减结果见下表。</w:t>
            </w:r>
          </w:p>
          <w:p>
            <w:pPr>
              <w:keepNext w:val="0"/>
              <w:keepLines w:val="0"/>
              <w:suppressLineNumbers w:val="0"/>
              <w:autoSpaceDE w:val="0"/>
              <w:autoSpaceDN w:val="0"/>
              <w:adjustRightInd w:val="0"/>
              <w:snapToGrid w:val="0"/>
              <w:spacing w:before="0" w:beforeAutospacing="0" w:after="0" w:afterAutospacing="0" w:line="300" w:lineRule="exact"/>
              <w:ind w:left="0" w:right="0"/>
              <w:jc w:val="center"/>
              <w:rPr>
                <w:rFonts w:hint="default" w:eastAsia="黑体"/>
                <w:color w:val="auto"/>
                <w:kern w:val="0"/>
                <w:sz w:val="18"/>
                <w:szCs w:val="20"/>
              </w:rPr>
            </w:pPr>
            <w:r>
              <w:rPr>
                <w:rFonts w:hint="default" w:ascii="黑体" w:hAnsi="黑体" w:eastAsia="黑体"/>
                <w:color w:val="auto"/>
                <w:kern w:val="0"/>
                <w:sz w:val="18"/>
                <w:szCs w:val="20"/>
              </w:rPr>
              <w:t>表</w:t>
            </w:r>
            <w:r>
              <w:rPr>
                <w:rFonts w:hint="default" w:eastAsia="黑体"/>
                <w:color w:val="auto"/>
                <w:kern w:val="0"/>
                <w:sz w:val="18"/>
                <w:szCs w:val="20"/>
              </w:rPr>
              <w:t>4-1</w:t>
            </w:r>
            <w:r>
              <w:rPr>
                <w:rFonts w:hint="eastAsia" w:ascii="黑体" w:hAnsi="黑体" w:eastAsia="黑体"/>
                <w:color w:val="auto"/>
                <w:kern w:val="0"/>
                <w:sz w:val="18"/>
                <w:szCs w:val="20"/>
              </w:rPr>
              <w:t xml:space="preserve">  </w:t>
            </w:r>
            <w:r>
              <w:rPr>
                <w:rFonts w:hint="eastAsia" w:ascii="黑体" w:hAnsi="黑体" w:eastAsia="黑体"/>
                <w:color w:val="auto"/>
                <w:kern w:val="0"/>
                <w:sz w:val="18"/>
                <w:szCs w:val="20"/>
                <w:lang w:val="en-US" w:eastAsia="zh-CN"/>
              </w:rPr>
              <w:t xml:space="preserve">  </w:t>
            </w:r>
            <w:r>
              <w:rPr>
                <w:rFonts w:hint="default" w:ascii="黑体" w:hAnsi="黑体" w:eastAsia="黑体"/>
                <w:color w:val="auto"/>
                <w:kern w:val="0"/>
                <w:sz w:val="18"/>
                <w:szCs w:val="20"/>
              </w:rPr>
              <w:t>项目</w:t>
            </w:r>
            <w:r>
              <w:rPr>
                <w:rFonts w:hint="eastAsia" w:ascii="黑体" w:hAnsi="黑体" w:eastAsia="黑体"/>
                <w:color w:val="auto"/>
                <w:kern w:val="0"/>
                <w:sz w:val="18"/>
                <w:szCs w:val="20"/>
              </w:rPr>
              <w:t>各声源在不同距离的噪声</w:t>
            </w:r>
            <w:r>
              <w:rPr>
                <w:rFonts w:hint="default" w:ascii="黑体" w:hAnsi="黑体" w:eastAsia="黑体"/>
                <w:color w:val="auto"/>
                <w:kern w:val="0"/>
                <w:sz w:val="18"/>
                <w:szCs w:val="20"/>
              </w:rPr>
              <w:t>预测结果</w:t>
            </w:r>
            <w:r>
              <w:rPr>
                <w:rFonts w:hint="eastAsia" w:ascii="黑体" w:hAnsi="黑体" w:eastAsia="黑体"/>
                <w:color w:val="auto"/>
                <w:kern w:val="0"/>
                <w:sz w:val="18"/>
                <w:szCs w:val="20"/>
              </w:rPr>
              <w:t xml:space="preserve"> </w:t>
            </w:r>
            <w:r>
              <w:rPr>
                <w:rFonts w:hint="eastAsia" w:ascii="黑体" w:hAnsi="黑体" w:eastAsia="黑体"/>
                <w:color w:val="auto"/>
                <w:kern w:val="0"/>
                <w:sz w:val="18"/>
                <w:szCs w:val="20"/>
                <w:lang w:val="en-US" w:eastAsia="zh-CN"/>
              </w:rPr>
              <w:t xml:space="preserve"> </w:t>
            </w:r>
            <w:r>
              <w:rPr>
                <w:rFonts w:hint="eastAsia" w:ascii="黑体" w:hAnsi="黑体" w:eastAsia="黑体"/>
                <w:color w:val="auto"/>
                <w:kern w:val="0"/>
                <w:sz w:val="18"/>
                <w:szCs w:val="20"/>
              </w:rPr>
              <w:t>单位：dB(A)</w:t>
            </w:r>
          </w:p>
          <w:tbl>
            <w:tblPr>
              <w:tblStyle w:val="14"/>
              <w:tblW w:w="74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275"/>
              <w:gridCol w:w="621"/>
              <w:gridCol w:w="583"/>
              <w:gridCol w:w="583"/>
              <w:gridCol w:w="730"/>
              <w:gridCol w:w="730"/>
              <w:gridCol w:w="583"/>
              <w:gridCol w:w="617"/>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tblHeader/>
                <w:jc w:val="center"/>
              </w:trPr>
              <w:tc>
                <w:tcPr>
                  <w:tcW w:w="989" w:type="dxa"/>
                  <w:vMerge w:val="restart"/>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
                      <w:color w:val="auto"/>
                      <w:kern w:val="0"/>
                      <w:sz w:val="18"/>
                      <w:szCs w:val="18"/>
                    </w:rPr>
                  </w:pPr>
                  <w:r>
                    <w:rPr>
                      <w:rFonts w:hint="default" w:ascii="Times New Roman"/>
                      <w:b/>
                      <w:color w:val="auto"/>
                      <w:kern w:val="0"/>
                      <w:sz w:val="18"/>
                      <w:szCs w:val="18"/>
                    </w:rPr>
                    <w:t>设备名称</w:t>
                  </w:r>
                </w:p>
              </w:tc>
              <w:tc>
                <w:tcPr>
                  <w:tcW w:w="1275" w:type="dxa"/>
                  <w:vMerge w:val="restart"/>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
                      <w:color w:val="auto"/>
                      <w:kern w:val="0"/>
                      <w:sz w:val="18"/>
                      <w:szCs w:val="18"/>
                    </w:rPr>
                  </w:pPr>
                  <w:r>
                    <w:rPr>
                      <w:rFonts w:hint="default" w:ascii="Times New Roman"/>
                      <w:b/>
                      <w:color w:val="auto"/>
                      <w:kern w:val="0"/>
                      <w:sz w:val="18"/>
                      <w:szCs w:val="18"/>
                    </w:rPr>
                    <w:t>声级测值</w:t>
                  </w:r>
                </w:p>
                <w:p>
                  <w:pPr>
                    <w:keepNext w:val="0"/>
                    <w:keepLines w:val="0"/>
                    <w:suppressLineNumbers w:val="0"/>
                    <w:spacing w:before="0" w:beforeLines="0" w:beforeAutospacing="0" w:after="0" w:afterAutospacing="0" w:line="320" w:lineRule="exact"/>
                    <w:ind w:left="0" w:right="0"/>
                    <w:jc w:val="center"/>
                    <w:rPr>
                      <w:rFonts w:hint="default" w:ascii="Times New Roman"/>
                      <w:b/>
                      <w:color w:val="auto"/>
                      <w:kern w:val="0"/>
                      <w:sz w:val="18"/>
                      <w:szCs w:val="18"/>
                    </w:rPr>
                  </w:pPr>
                  <w:r>
                    <w:rPr>
                      <w:rFonts w:hint="default" w:ascii="Times New Roman"/>
                      <w:b/>
                      <w:color w:val="auto"/>
                      <w:kern w:val="0"/>
                      <w:sz w:val="18"/>
                      <w:szCs w:val="18"/>
                    </w:rPr>
                    <w:t>距离声源</w:t>
                  </w:r>
                </w:p>
              </w:tc>
              <w:tc>
                <w:tcPr>
                  <w:tcW w:w="5209" w:type="dxa"/>
                  <w:gridSpan w:val="8"/>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
                      <w:color w:val="auto"/>
                      <w:kern w:val="0"/>
                      <w:sz w:val="18"/>
                      <w:szCs w:val="18"/>
                    </w:rPr>
                  </w:pPr>
                  <w:r>
                    <w:rPr>
                      <w:rFonts w:hint="default" w:ascii="Times New Roman"/>
                      <w:b/>
                      <w:color w:val="auto"/>
                      <w:kern w:val="0"/>
                      <w:sz w:val="18"/>
                      <w:szCs w:val="18"/>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tblHeader/>
                <w:jc w:val="center"/>
              </w:trPr>
              <w:tc>
                <w:tcPr>
                  <w:tcW w:w="989" w:type="dxa"/>
                  <w:vMerge w:val="continue"/>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
                      <w:color w:val="auto"/>
                      <w:kern w:val="0"/>
                      <w:sz w:val="18"/>
                      <w:szCs w:val="18"/>
                    </w:rPr>
                  </w:pPr>
                </w:p>
              </w:tc>
              <w:tc>
                <w:tcPr>
                  <w:tcW w:w="1275" w:type="dxa"/>
                  <w:vMerge w:val="continue"/>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
                      <w:color w:val="auto"/>
                      <w:kern w:val="0"/>
                      <w:sz w:val="18"/>
                      <w:szCs w:val="18"/>
                    </w:rPr>
                  </w:pPr>
                </w:p>
              </w:tc>
              <w:tc>
                <w:tcPr>
                  <w:tcW w:w="621"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
                      <w:color w:val="auto"/>
                      <w:kern w:val="0"/>
                      <w:sz w:val="18"/>
                      <w:szCs w:val="18"/>
                    </w:rPr>
                  </w:pPr>
                  <w:r>
                    <w:rPr>
                      <w:rFonts w:hint="eastAsia" w:ascii="Times New Roman"/>
                      <w:b/>
                      <w:color w:val="auto"/>
                      <w:kern w:val="0"/>
                      <w:sz w:val="18"/>
                      <w:szCs w:val="18"/>
                    </w:rPr>
                    <w:t>6</w:t>
                  </w:r>
                </w:p>
              </w:tc>
              <w:tc>
                <w:tcPr>
                  <w:tcW w:w="583"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
                      <w:color w:val="auto"/>
                      <w:kern w:val="0"/>
                      <w:sz w:val="18"/>
                      <w:szCs w:val="18"/>
                    </w:rPr>
                  </w:pPr>
                  <w:r>
                    <w:rPr>
                      <w:rFonts w:hint="default" w:ascii="Times New Roman"/>
                      <w:b/>
                      <w:color w:val="auto"/>
                      <w:kern w:val="0"/>
                      <w:sz w:val="18"/>
                      <w:szCs w:val="18"/>
                    </w:rPr>
                    <w:t>10</w:t>
                  </w:r>
                </w:p>
              </w:tc>
              <w:tc>
                <w:tcPr>
                  <w:tcW w:w="583"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
                      <w:color w:val="auto"/>
                      <w:kern w:val="0"/>
                      <w:sz w:val="18"/>
                      <w:szCs w:val="18"/>
                    </w:rPr>
                  </w:pPr>
                  <w:r>
                    <w:rPr>
                      <w:rFonts w:hint="default" w:ascii="Times New Roman"/>
                      <w:b/>
                      <w:color w:val="auto"/>
                      <w:kern w:val="0"/>
                      <w:sz w:val="18"/>
                      <w:szCs w:val="18"/>
                    </w:rPr>
                    <w:t>20</w:t>
                  </w:r>
                </w:p>
              </w:tc>
              <w:tc>
                <w:tcPr>
                  <w:tcW w:w="730"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
                      <w:color w:val="auto"/>
                      <w:kern w:val="0"/>
                      <w:sz w:val="18"/>
                      <w:szCs w:val="18"/>
                    </w:rPr>
                  </w:pPr>
                  <w:r>
                    <w:rPr>
                      <w:rFonts w:hint="default" w:ascii="Times New Roman"/>
                      <w:b/>
                      <w:color w:val="auto"/>
                      <w:kern w:val="0"/>
                      <w:sz w:val="18"/>
                      <w:szCs w:val="18"/>
                    </w:rPr>
                    <w:t>40</w:t>
                  </w:r>
                </w:p>
              </w:tc>
              <w:tc>
                <w:tcPr>
                  <w:tcW w:w="730"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
                      <w:color w:val="auto"/>
                      <w:kern w:val="0"/>
                      <w:sz w:val="18"/>
                      <w:szCs w:val="18"/>
                    </w:rPr>
                  </w:pPr>
                  <w:r>
                    <w:rPr>
                      <w:rFonts w:hint="eastAsia" w:ascii="Times New Roman"/>
                      <w:b/>
                      <w:color w:val="auto"/>
                      <w:kern w:val="0"/>
                      <w:sz w:val="18"/>
                      <w:szCs w:val="18"/>
                    </w:rPr>
                    <w:t>45</w:t>
                  </w:r>
                </w:p>
              </w:tc>
              <w:tc>
                <w:tcPr>
                  <w:tcW w:w="583"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
                      <w:color w:val="auto"/>
                      <w:kern w:val="0"/>
                      <w:sz w:val="18"/>
                      <w:szCs w:val="18"/>
                    </w:rPr>
                  </w:pPr>
                  <w:r>
                    <w:rPr>
                      <w:rFonts w:hint="default" w:ascii="Times New Roman"/>
                      <w:b/>
                      <w:color w:val="auto"/>
                      <w:kern w:val="0"/>
                      <w:sz w:val="18"/>
                      <w:szCs w:val="18"/>
                    </w:rPr>
                    <w:t>60</w:t>
                  </w:r>
                </w:p>
              </w:tc>
              <w:tc>
                <w:tcPr>
                  <w:tcW w:w="617"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
                      <w:color w:val="auto"/>
                      <w:kern w:val="0"/>
                      <w:sz w:val="18"/>
                      <w:szCs w:val="18"/>
                    </w:rPr>
                  </w:pPr>
                  <w:r>
                    <w:rPr>
                      <w:rFonts w:hint="default" w:ascii="Times New Roman"/>
                      <w:b/>
                      <w:color w:val="auto"/>
                      <w:kern w:val="0"/>
                      <w:sz w:val="18"/>
                      <w:szCs w:val="18"/>
                    </w:rPr>
                    <w:t>100</w:t>
                  </w:r>
                </w:p>
              </w:tc>
              <w:tc>
                <w:tcPr>
                  <w:tcW w:w="762"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
                      <w:color w:val="auto"/>
                      <w:kern w:val="0"/>
                      <w:sz w:val="18"/>
                      <w:szCs w:val="18"/>
                    </w:rPr>
                  </w:pPr>
                  <w:r>
                    <w:rPr>
                      <w:rFonts w:hint="default" w:ascii="Times New Roman"/>
                      <w:b/>
                      <w:color w:val="auto"/>
                      <w:kern w:val="0"/>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989"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bCs/>
                      <w:color w:val="auto"/>
                      <w:kern w:val="0"/>
                      <w:sz w:val="18"/>
                      <w:szCs w:val="18"/>
                    </w:rPr>
                    <w:t>钻机</w:t>
                  </w:r>
                </w:p>
              </w:tc>
              <w:tc>
                <w:tcPr>
                  <w:tcW w:w="1275"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eastAsia" w:ascii="Times New Roman"/>
                      <w:color w:val="auto"/>
                      <w:kern w:val="0"/>
                      <w:sz w:val="18"/>
                      <w:szCs w:val="18"/>
                    </w:rPr>
                    <w:t>85</w:t>
                  </w:r>
                </w:p>
              </w:tc>
              <w:tc>
                <w:tcPr>
                  <w:tcW w:w="621"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eastAsia" w:ascii="Times New Roman"/>
                      <w:bCs/>
                      <w:color w:val="auto"/>
                      <w:kern w:val="0"/>
                      <w:sz w:val="18"/>
                      <w:szCs w:val="18"/>
                    </w:rPr>
                    <w:t>69.4</w:t>
                  </w:r>
                </w:p>
              </w:tc>
              <w:tc>
                <w:tcPr>
                  <w:tcW w:w="583"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eastAsia" w:ascii="Times New Roman"/>
                      <w:color w:val="auto"/>
                      <w:kern w:val="0"/>
                      <w:sz w:val="18"/>
                      <w:szCs w:val="18"/>
                    </w:rPr>
                    <w:t>65</w:t>
                  </w:r>
                </w:p>
              </w:tc>
              <w:tc>
                <w:tcPr>
                  <w:tcW w:w="583"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eastAsia" w:ascii="Times New Roman"/>
                      <w:color w:val="auto"/>
                      <w:kern w:val="0"/>
                      <w:sz w:val="18"/>
                      <w:szCs w:val="18"/>
                    </w:rPr>
                    <w:t>59</w:t>
                  </w:r>
                  <w:r>
                    <w:rPr>
                      <w:rFonts w:hint="default" w:ascii="Times New Roman"/>
                      <w:color w:val="auto"/>
                      <w:kern w:val="0"/>
                      <w:sz w:val="18"/>
                      <w:szCs w:val="18"/>
                    </w:rPr>
                    <w:t>.0</w:t>
                  </w:r>
                </w:p>
              </w:tc>
              <w:tc>
                <w:tcPr>
                  <w:tcW w:w="730"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5</w:t>
                  </w:r>
                  <w:r>
                    <w:rPr>
                      <w:rFonts w:hint="eastAsia" w:ascii="Times New Roman"/>
                      <w:color w:val="auto"/>
                      <w:kern w:val="0"/>
                      <w:sz w:val="18"/>
                      <w:szCs w:val="18"/>
                    </w:rPr>
                    <w:t>2</w:t>
                  </w:r>
                  <w:r>
                    <w:rPr>
                      <w:rFonts w:hint="default" w:ascii="Times New Roman"/>
                      <w:color w:val="auto"/>
                      <w:kern w:val="0"/>
                      <w:sz w:val="18"/>
                      <w:szCs w:val="18"/>
                    </w:rPr>
                    <w:t>.9</w:t>
                  </w:r>
                </w:p>
              </w:tc>
              <w:tc>
                <w:tcPr>
                  <w:tcW w:w="730"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eastAsia" w:ascii="Times New Roman"/>
                      <w:color w:val="auto"/>
                      <w:kern w:val="0"/>
                      <w:sz w:val="18"/>
                      <w:szCs w:val="18"/>
                    </w:rPr>
                    <w:t>51.9</w:t>
                  </w:r>
                </w:p>
              </w:tc>
              <w:tc>
                <w:tcPr>
                  <w:tcW w:w="583"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eastAsia" w:ascii="Times New Roman"/>
                      <w:color w:val="auto"/>
                      <w:kern w:val="0"/>
                      <w:sz w:val="18"/>
                      <w:szCs w:val="18"/>
                    </w:rPr>
                    <w:t>49</w:t>
                  </w:r>
                  <w:r>
                    <w:rPr>
                      <w:rFonts w:hint="default" w:ascii="Times New Roman"/>
                      <w:color w:val="auto"/>
                      <w:kern w:val="0"/>
                      <w:sz w:val="18"/>
                      <w:szCs w:val="18"/>
                    </w:rPr>
                    <w:t>.4</w:t>
                  </w:r>
                </w:p>
              </w:tc>
              <w:tc>
                <w:tcPr>
                  <w:tcW w:w="617"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eastAsia" w:ascii="Times New Roman"/>
                      <w:color w:val="auto"/>
                      <w:kern w:val="0"/>
                      <w:sz w:val="18"/>
                      <w:szCs w:val="18"/>
                    </w:rPr>
                    <w:t>45</w:t>
                  </w:r>
                </w:p>
              </w:tc>
              <w:tc>
                <w:tcPr>
                  <w:tcW w:w="762"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eastAsia" w:ascii="Times New Roman"/>
                      <w:color w:val="auto"/>
                      <w:kern w:val="0"/>
                      <w:sz w:val="18"/>
                      <w:szCs w:val="18"/>
                    </w:rPr>
                    <w:t>39</w:t>
                  </w:r>
                  <w:r>
                    <w:rPr>
                      <w:rFonts w:hint="default" w:ascii="Times New Roman"/>
                      <w:color w:val="auto"/>
                      <w:kern w:val="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989"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bCs/>
                      <w:color w:val="auto"/>
                      <w:kern w:val="0"/>
                      <w:sz w:val="18"/>
                      <w:szCs w:val="18"/>
                    </w:rPr>
                    <w:t>挖机</w:t>
                  </w:r>
                </w:p>
              </w:tc>
              <w:tc>
                <w:tcPr>
                  <w:tcW w:w="1275"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95</w:t>
                  </w:r>
                </w:p>
              </w:tc>
              <w:tc>
                <w:tcPr>
                  <w:tcW w:w="621"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eastAsia" w:ascii="Times New Roman"/>
                      <w:bCs/>
                      <w:color w:val="auto"/>
                      <w:kern w:val="0"/>
                      <w:sz w:val="18"/>
                      <w:szCs w:val="18"/>
                    </w:rPr>
                    <w:t>79.4</w:t>
                  </w:r>
                </w:p>
              </w:tc>
              <w:tc>
                <w:tcPr>
                  <w:tcW w:w="583"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75</w:t>
                  </w:r>
                </w:p>
              </w:tc>
              <w:tc>
                <w:tcPr>
                  <w:tcW w:w="583"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68.9</w:t>
                  </w:r>
                </w:p>
              </w:tc>
              <w:tc>
                <w:tcPr>
                  <w:tcW w:w="730"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63.9</w:t>
                  </w:r>
                </w:p>
              </w:tc>
              <w:tc>
                <w:tcPr>
                  <w:tcW w:w="730"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61.</w:t>
                  </w:r>
                  <w:r>
                    <w:rPr>
                      <w:rFonts w:hint="eastAsia" w:ascii="Times New Roman"/>
                      <w:color w:val="auto"/>
                      <w:kern w:val="0"/>
                      <w:sz w:val="18"/>
                      <w:szCs w:val="18"/>
                    </w:rPr>
                    <w:t>9</w:t>
                  </w:r>
                </w:p>
              </w:tc>
              <w:tc>
                <w:tcPr>
                  <w:tcW w:w="583"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59.4</w:t>
                  </w:r>
                </w:p>
              </w:tc>
              <w:tc>
                <w:tcPr>
                  <w:tcW w:w="617"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55</w:t>
                  </w:r>
                </w:p>
              </w:tc>
              <w:tc>
                <w:tcPr>
                  <w:tcW w:w="762"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989"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bCs/>
                      <w:color w:val="auto"/>
                      <w:kern w:val="0"/>
                      <w:sz w:val="18"/>
                      <w:szCs w:val="18"/>
                    </w:rPr>
                    <w:t>切割机</w:t>
                  </w:r>
                </w:p>
              </w:tc>
              <w:tc>
                <w:tcPr>
                  <w:tcW w:w="1275"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90</w:t>
                  </w:r>
                </w:p>
              </w:tc>
              <w:tc>
                <w:tcPr>
                  <w:tcW w:w="621"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eastAsia" w:ascii="Times New Roman"/>
                      <w:bCs/>
                      <w:color w:val="auto"/>
                      <w:kern w:val="0"/>
                      <w:sz w:val="18"/>
                      <w:szCs w:val="18"/>
                    </w:rPr>
                    <w:t>74.4</w:t>
                  </w:r>
                </w:p>
              </w:tc>
              <w:tc>
                <w:tcPr>
                  <w:tcW w:w="583"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70</w:t>
                  </w:r>
                </w:p>
              </w:tc>
              <w:tc>
                <w:tcPr>
                  <w:tcW w:w="583"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64.0</w:t>
                  </w:r>
                </w:p>
              </w:tc>
              <w:tc>
                <w:tcPr>
                  <w:tcW w:w="730"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57.9</w:t>
                  </w:r>
                </w:p>
              </w:tc>
              <w:tc>
                <w:tcPr>
                  <w:tcW w:w="730"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56.</w:t>
                  </w:r>
                  <w:r>
                    <w:rPr>
                      <w:rFonts w:hint="eastAsia" w:ascii="Times New Roman"/>
                      <w:color w:val="auto"/>
                      <w:kern w:val="0"/>
                      <w:sz w:val="18"/>
                      <w:szCs w:val="18"/>
                    </w:rPr>
                    <w:t>9</w:t>
                  </w:r>
                </w:p>
              </w:tc>
              <w:tc>
                <w:tcPr>
                  <w:tcW w:w="583"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54.4</w:t>
                  </w:r>
                </w:p>
              </w:tc>
              <w:tc>
                <w:tcPr>
                  <w:tcW w:w="617"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50</w:t>
                  </w:r>
                </w:p>
              </w:tc>
              <w:tc>
                <w:tcPr>
                  <w:tcW w:w="762" w:type="dxa"/>
                  <w:vAlign w:val="center"/>
                </w:tcPr>
                <w:p>
                  <w:pPr>
                    <w:keepNext w:val="0"/>
                    <w:keepLines w:val="0"/>
                    <w:suppressLineNumbers w:val="0"/>
                    <w:spacing w:before="0" w:beforeLines="0" w:beforeAutospacing="0" w:after="0" w:afterAutospacing="0" w:line="320" w:lineRule="exact"/>
                    <w:ind w:left="0" w:right="0"/>
                    <w:jc w:val="center"/>
                    <w:rPr>
                      <w:rFonts w:hint="default" w:ascii="Times New Roman"/>
                      <w:bCs/>
                      <w:color w:val="auto"/>
                      <w:kern w:val="0"/>
                      <w:sz w:val="18"/>
                      <w:szCs w:val="18"/>
                    </w:rPr>
                  </w:pPr>
                  <w:r>
                    <w:rPr>
                      <w:rFonts w:hint="default" w:ascii="Times New Roman"/>
                      <w:color w:val="auto"/>
                      <w:kern w:val="0"/>
                      <w:sz w:val="18"/>
                      <w:szCs w:val="18"/>
                    </w:rPr>
                    <w:t>44.0</w:t>
                  </w:r>
                </w:p>
              </w:tc>
            </w:tr>
          </w:tbl>
          <w:p>
            <w:pPr>
              <w:keepNext w:val="0"/>
              <w:keepLines w:val="0"/>
              <w:suppressLineNumbers w:val="0"/>
              <w:autoSpaceDE w:val="0"/>
              <w:autoSpaceDN w:val="0"/>
              <w:adjustRightInd w:val="0"/>
              <w:snapToGrid w:val="0"/>
              <w:spacing w:before="0" w:beforeAutospacing="0" w:after="0" w:afterAutospacing="0" w:line="410" w:lineRule="exact"/>
              <w:ind w:left="0" w:right="0" w:firstLine="420" w:firstLineChars="200"/>
              <w:jc w:val="left"/>
              <w:rPr>
                <w:rFonts w:hint="default"/>
                <w:color w:val="auto"/>
                <w:kern w:val="0"/>
                <w:szCs w:val="21"/>
              </w:rPr>
            </w:pPr>
            <w:r>
              <w:rPr>
                <w:rFonts w:hint="eastAsia"/>
                <w:color w:val="auto"/>
                <w:kern w:val="0"/>
                <w:szCs w:val="21"/>
              </w:rPr>
              <w:t>从上表中可看出，施工机械噪声在昼间影响较小，一般在距离噪声设备20m外，其设备噪声贡献值(约68.9dB(A))就可低于建筑施工场厂界昼间噪声限值(70</w:t>
            </w:r>
            <w:r>
              <w:rPr>
                <w:rFonts w:hint="default"/>
                <w:color w:val="auto"/>
              </w:rPr>
              <w:t xml:space="preserve"> </w:t>
            </w:r>
            <w:r>
              <w:rPr>
                <w:rFonts w:hint="default"/>
                <w:color w:val="auto"/>
                <w:kern w:val="0"/>
                <w:szCs w:val="21"/>
              </w:rPr>
              <w:t>dB(A)</w:t>
            </w:r>
            <w:r>
              <w:rPr>
                <w:rFonts w:hint="eastAsia"/>
                <w:color w:val="auto"/>
                <w:kern w:val="0"/>
                <w:szCs w:val="21"/>
              </w:rPr>
              <w:t>)。夜间要求较严，噪声要在距离机械设备100m以外才可低于55</w:t>
            </w:r>
            <w:r>
              <w:rPr>
                <w:rFonts w:hint="default"/>
                <w:color w:val="auto"/>
              </w:rPr>
              <w:t xml:space="preserve"> </w:t>
            </w:r>
            <w:r>
              <w:rPr>
                <w:rFonts w:hint="default"/>
                <w:color w:val="auto"/>
                <w:kern w:val="0"/>
                <w:szCs w:val="21"/>
              </w:rPr>
              <w:t>dB(A)</w:t>
            </w:r>
            <w:r>
              <w:rPr>
                <w:rFonts w:hint="eastAsia"/>
                <w:color w:val="auto"/>
                <w:kern w:val="0"/>
                <w:szCs w:val="21"/>
              </w:rPr>
              <w:t xml:space="preserve"> 的噪声控制值。</w:t>
            </w:r>
          </w:p>
          <w:p>
            <w:pPr>
              <w:keepNext w:val="0"/>
              <w:keepLines w:val="0"/>
              <w:suppressLineNumbers w:val="0"/>
              <w:autoSpaceDE w:val="0"/>
              <w:autoSpaceDN w:val="0"/>
              <w:adjustRightInd w:val="0"/>
              <w:snapToGrid w:val="0"/>
              <w:spacing w:before="0" w:beforeAutospacing="0" w:after="0" w:afterAutospacing="0" w:line="410" w:lineRule="exact"/>
              <w:ind w:left="0" w:right="0" w:firstLine="420" w:firstLineChars="200"/>
              <w:jc w:val="left"/>
              <w:rPr>
                <w:rFonts w:hint="default"/>
                <w:color w:val="auto"/>
                <w:kern w:val="0"/>
                <w:szCs w:val="21"/>
              </w:rPr>
            </w:pPr>
            <w:r>
              <w:rPr>
                <w:rFonts w:hint="eastAsia" w:cs="宋体"/>
                <w:color w:val="auto"/>
                <w:kern w:val="0"/>
                <w:szCs w:val="21"/>
                <w:lang w:bidi="ar"/>
              </w:rPr>
              <w:t>为降低噪声污染影响，在施工过程中应严格落实以下噪声控制措施：</w:t>
            </w:r>
          </w:p>
          <w:p>
            <w:pPr>
              <w:keepNext w:val="0"/>
              <w:keepLines w:val="0"/>
              <w:suppressLineNumbers w:val="0"/>
              <w:autoSpaceDE w:val="0"/>
              <w:autoSpaceDN w:val="0"/>
              <w:adjustRightInd w:val="0"/>
              <w:snapToGrid w:val="0"/>
              <w:spacing w:before="0" w:beforeAutospacing="0" w:after="0" w:afterAutospacing="0" w:line="410" w:lineRule="exact"/>
              <w:ind w:left="0" w:right="0" w:firstLine="420" w:firstLineChars="200"/>
              <w:jc w:val="left"/>
              <w:rPr>
                <w:rFonts w:hint="default"/>
                <w:color w:val="auto"/>
                <w:kern w:val="0"/>
                <w:szCs w:val="21"/>
              </w:rPr>
            </w:pPr>
            <w:r>
              <w:rPr>
                <w:rFonts w:hint="eastAsia" w:cs="宋体"/>
                <w:color w:val="auto"/>
                <w:kern w:val="0"/>
                <w:szCs w:val="21"/>
                <w:lang w:bidi="ar"/>
              </w:rPr>
              <w:t>①在满足工艺要求的前提下，首先选用先进的、噪声较低的环保型设备，严格按操作规程使用各类机械，使机器设备处于良好的运行状态。</w:t>
            </w:r>
          </w:p>
          <w:p>
            <w:pPr>
              <w:keepNext w:val="0"/>
              <w:keepLines w:val="0"/>
              <w:suppressLineNumbers w:val="0"/>
              <w:autoSpaceDE w:val="0"/>
              <w:autoSpaceDN w:val="0"/>
              <w:adjustRightInd w:val="0"/>
              <w:snapToGrid w:val="0"/>
              <w:spacing w:before="0" w:beforeAutospacing="0" w:after="0" w:afterAutospacing="0" w:line="410" w:lineRule="exact"/>
              <w:ind w:left="0" w:right="0" w:firstLine="420" w:firstLineChars="200"/>
              <w:jc w:val="left"/>
              <w:rPr>
                <w:rFonts w:hint="default"/>
                <w:color w:val="auto"/>
                <w:kern w:val="0"/>
                <w:szCs w:val="21"/>
              </w:rPr>
            </w:pPr>
            <w:r>
              <w:rPr>
                <w:rFonts w:hint="eastAsia" w:cs="宋体"/>
                <w:color w:val="auto"/>
                <w:kern w:val="0"/>
                <w:szCs w:val="21"/>
                <w:lang w:bidi="ar"/>
              </w:rPr>
              <w:t>②合理安排工期，尽量缩短整个施工期；严格控制施工时间，禁止夜间（</w:t>
            </w:r>
            <w:r>
              <w:rPr>
                <w:rFonts w:hint="default"/>
                <w:color w:val="auto"/>
                <w:kern w:val="0"/>
                <w:szCs w:val="21"/>
                <w:lang w:bidi="ar"/>
              </w:rPr>
              <w:t>22:00-</w:t>
            </w:r>
            <w:r>
              <w:rPr>
                <w:rFonts w:hint="eastAsia" w:cs="宋体"/>
                <w:color w:val="auto"/>
                <w:kern w:val="0"/>
                <w:szCs w:val="21"/>
                <w:lang w:bidi="ar"/>
              </w:rPr>
              <w:t>次日</w:t>
            </w:r>
            <w:r>
              <w:rPr>
                <w:rFonts w:hint="default"/>
                <w:color w:val="auto"/>
                <w:kern w:val="0"/>
                <w:szCs w:val="21"/>
                <w:lang w:bidi="ar"/>
              </w:rPr>
              <w:t>6</w:t>
            </w:r>
            <w:r>
              <w:rPr>
                <w:rFonts w:hint="eastAsia" w:cs="宋体"/>
                <w:color w:val="auto"/>
                <w:kern w:val="0"/>
                <w:szCs w:val="21"/>
                <w:lang w:bidi="ar"/>
              </w:rPr>
              <w:t>：</w:t>
            </w:r>
            <w:r>
              <w:rPr>
                <w:rFonts w:hint="default"/>
                <w:color w:val="auto"/>
                <w:kern w:val="0"/>
                <w:szCs w:val="21"/>
                <w:lang w:bidi="ar"/>
              </w:rPr>
              <w:t>00</w:t>
            </w:r>
            <w:r>
              <w:rPr>
                <w:rFonts w:hint="eastAsia" w:cs="宋体"/>
                <w:color w:val="auto"/>
                <w:kern w:val="0"/>
                <w:szCs w:val="21"/>
                <w:lang w:bidi="ar"/>
              </w:rPr>
              <w:t>）进行产生环境噪声污染的施工作业；应尽可能避免大量高噪声设备同时施工。</w:t>
            </w:r>
          </w:p>
          <w:p>
            <w:pPr>
              <w:keepNext w:val="0"/>
              <w:keepLines w:val="0"/>
              <w:suppressLineNumbers w:val="0"/>
              <w:autoSpaceDE w:val="0"/>
              <w:autoSpaceDN w:val="0"/>
              <w:adjustRightInd w:val="0"/>
              <w:snapToGrid w:val="0"/>
              <w:spacing w:before="0" w:beforeAutospacing="0" w:after="0" w:afterAutospacing="0" w:line="410" w:lineRule="exact"/>
              <w:ind w:left="0" w:right="0" w:firstLine="420" w:firstLineChars="200"/>
              <w:jc w:val="left"/>
              <w:rPr>
                <w:rFonts w:hint="default"/>
                <w:color w:val="auto"/>
                <w:kern w:val="0"/>
                <w:szCs w:val="21"/>
              </w:rPr>
            </w:pPr>
            <w:r>
              <w:rPr>
                <w:rFonts w:hint="eastAsia" w:cs="宋体"/>
                <w:color w:val="auto"/>
                <w:kern w:val="0"/>
                <w:szCs w:val="21"/>
                <w:lang w:bidi="ar"/>
              </w:rPr>
              <w:t>③坚持文明施工，降低人为噪声，搬运应该轻拿轻放。</w:t>
            </w:r>
          </w:p>
          <w:p>
            <w:pPr>
              <w:keepNext w:val="0"/>
              <w:keepLines w:val="0"/>
              <w:suppressLineNumbers w:val="0"/>
              <w:autoSpaceDE w:val="0"/>
              <w:autoSpaceDN w:val="0"/>
              <w:adjustRightInd w:val="0"/>
              <w:snapToGrid w:val="0"/>
              <w:spacing w:before="0" w:beforeAutospacing="0" w:after="0" w:afterAutospacing="0" w:line="410" w:lineRule="exact"/>
              <w:ind w:left="0" w:right="0" w:firstLine="420" w:firstLineChars="200"/>
              <w:jc w:val="left"/>
              <w:rPr>
                <w:rFonts w:hint="default"/>
                <w:color w:val="auto"/>
                <w:kern w:val="0"/>
                <w:szCs w:val="21"/>
              </w:rPr>
            </w:pPr>
            <w:r>
              <w:rPr>
                <w:rFonts w:hint="eastAsia" w:cs="宋体"/>
                <w:color w:val="auto"/>
                <w:kern w:val="0"/>
                <w:szCs w:val="21"/>
                <w:lang w:bidi="ar"/>
              </w:rPr>
              <w:t>④</w:t>
            </w:r>
            <w:r>
              <w:rPr>
                <w:rFonts w:hint="eastAsia"/>
                <w:color w:val="auto"/>
                <w:kern w:val="0"/>
                <w:szCs w:val="21"/>
              </w:rPr>
              <w:t>合理布局，避免在同一地点安排大量动力机械设备，尽量避免噪声设备布置在靠近厂界处。所有噪声设备均布置在厂房内部。</w:t>
            </w:r>
          </w:p>
          <w:p>
            <w:pPr>
              <w:keepNext w:val="0"/>
              <w:keepLines w:val="0"/>
              <w:suppressLineNumbers w:val="0"/>
              <w:autoSpaceDE w:val="0"/>
              <w:autoSpaceDN w:val="0"/>
              <w:adjustRightInd w:val="0"/>
              <w:snapToGrid w:val="0"/>
              <w:spacing w:before="0" w:beforeAutospacing="0" w:after="0" w:afterAutospacing="0" w:line="410" w:lineRule="exact"/>
              <w:ind w:left="0" w:right="0" w:firstLine="420" w:firstLineChars="200"/>
              <w:jc w:val="left"/>
              <w:rPr>
                <w:rFonts w:hint="default"/>
                <w:color w:val="auto"/>
                <w:kern w:val="0"/>
                <w:szCs w:val="21"/>
              </w:rPr>
            </w:pPr>
            <w:r>
              <w:rPr>
                <w:rFonts w:hint="eastAsia" w:cs="宋体"/>
                <w:color w:val="auto"/>
                <w:kern w:val="0"/>
                <w:szCs w:val="21"/>
                <w:lang w:bidi="ar"/>
              </w:rPr>
              <w:t>⑤运输物料的车辆进入现场应减速行驶、并禁止</w:t>
            </w:r>
            <w:r>
              <w:rPr>
                <w:rFonts w:hint="eastAsia"/>
                <w:color w:val="auto"/>
                <w:kern w:val="0"/>
                <w:szCs w:val="21"/>
              </w:rPr>
              <w:t>鸣笛。合理安排运输路线，物料运输通道尽量避开居民区和环境噪声敏感区。</w:t>
            </w:r>
          </w:p>
          <w:p>
            <w:pPr>
              <w:keepNext w:val="0"/>
              <w:keepLines w:val="0"/>
              <w:suppressLineNumbers w:val="0"/>
              <w:autoSpaceDE w:val="0"/>
              <w:autoSpaceDN w:val="0"/>
              <w:adjustRightInd w:val="0"/>
              <w:snapToGrid w:val="0"/>
              <w:spacing w:before="0" w:beforeAutospacing="0" w:after="0" w:afterAutospacing="0" w:line="410" w:lineRule="exact"/>
              <w:ind w:left="0" w:right="0" w:firstLine="420" w:firstLineChars="200"/>
              <w:jc w:val="left"/>
              <w:rPr>
                <w:rFonts w:hint="default"/>
                <w:color w:val="auto"/>
                <w:kern w:val="0"/>
                <w:szCs w:val="21"/>
              </w:rPr>
            </w:pPr>
            <w:r>
              <w:rPr>
                <w:rFonts w:hint="eastAsia"/>
                <w:color w:val="auto"/>
                <w:kern w:val="0"/>
                <w:szCs w:val="21"/>
              </w:rPr>
              <w:t>通过采取上述控制措施，能够起到较好的隔声降噪效果。根据类比分析，施工噪声隔声量取15</w:t>
            </w:r>
            <w:r>
              <w:rPr>
                <w:rFonts w:hint="default"/>
                <w:color w:val="auto"/>
                <w:kern w:val="0"/>
                <w:szCs w:val="21"/>
              </w:rPr>
              <w:t>dB(A)</w:t>
            </w:r>
            <w:r>
              <w:rPr>
                <w:rFonts w:hint="eastAsia"/>
                <w:color w:val="auto"/>
                <w:kern w:val="0"/>
                <w:szCs w:val="21"/>
              </w:rPr>
              <w:t>。项目在采取控制措施后，夜间不安排施工。因此，本次环评仅对项目昼间施工噪声进行预测。预测结果如下：</w:t>
            </w:r>
          </w:p>
          <w:p>
            <w:pPr>
              <w:keepNext w:val="0"/>
              <w:keepLines w:val="0"/>
              <w:suppressLineNumbers w:val="0"/>
              <w:autoSpaceDE w:val="0"/>
              <w:autoSpaceDN w:val="0"/>
              <w:adjustRightInd w:val="0"/>
              <w:snapToGrid w:val="0"/>
              <w:spacing w:before="0" w:beforeAutospacing="0" w:after="0" w:afterAutospacing="0" w:line="300" w:lineRule="exact"/>
              <w:ind w:left="0" w:right="0"/>
              <w:jc w:val="center"/>
              <w:rPr>
                <w:rFonts w:hint="default" w:ascii="黑体" w:hAnsi="黑体" w:eastAsia="黑体"/>
                <w:color w:val="auto"/>
                <w:kern w:val="0"/>
                <w:sz w:val="18"/>
                <w:szCs w:val="20"/>
              </w:rPr>
            </w:pPr>
          </w:p>
          <w:p>
            <w:pPr>
              <w:keepNext w:val="0"/>
              <w:keepLines w:val="0"/>
              <w:suppressLineNumbers w:val="0"/>
              <w:autoSpaceDE w:val="0"/>
              <w:autoSpaceDN w:val="0"/>
              <w:adjustRightInd w:val="0"/>
              <w:snapToGrid w:val="0"/>
              <w:spacing w:before="0" w:beforeAutospacing="0" w:after="0" w:afterAutospacing="0" w:line="300" w:lineRule="exact"/>
              <w:ind w:left="0" w:right="0"/>
              <w:jc w:val="center"/>
              <w:rPr>
                <w:rFonts w:hint="default" w:ascii="黑体" w:hAnsi="黑体" w:eastAsia="黑体"/>
                <w:color w:val="auto"/>
                <w:kern w:val="0"/>
                <w:sz w:val="18"/>
                <w:szCs w:val="20"/>
              </w:rPr>
            </w:pPr>
          </w:p>
          <w:p>
            <w:pPr>
              <w:keepNext w:val="0"/>
              <w:keepLines w:val="0"/>
              <w:suppressLineNumbers w:val="0"/>
              <w:autoSpaceDE w:val="0"/>
              <w:autoSpaceDN w:val="0"/>
              <w:adjustRightInd w:val="0"/>
              <w:snapToGrid w:val="0"/>
              <w:spacing w:before="0" w:beforeAutospacing="0" w:after="0" w:afterAutospacing="0" w:line="300" w:lineRule="exact"/>
              <w:ind w:left="0" w:right="0"/>
              <w:jc w:val="center"/>
              <w:rPr>
                <w:rFonts w:hint="default" w:ascii="黑体" w:hAnsi="黑体" w:eastAsia="黑体"/>
                <w:color w:val="auto"/>
                <w:kern w:val="0"/>
                <w:sz w:val="18"/>
                <w:szCs w:val="20"/>
              </w:rPr>
            </w:pPr>
          </w:p>
          <w:p>
            <w:pPr>
              <w:keepNext w:val="0"/>
              <w:keepLines w:val="0"/>
              <w:suppressLineNumbers w:val="0"/>
              <w:autoSpaceDE w:val="0"/>
              <w:autoSpaceDN w:val="0"/>
              <w:adjustRightInd w:val="0"/>
              <w:snapToGrid w:val="0"/>
              <w:spacing w:before="0" w:beforeAutospacing="0" w:after="0" w:afterAutospacing="0" w:line="300" w:lineRule="exact"/>
              <w:ind w:left="0" w:right="0"/>
              <w:jc w:val="center"/>
              <w:rPr>
                <w:rFonts w:hint="default" w:ascii="黑体" w:hAnsi="黑体" w:eastAsia="黑体"/>
                <w:color w:val="auto"/>
                <w:kern w:val="0"/>
                <w:sz w:val="18"/>
                <w:szCs w:val="20"/>
              </w:rPr>
            </w:pPr>
          </w:p>
          <w:p>
            <w:pPr>
              <w:keepNext w:val="0"/>
              <w:keepLines w:val="0"/>
              <w:suppressLineNumbers w:val="0"/>
              <w:autoSpaceDE w:val="0"/>
              <w:autoSpaceDN w:val="0"/>
              <w:adjustRightInd w:val="0"/>
              <w:snapToGrid w:val="0"/>
              <w:spacing w:before="0" w:beforeAutospacing="0" w:after="0" w:afterAutospacing="0" w:line="300" w:lineRule="exact"/>
              <w:ind w:left="0" w:right="0"/>
              <w:jc w:val="center"/>
              <w:rPr>
                <w:rFonts w:hint="default" w:ascii="黑体" w:hAnsi="黑体" w:eastAsia="黑体"/>
                <w:color w:val="auto"/>
                <w:kern w:val="0"/>
                <w:sz w:val="18"/>
                <w:szCs w:val="20"/>
              </w:rPr>
            </w:pPr>
          </w:p>
          <w:p>
            <w:pPr>
              <w:keepNext w:val="0"/>
              <w:keepLines w:val="0"/>
              <w:suppressLineNumbers w:val="0"/>
              <w:autoSpaceDE w:val="0"/>
              <w:autoSpaceDN w:val="0"/>
              <w:adjustRightInd w:val="0"/>
              <w:snapToGrid w:val="0"/>
              <w:spacing w:before="0" w:beforeAutospacing="0" w:after="0" w:afterAutospacing="0" w:line="300" w:lineRule="exact"/>
              <w:ind w:left="0" w:right="0"/>
              <w:jc w:val="center"/>
              <w:rPr>
                <w:rFonts w:hint="default" w:ascii="黑体" w:hAnsi="黑体" w:eastAsia="黑体"/>
                <w:color w:val="auto"/>
                <w:kern w:val="0"/>
                <w:sz w:val="18"/>
                <w:szCs w:val="20"/>
              </w:rPr>
            </w:pPr>
          </w:p>
          <w:p>
            <w:pPr>
              <w:keepNext w:val="0"/>
              <w:keepLines w:val="0"/>
              <w:suppressLineNumbers w:val="0"/>
              <w:autoSpaceDE w:val="0"/>
              <w:autoSpaceDN w:val="0"/>
              <w:adjustRightInd w:val="0"/>
              <w:snapToGrid w:val="0"/>
              <w:spacing w:before="0" w:beforeAutospacing="0" w:after="0" w:afterAutospacing="0" w:line="300" w:lineRule="exact"/>
              <w:ind w:left="0" w:right="0"/>
              <w:jc w:val="center"/>
              <w:rPr>
                <w:rFonts w:hint="default" w:eastAsia="黑体"/>
                <w:color w:val="auto"/>
                <w:kern w:val="0"/>
                <w:sz w:val="18"/>
                <w:szCs w:val="20"/>
              </w:rPr>
            </w:pPr>
            <w:r>
              <w:rPr>
                <w:rFonts w:hint="default" w:ascii="黑体" w:hAnsi="黑体" w:eastAsia="黑体"/>
                <w:color w:val="auto"/>
                <w:kern w:val="0"/>
                <w:sz w:val="18"/>
                <w:szCs w:val="20"/>
              </w:rPr>
              <w:t>表</w:t>
            </w:r>
            <w:r>
              <w:rPr>
                <w:rFonts w:hint="default" w:eastAsia="黑体"/>
                <w:color w:val="auto"/>
                <w:kern w:val="0"/>
                <w:sz w:val="18"/>
                <w:szCs w:val="20"/>
              </w:rPr>
              <w:t>4-</w:t>
            </w:r>
            <w:r>
              <w:rPr>
                <w:rFonts w:hint="eastAsia" w:eastAsia="黑体"/>
                <w:color w:val="auto"/>
                <w:kern w:val="0"/>
                <w:sz w:val="18"/>
                <w:szCs w:val="20"/>
              </w:rPr>
              <w:t>2</w:t>
            </w:r>
            <w:r>
              <w:rPr>
                <w:rFonts w:hint="eastAsia" w:ascii="黑体" w:hAnsi="黑体" w:eastAsia="黑体"/>
                <w:color w:val="auto"/>
                <w:kern w:val="0"/>
                <w:sz w:val="18"/>
                <w:szCs w:val="20"/>
              </w:rPr>
              <w:t xml:space="preserve">  </w:t>
            </w:r>
            <w:r>
              <w:rPr>
                <w:rFonts w:hint="default" w:ascii="黑体" w:hAnsi="黑体" w:eastAsia="黑体"/>
                <w:color w:val="auto"/>
                <w:kern w:val="0"/>
                <w:sz w:val="18"/>
                <w:szCs w:val="20"/>
              </w:rPr>
              <w:t>项目</w:t>
            </w:r>
            <w:r>
              <w:rPr>
                <w:rFonts w:hint="eastAsia" w:ascii="黑体" w:hAnsi="黑体" w:eastAsia="黑体"/>
                <w:color w:val="auto"/>
                <w:kern w:val="0"/>
                <w:sz w:val="18"/>
                <w:szCs w:val="20"/>
              </w:rPr>
              <w:t>厂界处的噪声</w:t>
            </w:r>
            <w:r>
              <w:rPr>
                <w:rFonts w:hint="default" w:ascii="黑体" w:hAnsi="黑体" w:eastAsia="黑体"/>
                <w:color w:val="auto"/>
                <w:kern w:val="0"/>
                <w:sz w:val="18"/>
                <w:szCs w:val="20"/>
              </w:rPr>
              <w:t>预测结果</w:t>
            </w:r>
            <w:r>
              <w:rPr>
                <w:rFonts w:hint="eastAsia" w:ascii="黑体" w:hAnsi="黑体" w:eastAsia="黑体"/>
                <w:color w:val="auto"/>
                <w:kern w:val="0"/>
                <w:sz w:val="18"/>
                <w:szCs w:val="20"/>
              </w:rPr>
              <w:t xml:space="preserve">  单位：dB(A)</w:t>
            </w:r>
          </w:p>
          <w:tbl>
            <w:tblPr>
              <w:tblStyle w:val="14"/>
              <w:tblW w:w="74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760"/>
              <w:gridCol w:w="822"/>
              <w:gridCol w:w="687"/>
              <w:gridCol w:w="691"/>
              <w:gridCol w:w="719"/>
              <w:gridCol w:w="783"/>
              <w:gridCol w:w="670"/>
              <w:gridCol w:w="697"/>
              <w:gridCol w:w="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104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eastAsia" w:ascii="宋体" w:hAnsi="宋体"/>
                      <w:b/>
                      <w:color w:val="auto"/>
                      <w:kern w:val="0"/>
                      <w:sz w:val="18"/>
                      <w:szCs w:val="18"/>
                    </w:rPr>
                    <w:t>项目</w:t>
                  </w:r>
                </w:p>
              </w:tc>
              <w:tc>
                <w:tcPr>
                  <w:tcW w:w="760" w:type="dxa"/>
                  <w:vMerge w:val="restar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eastAsia" w:ascii="宋体" w:hAnsi="宋体"/>
                      <w:b/>
                      <w:color w:val="auto"/>
                      <w:kern w:val="0"/>
                      <w:sz w:val="18"/>
                      <w:szCs w:val="18"/>
                    </w:rPr>
                    <w:t>叠加声源</w:t>
                  </w:r>
                </w:p>
              </w:tc>
              <w:tc>
                <w:tcPr>
                  <w:tcW w:w="82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ascii="宋体" w:hAnsi="宋体"/>
                      <w:b/>
                      <w:color w:val="auto"/>
                      <w:kern w:val="0"/>
                      <w:sz w:val="18"/>
                      <w:szCs w:val="18"/>
                    </w:rPr>
                  </w:pPr>
                  <w:r>
                    <w:rPr>
                      <w:rFonts w:hint="eastAsia" w:ascii="宋体" w:hAnsi="宋体"/>
                      <w:b/>
                      <w:color w:val="auto"/>
                      <w:kern w:val="0"/>
                      <w:sz w:val="18"/>
                      <w:szCs w:val="18"/>
                    </w:rPr>
                    <w:t>与声源距离</w:t>
                  </w:r>
                </w:p>
              </w:tc>
              <w:tc>
                <w:tcPr>
                  <w:tcW w:w="687" w:type="dxa"/>
                  <w:vMerge w:val="restar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ascii="宋体" w:hAnsi="宋体"/>
                      <w:b/>
                      <w:color w:val="auto"/>
                      <w:kern w:val="0"/>
                      <w:sz w:val="18"/>
                      <w:szCs w:val="18"/>
                    </w:rPr>
                  </w:pPr>
                  <w:r>
                    <w:rPr>
                      <w:rFonts w:hint="eastAsia" w:ascii="宋体" w:hAnsi="宋体"/>
                      <w:b/>
                      <w:color w:val="auto"/>
                      <w:kern w:val="0"/>
                      <w:sz w:val="18"/>
                      <w:szCs w:val="18"/>
                    </w:rPr>
                    <w:t>贡献值</w:t>
                  </w:r>
                </w:p>
              </w:tc>
              <w:tc>
                <w:tcPr>
                  <w:tcW w:w="1410"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default"/>
                      <w:b/>
                      <w:color w:val="auto"/>
                      <w:kern w:val="0"/>
                      <w:sz w:val="18"/>
                      <w:szCs w:val="18"/>
                    </w:rPr>
                    <w:t>背景值</w:t>
                  </w:r>
                </w:p>
              </w:tc>
              <w:tc>
                <w:tcPr>
                  <w:tcW w:w="1453"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eastAsia" w:ascii="宋体" w:hAnsi="宋体"/>
                      <w:b/>
                      <w:color w:val="auto"/>
                      <w:kern w:val="0"/>
                      <w:sz w:val="18"/>
                      <w:szCs w:val="18"/>
                    </w:rPr>
                    <w:t>执行标准</w:t>
                  </w:r>
                </w:p>
              </w:tc>
              <w:tc>
                <w:tcPr>
                  <w:tcW w:w="1301"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eastAsia" w:ascii="宋体" w:hAnsi="宋体"/>
                      <w:b/>
                      <w:color w:val="auto"/>
                      <w:kern w:val="0"/>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104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20" w:lineRule="exact"/>
                    <w:ind w:left="0" w:right="0"/>
                    <w:jc w:val="center"/>
                    <w:rPr>
                      <w:rFonts w:hint="default"/>
                      <w:b/>
                      <w:color w:val="auto"/>
                      <w:kern w:val="0"/>
                      <w:sz w:val="18"/>
                      <w:szCs w:val="18"/>
                    </w:rPr>
                  </w:pPr>
                </w:p>
              </w:tc>
              <w:tc>
                <w:tcPr>
                  <w:tcW w:w="760"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20" w:lineRule="exact"/>
                    <w:ind w:left="0" w:right="0"/>
                    <w:jc w:val="center"/>
                    <w:rPr>
                      <w:rFonts w:hint="default"/>
                      <w:b/>
                      <w:color w:val="auto"/>
                      <w:kern w:val="0"/>
                      <w:sz w:val="18"/>
                      <w:szCs w:val="18"/>
                    </w:rPr>
                  </w:pPr>
                </w:p>
              </w:tc>
              <w:tc>
                <w:tcPr>
                  <w:tcW w:w="82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20" w:lineRule="exact"/>
                    <w:ind w:left="0" w:right="0"/>
                    <w:jc w:val="center"/>
                    <w:rPr>
                      <w:rFonts w:hint="default"/>
                      <w:b/>
                      <w:color w:val="auto"/>
                      <w:kern w:val="0"/>
                      <w:sz w:val="18"/>
                      <w:szCs w:val="18"/>
                    </w:rPr>
                  </w:pPr>
                </w:p>
              </w:tc>
              <w:tc>
                <w:tcPr>
                  <w:tcW w:w="687"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20" w:lineRule="exact"/>
                    <w:ind w:left="0" w:right="0"/>
                    <w:jc w:val="center"/>
                    <w:rPr>
                      <w:rFonts w:hint="default"/>
                      <w:b/>
                      <w:color w:val="auto"/>
                      <w:kern w:val="0"/>
                      <w:sz w:val="18"/>
                      <w:szCs w:val="18"/>
                    </w:rPr>
                  </w:pPr>
                </w:p>
              </w:tc>
              <w:tc>
                <w:tcPr>
                  <w:tcW w:w="69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20" w:lineRule="exact"/>
                    <w:ind w:left="0" w:right="0"/>
                    <w:jc w:val="center"/>
                    <w:rPr>
                      <w:rFonts w:hint="default"/>
                      <w:b/>
                      <w:color w:val="auto"/>
                      <w:kern w:val="0"/>
                      <w:sz w:val="18"/>
                      <w:szCs w:val="18"/>
                    </w:rPr>
                  </w:pPr>
                  <w:r>
                    <w:rPr>
                      <w:rFonts w:hint="eastAsia"/>
                      <w:b/>
                      <w:color w:val="auto"/>
                      <w:kern w:val="0"/>
                      <w:sz w:val="18"/>
                      <w:szCs w:val="18"/>
                    </w:rPr>
                    <w:t>昼间</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20" w:lineRule="exact"/>
                    <w:ind w:left="0" w:right="0"/>
                    <w:jc w:val="center"/>
                    <w:rPr>
                      <w:rFonts w:hint="default"/>
                      <w:b/>
                      <w:color w:val="auto"/>
                      <w:kern w:val="0"/>
                      <w:sz w:val="18"/>
                      <w:szCs w:val="18"/>
                    </w:rPr>
                  </w:pPr>
                  <w:r>
                    <w:rPr>
                      <w:rFonts w:hint="eastAsia"/>
                      <w:b/>
                      <w:color w:val="auto"/>
                      <w:kern w:val="0"/>
                      <w:sz w:val="18"/>
                      <w:szCs w:val="18"/>
                    </w:rPr>
                    <w:t>夜间</w:t>
                  </w:r>
                </w:p>
              </w:tc>
              <w:tc>
                <w:tcPr>
                  <w:tcW w:w="78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eastAsia" w:ascii="宋体" w:hAnsi="宋体"/>
                      <w:b/>
                      <w:color w:val="auto"/>
                      <w:kern w:val="0"/>
                      <w:sz w:val="18"/>
                      <w:szCs w:val="18"/>
                    </w:rPr>
                    <w:t>昼间</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ascii="宋体" w:hAnsi="宋体"/>
                      <w:b/>
                      <w:color w:val="auto"/>
                      <w:kern w:val="0"/>
                      <w:sz w:val="18"/>
                      <w:szCs w:val="18"/>
                    </w:rPr>
                  </w:pPr>
                  <w:r>
                    <w:rPr>
                      <w:rFonts w:hint="eastAsia"/>
                      <w:b/>
                      <w:color w:val="auto"/>
                      <w:kern w:val="0"/>
                      <w:sz w:val="18"/>
                      <w:szCs w:val="18"/>
                    </w:rPr>
                    <w:t>夜间</w:t>
                  </w:r>
                </w:p>
              </w:tc>
              <w:tc>
                <w:tcPr>
                  <w:tcW w:w="69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eastAsia" w:ascii="宋体" w:hAnsi="宋体"/>
                      <w:b/>
                      <w:color w:val="auto"/>
                      <w:kern w:val="0"/>
                      <w:sz w:val="18"/>
                      <w:szCs w:val="18"/>
                    </w:rPr>
                    <w:t>昼间</w:t>
                  </w:r>
                </w:p>
              </w:tc>
              <w:tc>
                <w:tcPr>
                  <w:tcW w:w="6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ascii="宋体" w:hAnsi="宋体"/>
                      <w:b/>
                      <w:color w:val="auto"/>
                      <w:kern w:val="0"/>
                      <w:sz w:val="18"/>
                      <w:szCs w:val="18"/>
                    </w:rPr>
                  </w:pPr>
                  <w:r>
                    <w:rPr>
                      <w:rFonts w:hint="eastAsia" w:ascii="宋体" w:hAnsi="宋体"/>
                      <w:b/>
                      <w:color w:val="auto"/>
                      <w:kern w:val="0"/>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10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sz w:val="18"/>
                      <w:szCs w:val="18"/>
                    </w:rPr>
                  </w:pPr>
                  <w:r>
                    <w:rPr>
                      <w:rFonts w:hint="eastAsia" w:ascii="宋体" w:hAnsi="宋体"/>
                      <w:color w:val="auto"/>
                      <w:sz w:val="18"/>
                      <w:szCs w:val="18"/>
                    </w:rPr>
                    <w:t>东厂界</w:t>
                  </w:r>
                </w:p>
              </w:tc>
              <w:tc>
                <w:tcPr>
                  <w:tcW w:w="7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81.5</w:t>
                  </w:r>
                </w:p>
              </w:tc>
              <w:tc>
                <w:tcPr>
                  <w:tcW w:w="822" w:type="dxa"/>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6</w:t>
                  </w:r>
                  <w:r>
                    <w:rPr>
                      <w:rFonts w:hint="default"/>
                      <w:color w:val="auto"/>
                      <w:kern w:val="0"/>
                      <w:sz w:val="18"/>
                      <w:szCs w:val="18"/>
                    </w:rPr>
                    <w:t>m</w:t>
                  </w:r>
                </w:p>
              </w:tc>
              <w:tc>
                <w:tcPr>
                  <w:tcW w:w="687" w:type="dxa"/>
                  <w:tcBorders>
                    <w:top w:val="single" w:color="auto" w:sz="4" w:space="0"/>
                    <w:left w:val="nil"/>
                    <w:bottom w:val="single" w:color="auto" w:sz="4" w:space="0"/>
                    <w:right w:val="single" w:color="auto" w:sz="4" w:space="0"/>
                  </w:tcBorders>
                  <w:vAlign w:val="bottom"/>
                </w:tcPr>
                <w:p>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 xml:space="preserve">65.9 </w:t>
                  </w:r>
                </w:p>
              </w:tc>
              <w:tc>
                <w:tcPr>
                  <w:tcW w:w="69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8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70</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55</w:t>
                  </w:r>
                </w:p>
              </w:tc>
              <w:tc>
                <w:tcPr>
                  <w:tcW w:w="69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达标</w:t>
                  </w:r>
                </w:p>
              </w:tc>
              <w:tc>
                <w:tcPr>
                  <w:tcW w:w="6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ascii="宋体" w:hAnsi="宋体"/>
                      <w:color w:val="auto"/>
                      <w:kern w:val="0"/>
                      <w:sz w:val="18"/>
                      <w:szCs w:val="18"/>
                    </w:rPr>
                  </w:pPr>
                  <w:r>
                    <w:rPr>
                      <w:rFonts w:hint="eastAsia"/>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10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南厂界</w:t>
                  </w:r>
                </w:p>
              </w:tc>
              <w:tc>
                <w:tcPr>
                  <w:tcW w:w="7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81.5</w:t>
                  </w:r>
                </w:p>
              </w:tc>
              <w:tc>
                <w:tcPr>
                  <w:tcW w:w="822" w:type="dxa"/>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320" w:lineRule="exact"/>
                    <w:ind w:left="0" w:right="0"/>
                    <w:jc w:val="center"/>
                    <w:rPr>
                      <w:rFonts w:hint="default"/>
                      <w:color w:val="auto"/>
                      <w:kern w:val="0"/>
                      <w:sz w:val="18"/>
                      <w:szCs w:val="18"/>
                    </w:rPr>
                  </w:pPr>
                  <w:r>
                    <w:rPr>
                      <w:rFonts w:hint="eastAsia"/>
                      <w:color w:val="auto"/>
                      <w:kern w:val="0"/>
                      <w:sz w:val="18"/>
                      <w:szCs w:val="18"/>
                      <w:lang w:val="en-US" w:eastAsia="zh-CN"/>
                    </w:rPr>
                    <w:t>5</w:t>
                  </w:r>
                  <w:r>
                    <w:rPr>
                      <w:rFonts w:hint="default"/>
                      <w:color w:val="auto"/>
                      <w:kern w:val="0"/>
                      <w:sz w:val="18"/>
                      <w:szCs w:val="18"/>
                    </w:rPr>
                    <w:t>m</w:t>
                  </w:r>
                </w:p>
              </w:tc>
              <w:tc>
                <w:tcPr>
                  <w:tcW w:w="687" w:type="dxa"/>
                  <w:tcBorders>
                    <w:top w:val="single" w:color="auto" w:sz="4" w:space="0"/>
                    <w:left w:val="nil"/>
                    <w:bottom w:val="single" w:color="auto" w:sz="4" w:space="0"/>
                    <w:right w:val="single" w:color="auto" w:sz="4" w:space="0"/>
                  </w:tcBorders>
                  <w:vAlign w:val="bottom"/>
                </w:tcPr>
                <w:p>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 xml:space="preserve">67.5 </w:t>
                  </w:r>
                </w:p>
              </w:tc>
              <w:tc>
                <w:tcPr>
                  <w:tcW w:w="69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8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70</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55</w:t>
                  </w:r>
                </w:p>
              </w:tc>
              <w:tc>
                <w:tcPr>
                  <w:tcW w:w="69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达标</w:t>
                  </w:r>
                </w:p>
              </w:tc>
              <w:tc>
                <w:tcPr>
                  <w:tcW w:w="6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ascii="宋体" w:hAnsi="宋体"/>
                      <w:color w:val="auto"/>
                      <w:kern w:val="0"/>
                      <w:sz w:val="18"/>
                      <w:szCs w:val="18"/>
                    </w:rPr>
                  </w:pPr>
                  <w:r>
                    <w:rPr>
                      <w:rFonts w:hint="eastAsia"/>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10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西厂界</w:t>
                  </w:r>
                </w:p>
              </w:tc>
              <w:tc>
                <w:tcPr>
                  <w:tcW w:w="7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81.5</w:t>
                  </w:r>
                </w:p>
              </w:tc>
              <w:tc>
                <w:tcPr>
                  <w:tcW w:w="822" w:type="dxa"/>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12</w:t>
                  </w:r>
                  <w:r>
                    <w:rPr>
                      <w:rFonts w:hint="default"/>
                      <w:color w:val="auto"/>
                      <w:kern w:val="0"/>
                      <w:sz w:val="18"/>
                      <w:szCs w:val="18"/>
                    </w:rPr>
                    <w:t>m</w:t>
                  </w:r>
                </w:p>
              </w:tc>
              <w:tc>
                <w:tcPr>
                  <w:tcW w:w="687" w:type="dxa"/>
                  <w:tcBorders>
                    <w:top w:val="single" w:color="auto" w:sz="4" w:space="0"/>
                    <w:left w:val="nil"/>
                    <w:bottom w:val="single" w:color="auto" w:sz="4" w:space="0"/>
                    <w:right w:val="single" w:color="auto" w:sz="4" w:space="0"/>
                  </w:tcBorders>
                  <w:vAlign w:val="bottom"/>
                </w:tcPr>
                <w:p>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 xml:space="preserve">59.9 </w:t>
                  </w:r>
                </w:p>
              </w:tc>
              <w:tc>
                <w:tcPr>
                  <w:tcW w:w="69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8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70</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55</w:t>
                  </w:r>
                </w:p>
              </w:tc>
              <w:tc>
                <w:tcPr>
                  <w:tcW w:w="69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达标</w:t>
                  </w:r>
                </w:p>
              </w:tc>
              <w:tc>
                <w:tcPr>
                  <w:tcW w:w="6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ascii="宋体" w:hAnsi="宋体"/>
                      <w:color w:val="auto"/>
                      <w:kern w:val="0"/>
                      <w:sz w:val="18"/>
                      <w:szCs w:val="18"/>
                    </w:rPr>
                  </w:pPr>
                  <w:r>
                    <w:rPr>
                      <w:rFonts w:hint="eastAsia"/>
                      <w:color w:val="auto"/>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0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北厂界</w:t>
                  </w:r>
                </w:p>
              </w:tc>
              <w:tc>
                <w:tcPr>
                  <w:tcW w:w="76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81.5</w:t>
                  </w:r>
                </w:p>
              </w:tc>
              <w:tc>
                <w:tcPr>
                  <w:tcW w:w="822" w:type="dxa"/>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pacing w:before="0" w:beforeAutospacing="0" w:after="0" w:afterAutospacing="0" w:line="320" w:lineRule="exact"/>
                    <w:ind w:left="0" w:right="0"/>
                    <w:jc w:val="center"/>
                    <w:rPr>
                      <w:rFonts w:hint="default"/>
                      <w:color w:val="auto"/>
                      <w:kern w:val="0"/>
                      <w:sz w:val="18"/>
                      <w:szCs w:val="18"/>
                    </w:rPr>
                  </w:pPr>
                  <w:r>
                    <w:rPr>
                      <w:rFonts w:hint="eastAsia"/>
                      <w:color w:val="auto"/>
                      <w:kern w:val="0"/>
                      <w:sz w:val="18"/>
                      <w:szCs w:val="18"/>
                      <w:lang w:val="en-US" w:eastAsia="zh-CN"/>
                    </w:rPr>
                    <w:t>16</w:t>
                  </w:r>
                  <w:r>
                    <w:rPr>
                      <w:rFonts w:hint="default"/>
                      <w:color w:val="auto"/>
                      <w:kern w:val="0"/>
                      <w:sz w:val="18"/>
                      <w:szCs w:val="18"/>
                    </w:rPr>
                    <w:t>m</w:t>
                  </w:r>
                </w:p>
              </w:tc>
              <w:tc>
                <w:tcPr>
                  <w:tcW w:w="687" w:type="dxa"/>
                  <w:tcBorders>
                    <w:top w:val="single" w:color="auto" w:sz="4" w:space="0"/>
                    <w:left w:val="nil"/>
                    <w:bottom w:val="single" w:color="auto" w:sz="4" w:space="0"/>
                    <w:right w:val="single" w:color="auto" w:sz="4" w:space="0"/>
                  </w:tcBorders>
                  <w:vAlign w:val="bottom"/>
                </w:tcPr>
                <w:p>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 xml:space="preserve">57.4 </w:t>
                  </w:r>
                </w:p>
              </w:tc>
              <w:tc>
                <w:tcPr>
                  <w:tcW w:w="69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1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8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70</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55</w:t>
                  </w:r>
                </w:p>
              </w:tc>
              <w:tc>
                <w:tcPr>
                  <w:tcW w:w="69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达标</w:t>
                  </w:r>
                </w:p>
              </w:tc>
              <w:tc>
                <w:tcPr>
                  <w:tcW w:w="6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ascii="宋体" w:hAnsi="宋体"/>
                      <w:color w:val="auto"/>
                      <w:kern w:val="0"/>
                      <w:sz w:val="18"/>
                      <w:szCs w:val="18"/>
                    </w:rPr>
                  </w:pPr>
                  <w:r>
                    <w:rPr>
                      <w:rFonts w:hint="eastAsia"/>
                      <w:color w:val="auto"/>
                      <w:kern w:val="0"/>
                      <w:sz w:val="18"/>
                      <w:szCs w:val="18"/>
                    </w:rPr>
                    <w:t>达标</w:t>
                  </w:r>
                </w:p>
              </w:tc>
            </w:tr>
          </w:tbl>
          <w:p>
            <w:pPr>
              <w:keepNext w:val="0"/>
              <w:keepLines w:val="0"/>
              <w:suppressLineNumbers w:val="0"/>
              <w:autoSpaceDE w:val="0"/>
              <w:autoSpaceDN w:val="0"/>
              <w:adjustRightInd w:val="0"/>
              <w:snapToGrid w:val="0"/>
              <w:spacing w:before="0" w:beforeAutospacing="0" w:after="0" w:afterAutospacing="0" w:line="410" w:lineRule="exact"/>
              <w:ind w:left="0" w:right="0" w:firstLine="420" w:firstLineChars="200"/>
              <w:jc w:val="left"/>
              <w:rPr>
                <w:rFonts w:hint="default"/>
                <w:color w:val="auto"/>
                <w:kern w:val="0"/>
                <w:szCs w:val="21"/>
              </w:rPr>
            </w:pPr>
            <w:r>
              <w:rPr>
                <w:rFonts w:hint="eastAsia"/>
                <w:color w:val="auto"/>
                <w:kern w:val="0"/>
                <w:szCs w:val="21"/>
              </w:rPr>
              <w:t>从上表预测结果可以看到，通过采取行之有效的噪声控制措施，项目施工期噪声能够实现厂界达标排放。</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szCs w:val="21"/>
              </w:rPr>
            </w:pPr>
            <w:r>
              <w:rPr>
                <w:rFonts w:hint="eastAsia"/>
                <w:color w:val="auto"/>
                <w:kern w:val="0"/>
                <w:szCs w:val="21"/>
              </w:rPr>
              <w:t>综上所述，只要采用适当的防振降噪措施，合理布置噪声设备位置和合理安排施工时间，施工机械设备噪声的影响可降至低水平，达到建筑施工场界噪声限值要求，能够确保周边声环境保护目标的声环境质量达到标准限值。施工期噪声影响是暂时性的，在采取相应的管理措施后可减至最低，并随着施工期的结束而消失。</w:t>
            </w:r>
          </w:p>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Cs w:val="21"/>
              </w:rPr>
            </w:pPr>
            <w:r>
              <w:rPr>
                <w:rFonts w:hint="default" w:ascii="黑体" w:hAnsi="黑体" w:eastAsia="黑体" w:cs="宋体"/>
                <w:bCs/>
                <w:color w:val="auto"/>
                <w:szCs w:val="21"/>
              </w:rPr>
              <w:t>4、固体废物</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szCs w:val="21"/>
              </w:rPr>
            </w:pPr>
            <w:r>
              <w:rPr>
                <w:rFonts w:hint="default" w:ascii="宋体" w:hAnsi="宋体"/>
                <w:color w:val="auto"/>
                <w:kern w:val="0"/>
                <w:szCs w:val="21"/>
              </w:rPr>
              <w:t>施工期固废主要有旧厂房拆除时产生的建筑垃圾、轻钢结构厂房建设产生的建筑垃圾和废弃建材，</w:t>
            </w:r>
            <w:r>
              <w:rPr>
                <w:rFonts w:hint="eastAsia" w:ascii="宋体" w:hAnsi="宋体"/>
                <w:color w:val="auto"/>
                <w:kern w:val="0"/>
                <w:szCs w:val="21"/>
                <w:lang w:val="en-US" w:eastAsia="zh-CN"/>
              </w:rPr>
              <w:t>废弃机械设备、</w:t>
            </w:r>
            <w:r>
              <w:rPr>
                <w:rFonts w:hint="default" w:ascii="宋体" w:hAnsi="宋体"/>
                <w:color w:val="auto"/>
                <w:kern w:val="0"/>
                <w:szCs w:val="21"/>
              </w:rPr>
              <w:t>场地整理</w:t>
            </w:r>
            <w:r>
              <w:rPr>
                <w:rFonts w:hint="eastAsia" w:ascii="宋体" w:hAnsi="宋体"/>
                <w:color w:val="auto"/>
                <w:kern w:val="0"/>
                <w:szCs w:val="21"/>
                <w:lang w:eastAsia="zh-CN"/>
              </w:rPr>
              <w:t>、</w:t>
            </w:r>
            <w:r>
              <w:rPr>
                <w:rFonts w:hint="default" w:ascii="宋体" w:hAnsi="宋体"/>
                <w:color w:val="auto"/>
                <w:kern w:val="0"/>
                <w:szCs w:val="21"/>
              </w:rPr>
              <w:t>沉淀池开挖产生的杂草及少量</w:t>
            </w:r>
            <w:r>
              <w:rPr>
                <w:rFonts w:hint="eastAsia" w:ascii="宋体" w:hAnsi="宋体"/>
                <w:color w:val="auto"/>
                <w:kern w:val="0"/>
                <w:szCs w:val="21"/>
                <w:lang w:val="en-US" w:eastAsia="zh-CN"/>
              </w:rPr>
              <w:t>土石方</w:t>
            </w:r>
            <w:r>
              <w:rPr>
                <w:rFonts w:hint="default" w:ascii="宋体" w:hAnsi="宋体"/>
                <w:color w:val="auto"/>
                <w:kern w:val="0"/>
                <w:szCs w:val="21"/>
              </w:rPr>
              <w:t>、设备安装产生的少量废弃包装材料以及施工人员的生活垃圾等。</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szCs w:val="21"/>
              </w:rPr>
            </w:pPr>
            <w:r>
              <w:rPr>
                <w:rFonts w:hint="default" w:ascii="宋体" w:hAnsi="宋体"/>
                <w:color w:val="auto"/>
                <w:kern w:val="0"/>
                <w:szCs w:val="21"/>
              </w:rPr>
              <w:t>建设单位应采取的处置措施如下：</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szCs w:val="21"/>
              </w:rPr>
            </w:pPr>
            <w:r>
              <w:rPr>
                <w:rFonts w:hint="default" w:ascii="宋体" w:hAnsi="宋体"/>
                <w:color w:val="auto"/>
                <w:kern w:val="0"/>
                <w:szCs w:val="21"/>
              </w:rPr>
              <w:t>①对于可回收利用的（如废金属材料、废包装材料等），应尽量收集外卖废品回收站回收。</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szCs w:val="21"/>
              </w:rPr>
            </w:pPr>
            <w:r>
              <w:rPr>
                <w:rFonts w:hint="default" w:ascii="宋体" w:hAnsi="宋体"/>
                <w:color w:val="auto"/>
                <w:kern w:val="0"/>
                <w:szCs w:val="21"/>
              </w:rPr>
              <w:t>②开挖产生的少量土石方或施工时</w:t>
            </w:r>
            <w:r>
              <w:rPr>
                <w:rFonts w:hint="eastAsia" w:ascii="宋体" w:hAnsi="宋体"/>
                <w:color w:val="auto"/>
                <w:kern w:val="0"/>
                <w:szCs w:val="21"/>
              </w:rPr>
              <w:t>的</w:t>
            </w:r>
            <w:r>
              <w:rPr>
                <w:rFonts w:hint="default" w:ascii="宋体" w:hAnsi="宋体"/>
                <w:color w:val="auto"/>
                <w:kern w:val="0"/>
                <w:szCs w:val="21"/>
              </w:rPr>
              <w:t>建筑垃圾，可及时在施工场地低洼处回填。施工现场尽量避免堆放土石方，若确需临时堆放土石方，应采取防流失、防雨水冲刷等措施，避免造成泥沙漫流。</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ascii="宋体" w:hAnsi="宋体" w:eastAsia="宋体"/>
                <w:color w:val="auto"/>
                <w:kern w:val="0"/>
                <w:szCs w:val="21"/>
                <w:lang w:eastAsia="zh-CN"/>
              </w:rPr>
            </w:pPr>
            <w:r>
              <w:rPr>
                <w:rFonts w:hint="default" w:ascii="宋体" w:hAnsi="宋体"/>
                <w:color w:val="auto"/>
                <w:kern w:val="0"/>
                <w:szCs w:val="21"/>
              </w:rPr>
              <w:t>③</w:t>
            </w:r>
            <w:r>
              <w:rPr>
                <w:rFonts w:hint="eastAsia" w:ascii="宋体" w:hAnsi="宋体"/>
                <w:color w:val="auto"/>
                <w:kern w:val="0"/>
                <w:szCs w:val="21"/>
                <w:lang w:val="en-US" w:eastAsia="zh-CN"/>
              </w:rPr>
              <w:t>废弃的机械设备应采取妥善的处置方式，外售废旧设备回收机构处置</w:t>
            </w:r>
            <w:r>
              <w:rPr>
                <w:rFonts w:hint="eastAsia" w:ascii="宋体" w:hAnsi="宋体"/>
                <w:color w:val="auto"/>
                <w:kern w:val="0"/>
                <w:szCs w:val="21"/>
                <w:lang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s="宋体"/>
                <w:color w:val="auto"/>
                <w:kern w:val="0"/>
                <w:szCs w:val="21"/>
              </w:rPr>
            </w:pPr>
            <w:r>
              <w:rPr>
                <w:rFonts w:hint="eastAsia" w:ascii="宋体" w:hAnsi="宋体"/>
                <w:color w:val="auto"/>
                <w:kern w:val="0"/>
                <w:szCs w:val="21"/>
                <w:lang w:val="en-US" w:eastAsia="zh-CN"/>
              </w:rPr>
              <w:t>④</w:t>
            </w:r>
            <w:r>
              <w:rPr>
                <w:rFonts w:hint="default" w:ascii="宋体" w:hAnsi="宋体"/>
                <w:color w:val="auto"/>
                <w:kern w:val="0"/>
                <w:szCs w:val="21"/>
                <w:lang w:val="zh-CN"/>
              </w:rPr>
              <w:t>生活垃圾</w:t>
            </w:r>
            <w:r>
              <w:rPr>
                <w:rFonts w:hint="default" w:ascii="宋体" w:hAnsi="宋体"/>
                <w:color w:val="auto"/>
                <w:kern w:val="0"/>
                <w:szCs w:val="21"/>
              </w:rPr>
              <w:t>在办生活区设垃圾桶收集，定期清运至场镇垃圾收集点，由环卫部门负责收集处理，</w:t>
            </w:r>
            <w:r>
              <w:rPr>
                <w:rFonts w:hint="default" w:ascii="宋体" w:hAnsi="宋体"/>
                <w:color w:val="auto"/>
                <w:kern w:val="0"/>
                <w:szCs w:val="21"/>
                <w:lang w:val="zh-CN"/>
              </w:rPr>
              <w:t>严禁乱堆乱扔</w:t>
            </w:r>
            <w:r>
              <w:rPr>
                <w:rFonts w:hint="default" w:ascii="宋体" w:hAnsi="宋体"/>
                <w:color w:val="auto"/>
                <w:kern w:val="0"/>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s="宋体"/>
                <w:bCs/>
                <w:color w:val="auto"/>
                <w:spacing w:val="-10"/>
                <w:szCs w:val="21"/>
              </w:rPr>
            </w:pPr>
            <w:r>
              <w:rPr>
                <w:rFonts w:hint="eastAsia" w:ascii="宋体" w:hAnsi="宋体" w:cs="宋体"/>
                <w:color w:val="auto"/>
                <w:kern w:val="0"/>
                <w:szCs w:val="21"/>
              </w:rPr>
              <w:t>采取上述措施后，项目施工期的环境污染影响较小。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777" w:type="dxa"/>
            <w:tcBorders>
              <w:top w:val="single" w:color="auto" w:sz="4" w:space="0"/>
              <w:left w:val="single" w:color="auto" w:sz="8" w:space="0"/>
              <w:bottom w:val="single" w:color="auto" w:sz="8" w:space="0"/>
              <w:right w:val="single" w:color="auto" w:sz="4" w:space="0"/>
            </w:tcBorders>
            <w:tcMar>
              <w:top w:w="0" w:type="dxa"/>
              <w:left w:w="28" w:type="dxa"/>
              <w:bottom w:w="0"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zCs w:val="21"/>
              </w:rPr>
            </w:pPr>
            <w:r>
              <w:rPr>
                <w:rFonts w:hint="eastAsia" w:ascii="宋体" w:hAnsi="宋体" w:cs="宋体"/>
                <w:bCs/>
                <w:color w:val="auto"/>
                <w:szCs w:val="21"/>
              </w:rPr>
              <w:t>运营</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zCs w:val="21"/>
              </w:rPr>
            </w:pPr>
            <w:r>
              <w:rPr>
                <w:rFonts w:hint="eastAsia" w:ascii="宋体" w:hAnsi="宋体" w:cs="宋体"/>
                <w:bCs/>
                <w:color w:val="auto"/>
                <w:szCs w:val="21"/>
              </w:rPr>
              <w:t>期环</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zCs w:val="21"/>
              </w:rPr>
            </w:pPr>
            <w:r>
              <w:rPr>
                <w:rFonts w:hint="eastAsia" w:ascii="宋体" w:hAnsi="宋体" w:cs="宋体"/>
                <w:bCs/>
                <w:color w:val="auto"/>
                <w:szCs w:val="21"/>
              </w:rPr>
              <w:t>境影</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zCs w:val="21"/>
              </w:rPr>
            </w:pPr>
            <w:r>
              <w:rPr>
                <w:rFonts w:hint="eastAsia" w:ascii="宋体" w:hAnsi="宋体" w:cs="宋体"/>
                <w:bCs/>
                <w:color w:val="auto"/>
                <w:szCs w:val="21"/>
              </w:rPr>
              <w:t>响和</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zCs w:val="21"/>
              </w:rPr>
            </w:pPr>
            <w:r>
              <w:rPr>
                <w:rFonts w:hint="eastAsia" w:ascii="宋体" w:hAnsi="宋体" w:cs="宋体"/>
                <w:bCs/>
                <w:color w:val="auto"/>
                <w:szCs w:val="21"/>
              </w:rPr>
              <w:t>保护</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zCs w:val="21"/>
              </w:rPr>
            </w:pPr>
            <w:r>
              <w:rPr>
                <w:rFonts w:hint="eastAsia" w:ascii="宋体" w:hAnsi="宋体" w:cs="宋体"/>
                <w:bCs/>
                <w:color w:val="auto"/>
                <w:szCs w:val="21"/>
              </w:rPr>
              <w:t>措施</w:t>
            </w:r>
          </w:p>
        </w:tc>
        <w:tc>
          <w:tcPr>
            <w:tcW w:w="8131" w:type="dxa"/>
            <w:tcBorders>
              <w:top w:val="single" w:color="auto" w:sz="4" w:space="0"/>
              <w:left w:val="single" w:color="auto" w:sz="4" w:space="0"/>
              <w:bottom w:val="single" w:color="auto" w:sz="8" w:space="0"/>
              <w:right w:val="single" w:color="auto" w:sz="8" w:space="0"/>
            </w:tcBorders>
            <w:vAlign w:val="center"/>
          </w:tcPr>
          <w:p>
            <w:pPr>
              <w:keepNext w:val="0"/>
              <w:keepLines w:val="0"/>
              <w:suppressLineNumbers w:val="0"/>
              <w:adjustRightInd w:val="0"/>
              <w:snapToGrid w:val="0"/>
              <w:spacing w:before="0" w:beforeAutospacing="0" w:after="0" w:afterAutospacing="0" w:line="404" w:lineRule="exact"/>
              <w:ind w:left="0" w:right="0"/>
              <w:jc w:val="left"/>
              <w:rPr>
                <w:rFonts w:hint="default" w:ascii="黑体" w:hAnsi="黑体" w:eastAsia="黑体" w:cs="宋体"/>
                <w:bCs/>
                <w:color w:val="auto"/>
                <w:szCs w:val="21"/>
              </w:rPr>
            </w:pPr>
            <w:r>
              <w:rPr>
                <w:rFonts w:hint="eastAsia" w:ascii="黑体" w:hAnsi="黑体" w:eastAsia="黑体" w:cs="宋体"/>
                <w:bCs/>
                <w:color w:val="auto"/>
                <w:szCs w:val="21"/>
              </w:rPr>
              <w:t>1、废气</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ascii="宋体" w:hAnsi="宋体"/>
                <w:color w:val="auto"/>
                <w:kern w:val="0"/>
                <w:lang w:val="en-US" w:eastAsia="zh-CN"/>
              </w:rPr>
            </w:pPr>
            <w:r>
              <w:rPr>
                <w:rFonts w:hint="eastAsia" w:ascii="宋体" w:hAnsi="宋体"/>
                <w:color w:val="auto"/>
                <w:kern w:val="0"/>
              </w:rPr>
              <w:t>营运期废气主要为</w:t>
            </w:r>
            <w:r>
              <w:rPr>
                <w:rFonts w:hint="eastAsia" w:ascii="宋体" w:hAnsi="宋体"/>
                <w:color w:val="auto"/>
                <w:kern w:val="0"/>
                <w:lang w:val="en-US" w:eastAsia="zh-CN"/>
              </w:rPr>
              <w:t>原料卸料、铲装上料给料、颚破粉尘、中间料仓落料粉尘、反击破粉尘以及产品运输扬尘。</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rPr>
            </w:pPr>
            <w:r>
              <w:rPr>
                <w:rFonts w:hint="eastAsia" w:ascii="宋体" w:hAnsi="宋体"/>
                <w:color w:val="auto"/>
                <w:kern w:val="0"/>
                <w:lang w:val="en-US" w:eastAsia="zh-CN"/>
              </w:rPr>
              <w:t>本项目制砂、振动筛分以及产品库产品装车等环节，涉及湿法作业以及产品本身含水不易起尘等特点，生产过程不会产生粉尘；因此本次评价仅对其进行定性分析</w:t>
            </w:r>
            <w:r>
              <w:rPr>
                <w:rFonts w:hint="eastAsia" w:ascii="宋体" w:hAnsi="宋体"/>
                <w:color w:val="auto"/>
                <w:kern w:val="0"/>
              </w:rPr>
              <w:t>。</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cs="宋体"/>
                <w:b/>
                <w:color w:val="auto"/>
                <w:kern w:val="0"/>
              </w:rPr>
            </w:pPr>
            <w:r>
              <w:rPr>
                <w:rFonts w:hint="eastAsia"/>
                <w:b/>
                <w:color w:val="auto"/>
                <w:kern w:val="0"/>
              </w:rPr>
              <w:t>1.1</w:t>
            </w:r>
            <w:r>
              <w:rPr>
                <w:rFonts w:hint="eastAsia" w:ascii="宋体" w:hAnsi="宋体"/>
                <w:b/>
                <w:color w:val="auto"/>
                <w:kern w:val="0"/>
              </w:rPr>
              <w:t>污染源及治理措施</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b/>
                <w:bCs/>
                <w:color w:val="auto"/>
                <w:kern w:val="0"/>
              </w:rPr>
            </w:pPr>
            <w:r>
              <w:rPr>
                <w:rFonts w:hint="eastAsia" w:ascii="宋体" w:hAnsi="宋体"/>
                <w:b/>
                <w:bCs/>
                <w:color w:val="auto"/>
                <w:kern w:val="0"/>
              </w:rPr>
              <w:t>（</w:t>
            </w:r>
            <w:r>
              <w:rPr>
                <w:rFonts w:hint="eastAsia"/>
                <w:b/>
                <w:bCs/>
                <w:color w:val="auto"/>
                <w:kern w:val="0"/>
              </w:rPr>
              <w:t>1</w:t>
            </w:r>
            <w:r>
              <w:rPr>
                <w:rFonts w:hint="eastAsia" w:ascii="宋体" w:hAnsi="宋体"/>
                <w:b/>
                <w:bCs/>
                <w:color w:val="auto"/>
                <w:kern w:val="0"/>
              </w:rPr>
              <w:t>）原料</w:t>
            </w:r>
            <w:r>
              <w:rPr>
                <w:rFonts w:hint="eastAsia" w:ascii="宋体" w:hAnsi="宋体"/>
                <w:b/>
                <w:bCs/>
                <w:color w:val="auto"/>
                <w:kern w:val="0"/>
                <w:lang w:val="en-US" w:eastAsia="zh-CN"/>
              </w:rPr>
              <w:t>卸料</w:t>
            </w:r>
            <w:r>
              <w:rPr>
                <w:rFonts w:hint="eastAsia" w:ascii="宋体" w:hAnsi="宋体"/>
                <w:b/>
                <w:bCs/>
                <w:color w:val="auto"/>
                <w:kern w:val="0"/>
              </w:rPr>
              <w:t>粉尘</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color w:val="auto"/>
                <w:kern w:val="0"/>
              </w:rPr>
            </w:pPr>
            <w:r>
              <w:rPr>
                <w:rFonts w:hint="eastAsia" w:ascii="宋体" w:hAnsi="宋体"/>
                <w:color w:val="auto"/>
                <w:kern w:val="0"/>
              </w:rPr>
              <w:t>原料</w:t>
            </w:r>
            <w:r>
              <w:rPr>
                <w:rFonts w:hint="eastAsia" w:ascii="宋体" w:hAnsi="宋体"/>
                <w:color w:val="auto"/>
                <w:kern w:val="0"/>
                <w:lang w:val="en-US" w:eastAsia="zh-CN"/>
              </w:rPr>
              <w:t>卸料</w:t>
            </w:r>
            <w:r>
              <w:rPr>
                <w:rFonts w:hint="eastAsia" w:ascii="宋体" w:hAnsi="宋体"/>
                <w:color w:val="auto"/>
                <w:kern w:val="0"/>
              </w:rPr>
              <w:t>粉尘主要是</w:t>
            </w:r>
            <w:r>
              <w:rPr>
                <w:rFonts w:hint="eastAsia" w:ascii="宋体" w:hAnsi="宋体"/>
                <w:color w:val="auto"/>
                <w:kern w:val="0"/>
                <w:lang w:val="en-US" w:eastAsia="zh-CN"/>
              </w:rPr>
              <w:t>经汽车运输至厂区的块状矿石原料</w:t>
            </w:r>
            <w:r>
              <w:rPr>
                <w:rFonts w:hint="eastAsia" w:ascii="宋体" w:hAnsi="宋体"/>
                <w:color w:val="auto"/>
                <w:kern w:val="0"/>
                <w:lang w:eastAsia="zh-CN"/>
              </w:rPr>
              <w:t>，</w:t>
            </w:r>
            <w:r>
              <w:rPr>
                <w:rFonts w:hint="eastAsia" w:ascii="宋体" w:hAnsi="宋体"/>
                <w:color w:val="auto"/>
                <w:kern w:val="0"/>
                <w:lang w:val="en-US" w:eastAsia="zh-CN"/>
              </w:rPr>
              <w:t>在卸料过程因其含有少量</w:t>
            </w:r>
            <w:r>
              <w:rPr>
                <w:rFonts w:hint="eastAsia" w:ascii="宋体" w:hAnsi="宋体"/>
                <w:color w:val="auto"/>
                <w:kern w:val="0"/>
              </w:rPr>
              <w:t>的细颗粒物在自由下落过程，随风迁移飘散形成。参考《逸散性工业粉尘控制技术》（中国环境科学出版社），装卸粉尘产生系数一般取</w:t>
            </w:r>
            <w:r>
              <w:rPr>
                <w:rFonts w:hint="eastAsia"/>
                <w:color w:val="auto"/>
                <w:kern w:val="0"/>
              </w:rPr>
              <w:t>0.0</w:t>
            </w:r>
            <w:r>
              <w:rPr>
                <w:rFonts w:hint="eastAsia"/>
                <w:color w:val="auto"/>
                <w:kern w:val="0"/>
                <w:lang w:val="en-US" w:eastAsia="zh-CN"/>
              </w:rPr>
              <w:t>1</w:t>
            </w:r>
            <w:r>
              <w:rPr>
                <w:rFonts w:hint="eastAsia"/>
                <w:color w:val="auto"/>
                <w:kern w:val="0"/>
              </w:rPr>
              <w:t>kg/t-</w:t>
            </w:r>
            <w:r>
              <w:rPr>
                <w:rFonts w:hint="eastAsia" w:ascii="宋体" w:hAnsi="宋体"/>
                <w:color w:val="auto"/>
                <w:kern w:val="0"/>
              </w:rPr>
              <w:t>原料量。项目原料总量</w:t>
            </w:r>
            <w:r>
              <w:rPr>
                <w:rFonts w:hint="eastAsia"/>
                <w:color w:val="auto"/>
                <w:kern w:val="0"/>
                <w:lang w:val="en-US" w:eastAsia="zh-CN"/>
              </w:rPr>
              <w:t>1228437.83</w:t>
            </w:r>
            <w:r>
              <w:rPr>
                <w:rFonts w:hint="default"/>
                <w:color w:val="auto"/>
                <w:kern w:val="0"/>
              </w:rPr>
              <w:t>t/a</w:t>
            </w:r>
            <w:r>
              <w:rPr>
                <w:rFonts w:hint="eastAsia" w:ascii="宋体" w:hAnsi="宋体"/>
                <w:color w:val="auto"/>
                <w:kern w:val="0"/>
              </w:rPr>
              <w:t>，则原料堆场卸料粉尘产生量</w:t>
            </w:r>
            <w:r>
              <w:rPr>
                <w:rFonts w:hint="eastAsia" w:ascii="宋体" w:hAnsi="宋体"/>
                <w:color w:val="auto"/>
                <w:kern w:val="0"/>
                <w:lang w:val="en-US" w:eastAsia="zh-CN"/>
              </w:rPr>
              <w:t>约</w:t>
            </w:r>
            <w:r>
              <w:rPr>
                <w:rFonts w:hint="eastAsia"/>
                <w:color w:val="auto"/>
                <w:kern w:val="0"/>
                <w:lang w:val="en-US" w:eastAsia="zh-CN"/>
              </w:rPr>
              <w:t>12.28</w:t>
            </w:r>
            <w:r>
              <w:rPr>
                <w:rFonts w:hint="eastAsia"/>
                <w:color w:val="auto"/>
                <w:kern w:val="0"/>
              </w:rPr>
              <w:t>t/a</w:t>
            </w:r>
            <w:r>
              <w:rPr>
                <w:rFonts w:hint="eastAsia" w:ascii="宋体" w:hAnsi="宋体"/>
                <w:color w:val="auto"/>
                <w:kern w:val="0"/>
              </w:rPr>
              <w:t>。</w:t>
            </w:r>
          </w:p>
          <w:p>
            <w:pPr>
              <w:keepNext w:val="0"/>
              <w:keepLines w:val="0"/>
              <w:suppressLineNumbers w:val="0"/>
              <w:autoSpaceDE w:val="0"/>
              <w:autoSpaceDN w:val="0"/>
              <w:adjustRightInd w:val="0"/>
              <w:snapToGrid w:val="0"/>
              <w:spacing w:before="0" w:beforeAutospacing="0" w:after="0" w:afterAutospacing="0" w:line="406" w:lineRule="exact"/>
              <w:ind w:left="0" w:right="0" w:firstLine="422" w:firstLineChars="200"/>
              <w:jc w:val="left"/>
              <w:rPr>
                <w:rFonts w:hint="default" w:ascii="宋体" w:hAnsi="宋体"/>
                <w:color w:val="auto"/>
                <w:kern w:val="0"/>
              </w:rPr>
            </w:pPr>
            <w:r>
              <w:rPr>
                <w:rFonts w:hint="eastAsia" w:ascii="宋体" w:hAnsi="宋体"/>
                <w:b/>
                <w:color w:val="auto"/>
                <w:kern w:val="0"/>
              </w:rPr>
              <w:t>治理措施：</w:t>
            </w:r>
            <w:r>
              <w:rPr>
                <w:rFonts w:hint="eastAsia" w:ascii="宋体" w:hAnsi="宋体"/>
                <w:b w:val="0"/>
                <w:bCs/>
                <w:color w:val="auto"/>
                <w:kern w:val="0"/>
                <w:lang w:val="en-US" w:eastAsia="zh-CN"/>
              </w:rPr>
              <w:t>本</w:t>
            </w:r>
            <w:r>
              <w:rPr>
                <w:rFonts w:hint="eastAsia" w:ascii="宋体" w:hAnsi="宋体"/>
                <w:color w:val="auto"/>
                <w:kern w:val="0"/>
              </w:rPr>
              <w:t>项目</w:t>
            </w:r>
            <w:r>
              <w:rPr>
                <w:rFonts w:hint="eastAsia" w:ascii="宋体" w:hAnsi="宋体"/>
                <w:color w:val="auto"/>
                <w:kern w:val="0"/>
                <w:lang w:val="en-US" w:eastAsia="zh-CN"/>
              </w:rPr>
              <w:t>所使用的原料属于矿山开采的块状矿石料，本身含泥量较少。运至厂区堆场卸料时，采取喷雾降尘方式防止粉尘污染。在原料堆存时堆体高度应低于围挡高度。原料卸料完毕后采用防风抑尘网进行覆盖，生产时按需揭开防尘网，避免全部物料均处于裸露状态</w:t>
            </w:r>
            <w:r>
              <w:rPr>
                <w:rFonts w:hint="eastAsia" w:ascii="宋体" w:hAnsi="宋体"/>
                <w:color w:val="auto"/>
                <w:kern w:val="0"/>
              </w:rPr>
              <w:t>，最大限度降低粉尘的排放量。</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b/>
                <w:color w:val="auto"/>
                <w:kern w:val="0"/>
              </w:rPr>
            </w:pPr>
            <w:r>
              <w:rPr>
                <w:rFonts w:hint="eastAsia" w:ascii="宋体" w:hAnsi="宋体"/>
                <w:color w:val="auto"/>
                <w:kern w:val="0"/>
              </w:rPr>
              <w:t>采取上述治理措施，项目原料堆场卸料粉尘抑尘率取</w:t>
            </w:r>
            <w:r>
              <w:rPr>
                <w:rFonts w:hint="eastAsia"/>
                <w:color w:val="auto"/>
                <w:kern w:val="0"/>
              </w:rPr>
              <w:t>80%</w:t>
            </w:r>
            <w:r>
              <w:rPr>
                <w:rFonts w:hint="eastAsia" w:ascii="宋体" w:hAnsi="宋体"/>
                <w:color w:val="auto"/>
                <w:kern w:val="0"/>
              </w:rPr>
              <w:t>，则卸料粉尘排放量为</w:t>
            </w:r>
            <w:r>
              <w:rPr>
                <w:rFonts w:hint="eastAsia"/>
                <w:color w:val="auto"/>
                <w:kern w:val="0"/>
                <w:lang w:val="en-US" w:eastAsia="zh-CN"/>
              </w:rPr>
              <w:t>2.46</w:t>
            </w:r>
            <w:r>
              <w:rPr>
                <w:rFonts w:hint="eastAsia"/>
                <w:color w:val="auto"/>
                <w:kern w:val="0"/>
              </w:rPr>
              <w:t>t/a</w:t>
            </w:r>
            <w:r>
              <w:rPr>
                <w:rFonts w:hint="eastAsia" w:ascii="宋体" w:hAnsi="宋体"/>
                <w:color w:val="auto"/>
                <w:kern w:val="0"/>
              </w:rPr>
              <w:t>，排放方式为无组织排放。</w:t>
            </w:r>
          </w:p>
          <w:p>
            <w:pPr>
              <w:keepNext w:val="0"/>
              <w:keepLines w:val="0"/>
              <w:suppressLineNumbers w:val="0"/>
              <w:autoSpaceDE w:val="0"/>
              <w:autoSpaceDN w:val="0"/>
              <w:adjustRightInd w:val="0"/>
              <w:snapToGrid w:val="0"/>
              <w:spacing w:before="0" w:beforeAutospacing="0" w:after="0" w:afterAutospacing="0" w:line="406" w:lineRule="exact"/>
              <w:ind w:left="0" w:right="0" w:firstLine="422" w:firstLineChars="200"/>
              <w:jc w:val="left"/>
              <w:rPr>
                <w:rFonts w:hint="default" w:ascii="宋体" w:hAnsi="宋体" w:eastAsia="宋体"/>
                <w:b/>
                <w:bCs/>
                <w:color w:val="auto"/>
                <w:kern w:val="0"/>
                <w:lang w:val="en-US" w:eastAsia="zh-CN"/>
              </w:rPr>
            </w:pPr>
            <w:r>
              <w:rPr>
                <w:rFonts w:hint="eastAsia" w:ascii="宋体" w:hAnsi="宋体"/>
                <w:b/>
                <w:bCs/>
                <w:color w:val="auto"/>
                <w:kern w:val="0"/>
              </w:rPr>
              <w:t>（</w:t>
            </w:r>
            <w:r>
              <w:rPr>
                <w:rFonts w:hint="eastAsia"/>
                <w:b/>
                <w:bCs/>
                <w:color w:val="auto"/>
                <w:kern w:val="0"/>
              </w:rPr>
              <w:t>2</w:t>
            </w:r>
            <w:r>
              <w:rPr>
                <w:rFonts w:hint="eastAsia" w:ascii="宋体" w:hAnsi="宋体"/>
                <w:b/>
                <w:bCs/>
                <w:color w:val="auto"/>
                <w:kern w:val="0"/>
              </w:rPr>
              <w:t>）</w:t>
            </w:r>
            <w:r>
              <w:rPr>
                <w:rFonts w:hint="eastAsia" w:ascii="宋体" w:hAnsi="宋体"/>
                <w:b/>
                <w:bCs/>
                <w:color w:val="auto"/>
                <w:kern w:val="0"/>
                <w:lang w:val="en-US" w:eastAsia="zh-CN"/>
              </w:rPr>
              <w:t>上料给料粉尘</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color w:val="auto"/>
                <w:kern w:val="0"/>
              </w:rPr>
            </w:pPr>
            <w:r>
              <w:rPr>
                <w:rFonts w:hint="eastAsia" w:ascii="宋体" w:hAnsi="宋体"/>
                <w:color w:val="auto"/>
                <w:kern w:val="0"/>
              </w:rPr>
              <w:t>项目生产时通过装载机将原料从堆场转移至</w:t>
            </w:r>
            <w:r>
              <w:rPr>
                <w:rFonts w:hint="eastAsia" w:ascii="宋体" w:hAnsi="宋体"/>
                <w:color w:val="auto"/>
                <w:kern w:val="0"/>
                <w:lang w:val="en-US" w:eastAsia="zh-CN"/>
              </w:rPr>
              <w:t>振动</w:t>
            </w:r>
            <w:r>
              <w:rPr>
                <w:rFonts w:hint="eastAsia" w:ascii="宋体" w:hAnsi="宋体"/>
                <w:color w:val="auto"/>
                <w:kern w:val="0"/>
              </w:rPr>
              <w:t>给料机上料，</w:t>
            </w:r>
            <w:r>
              <w:rPr>
                <w:rFonts w:hint="eastAsia" w:ascii="宋体" w:hAnsi="宋体"/>
                <w:color w:val="auto"/>
                <w:kern w:val="0"/>
                <w:lang w:val="en-US" w:eastAsia="zh-CN"/>
              </w:rPr>
              <w:t>然后通过振动均匀给料至下一个颚破生产环节。整个过程的粉尘主要产生源在装载机上料环节，</w:t>
            </w:r>
            <w:r>
              <w:rPr>
                <w:rFonts w:hint="eastAsia" w:ascii="宋体" w:hAnsi="宋体"/>
                <w:color w:val="auto"/>
                <w:kern w:val="0"/>
              </w:rPr>
              <w:t>粉尘的产生与原料卸料过程相似，主要是原料中的细颗粒物在自由下落过程，随风迁移飘散形成。参考《逸散性工业粉尘控制技术》（中国环境科学出版社），装卸粉尘产生系数一般取</w:t>
            </w:r>
            <w:r>
              <w:rPr>
                <w:rFonts w:hint="eastAsia"/>
                <w:color w:val="auto"/>
                <w:kern w:val="0"/>
              </w:rPr>
              <w:t>0.0</w:t>
            </w:r>
            <w:r>
              <w:rPr>
                <w:rFonts w:hint="eastAsia"/>
                <w:color w:val="auto"/>
                <w:kern w:val="0"/>
                <w:lang w:val="en-US" w:eastAsia="zh-CN"/>
              </w:rPr>
              <w:t>1</w:t>
            </w:r>
            <w:r>
              <w:rPr>
                <w:rFonts w:hint="eastAsia"/>
                <w:color w:val="auto"/>
                <w:kern w:val="0"/>
              </w:rPr>
              <w:t>kg/t-</w:t>
            </w:r>
            <w:r>
              <w:rPr>
                <w:rFonts w:hint="eastAsia" w:ascii="宋体" w:hAnsi="宋体"/>
                <w:color w:val="auto"/>
                <w:kern w:val="0"/>
              </w:rPr>
              <w:t>原料量。项目原料总量</w:t>
            </w:r>
            <w:r>
              <w:rPr>
                <w:rFonts w:hint="eastAsia"/>
                <w:color w:val="auto"/>
                <w:kern w:val="0"/>
                <w:lang w:val="en-US" w:eastAsia="zh-CN"/>
              </w:rPr>
              <w:t>1228437.83</w:t>
            </w:r>
            <w:r>
              <w:rPr>
                <w:rFonts w:hint="default"/>
                <w:color w:val="auto"/>
                <w:kern w:val="0"/>
              </w:rPr>
              <w:t>t/a</w:t>
            </w:r>
            <w:r>
              <w:rPr>
                <w:rFonts w:hint="eastAsia" w:ascii="宋体" w:hAnsi="宋体"/>
                <w:color w:val="auto"/>
                <w:kern w:val="0"/>
              </w:rPr>
              <w:t>，则原料堆场卸料粉尘产生量</w:t>
            </w:r>
            <w:r>
              <w:rPr>
                <w:rFonts w:hint="eastAsia" w:ascii="宋体" w:hAnsi="宋体"/>
                <w:color w:val="auto"/>
                <w:kern w:val="0"/>
                <w:lang w:val="en-US" w:eastAsia="zh-CN"/>
              </w:rPr>
              <w:t>约</w:t>
            </w:r>
            <w:r>
              <w:rPr>
                <w:rFonts w:hint="eastAsia"/>
                <w:color w:val="auto"/>
                <w:kern w:val="0"/>
                <w:lang w:val="en-US" w:eastAsia="zh-CN"/>
              </w:rPr>
              <w:t>12.28</w:t>
            </w:r>
            <w:r>
              <w:rPr>
                <w:rFonts w:hint="eastAsia"/>
                <w:color w:val="auto"/>
                <w:kern w:val="0"/>
              </w:rPr>
              <w:t>t/a</w:t>
            </w:r>
            <w:r>
              <w:rPr>
                <w:rFonts w:hint="eastAsia" w:ascii="宋体" w:hAnsi="宋体"/>
                <w:color w:val="auto"/>
                <w:kern w:val="0"/>
              </w:rPr>
              <w:t>。</w:t>
            </w:r>
          </w:p>
          <w:p>
            <w:pPr>
              <w:keepNext w:val="0"/>
              <w:keepLines w:val="0"/>
              <w:suppressLineNumbers w:val="0"/>
              <w:autoSpaceDE w:val="0"/>
              <w:autoSpaceDN w:val="0"/>
              <w:adjustRightInd w:val="0"/>
              <w:snapToGrid w:val="0"/>
              <w:spacing w:before="0" w:beforeAutospacing="0" w:after="0" w:afterAutospacing="0" w:line="406" w:lineRule="exact"/>
              <w:ind w:left="0" w:right="0" w:firstLine="422" w:firstLineChars="200"/>
              <w:jc w:val="left"/>
              <w:rPr>
                <w:rFonts w:hint="eastAsia" w:ascii="宋体" w:hAnsi="宋体"/>
                <w:color w:val="auto"/>
                <w:kern w:val="0"/>
              </w:rPr>
            </w:pPr>
            <w:r>
              <w:rPr>
                <w:rFonts w:hint="eastAsia" w:ascii="宋体" w:hAnsi="宋体"/>
                <w:b/>
                <w:color w:val="auto"/>
                <w:kern w:val="0"/>
              </w:rPr>
              <w:t>治理措施：</w:t>
            </w:r>
            <w:r>
              <w:rPr>
                <w:rFonts w:hint="eastAsia" w:ascii="宋体" w:hAnsi="宋体"/>
                <w:color w:val="auto"/>
                <w:kern w:val="0"/>
              </w:rPr>
              <w:t>项目给料机布置在封闭式生产厂房内，在给料机上方安装喷雾装置。少量粉尘逸散至厂房内，可利用封闭车间和喷雾设施，最大限度降低粉尘的排放量。</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eastAsia" w:ascii="宋体" w:hAnsi="宋体"/>
                <w:color w:val="auto"/>
                <w:kern w:val="0"/>
              </w:rPr>
            </w:pPr>
            <w:r>
              <w:rPr>
                <w:rFonts w:hint="eastAsia" w:ascii="宋体" w:hAnsi="宋体"/>
                <w:color w:val="auto"/>
                <w:kern w:val="0"/>
              </w:rPr>
              <w:t>采取上述治理措施，项目上料</w:t>
            </w:r>
            <w:r>
              <w:rPr>
                <w:rFonts w:hint="eastAsia" w:ascii="宋体" w:hAnsi="宋体"/>
                <w:color w:val="auto"/>
                <w:kern w:val="0"/>
                <w:lang w:val="en-US" w:eastAsia="zh-CN"/>
              </w:rPr>
              <w:t>给料</w:t>
            </w:r>
            <w:r>
              <w:rPr>
                <w:rFonts w:hint="eastAsia" w:ascii="宋体" w:hAnsi="宋体"/>
                <w:color w:val="auto"/>
                <w:kern w:val="0"/>
              </w:rPr>
              <w:t>粉尘抑尘率取</w:t>
            </w:r>
            <w:r>
              <w:rPr>
                <w:rFonts w:hint="default"/>
                <w:color w:val="auto"/>
                <w:kern w:val="0"/>
              </w:rPr>
              <w:t>80</w:t>
            </w:r>
            <w:r>
              <w:rPr>
                <w:rFonts w:hint="eastAsia"/>
                <w:color w:val="auto"/>
                <w:kern w:val="0"/>
              </w:rPr>
              <w:t>%</w:t>
            </w:r>
            <w:r>
              <w:rPr>
                <w:rFonts w:hint="eastAsia" w:ascii="宋体" w:hAnsi="宋体"/>
                <w:color w:val="auto"/>
                <w:kern w:val="0"/>
              </w:rPr>
              <w:t>，则粉尘排放量为</w:t>
            </w:r>
            <w:r>
              <w:rPr>
                <w:rFonts w:hint="eastAsia"/>
                <w:color w:val="auto"/>
                <w:kern w:val="0"/>
                <w:lang w:val="en-US" w:eastAsia="zh-CN"/>
              </w:rPr>
              <w:t>2.46</w:t>
            </w:r>
            <w:r>
              <w:rPr>
                <w:rFonts w:hint="eastAsia"/>
                <w:color w:val="auto"/>
                <w:kern w:val="0"/>
              </w:rPr>
              <w:t>t/a</w:t>
            </w:r>
            <w:r>
              <w:rPr>
                <w:rFonts w:hint="eastAsia" w:ascii="宋体" w:hAnsi="宋体"/>
                <w:color w:val="auto"/>
                <w:kern w:val="0"/>
              </w:rPr>
              <w:t>，排放方式为无组织排放。</w:t>
            </w:r>
          </w:p>
          <w:p>
            <w:pPr>
              <w:keepNext w:val="0"/>
              <w:keepLines w:val="0"/>
              <w:suppressLineNumbers w:val="0"/>
              <w:autoSpaceDE w:val="0"/>
              <w:autoSpaceDN w:val="0"/>
              <w:adjustRightInd w:val="0"/>
              <w:snapToGrid w:val="0"/>
              <w:spacing w:before="0" w:beforeAutospacing="0" w:after="0" w:afterAutospacing="0" w:line="406" w:lineRule="exact"/>
              <w:ind w:left="0" w:right="0" w:firstLine="422" w:firstLineChars="200"/>
              <w:jc w:val="left"/>
              <w:rPr>
                <w:rFonts w:hint="default" w:ascii="宋体" w:hAnsi="宋体"/>
                <w:color w:val="auto"/>
                <w:kern w:val="0"/>
                <w:lang w:val="en-US"/>
              </w:rPr>
            </w:pPr>
            <w:r>
              <w:rPr>
                <w:rFonts w:hint="eastAsia" w:ascii="宋体" w:hAnsi="宋体"/>
                <w:b/>
                <w:bCs/>
                <w:color w:val="auto"/>
                <w:kern w:val="0"/>
                <w:lang w:eastAsia="zh-CN"/>
              </w:rPr>
              <w:t>（</w:t>
            </w:r>
            <w:r>
              <w:rPr>
                <w:rFonts w:hint="eastAsia" w:ascii="宋体" w:hAnsi="宋体"/>
                <w:b/>
                <w:bCs/>
                <w:color w:val="auto"/>
                <w:kern w:val="0"/>
                <w:lang w:val="en-US" w:eastAsia="zh-CN"/>
              </w:rPr>
              <w:t>3</w:t>
            </w:r>
            <w:r>
              <w:rPr>
                <w:rFonts w:hint="eastAsia" w:ascii="宋体" w:hAnsi="宋体"/>
                <w:b/>
                <w:bCs/>
                <w:color w:val="auto"/>
                <w:kern w:val="0"/>
                <w:lang w:eastAsia="zh-CN"/>
              </w:rPr>
              <w:t>）</w:t>
            </w:r>
            <w:r>
              <w:rPr>
                <w:rFonts w:hint="eastAsia" w:ascii="宋体" w:hAnsi="宋体"/>
                <w:b/>
                <w:bCs/>
                <w:color w:val="auto"/>
                <w:kern w:val="0"/>
                <w:lang w:val="en-US" w:eastAsia="zh-CN"/>
              </w:rPr>
              <w:t>中间料仓落料及皮带输送粉尘</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eastAsia="宋体"/>
                <w:color w:val="auto"/>
                <w:kern w:val="0"/>
                <w:lang w:val="en-US" w:eastAsia="zh-CN"/>
              </w:rPr>
            </w:pPr>
            <w:r>
              <w:rPr>
                <w:rFonts w:hint="eastAsia" w:ascii="宋体" w:hAnsi="宋体"/>
                <w:color w:val="auto"/>
                <w:kern w:val="0"/>
                <w:lang w:val="en-US" w:eastAsia="zh-CN"/>
              </w:rPr>
              <w:t>本项目在生产线的颚破机后面设有中间料仓一个，主要起到缓存生产物料之用，确保生产线各环节间衔接紧密匀速运行。中间料仓落料时由皮带从料仓顶部落料，物料进入料斗后又从底部出料至皮带。整个落料环节会有少量的粉尘产生。本项目物料在各个工艺环节之间的输送均依靠输送皮带。</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eastAsia" w:ascii="宋体" w:hAnsi="宋体"/>
                <w:color w:val="auto"/>
                <w:kern w:val="0"/>
              </w:rPr>
            </w:pPr>
            <w:r>
              <w:rPr>
                <w:rFonts w:hint="eastAsia" w:ascii="宋体" w:hAnsi="宋体"/>
                <w:color w:val="auto"/>
                <w:kern w:val="0"/>
                <w:lang w:val="en-US" w:eastAsia="zh-CN"/>
              </w:rPr>
              <w:t>中间料仓落料的</w:t>
            </w:r>
            <w:r>
              <w:rPr>
                <w:rFonts w:hint="eastAsia" w:ascii="宋体" w:hAnsi="宋体"/>
                <w:color w:val="auto"/>
                <w:kern w:val="0"/>
              </w:rPr>
              <w:t>粉尘产生与原料卸料过程相似，主要是原料中的细颗粒物在自由下落过程，随风迁移飘散形成。</w:t>
            </w:r>
            <w:r>
              <w:rPr>
                <w:rFonts w:hint="eastAsia" w:ascii="宋体" w:hAnsi="宋体"/>
                <w:color w:val="auto"/>
                <w:kern w:val="0"/>
                <w:lang w:val="en-US" w:eastAsia="zh-CN"/>
              </w:rPr>
              <w:t>但其物料为破碎加工后的物料，属于粒状料，卸料过程产生的粉尘会比块料矿石料的卸料粉尘稍大，</w:t>
            </w:r>
            <w:r>
              <w:rPr>
                <w:rFonts w:hint="eastAsia" w:ascii="宋体" w:hAnsi="宋体"/>
                <w:color w:val="auto"/>
                <w:kern w:val="0"/>
              </w:rPr>
              <w:t>参考《逸散性工业粉尘控制技术》（中国环境科学出版社），装卸粉尘产生系数一般取</w:t>
            </w:r>
            <w:r>
              <w:rPr>
                <w:rFonts w:hint="eastAsia"/>
                <w:color w:val="auto"/>
                <w:kern w:val="0"/>
              </w:rPr>
              <w:t>0.02kg/t-</w:t>
            </w:r>
            <w:r>
              <w:rPr>
                <w:rFonts w:hint="eastAsia" w:ascii="宋体" w:hAnsi="宋体"/>
                <w:color w:val="auto"/>
                <w:kern w:val="0"/>
              </w:rPr>
              <w:t>原料量。项目原料总量</w:t>
            </w:r>
            <w:r>
              <w:rPr>
                <w:rFonts w:hint="eastAsia"/>
                <w:color w:val="auto"/>
                <w:kern w:val="0"/>
                <w:lang w:val="en-US" w:eastAsia="zh-CN"/>
              </w:rPr>
              <w:t>1228437.83</w:t>
            </w:r>
            <w:r>
              <w:rPr>
                <w:rFonts w:hint="default"/>
                <w:color w:val="auto"/>
                <w:kern w:val="0"/>
              </w:rPr>
              <w:t>t/a</w:t>
            </w:r>
            <w:r>
              <w:rPr>
                <w:rFonts w:hint="eastAsia" w:ascii="宋体" w:hAnsi="宋体"/>
                <w:color w:val="auto"/>
                <w:kern w:val="0"/>
              </w:rPr>
              <w:t>，则原料堆场卸料粉尘产生量</w:t>
            </w:r>
            <w:r>
              <w:rPr>
                <w:rFonts w:hint="eastAsia" w:ascii="宋体" w:hAnsi="宋体"/>
                <w:color w:val="auto"/>
                <w:kern w:val="0"/>
                <w:lang w:val="en-US" w:eastAsia="zh-CN"/>
              </w:rPr>
              <w:t>约</w:t>
            </w:r>
            <w:r>
              <w:rPr>
                <w:rFonts w:hint="eastAsia"/>
                <w:color w:val="auto"/>
                <w:kern w:val="0"/>
                <w:lang w:val="en-US" w:eastAsia="zh-CN"/>
              </w:rPr>
              <w:t>24.56</w:t>
            </w:r>
            <w:r>
              <w:rPr>
                <w:rFonts w:hint="eastAsia"/>
                <w:color w:val="auto"/>
                <w:kern w:val="0"/>
              </w:rPr>
              <w:t>t/a</w:t>
            </w:r>
            <w:r>
              <w:rPr>
                <w:rFonts w:hint="eastAsia" w:ascii="宋体" w:hAnsi="宋体"/>
                <w:color w:val="auto"/>
                <w:kern w:val="0"/>
              </w:rPr>
              <w:t>。</w:t>
            </w:r>
          </w:p>
          <w:p>
            <w:pPr>
              <w:keepNext w:val="0"/>
              <w:keepLines w:val="0"/>
              <w:suppressLineNumbers w:val="0"/>
              <w:autoSpaceDE w:val="0"/>
              <w:autoSpaceDN w:val="0"/>
              <w:adjustRightInd w:val="0"/>
              <w:snapToGrid w:val="0"/>
              <w:spacing w:before="0" w:beforeAutospacing="0" w:after="0" w:afterAutospacing="0" w:line="406" w:lineRule="exact"/>
              <w:ind w:left="0" w:right="0" w:firstLine="422" w:firstLineChars="200"/>
              <w:jc w:val="left"/>
              <w:rPr>
                <w:rFonts w:hint="default" w:ascii="宋体" w:hAnsi="宋体"/>
                <w:b/>
                <w:color w:val="auto"/>
                <w:kern w:val="0"/>
              </w:rPr>
            </w:pPr>
            <w:r>
              <w:rPr>
                <w:rFonts w:hint="eastAsia" w:ascii="宋体" w:hAnsi="宋体"/>
                <w:b/>
                <w:bCs/>
                <w:color w:val="auto"/>
                <w:kern w:val="0"/>
                <w:lang w:val="en-US" w:eastAsia="zh-CN"/>
              </w:rPr>
              <w:t>治理措施</w:t>
            </w:r>
            <w:r>
              <w:rPr>
                <w:rFonts w:hint="eastAsia" w:ascii="宋体" w:hAnsi="宋体"/>
                <w:b w:val="0"/>
                <w:bCs w:val="0"/>
                <w:color w:val="auto"/>
                <w:kern w:val="0"/>
                <w:lang w:val="en-US" w:eastAsia="zh-CN"/>
              </w:rPr>
              <w:t>：本项目生产线配备的中间料仓位于生产车间内，能够有效避免逸散尘飘散至车间外造成环境污染影响。同时，在中间料仓落料处安装有喷雾装置，在落料过程进行集中地、定点的喷雾降尘，能够有效降低粉尘的产生。项目所有的</w:t>
            </w:r>
            <w:r>
              <w:rPr>
                <w:rFonts w:hint="eastAsia" w:ascii="宋体" w:hAnsi="宋体"/>
                <w:color w:val="auto"/>
                <w:kern w:val="0"/>
              </w:rPr>
              <w:t>输送皮带配备减速机，使皮带能够平稳运行</w:t>
            </w:r>
            <w:r>
              <w:rPr>
                <w:rFonts w:hint="eastAsia" w:ascii="宋体" w:hAnsi="宋体"/>
                <w:color w:val="auto"/>
                <w:kern w:val="0"/>
                <w:lang w:eastAsia="zh-CN"/>
              </w:rPr>
              <w:t>，</w:t>
            </w:r>
            <w:r>
              <w:rPr>
                <w:rFonts w:hint="eastAsia" w:ascii="宋体" w:hAnsi="宋体"/>
                <w:color w:val="auto"/>
                <w:kern w:val="0"/>
                <w:lang w:val="en-US" w:eastAsia="zh-CN"/>
              </w:rPr>
              <w:t>同时在各生产环节设有喷水工序，增加物料含水使其自身不易起尘</w:t>
            </w:r>
            <w:r>
              <w:rPr>
                <w:rFonts w:hint="eastAsia" w:ascii="宋体" w:hAnsi="宋体"/>
                <w:color w:val="auto"/>
                <w:kern w:val="0"/>
              </w:rPr>
              <w:t>。</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color w:val="auto"/>
                <w:kern w:val="0"/>
              </w:rPr>
            </w:pPr>
            <w:r>
              <w:rPr>
                <w:rFonts w:hint="eastAsia" w:ascii="宋体" w:hAnsi="宋体"/>
                <w:color w:val="auto"/>
                <w:kern w:val="0"/>
              </w:rPr>
              <w:t>采取上述治理措施，项目</w:t>
            </w:r>
            <w:r>
              <w:rPr>
                <w:rFonts w:hint="eastAsia" w:ascii="宋体" w:hAnsi="宋体"/>
                <w:color w:val="auto"/>
                <w:kern w:val="0"/>
                <w:lang w:val="en-US" w:eastAsia="zh-CN"/>
              </w:rPr>
              <w:t>中间料仓落料及输送</w:t>
            </w:r>
            <w:r>
              <w:rPr>
                <w:rFonts w:hint="eastAsia" w:ascii="宋体" w:hAnsi="宋体"/>
                <w:color w:val="auto"/>
                <w:kern w:val="0"/>
              </w:rPr>
              <w:t>粉尘抑尘率取</w:t>
            </w:r>
            <w:r>
              <w:rPr>
                <w:rFonts w:hint="default"/>
                <w:color w:val="auto"/>
                <w:kern w:val="0"/>
              </w:rPr>
              <w:t>80</w:t>
            </w:r>
            <w:r>
              <w:rPr>
                <w:rFonts w:hint="eastAsia"/>
                <w:color w:val="auto"/>
                <w:kern w:val="0"/>
              </w:rPr>
              <w:t>%</w:t>
            </w:r>
            <w:r>
              <w:rPr>
                <w:rFonts w:hint="eastAsia" w:ascii="宋体" w:hAnsi="宋体"/>
                <w:color w:val="auto"/>
                <w:kern w:val="0"/>
              </w:rPr>
              <w:t>，则粉尘排放量为</w:t>
            </w:r>
            <w:r>
              <w:rPr>
                <w:rFonts w:hint="eastAsia"/>
                <w:color w:val="auto"/>
                <w:kern w:val="0"/>
                <w:lang w:val="en-US" w:eastAsia="zh-CN"/>
              </w:rPr>
              <w:t>4.91</w:t>
            </w:r>
            <w:r>
              <w:rPr>
                <w:rFonts w:hint="eastAsia"/>
                <w:color w:val="auto"/>
                <w:kern w:val="0"/>
              </w:rPr>
              <w:t>t/a</w:t>
            </w:r>
            <w:r>
              <w:rPr>
                <w:rFonts w:hint="eastAsia" w:ascii="宋体" w:hAnsi="宋体"/>
                <w:color w:val="auto"/>
                <w:kern w:val="0"/>
              </w:rPr>
              <w:t>，排放方式为无组织排放。</w:t>
            </w:r>
          </w:p>
          <w:p>
            <w:pPr>
              <w:keepNext w:val="0"/>
              <w:keepLines w:val="0"/>
              <w:suppressLineNumbers w:val="0"/>
              <w:autoSpaceDE w:val="0"/>
              <w:autoSpaceDN w:val="0"/>
              <w:adjustRightInd w:val="0"/>
              <w:snapToGrid w:val="0"/>
              <w:spacing w:before="0" w:beforeAutospacing="0" w:after="0" w:afterAutospacing="0" w:line="406" w:lineRule="exact"/>
              <w:ind w:left="0" w:right="0" w:firstLine="422" w:firstLineChars="200"/>
              <w:jc w:val="left"/>
              <w:rPr>
                <w:rFonts w:hint="default"/>
                <w:b/>
                <w:bCs/>
                <w:color w:val="auto"/>
                <w:kern w:val="0"/>
              </w:rPr>
            </w:pPr>
            <w:r>
              <w:rPr>
                <w:rFonts w:hint="eastAsia" w:ascii="宋体" w:hAnsi="宋体"/>
                <w:b/>
                <w:bCs/>
                <w:color w:val="auto"/>
                <w:kern w:val="0"/>
              </w:rPr>
              <w:t>（</w:t>
            </w:r>
            <w:r>
              <w:rPr>
                <w:rFonts w:hint="eastAsia"/>
                <w:b/>
                <w:bCs/>
                <w:color w:val="auto"/>
                <w:kern w:val="0"/>
                <w:lang w:val="en-US" w:eastAsia="zh-CN"/>
              </w:rPr>
              <w:t>4</w:t>
            </w:r>
            <w:r>
              <w:rPr>
                <w:rFonts w:hint="eastAsia" w:ascii="宋体" w:hAnsi="宋体"/>
                <w:b/>
                <w:bCs/>
                <w:color w:val="auto"/>
                <w:kern w:val="0"/>
              </w:rPr>
              <w:t>）</w:t>
            </w:r>
            <w:r>
              <w:rPr>
                <w:rFonts w:hint="eastAsia" w:ascii="宋体" w:hAnsi="宋体"/>
                <w:b/>
                <w:bCs/>
                <w:color w:val="auto"/>
                <w:kern w:val="0"/>
                <w:lang w:val="en-US" w:eastAsia="zh-CN"/>
              </w:rPr>
              <w:t>颚破和反击破</w:t>
            </w:r>
            <w:r>
              <w:rPr>
                <w:rFonts w:hint="eastAsia" w:ascii="宋体" w:hAnsi="宋体"/>
                <w:b/>
                <w:bCs/>
                <w:color w:val="auto"/>
                <w:kern w:val="0"/>
              </w:rPr>
              <w:t>粉尘</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color w:val="auto"/>
                <w:kern w:val="0"/>
              </w:rPr>
            </w:pPr>
            <w:r>
              <w:rPr>
                <w:rFonts w:hint="eastAsia" w:ascii="宋体" w:hAnsi="宋体"/>
                <w:color w:val="auto"/>
                <w:kern w:val="0"/>
              </w:rPr>
              <w:t>根据工程分析，项目</w:t>
            </w:r>
            <w:r>
              <w:rPr>
                <w:rFonts w:hint="eastAsia" w:ascii="宋体" w:hAnsi="宋体"/>
                <w:color w:val="auto"/>
                <w:kern w:val="0"/>
                <w:lang w:val="en-US" w:eastAsia="zh-CN"/>
              </w:rPr>
              <w:t>矿石原料加工过程拟采取颚破</w:t>
            </w:r>
            <w:r>
              <w:rPr>
                <w:rFonts w:hint="eastAsia" w:ascii="宋体" w:hAnsi="宋体"/>
                <w:color w:val="auto"/>
                <w:kern w:val="0"/>
              </w:rPr>
              <w:t>破碎</w:t>
            </w:r>
            <w:r>
              <w:rPr>
                <w:rFonts w:hint="eastAsia" w:ascii="宋体" w:hAnsi="宋体"/>
                <w:color w:val="auto"/>
                <w:kern w:val="0"/>
                <w:lang w:val="en-US" w:eastAsia="zh-CN"/>
              </w:rPr>
              <w:t>和反击破破碎</w:t>
            </w:r>
            <w:r>
              <w:rPr>
                <w:rFonts w:hint="eastAsia" w:ascii="宋体" w:hAnsi="宋体"/>
                <w:color w:val="auto"/>
                <w:kern w:val="0"/>
              </w:rPr>
              <w:t>。破碎粉尘的产生主要是物料在机械内部相互撞击、翻滚的过程。参考《逸散性工业粉尘控制技术》（中国环境科学出版社），砂石料</w:t>
            </w:r>
            <w:r>
              <w:rPr>
                <w:rFonts w:hint="default" w:ascii="宋体" w:hAnsi="宋体"/>
                <w:color w:val="auto"/>
                <w:kern w:val="0"/>
              </w:rPr>
              <w:t>破碎筛分粉尘的产生系数为</w:t>
            </w:r>
            <w:r>
              <w:rPr>
                <w:rFonts w:hint="eastAsia"/>
                <w:color w:val="auto"/>
                <w:kern w:val="0"/>
              </w:rPr>
              <w:t>0.</w:t>
            </w:r>
            <w:r>
              <w:rPr>
                <w:rFonts w:hint="eastAsia"/>
                <w:color w:val="auto"/>
                <w:kern w:val="0"/>
                <w:lang w:val="en-US" w:eastAsia="zh-CN"/>
              </w:rPr>
              <w:t>0</w:t>
            </w:r>
            <w:r>
              <w:rPr>
                <w:rFonts w:hint="eastAsia"/>
                <w:color w:val="auto"/>
                <w:kern w:val="0"/>
              </w:rPr>
              <w:t>5kg/t-</w:t>
            </w:r>
            <w:r>
              <w:rPr>
                <w:rFonts w:hint="eastAsia" w:ascii="宋体" w:hAnsi="宋体"/>
                <w:color w:val="auto"/>
                <w:kern w:val="0"/>
              </w:rPr>
              <w:t>原料量</w:t>
            </w:r>
            <w:r>
              <w:rPr>
                <w:rFonts w:hint="eastAsia" w:ascii="宋体" w:hAnsi="宋体"/>
                <w:color w:val="auto"/>
                <w:kern w:val="0"/>
                <w:lang w:eastAsia="zh-CN"/>
              </w:rPr>
              <w:t>。</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ascii="宋体" w:hAnsi="宋体"/>
                <w:color w:val="auto"/>
                <w:kern w:val="0"/>
              </w:rPr>
            </w:pPr>
            <w:r>
              <w:rPr>
                <w:rFonts w:hint="eastAsia" w:ascii="宋体" w:hAnsi="宋体"/>
                <w:color w:val="auto"/>
                <w:kern w:val="0"/>
              </w:rPr>
              <w:t>项目原料总量</w:t>
            </w:r>
            <w:r>
              <w:rPr>
                <w:rFonts w:hint="eastAsia"/>
                <w:color w:val="auto"/>
                <w:kern w:val="0"/>
                <w:lang w:val="en-US" w:eastAsia="zh-CN"/>
              </w:rPr>
              <w:t>1228437.83</w:t>
            </w:r>
            <w:r>
              <w:rPr>
                <w:rFonts w:hint="default"/>
                <w:color w:val="auto"/>
                <w:kern w:val="0"/>
              </w:rPr>
              <w:t>t/a</w:t>
            </w:r>
            <w:r>
              <w:rPr>
                <w:rFonts w:hint="eastAsia" w:ascii="宋体" w:hAnsi="宋体"/>
                <w:color w:val="auto"/>
                <w:kern w:val="0"/>
              </w:rPr>
              <w:t>，则物料两次破碎粉尘产生量为</w:t>
            </w:r>
            <w:r>
              <w:rPr>
                <w:rFonts w:hint="eastAsia"/>
                <w:color w:val="auto"/>
                <w:kern w:val="0"/>
                <w:lang w:val="en-US" w:eastAsia="zh-CN"/>
              </w:rPr>
              <w:t>61.42</w:t>
            </w:r>
            <w:r>
              <w:rPr>
                <w:rFonts w:hint="eastAsia"/>
                <w:color w:val="auto"/>
                <w:kern w:val="0"/>
              </w:rPr>
              <w:t>t/a</w:t>
            </w:r>
            <w:r>
              <w:rPr>
                <w:rFonts w:hint="eastAsia" w:ascii="宋体" w:hAnsi="宋体"/>
                <w:color w:val="auto"/>
                <w:kern w:val="0"/>
              </w:rPr>
              <w:t>。</w:t>
            </w:r>
          </w:p>
          <w:p>
            <w:pPr>
              <w:keepNext w:val="0"/>
              <w:keepLines w:val="0"/>
              <w:suppressLineNumbers w:val="0"/>
              <w:autoSpaceDE w:val="0"/>
              <w:autoSpaceDN w:val="0"/>
              <w:adjustRightInd w:val="0"/>
              <w:snapToGrid w:val="0"/>
              <w:spacing w:before="0" w:beforeAutospacing="0" w:after="0" w:afterAutospacing="0" w:line="406" w:lineRule="exact"/>
              <w:ind w:left="0" w:right="0" w:firstLine="422" w:firstLineChars="200"/>
              <w:jc w:val="left"/>
              <w:rPr>
                <w:rFonts w:hint="default" w:ascii="宋体" w:hAnsi="宋体"/>
                <w:b/>
                <w:color w:val="auto"/>
                <w:kern w:val="0"/>
              </w:rPr>
            </w:pPr>
            <w:r>
              <w:rPr>
                <w:rFonts w:hint="eastAsia" w:ascii="宋体" w:hAnsi="宋体"/>
                <w:b/>
                <w:color w:val="auto"/>
                <w:kern w:val="0"/>
              </w:rPr>
              <w:t>治理措施：</w:t>
            </w:r>
            <w:r>
              <w:rPr>
                <w:rFonts w:hint="eastAsia" w:ascii="宋体" w:hAnsi="宋体"/>
                <w:b w:val="0"/>
                <w:bCs/>
                <w:color w:val="auto"/>
                <w:kern w:val="0"/>
                <w:lang w:val="en-US" w:eastAsia="zh-CN"/>
              </w:rPr>
              <w:t>本项目拟</w:t>
            </w:r>
            <w:r>
              <w:rPr>
                <w:rFonts w:hint="eastAsia" w:ascii="宋体" w:hAnsi="宋体"/>
                <w:color w:val="auto"/>
                <w:kern w:val="0"/>
              </w:rPr>
              <w:t>建设一个封闭式生产厂房，将两级破碎机布置在封闭厂房内。</w:t>
            </w:r>
            <w:r>
              <w:rPr>
                <w:rFonts w:hint="eastAsia" w:ascii="宋体" w:hAnsi="宋体"/>
                <w:color w:val="auto"/>
                <w:kern w:val="0"/>
                <w:lang w:val="en-US" w:eastAsia="zh-CN"/>
              </w:rPr>
              <w:t>采用的</w:t>
            </w:r>
            <w:r>
              <w:rPr>
                <w:rFonts w:hint="eastAsia" w:ascii="宋体" w:hAnsi="宋体"/>
                <w:color w:val="auto"/>
                <w:kern w:val="0"/>
              </w:rPr>
              <w:t>颚式破碎机、</w:t>
            </w:r>
            <w:r>
              <w:rPr>
                <w:rFonts w:hint="eastAsia" w:ascii="宋体" w:hAnsi="宋体"/>
                <w:color w:val="auto"/>
                <w:kern w:val="0"/>
                <w:lang w:val="en-US" w:eastAsia="zh-CN"/>
              </w:rPr>
              <w:t>反击式</w:t>
            </w:r>
            <w:r>
              <w:rPr>
                <w:rFonts w:hint="eastAsia" w:ascii="宋体" w:hAnsi="宋体"/>
                <w:color w:val="auto"/>
                <w:kern w:val="0"/>
              </w:rPr>
              <w:t>破碎机设备均为密闭型的破碎设备，设备进料口设置喷</w:t>
            </w:r>
            <w:r>
              <w:rPr>
                <w:rFonts w:hint="eastAsia" w:ascii="宋体" w:hAnsi="宋体"/>
                <w:color w:val="auto"/>
                <w:kern w:val="0"/>
                <w:lang w:val="en-US" w:eastAsia="zh-CN"/>
              </w:rPr>
              <w:t>水装置，使物料在生产过程具有一定的含水率降低粉尘的产生，而喷水量有严格的控制，避免物料含水率过高无法通过皮带输送</w:t>
            </w:r>
            <w:r>
              <w:rPr>
                <w:rFonts w:hint="eastAsia" w:ascii="宋体" w:hAnsi="宋体"/>
                <w:color w:val="auto"/>
                <w:kern w:val="0"/>
              </w:rPr>
              <w:t>。少量破碎粉尘逸散至厂房内，可利用封闭车间和喷雾设施，最大限度降低粉尘的排放量。</w:t>
            </w:r>
          </w:p>
          <w:p>
            <w:pPr>
              <w:keepNext w:val="0"/>
              <w:keepLines w:val="0"/>
              <w:suppressLineNumbers w:val="0"/>
              <w:autoSpaceDE w:val="0"/>
              <w:autoSpaceDN w:val="0"/>
              <w:adjustRightInd w:val="0"/>
              <w:snapToGrid w:val="0"/>
              <w:spacing w:before="0" w:beforeAutospacing="0" w:after="0" w:afterAutospacing="0" w:line="406" w:lineRule="exact"/>
              <w:ind w:left="0" w:right="0" w:firstLine="420" w:firstLineChars="200"/>
              <w:jc w:val="left"/>
              <w:rPr>
                <w:rFonts w:hint="default"/>
                <w:color w:val="auto"/>
                <w:kern w:val="0"/>
              </w:rPr>
            </w:pPr>
            <w:r>
              <w:rPr>
                <w:rFonts w:hint="eastAsia" w:ascii="宋体" w:hAnsi="宋体"/>
                <w:color w:val="auto"/>
                <w:kern w:val="0"/>
              </w:rPr>
              <w:t>采取上述治理措施，项目两级破碎粉尘综合抑尘率取</w:t>
            </w:r>
            <w:r>
              <w:rPr>
                <w:rFonts w:hint="eastAsia"/>
                <w:color w:val="auto"/>
                <w:kern w:val="0"/>
              </w:rPr>
              <w:t>9</w:t>
            </w:r>
            <w:r>
              <w:rPr>
                <w:rFonts w:hint="default"/>
                <w:color w:val="auto"/>
                <w:kern w:val="0"/>
              </w:rPr>
              <w:t>0</w:t>
            </w:r>
            <w:r>
              <w:rPr>
                <w:rFonts w:hint="eastAsia"/>
                <w:color w:val="auto"/>
                <w:kern w:val="0"/>
              </w:rPr>
              <w:t>%</w:t>
            </w:r>
            <w:r>
              <w:rPr>
                <w:rFonts w:hint="eastAsia" w:ascii="宋体" w:hAnsi="宋体"/>
                <w:color w:val="auto"/>
                <w:kern w:val="0"/>
              </w:rPr>
              <w:t>，则破碎粉尘排放量约</w:t>
            </w:r>
            <w:r>
              <w:rPr>
                <w:rFonts w:hint="eastAsia"/>
                <w:color w:val="auto"/>
                <w:kern w:val="0"/>
                <w:lang w:val="en-US" w:eastAsia="zh-CN"/>
              </w:rPr>
              <w:t>6.14</w:t>
            </w:r>
            <w:r>
              <w:rPr>
                <w:rFonts w:hint="eastAsia"/>
                <w:color w:val="auto"/>
                <w:kern w:val="0"/>
              </w:rPr>
              <w:t>t/a</w:t>
            </w:r>
            <w:r>
              <w:rPr>
                <w:rFonts w:hint="eastAsia" w:ascii="宋体" w:hAnsi="宋体"/>
                <w:color w:val="auto"/>
                <w:kern w:val="0"/>
              </w:rPr>
              <w:t>，排放方式为无组织排放。</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b/>
                <w:bCs/>
                <w:color w:val="auto"/>
                <w:kern w:val="0"/>
              </w:rPr>
            </w:pPr>
            <w:r>
              <w:rPr>
                <w:rFonts w:hint="eastAsia" w:ascii="宋体" w:hAnsi="宋体"/>
                <w:b/>
                <w:bCs/>
                <w:color w:val="auto"/>
                <w:kern w:val="0"/>
              </w:rPr>
              <w:t>（</w:t>
            </w:r>
            <w:r>
              <w:rPr>
                <w:rFonts w:hint="eastAsia"/>
                <w:b/>
                <w:bCs/>
                <w:color w:val="auto"/>
                <w:kern w:val="0"/>
                <w:lang w:val="en-US" w:eastAsia="zh-CN"/>
              </w:rPr>
              <w:t>5</w:t>
            </w:r>
            <w:r>
              <w:rPr>
                <w:rFonts w:hint="eastAsia" w:ascii="宋体" w:hAnsi="宋体"/>
                <w:b/>
                <w:bCs/>
                <w:color w:val="auto"/>
                <w:kern w:val="0"/>
              </w:rPr>
              <w:t>）振动筛分和制砂环节的粉尘</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rPr>
            </w:pPr>
            <w:r>
              <w:rPr>
                <w:rFonts w:hint="eastAsia" w:ascii="宋体" w:hAnsi="宋体"/>
                <w:color w:val="auto"/>
                <w:kern w:val="0"/>
              </w:rPr>
              <w:t>根据工程分析，本项目将在振动筛分环节采取不间断冲水，起到清洗物料的作用，同时也是极好的抑尘措施。参考行业同类型项目，采取湿法作业工艺的砂石加工环节，几乎无粉尘产生。项目</w:t>
            </w:r>
            <w:r>
              <w:rPr>
                <w:rFonts w:hint="eastAsia" w:ascii="宋体" w:hAnsi="宋体"/>
                <w:color w:val="auto"/>
                <w:kern w:val="0"/>
                <w:lang w:val="en-US" w:eastAsia="zh-CN"/>
              </w:rPr>
              <w:t>第一级</w:t>
            </w:r>
            <w:r>
              <w:rPr>
                <w:rFonts w:hint="eastAsia" w:ascii="宋体" w:hAnsi="宋体"/>
                <w:color w:val="auto"/>
                <w:kern w:val="0"/>
              </w:rPr>
              <w:t>振动筛分出来的</w:t>
            </w:r>
            <w:r>
              <w:rPr>
                <w:rFonts w:hint="eastAsia" w:eastAsia="黑体"/>
                <w:color w:val="auto"/>
                <w:kern w:val="0"/>
                <w:lang w:val="en-US" w:eastAsia="zh-CN"/>
              </w:rPr>
              <w:t>≤31.5</w:t>
            </w:r>
            <w:r>
              <w:rPr>
                <w:rFonts w:hint="default" w:eastAsia="黑体"/>
                <w:color w:val="auto"/>
                <w:kern w:val="0"/>
              </w:rPr>
              <w:t>mm</w:t>
            </w:r>
            <w:r>
              <w:rPr>
                <w:rFonts w:hint="eastAsia" w:ascii="宋体" w:hAnsi="宋体"/>
                <w:color w:val="auto"/>
                <w:kern w:val="0"/>
              </w:rPr>
              <w:t>的物料经皮带送入制砂机制砂，制砂机运行过程其内部破碎室也处于密闭状态，并布置在封闭式车间内</w:t>
            </w:r>
            <w:r>
              <w:rPr>
                <w:rFonts w:hint="eastAsia" w:ascii="宋体" w:hAnsi="宋体"/>
                <w:color w:val="auto"/>
                <w:kern w:val="0"/>
                <w:lang w:eastAsia="zh-CN"/>
              </w:rPr>
              <w:t>。</w:t>
            </w:r>
            <w:r>
              <w:rPr>
                <w:rFonts w:hint="eastAsia" w:ascii="宋体" w:hAnsi="宋体"/>
                <w:color w:val="auto"/>
                <w:kern w:val="0"/>
              </w:rPr>
              <w:t>同时由于物料含水率较大。因此制砂过程也无粉尘产生。本次环评不对振动筛分和制砂环节的粉尘进行定量分析。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b/>
                <w:bCs/>
                <w:color w:val="auto"/>
                <w:kern w:val="0"/>
              </w:rPr>
            </w:pPr>
            <w:r>
              <w:rPr>
                <w:rFonts w:hint="eastAsia" w:ascii="宋体" w:hAnsi="宋体"/>
                <w:b/>
                <w:bCs/>
                <w:color w:val="auto"/>
                <w:kern w:val="0"/>
              </w:rPr>
              <w:t>（</w:t>
            </w:r>
            <w:r>
              <w:rPr>
                <w:rFonts w:hint="eastAsia" w:ascii="宋体" w:hAnsi="宋体"/>
                <w:b/>
                <w:bCs/>
                <w:color w:val="auto"/>
                <w:kern w:val="0"/>
                <w:lang w:val="en-US" w:eastAsia="zh-CN"/>
              </w:rPr>
              <w:t>6</w:t>
            </w:r>
            <w:r>
              <w:rPr>
                <w:rFonts w:hint="eastAsia" w:ascii="宋体" w:hAnsi="宋体"/>
                <w:b/>
                <w:bCs/>
                <w:color w:val="auto"/>
                <w:kern w:val="0"/>
              </w:rPr>
              <w:t>）</w:t>
            </w:r>
            <w:r>
              <w:rPr>
                <w:rFonts w:hint="eastAsia" w:ascii="宋体" w:hAnsi="宋体"/>
                <w:b/>
                <w:bCs/>
                <w:color w:val="auto"/>
                <w:kern w:val="0"/>
                <w:lang w:val="en-US" w:eastAsia="zh-CN"/>
              </w:rPr>
              <w:t>产</w:t>
            </w:r>
            <w:r>
              <w:rPr>
                <w:rFonts w:hint="eastAsia" w:ascii="宋体" w:hAnsi="宋体"/>
                <w:b/>
                <w:bCs/>
                <w:color w:val="auto"/>
                <w:kern w:val="0"/>
              </w:rPr>
              <w:t>品</w:t>
            </w:r>
            <w:r>
              <w:rPr>
                <w:rFonts w:hint="eastAsia" w:ascii="宋体" w:hAnsi="宋体"/>
                <w:b/>
                <w:bCs/>
                <w:color w:val="auto"/>
                <w:kern w:val="0"/>
                <w:lang w:val="en-US" w:eastAsia="zh-CN"/>
              </w:rPr>
              <w:t>库装车</w:t>
            </w:r>
            <w:r>
              <w:rPr>
                <w:rFonts w:hint="eastAsia" w:ascii="宋体" w:hAnsi="宋体"/>
                <w:b/>
                <w:bCs/>
                <w:color w:val="auto"/>
                <w:kern w:val="0"/>
              </w:rPr>
              <w:t>扬尘</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rPr>
            </w:pPr>
            <w:r>
              <w:rPr>
                <w:rFonts w:hint="eastAsia" w:ascii="宋体" w:hAnsi="宋体"/>
                <w:color w:val="auto"/>
                <w:kern w:val="0"/>
              </w:rPr>
              <w:t>结合工程分析，项目建成后将建设一个封闭式生产厂房，</w:t>
            </w:r>
            <w:r>
              <w:rPr>
                <w:rFonts w:hint="eastAsia" w:ascii="宋体" w:hAnsi="宋体"/>
                <w:color w:val="auto"/>
                <w:kern w:val="0"/>
                <w:lang w:val="en-US" w:eastAsia="zh-CN"/>
              </w:rPr>
              <w:t>将产品库布置在封闭式生产车间内，并设置三面围挡。项目</w:t>
            </w:r>
            <w:r>
              <w:rPr>
                <w:rFonts w:hint="eastAsia" w:ascii="宋体" w:hAnsi="宋体"/>
                <w:color w:val="auto"/>
                <w:kern w:val="0"/>
              </w:rPr>
              <w:t>采取湿法生产工艺，</w:t>
            </w:r>
            <w:r>
              <w:rPr>
                <w:rFonts w:hint="eastAsia" w:ascii="宋体" w:hAnsi="宋体"/>
                <w:color w:val="auto"/>
                <w:kern w:val="0"/>
                <w:lang w:val="en-US" w:eastAsia="zh-CN"/>
              </w:rPr>
              <w:t>产品</w:t>
            </w:r>
            <w:r>
              <w:rPr>
                <w:rFonts w:hint="eastAsia" w:ascii="宋体" w:hAnsi="宋体"/>
                <w:color w:val="auto"/>
                <w:kern w:val="0"/>
              </w:rPr>
              <w:t>具有一定的含水率</w:t>
            </w:r>
            <w:r>
              <w:rPr>
                <w:rFonts w:hint="eastAsia" w:ascii="宋体" w:hAnsi="宋体"/>
                <w:color w:val="auto"/>
                <w:kern w:val="0"/>
                <w:lang w:val="en-US" w:eastAsia="zh-CN"/>
              </w:rPr>
              <w:t>，自身含水不易起尘。因此，在产品</w:t>
            </w:r>
            <w:r>
              <w:rPr>
                <w:rFonts w:hint="eastAsia" w:ascii="宋体" w:hAnsi="宋体"/>
                <w:color w:val="auto"/>
                <w:kern w:val="0"/>
              </w:rPr>
              <w:t>堆放期间不会受到风力影响不考虑风力扬尘产生尘</w:t>
            </w:r>
            <w:r>
              <w:rPr>
                <w:rFonts w:hint="eastAsia" w:ascii="宋体" w:hAnsi="宋体"/>
                <w:color w:val="auto"/>
                <w:kern w:val="0"/>
                <w:lang w:eastAsia="zh-CN"/>
              </w:rPr>
              <w:t>，</w:t>
            </w:r>
            <w:r>
              <w:rPr>
                <w:rFonts w:hint="eastAsia" w:ascii="宋体" w:hAnsi="宋体"/>
                <w:color w:val="auto"/>
                <w:kern w:val="0"/>
                <w:lang w:val="en-US" w:eastAsia="zh-CN"/>
              </w:rPr>
              <w:t>因其自身含水，产品装车作业也不考虑扬尘产生</w:t>
            </w:r>
            <w:r>
              <w:rPr>
                <w:rFonts w:hint="eastAsia" w:ascii="宋体" w:hAnsi="宋体"/>
                <w:color w:val="auto"/>
                <w:kern w:val="0"/>
              </w:rPr>
              <w:t>。本次环评不对</w:t>
            </w:r>
            <w:r>
              <w:rPr>
                <w:rFonts w:hint="eastAsia" w:ascii="宋体" w:hAnsi="宋体"/>
                <w:color w:val="auto"/>
                <w:kern w:val="0"/>
                <w:lang w:val="en-US" w:eastAsia="zh-CN"/>
              </w:rPr>
              <w:t>产品库</w:t>
            </w:r>
            <w:r>
              <w:rPr>
                <w:rFonts w:hint="eastAsia" w:ascii="宋体" w:hAnsi="宋体"/>
                <w:color w:val="auto"/>
                <w:kern w:val="0"/>
              </w:rPr>
              <w:t>的</w:t>
            </w:r>
            <w:r>
              <w:rPr>
                <w:rFonts w:hint="eastAsia" w:ascii="宋体" w:hAnsi="宋体"/>
                <w:color w:val="auto"/>
                <w:kern w:val="0"/>
                <w:lang w:val="en-US" w:eastAsia="zh-CN"/>
              </w:rPr>
              <w:t>扬</w:t>
            </w:r>
            <w:r>
              <w:rPr>
                <w:rFonts w:hint="eastAsia" w:ascii="宋体" w:hAnsi="宋体"/>
                <w:color w:val="auto"/>
                <w:kern w:val="0"/>
              </w:rPr>
              <w:t>尘情况进行</w:t>
            </w:r>
            <w:r>
              <w:rPr>
                <w:rFonts w:hint="eastAsia" w:ascii="宋体" w:hAnsi="宋体"/>
                <w:color w:val="auto"/>
                <w:kern w:val="0"/>
                <w:lang w:val="en-US" w:eastAsia="zh-CN"/>
              </w:rPr>
              <w:t>定性</w:t>
            </w:r>
            <w:r>
              <w:rPr>
                <w:rFonts w:hint="eastAsia" w:ascii="宋体" w:hAnsi="宋体"/>
                <w:color w:val="auto"/>
                <w:kern w:val="0"/>
              </w:rPr>
              <w:t>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b/>
                <w:color w:val="auto"/>
                <w:kern w:val="0"/>
              </w:rPr>
            </w:pPr>
            <w:r>
              <w:rPr>
                <w:rFonts w:hint="eastAsia" w:ascii="宋体" w:hAnsi="宋体"/>
                <w:b/>
                <w:color w:val="auto"/>
                <w:kern w:val="0"/>
              </w:rPr>
              <w:t>（</w:t>
            </w:r>
            <w:r>
              <w:rPr>
                <w:rFonts w:hint="eastAsia" w:ascii="宋体" w:hAnsi="宋体"/>
                <w:b/>
                <w:color w:val="auto"/>
                <w:kern w:val="0"/>
                <w:lang w:val="en-US" w:eastAsia="zh-CN"/>
              </w:rPr>
              <w:t>7</w:t>
            </w:r>
            <w:r>
              <w:rPr>
                <w:rFonts w:hint="eastAsia" w:ascii="宋体" w:hAnsi="宋体"/>
                <w:b/>
                <w:color w:val="auto"/>
                <w:kern w:val="0"/>
              </w:rPr>
              <w:t>）运输道路的扬尘</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rPr>
            </w:pPr>
            <w:r>
              <w:rPr>
                <w:rFonts w:hint="eastAsia" w:ascii="宋体" w:hAnsi="宋体"/>
                <w:color w:val="auto"/>
                <w:kern w:val="0"/>
              </w:rPr>
              <w:t>项目所用原料和生产的产品均利用汽车进行运输，主要依托附近村道公路。运输车辆车身及轮胎携带有少量粉尘，在行驶途中会产生少量的道路扬尘，会对道路沿线环境造成不利影响。</w:t>
            </w:r>
          </w:p>
          <w:p>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color w:val="auto"/>
                <w:kern w:val="0"/>
              </w:rPr>
            </w:pPr>
            <w:r>
              <w:rPr>
                <w:rFonts w:hint="eastAsia" w:ascii="宋体" w:hAnsi="宋体"/>
                <w:b/>
                <w:color w:val="auto"/>
                <w:kern w:val="0"/>
              </w:rPr>
              <w:t>治理措施：</w:t>
            </w:r>
            <w:r>
              <w:rPr>
                <w:rFonts w:hint="eastAsia" w:ascii="宋体" w:hAnsi="宋体"/>
                <w:color w:val="auto"/>
                <w:kern w:val="0"/>
              </w:rPr>
              <w:t>通过对厂区地面、运输道路全部采取硬化措施。厂区进出口建设车辆冲洗设施，安排专人负责进出车辆的冲洗。合理安排运输时间，避免大风天气运输；加强车辆运输管理，避免车速过快，加盖篷布，减小扬尘的产生。强化厂区内部卫生管理，安排专人适时对厂区地面进行洒水、清扫，保持清洁卫生。</w:t>
            </w:r>
          </w:p>
          <w:p>
            <w:pPr>
              <w:keepNext w:val="0"/>
              <w:keepLines w:val="0"/>
              <w:suppressLineNumbers w:val="0"/>
              <w:spacing w:before="0" w:beforeAutospacing="0" w:after="0" w:afterAutospacing="0" w:line="400" w:lineRule="exact"/>
              <w:ind w:left="0" w:right="0" w:firstLine="420" w:firstLineChars="200"/>
              <w:rPr>
                <w:rFonts w:hint="default"/>
                <w:color w:val="auto"/>
                <w:sz w:val="18"/>
                <w:szCs w:val="21"/>
              </w:rPr>
            </w:pPr>
            <w:r>
              <w:rPr>
                <w:rFonts w:hint="eastAsia" w:ascii="宋体" w:hAnsi="宋体"/>
                <w:color w:val="auto"/>
                <w:kern w:val="0"/>
              </w:rPr>
              <w:t>通过采取上述扬尘防治措施，能够有效降低道路扬尘的污染影响。</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cs="宋体"/>
                <w:b/>
                <w:color w:val="auto"/>
                <w:kern w:val="0"/>
                <w:szCs w:val="21"/>
              </w:rPr>
            </w:pPr>
            <w:r>
              <w:rPr>
                <w:rFonts w:hint="eastAsia" w:cs="宋体"/>
                <w:b/>
                <w:color w:val="auto"/>
                <w:kern w:val="0"/>
                <w:szCs w:val="21"/>
              </w:rPr>
              <w:t>1</w:t>
            </w:r>
            <w:r>
              <w:rPr>
                <w:rFonts w:hint="default" w:cs="宋体"/>
                <w:b/>
                <w:color w:val="auto"/>
                <w:kern w:val="0"/>
                <w:szCs w:val="21"/>
              </w:rPr>
              <w:t>.2</w:t>
            </w:r>
            <w:r>
              <w:rPr>
                <w:rFonts w:hint="eastAsia" w:cs="宋体"/>
                <w:b/>
                <w:color w:val="auto"/>
                <w:kern w:val="0"/>
                <w:szCs w:val="21"/>
              </w:rPr>
              <w:t>废气排放情况</w:t>
            </w:r>
          </w:p>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4-3 </w:t>
            </w:r>
            <w:r>
              <w:rPr>
                <w:rFonts w:hint="default" w:eastAsia="黑体"/>
                <w:color w:val="auto"/>
                <w:sz w:val="18"/>
                <w:szCs w:val="18"/>
              </w:rPr>
              <w:t xml:space="preserve"> </w:t>
            </w:r>
            <w:r>
              <w:rPr>
                <w:rFonts w:hint="eastAsia" w:eastAsia="黑体"/>
                <w:color w:val="auto"/>
                <w:sz w:val="18"/>
                <w:szCs w:val="18"/>
              </w:rPr>
              <w:t>废气产生环节、污染物种类、排放形式及污染防治设施表</w:t>
            </w:r>
          </w:p>
          <w:tbl>
            <w:tblPr>
              <w:tblStyle w:val="14"/>
              <w:tblW w:w="7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6"/>
              <w:gridCol w:w="1461"/>
              <w:gridCol w:w="859"/>
              <w:gridCol w:w="995"/>
              <w:gridCol w:w="843"/>
              <w:gridCol w:w="1733"/>
              <w:gridCol w:w="728"/>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506"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序号</w:t>
                  </w:r>
                </w:p>
              </w:tc>
              <w:tc>
                <w:tcPr>
                  <w:tcW w:w="1461"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污染物产生设施</w:t>
                  </w:r>
                </w:p>
              </w:tc>
              <w:tc>
                <w:tcPr>
                  <w:tcW w:w="859"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废气产污环节</w:t>
                  </w:r>
                </w:p>
              </w:tc>
              <w:tc>
                <w:tcPr>
                  <w:tcW w:w="995"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污染物种类</w:t>
                  </w: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排放形式</w:t>
                  </w:r>
                </w:p>
              </w:tc>
              <w:tc>
                <w:tcPr>
                  <w:tcW w:w="173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污染物治理设施名称</w:t>
                  </w:r>
                </w:p>
              </w:tc>
              <w:tc>
                <w:tcPr>
                  <w:tcW w:w="728"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排放口类型</w:t>
                  </w:r>
                </w:p>
              </w:tc>
              <w:tc>
                <w:tcPr>
                  <w:tcW w:w="85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506"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1</w:t>
                  </w:r>
                </w:p>
              </w:tc>
              <w:tc>
                <w:tcPr>
                  <w:tcW w:w="1461"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原料堆场</w:t>
                  </w:r>
                </w:p>
              </w:tc>
              <w:tc>
                <w:tcPr>
                  <w:tcW w:w="859"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eastAsia="宋体"/>
                      <w:color w:val="auto"/>
                      <w:sz w:val="18"/>
                      <w:szCs w:val="18"/>
                      <w:lang w:eastAsia="zh-CN"/>
                    </w:rPr>
                  </w:pPr>
                  <w:r>
                    <w:rPr>
                      <w:rFonts w:hint="eastAsia"/>
                      <w:color w:val="auto"/>
                      <w:sz w:val="18"/>
                      <w:szCs w:val="18"/>
                      <w:lang w:val="en-US" w:eastAsia="zh-CN"/>
                    </w:rPr>
                    <w:t>卸料</w:t>
                  </w:r>
                </w:p>
              </w:tc>
              <w:tc>
                <w:tcPr>
                  <w:tcW w:w="995"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颗粒物</w:t>
                  </w: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无组织</w:t>
                  </w:r>
                </w:p>
              </w:tc>
              <w:tc>
                <w:tcPr>
                  <w:tcW w:w="173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eastAsia="宋体"/>
                      <w:color w:val="auto"/>
                      <w:sz w:val="18"/>
                      <w:szCs w:val="18"/>
                      <w:lang w:val="en-US" w:eastAsia="zh-CN"/>
                    </w:rPr>
                  </w:pPr>
                  <w:r>
                    <w:rPr>
                      <w:rFonts w:hint="default"/>
                      <w:color w:val="auto"/>
                      <w:sz w:val="18"/>
                      <w:szCs w:val="18"/>
                    </w:rPr>
                    <w:t>喷雾降尘</w:t>
                  </w:r>
                  <w:r>
                    <w:rPr>
                      <w:rFonts w:hint="eastAsia"/>
                      <w:color w:val="auto"/>
                      <w:sz w:val="18"/>
                      <w:szCs w:val="18"/>
                      <w:lang w:eastAsia="zh-CN"/>
                    </w:rPr>
                    <w:t>、</w:t>
                  </w:r>
                  <w:r>
                    <w:rPr>
                      <w:rFonts w:hint="eastAsia"/>
                      <w:color w:val="auto"/>
                      <w:sz w:val="18"/>
                      <w:szCs w:val="18"/>
                      <w:lang w:val="en-US" w:eastAsia="zh-CN"/>
                    </w:rPr>
                    <w:t>防尘网覆盖</w:t>
                  </w:r>
                </w:p>
              </w:tc>
              <w:tc>
                <w:tcPr>
                  <w:tcW w:w="728"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85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kern w:val="0"/>
                      <w:sz w:val="18"/>
                      <w:szCs w:val="18"/>
                    </w:rPr>
                    <w:t>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506"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2</w:t>
                  </w:r>
                </w:p>
              </w:tc>
              <w:tc>
                <w:tcPr>
                  <w:tcW w:w="1461"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eastAsia="宋体"/>
                      <w:color w:val="auto"/>
                      <w:sz w:val="18"/>
                      <w:szCs w:val="18"/>
                      <w:lang w:val="en-US" w:eastAsia="zh-CN"/>
                    </w:rPr>
                  </w:pPr>
                  <w:r>
                    <w:rPr>
                      <w:rFonts w:hint="default"/>
                      <w:color w:val="auto"/>
                      <w:sz w:val="18"/>
                      <w:szCs w:val="18"/>
                    </w:rPr>
                    <w:t>给料机、</w:t>
                  </w:r>
                  <w:r>
                    <w:rPr>
                      <w:rFonts w:hint="eastAsia"/>
                      <w:color w:val="auto"/>
                      <w:sz w:val="18"/>
                      <w:szCs w:val="18"/>
                      <w:lang w:val="en-US" w:eastAsia="zh-CN"/>
                    </w:rPr>
                    <w:t>装载机</w:t>
                  </w:r>
                </w:p>
              </w:tc>
              <w:tc>
                <w:tcPr>
                  <w:tcW w:w="859"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上料、给料</w:t>
                  </w:r>
                </w:p>
              </w:tc>
              <w:tc>
                <w:tcPr>
                  <w:tcW w:w="995"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颗粒物</w:t>
                  </w: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无组织</w:t>
                  </w:r>
                </w:p>
              </w:tc>
              <w:tc>
                <w:tcPr>
                  <w:tcW w:w="173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车间封闭、喷雾降尘</w:t>
                  </w:r>
                </w:p>
              </w:tc>
              <w:tc>
                <w:tcPr>
                  <w:tcW w:w="728"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85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506"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3</w:t>
                  </w:r>
                </w:p>
              </w:tc>
              <w:tc>
                <w:tcPr>
                  <w:tcW w:w="1461"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both"/>
                    <w:rPr>
                      <w:rFonts w:hint="default" w:eastAsia="宋体"/>
                      <w:color w:val="auto"/>
                      <w:sz w:val="18"/>
                      <w:szCs w:val="18"/>
                      <w:lang w:val="en-US" w:eastAsia="zh-CN"/>
                    </w:rPr>
                  </w:pPr>
                  <w:r>
                    <w:rPr>
                      <w:rFonts w:hint="eastAsia"/>
                      <w:color w:val="auto"/>
                      <w:sz w:val="18"/>
                      <w:szCs w:val="18"/>
                      <w:lang w:val="en-US" w:eastAsia="zh-CN"/>
                    </w:rPr>
                    <w:t>中间料仓、输送机</w:t>
                  </w:r>
                </w:p>
              </w:tc>
              <w:tc>
                <w:tcPr>
                  <w:tcW w:w="859"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落料、输送</w:t>
                  </w:r>
                </w:p>
              </w:tc>
              <w:tc>
                <w:tcPr>
                  <w:tcW w:w="995"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颗粒物</w:t>
                  </w: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无组织</w:t>
                  </w:r>
                </w:p>
              </w:tc>
              <w:tc>
                <w:tcPr>
                  <w:tcW w:w="173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车间封闭、喷雾降尘</w:t>
                  </w:r>
                </w:p>
              </w:tc>
              <w:tc>
                <w:tcPr>
                  <w:tcW w:w="728"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85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506"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4</w:t>
                  </w:r>
                </w:p>
              </w:tc>
              <w:tc>
                <w:tcPr>
                  <w:tcW w:w="1461"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颚破机、</w:t>
                  </w:r>
                  <w:r>
                    <w:rPr>
                      <w:rFonts w:hint="eastAsia"/>
                      <w:color w:val="auto"/>
                      <w:sz w:val="18"/>
                      <w:szCs w:val="18"/>
                      <w:lang w:val="en-US" w:eastAsia="zh-CN"/>
                    </w:rPr>
                    <w:t>反击</w:t>
                  </w:r>
                  <w:r>
                    <w:rPr>
                      <w:rFonts w:hint="default"/>
                      <w:color w:val="auto"/>
                      <w:sz w:val="18"/>
                      <w:szCs w:val="18"/>
                    </w:rPr>
                    <w:t>破</w:t>
                  </w:r>
                </w:p>
              </w:tc>
              <w:tc>
                <w:tcPr>
                  <w:tcW w:w="859"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破碎</w:t>
                  </w:r>
                </w:p>
              </w:tc>
              <w:tc>
                <w:tcPr>
                  <w:tcW w:w="995"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颗粒物</w:t>
                  </w: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无组织</w:t>
                  </w:r>
                </w:p>
              </w:tc>
              <w:tc>
                <w:tcPr>
                  <w:tcW w:w="173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车间封闭、</w:t>
                  </w:r>
                  <w:r>
                    <w:rPr>
                      <w:rFonts w:hint="eastAsia"/>
                      <w:color w:val="auto"/>
                      <w:sz w:val="18"/>
                      <w:szCs w:val="18"/>
                      <w:lang w:val="en-US" w:eastAsia="zh-CN"/>
                    </w:rPr>
                    <w:t>喷水降尘、密闭型设备</w:t>
                  </w:r>
                </w:p>
              </w:tc>
              <w:tc>
                <w:tcPr>
                  <w:tcW w:w="728"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85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506"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5</w:t>
                  </w:r>
                </w:p>
              </w:tc>
              <w:tc>
                <w:tcPr>
                  <w:tcW w:w="1461"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default"/>
                      <w:color w:val="auto"/>
                      <w:sz w:val="18"/>
                      <w:szCs w:val="18"/>
                    </w:rPr>
                    <w:t>振动筛、</w:t>
                  </w:r>
                  <w:r>
                    <w:rPr>
                      <w:rFonts w:hint="eastAsia"/>
                      <w:color w:val="auto"/>
                      <w:sz w:val="18"/>
                      <w:szCs w:val="18"/>
                      <w:lang w:val="en-US" w:eastAsia="zh-CN"/>
                    </w:rPr>
                    <w:t>制砂机</w:t>
                  </w:r>
                </w:p>
              </w:tc>
              <w:tc>
                <w:tcPr>
                  <w:tcW w:w="859"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筛分、制砂</w:t>
                  </w:r>
                </w:p>
              </w:tc>
              <w:tc>
                <w:tcPr>
                  <w:tcW w:w="995"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18"/>
                      <w:szCs w:val="21"/>
                      <w:lang w:val="en-US" w:eastAsia="zh-CN" w:bidi="ar-SA"/>
                    </w:rPr>
                  </w:pPr>
                  <w:r>
                    <w:rPr>
                      <w:rFonts w:hint="eastAsia"/>
                      <w:color w:val="auto"/>
                      <w:sz w:val="18"/>
                      <w:szCs w:val="18"/>
                    </w:rPr>
                    <w:t>颗粒物</w:t>
                  </w: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无组织</w:t>
                  </w:r>
                </w:p>
              </w:tc>
              <w:tc>
                <w:tcPr>
                  <w:tcW w:w="173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车间封闭、湿法作业</w:t>
                  </w:r>
                </w:p>
              </w:tc>
              <w:tc>
                <w:tcPr>
                  <w:tcW w:w="728"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85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506"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eastAsia="宋体"/>
                      <w:color w:val="auto"/>
                      <w:sz w:val="18"/>
                      <w:szCs w:val="18"/>
                      <w:lang w:val="en-US" w:eastAsia="zh-CN"/>
                    </w:rPr>
                  </w:pPr>
                  <w:r>
                    <w:rPr>
                      <w:rFonts w:hint="eastAsia"/>
                      <w:color w:val="auto"/>
                      <w:sz w:val="18"/>
                      <w:szCs w:val="18"/>
                      <w:lang w:val="en-US" w:eastAsia="zh-CN"/>
                    </w:rPr>
                    <w:t>6</w:t>
                  </w:r>
                </w:p>
              </w:tc>
              <w:tc>
                <w:tcPr>
                  <w:tcW w:w="1461"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产品库</w:t>
                  </w:r>
                </w:p>
              </w:tc>
              <w:tc>
                <w:tcPr>
                  <w:tcW w:w="859"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堆存、装车</w:t>
                  </w:r>
                </w:p>
              </w:tc>
              <w:tc>
                <w:tcPr>
                  <w:tcW w:w="995"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eastAsia" w:ascii="Times New Roman" w:hAnsi="Times New Roman" w:eastAsia="宋体" w:cs="Times New Roman"/>
                      <w:color w:val="auto"/>
                      <w:kern w:val="2"/>
                      <w:sz w:val="18"/>
                      <w:szCs w:val="21"/>
                      <w:lang w:val="en-US" w:eastAsia="zh-CN" w:bidi="ar-SA"/>
                    </w:rPr>
                  </w:pPr>
                  <w:r>
                    <w:rPr>
                      <w:rFonts w:hint="eastAsia"/>
                      <w:color w:val="auto"/>
                      <w:sz w:val="18"/>
                      <w:szCs w:val="18"/>
                    </w:rPr>
                    <w:t>颗粒物</w:t>
                  </w: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无组织</w:t>
                  </w:r>
                </w:p>
              </w:tc>
              <w:tc>
                <w:tcPr>
                  <w:tcW w:w="173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车间封闭、喷雾降尘</w:t>
                  </w:r>
                </w:p>
              </w:tc>
              <w:tc>
                <w:tcPr>
                  <w:tcW w:w="728"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eastAsia="宋体"/>
                      <w:color w:val="auto"/>
                      <w:sz w:val="18"/>
                      <w:szCs w:val="18"/>
                      <w:lang w:val="en-US" w:eastAsia="zh-CN"/>
                    </w:rPr>
                  </w:pPr>
                  <w:r>
                    <w:rPr>
                      <w:rFonts w:hint="eastAsia"/>
                      <w:color w:val="auto"/>
                      <w:sz w:val="18"/>
                      <w:szCs w:val="18"/>
                      <w:lang w:val="en-US" w:eastAsia="zh-CN"/>
                    </w:rPr>
                    <w:t>/</w:t>
                  </w:r>
                </w:p>
              </w:tc>
              <w:tc>
                <w:tcPr>
                  <w:tcW w:w="85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jc w:val="center"/>
              </w:trPr>
              <w:tc>
                <w:tcPr>
                  <w:tcW w:w="506"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eastAsia="宋体"/>
                      <w:color w:val="auto"/>
                      <w:sz w:val="18"/>
                      <w:szCs w:val="18"/>
                      <w:lang w:eastAsia="zh-CN"/>
                    </w:rPr>
                  </w:pPr>
                  <w:r>
                    <w:rPr>
                      <w:rFonts w:hint="eastAsia"/>
                      <w:color w:val="auto"/>
                      <w:sz w:val="18"/>
                      <w:szCs w:val="18"/>
                      <w:lang w:val="en-US" w:eastAsia="zh-CN"/>
                    </w:rPr>
                    <w:t>7</w:t>
                  </w:r>
                </w:p>
              </w:tc>
              <w:tc>
                <w:tcPr>
                  <w:tcW w:w="1461"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运输车辆</w:t>
                  </w:r>
                </w:p>
              </w:tc>
              <w:tc>
                <w:tcPr>
                  <w:tcW w:w="859"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运输作业</w:t>
                  </w:r>
                </w:p>
              </w:tc>
              <w:tc>
                <w:tcPr>
                  <w:tcW w:w="995"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颗粒物</w:t>
                  </w:r>
                </w:p>
              </w:tc>
              <w:tc>
                <w:tcPr>
                  <w:tcW w:w="84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无组织</w:t>
                  </w:r>
                </w:p>
              </w:tc>
              <w:tc>
                <w:tcPr>
                  <w:tcW w:w="1733"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地面硬化、车辆冲洗</w:t>
                  </w:r>
                </w:p>
              </w:tc>
              <w:tc>
                <w:tcPr>
                  <w:tcW w:w="728" w:type="dxa"/>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853"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kern w:val="0"/>
                      <w:sz w:val="18"/>
                      <w:szCs w:val="18"/>
                    </w:rPr>
                  </w:pPr>
                </w:p>
              </w:tc>
            </w:tr>
          </w:tbl>
          <w:p>
            <w:pPr>
              <w:keepNext w:val="0"/>
              <w:keepLines w:val="0"/>
              <w:suppressLineNumbers w:val="0"/>
              <w:tabs>
                <w:tab w:val="left" w:pos="2088"/>
              </w:tabs>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4-4   </w:t>
            </w:r>
            <w:r>
              <w:rPr>
                <w:rFonts w:hint="default" w:eastAsia="黑体"/>
                <w:color w:val="auto"/>
                <w:sz w:val="18"/>
                <w:szCs w:val="18"/>
              </w:rPr>
              <w:t>大气污染物排放表</w:t>
            </w:r>
          </w:p>
          <w:tbl>
            <w:tblPr>
              <w:tblStyle w:val="14"/>
              <w:tblW w:w="798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0"/>
              <w:gridCol w:w="821"/>
              <w:gridCol w:w="855"/>
              <w:gridCol w:w="795"/>
              <w:gridCol w:w="628"/>
              <w:gridCol w:w="1747"/>
              <w:gridCol w:w="1235"/>
              <w:gridCol w:w="985"/>
              <w:gridCol w:w="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 w:hRule="atLeast"/>
                <w:tblHeader/>
                <w:jc w:val="center"/>
              </w:trPr>
              <w:tc>
                <w:tcPr>
                  <w:tcW w:w="470" w:type="dxa"/>
                  <w:vMerge w:val="restart"/>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序号</w:t>
                  </w:r>
                </w:p>
              </w:tc>
              <w:tc>
                <w:tcPr>
                  <w:tcW w:w="821" w:type="dxa"/>
                  <w:vMerge w:val="restart"/>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生产设施</w:t>
                  </w:r>
                </w:p>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编号</w:t>
                  </w:r>
                </w:p>
              </w:tc>
              <w:tc>
                <w:tcPr>
                  <w:tcW w:w="855" w:type="dxa"/>
                  <w:vMerge w:val="restart"/>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生产设施名称</w:t>
                  </w:r>
                </w:p>
              </w:tc>
              <w:tc>
                <w:tcPr>
                  <w:tcW w:w="795" w:type="dxa"/>
                  <w:vMerge w:val="restart"/>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污染物种类</w:t>
                  </w:r>
                </w:p>
              </w:tc>
              <w:tc>
                <w:tcPr>
                  <w:tcW w:w="628" w:type="dxa"/>
                  <w:vMerge w:val="restart"/>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排放量（t/a）</w:t>
                  </w:r>
                </w:p>
              </w:tc>
              <w:tc>
                <w:tcPr>
                  <w:tcW w:w="1747" w:type="dxa"/>
                  <w:vMerge w:val="restart"/>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主要污染防治</w:t>
                  </w:r>
                </w:p>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措施</w:t>
                  </w:r>
                </w:p>
              </w:tc>
              <w:tc>
                <w:tcPr>
                  <w:tcW w:w="2220" w:type="dxa"/>
                  <w:gridSpan w:val="2"/>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国家或地方污染物排放标准</w:t>
                  </w:r>
                </w:p>
              </w:tc>
              <w:tc>
                <w:tcPr>
                  <w:tcW w:w="445" w:type="dxa"/>
                  <w:vMerge w:val="restart"/>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其他信息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 w:hRule="atLeast"/>
                <w:tblHeader/>
                <w:jc w:val="center"/>
              </w:trPr>
              <w:tc>
                <w:tcPr>
                  <w:tcW w:w="470"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b/>
                      <w:bCs/>
                      <w:color w:val="auto"/>
                      <w:sz w:val="18"/>
                      <w:szCs w:val="18"/>
                    </w:rPr>
                  </w:pPr>
                </w:p>
              </w:tc>
              <w:tc>
                <w:tcPr>
                  <w:tcW w:w="821"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b/>
                      <w:bCs/>
                      <w:color w:val="auto"/>
                      <w:sz w:val="18"/>
                      <w:szCs w:val="18"/>
                    </w:rPr>
                  </w:pPr>
                </w:p>
              </w:tc>
              <w:tc>
                <w:tcPr>
                  <w:tcW w:w="85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b/>
                      <w:bCs/>
                      <w:color w:val="auto"/>
                      <w:sz w:val="18"/>
                      <w:szCs w:val="18"/>
                    </w:rPr>
                  </w:pPr>
                </w:p>
              </w:tc>
              <w:tc>
                <w:tcPr>
                  <w:tcW w:w="79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b/>
                      <w:bCs/>
                      <w:color w:val="auto"/>
                      <w:sz w:val="18"/>
                      <w:szCs w:val="18"/>
                    </w:rPr>
                  </w:pPr>
                </w:p>
              </w:tc>
              <w:tc>
                <w:tcPr>
                  <w:tcW w:w="628"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b/>
                      <w:bCs/>
                      <w:color w:val="auto"/>
                      <w:sz w:val="18"/>
                      <w:szCs w:val="18"/>
                    </w:rPr>
                  </w:pPr>
                </w:p>
              </w:tc>
              <w:tc>
                <w:tcPr>
                  <w:tcW w:w="1747"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b/>
                      <w:bCs/>
                      <w:color w:val="auto"/>
                      <w:sz w:val="18"/>
                      <w:szCs w:val="18"/>
                    </w:rPr>
                  </w:pPr>
                </w:p>
              </w:tc>
              <w:tc>
                <w:tcPr>
                  <w:tcW w:w="123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名称</w:t>
                  </w:r>
                </w:p>
              </w:tc>
              <w:tc>
                <w:tcPr>
                  <w:tcW w:w="98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浓度限值</w:t>
                  </w:r>
                </w:p>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（mg/m</w:t>
                  </w:r>
                  <w:r>
                    <w:rPr>
                      <w:rFonts w:hint="default"/>
                      <w:color w:val="auto"/>
                      <w:sz w:val="18"/>
                      <w:szCs w:val="18"/>
                      <w:vertAlign w:val="superscript"/>
                    </w:rPr>
                    <w:t>3</w:t>
                  </w:r>
                  <w:r>
                    <w:rPr>
                      <w:rFonts w:hint="default"/>
                      <w:color w:val="auto"/>
                      <w:sz w:val="18"/>
                      <w:szCs w:val="18"/>
                    </w:rPr>
                    <w:t>）</w:t>
                  </w:r>
                </w:p>
              </w:tc>
              <w:tc>
                <w:tcPr>
                  <w:tcW w:w="44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b/>
                      <w:bCs/>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4" w:hRule="atLeast"/>
                <w:tblHeader/>
                <w:jc w:val="center"/>
              </w:trPr>
              <w:tc>
                <w:tcPr>
                  <w:tcW w:w="470"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1</w:t>
                  </w:r>
                </w:p>
              </w:tc>
              <w:tc>
                <w:tcPr>
                  <w:tcW w:w="821"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MF0001</w:t>
                  </w:r>
                </w:p>
              </w:tc>
              <w:tc>
                <w:tcPr>
                  <w:tcW w:w="855" w:type="dxa"/>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color w:val="auto"/>
                      <w:sz w:val="18"/>
                      <w:szCs w:val="18"/>
                    </w:rPr>
                  </w:pPr>
                  <w:r>
                    <w:rPr>
                      <w:rFonts w:hint="default"/>
                      <w:color w:val="auto"/>
                      <w:sz w:val="18"/>
                      <w:szCs w:val="18"/>
                    </w:rPr>
                    <w:t>原料堆场</w:t>
                  </w:r>
                </w:p>
              </w:tc>
              <w:tc>
                <w:tcPr>
                  <w:tcW w:w="79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颗粒物</w:t>
                  </w:r>
                </w:p>
              </w:tc>
              <w:tc>
                <w:tcPr>
                  <w:tcW w:w="628"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2.46</w:t>
                  </w:r>
                </w:p>
              </w:tc>
              <w:tc>
                <w:tcPr>
                  <w:tcW w:w="1747" w:type="dxa"/>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color w:val="auto"/>
                      <w:sz w:val="18"/>
                      <w:szCs w:val="18"/>
                    </w:rPr>
                  </w:pPr>
                  <w:r>
                    <w:rPr>
                      <w:rFonts w:hint="default"/>
                      <w:color w:val="auto"/>
                      <w:sz w:val="18"/>
                      <w:szCs w:val="18"/>
                    </w:rPr>
                    <w:t>喷雾降尘</w:t>
                  </w:r>
                  <w:r>
                    <w:rPr>
                      <w:rFonts w:hint="eastAsia"/>
                      <w:color w:val="auto"/>
                      <w:sz w:val="18"/>
                      <w:szCs w:val="18"/>
                      <w:lang w:eastAsia="zh-CN"/>
                    </w:rPr>
                    <w:t>、</w:t>
                  </w:r>
                  <w:r>
                    <w:rPr>
                      <w:rFonts w:hint="eastAsia"/>
                      <w:color w:val="auto"/>
                      <w:sz w:val="18"/>
                      <w:szCs w:val="18"/>
                      <w:lang w:val="en-US" w:eastAsia="zh-CN"/>
                    </w:rPr>
                    <w:t>防尘网覆盖</w:t>
                  </w:r>
                </w:p>
              </w:tc>
              <w:tc>
                <w:tcPr>
                  <w:tcW w:w="1235" w:type="dxa"/>
                  <w:vMerge w:val="restart"/>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bCs/>
                      <w:color w:val="auto"/>
                      <w:kern w:val="0"/>
                      <w:sz w:val="18"/>
                      <w:szCs w:val="18"/>
                    </w:rPr>
                    <w:t>《大气污染物综合排放标准》（GB16297-1996）</w:t>
                  </w:r>
                </w:p>
              </w:tc>
              <w:tc>
                <w:tcPr>
                  <w:tcW w:w="985" w:type="dxa"/>
                  <w:vMerge w:val="restart"/>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颗粒物≤1</w:t>
                  </w:r>
                  <w:r>
                    <w:rPr>
                      <w:rFonts w:hint="default"/>
                      <w:color w:val="auto"/>
                      <w:sz w:val="18"/>
                      <w:szCs w:val="18"/>
                    </w:rPr>
                    <w:t>.</w:t>
                  </w:r>
                  <w:r>
                    <w:rPr>
                      <w:rFonts w:hint="eastAsia"/>
                      <w:color w:val="auto"/>
                      <w:sz w:val="18"/>
                      <w:szCs w:val="18"/>
                    </w:rPr>
                    <w:t>0</w:t>
                  </w:r>
                </w:p>
              </w:tc>
              <w:tc>
                <w:tcPr>
                  <w:tcW w:w="44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tblHeader/>
                <w:jc w:val="center"/>
              </w:trPr>
              <w:tc>
                <w:tcPr>
                  <w:tcW w:w="470"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2</w:t>
                  </w:r>
                </w:p>
              </w:tc>
              <w:tc>
                <w:tcPr>
                  <w:tcW w:w="821"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MF0002</w:t>
                  </w:r>
                </w:p>
              </w:tc>
              <w:tc>
                <w:tcPr>
                  <w:tcW w:w="855" w:type="dxa"/>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color w:val="auto"/>
                      <w:sz w:val="18"/>
                      <w:szCs w:val="18"/>
                    </w:rPr>
                  </w:pPr>
                  <w:r>
                    <w:rPr>
                      <w:rFonts w:hint="default"/>
                      <w:color w:val="auto"/>
                      <w:sz w:val="18"/>
                      <w:szCs w:val="18"/>
                    </w:rPr>
                    <w:t>给料机、</w:t>
                  </w:r>
                  <w:r>
                    <w:rPr>
                      <w:rFonts w:hint="eastAsia"/>
                      <w:color w:val="auto"/>
                      <w:sz w:val="18"/>
                      <w:szCs w:val="18"/>
                      <w:lang w:val="en-US" w:eastAsia="zh-CN"/>
                    </w:rPr>
                    <w:t>装载机</w:t>
                  </w:r>
                </w:p>
              </w:tc>
              <w:tc>
                <w:tcPr>
                  <w:tcW w:w="79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颗粒物</w:t>
                  </w:r>
                </w:p>
              </w:tc>
              <w:tc>
                <w:tcPr>
                  <w:tcW w:w="628"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2.46</w:t>
                  </w:r>
                </w:p>
              </w:tc>
              <w:tc>
                <w:tcPr>
                  <w:tcW w:w="1747" w:type="dxa"/>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color w:val="auto"/>
                      <w:sz w:val="18"/>
                      <w:szCs w:val="18"/>
                    </w:rPr>
                  </w:pPr>
                  <w:r>
                    <w:rPr>
                      <w:rFonts w:hint="default"/>
                      <w:color w:val="auto"/>
                      <w:sz w:val="18"/>
                      <w:szCs w:val="18"/>
                    </w:rPr>
                    <w:t>车间封闭、喷雾降尘</w:t>
                  </w:r>
                </w:p>
              </w:tc>
              <w:tc>
                <w:tcPr>
                  <w:tcW w:w="123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p>
              </w:tc>
              <w:tc>
                <w:tcPr>
                  <w:tcW w:w="98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p>
              </w:tc>
              <w:tc>
                <w:tcPr>
                  <w:tcW w:w="44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4" w:hRule="atLeast"/>
                <w:tblHeader/>
                <w:jc w:val="center"/>
              </w:trPr>
              <w:tc>
                <w:tcPr>
                  <w:tcW w:w="470"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3</w:t>
                  </w:r>
                </w:p>
              </w:tc>
              <w:tc>
                <w:tcPr>
                  <w:tcW w:w="821"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MF0003</w:t>
                  </w:r>
                </w:p>
              </w:tc>
              <w:tc>
                <w:tcPr>
                  <w:tcW w:w="855" w:type="dxa"/>
                  <w:vAlign w:val="center"/>
                </w:tcPr>
                <w:p>
                  <w:pPr>
                    <w:keepNext w:val="0"/>
                    <w:keepLines w:val="0"/>
                    <w:suppressLineNumbers w:val="0"/>
                    <w:adjustRightInd w:val="0"/>
                    <w:snapToGrid w:val="0"/>
                    <w:spacing w:before="0" w:beforeAutospacing="0" w:after="0" w:afterAutospacing="0" w:line="300" w:lineRule="exact"/>
                    <w:ind w:left="0" w:leftChars="0" w:right="0" w:rightChars="0"/>
                    <w:jc w:val="both"/>
                    <w:rPr>
                      <w:rFonts w:hint="default"/>
                      <w:color w:val="auto"/>
                      <w:sz w:val="18"/>
                      <w:szCs w:val="18"/>
                    </w:rPr>
                  </w:pPr>
                  <w:r>
                    <w:rPr>
                      <w:rFonts w:hint="eastAsia"/>
                      <w:color w:val="auto"/>
                      <w:sz w:val="18"/>
                      <w:szCs w:val="18"/>
                      <w:lang w:val="en-US" w:eastAsia="zh-CN"/>
                    </w:rPr>
                    <w:t>中间料仓、输送机</w:t>
                  </w:r>
                </w:p>
              </w:tc>
              <w:tc>
                <w:tcPr>
                  <w:tcW w:w="79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颗粒物</w:t>
                  </w:r>
                </w:p>
              </w:tc>
              <w:tc>
                <w:tcPr>
                  <w:tcW w:w="628"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4.91</w:t>
                  </w:r>
                </w:p>
              </w:tc>
              <w:tc>
                <w:tcPr>
                  <w:tcW w:w="1747" w:type="dxa"/>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color w:val="auto"/>
                      <w:sz w:val="18"/>
                      <w:szCs w:val="18"/>
                    </w:rPr>
                  </w:pPr>
                  <w:r>
                    <w:rPr>
                      <w:rFonts w:hint="default"/>
                      <w:color w:val="auto"/>
                      <w:sz w:val="18"/>
                      <w:szCs w:val="18"/>
                    </w:rPr>
                    <w:t>车间封闭、喷雾降尘</w:t>
                  </w:r>
                </w:p>
              </w:tc>
              <w:tc>
                <w:tcPr>
                  <w:tcW w:w="123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bCs/>
                      <w:color w:val="auto"/>
                      <w:kern w:val="0"/>
                      <w:sz w:val="18"/>
                      <w:szCs w:val="18"/>
                    </w:rPr>
                  </w:pPr>
                </w:p>
              </w:tc>
              <w:tc>
                <w:tcPr>
                  <w:tcW w:w="98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p>
              </w:tc>
              <w:tc>
                <w:tcPr>
                  <w:tcW w:w="44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4" w:hRule="atLeast"/>
                <w:tblHeader/>
                <w:jc w:val="center"/>
              </w:trPr>
              <w:tc>
                <w:tcPr>
                  <w:tcW w:w="470"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4</w:t>
                  </w:r>
                </w:p>
              </w:tc>
              <w:tc>
                <w:tcPr>
                  <w:tcW w:w="821"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MF000</w:t>
                  </w:r>
                  <w:r>
                    <w:rPr>
                      <w:rFonts w:hint="default"/>
                      <w:color w:val="auto"/>
                      <w:sz w:val="18"/>
                      <w:szCs w:val="18"/>
                    </w:rPr>
                    <w:t>4</w:t>
                  </w:r>
                </w:p>
              </w:tc>
              <w:tc>
                <w:tcPr>
                  <w:tcW w:w="855" w:type="dxa"/>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color w:val="auto"/>
                      <w:sz w:val="18"/>
                      <w:szCs w:val="18"/>
                    </w:rPr>
                  </w:pPr>
                  <w:r>
                    <w:rPr>
                      <w:rFonts w:hint="default"/>
                      <w:color w:val="auto"/>
                      <w:sz w:val="18"/>
                      <w:szCs w:val="18"/>
                    </w:rPr>
                    <w:t>颚破机、</w:t>
                  </w:r>
                  <w:r>
                    <w:rPr>
                      <w:rFonts w:hint="eastAsia"/>
                      <w:color w:val="auto"/>
                      <w:sz w:val="18"/>
                      <w:szCs w:val="18"/>
                      <w:lang w:val="en-US" w:eastAsia="zh-CN"/>
                    </w:rPr>
                    <w:t>反击</w:t>
                  </w:r>
                  <w:r>
                    <w:rPr>
                      <w:rFonts w:hint="default"/>
                      <w:color w:val="auto"/>
                      <w:sz w:val="18"/>
                      <w:szCs w:val="18"/>
                    </w:rPr>
                    <w:t>破</w:t>
                  </w:r>
                </w:p>
              </w:tc>
              <w:tc>
                <w:tcPr>
                  <w:tcW w:w="79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21"/>
                    </w:rPr>
                  </w:pPr>
                  <w:r>
                    <w:rPr>
                      <w:rFonts w:hint="eastAsia"/>
                      <w:color w:val="auto"/>
                      <w:sz w:val="18"/>
                      <w:szCs w:val="18"/>
                    </w:rPr>
                    <w:t>颗粒物</w:t>
                  </w:r>
                </w:p>
              </w:tc>
              <w:tc>
                <w:tcPr>
                  <w:tcW w:w="628"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eastAsia="宋体"/>
                      <w:color w:val="auto"/>
                      <w:sz w:val="18"/>
                      <w:szCs w:val="21"/>
                      <w:lang w:val="en-US" w:eastAsia="zh-CN"/>
                    </w:rPr>
                  </w:pPr>
                  <w:r>
                    <w:rPr>
                      <w:rFonts w:hint="eastAsia"/>
                      <w:color w:val="auto"/>
                      <w:sz w:val="18"/>
                      <w:szCs w:val="21"/>
                      <w:lang w:val="en-US" w:eastAsia="zh-CN"/>
                    </w:rPr>
                    <w:t>6.14</w:t>
                  </w:r>
                </w:p>
              </w:tc>
              <w:tc>
                <w:tcPr>
                  <w:tcW w:w="1747" w:type="dxa"/>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color w:val="auto"/>
                      <w:sz w:val="18"/>
                      <w:szCs w:val="18"/>
                    </w:rPr>
                  </w:pPr>
                  <w:r>
                    <w:rPr>
                      <w:rFonts w:hint="default"/>
                      <w:color w:val="auto"/>
                      <w:sz w:val="18"/>
                      <w:szCs w:val="18"/>
                    </w:rPr>
                    <w:t>车间封闭、</w:t>
                  </w:r>
                  <w:r>
                    <w:rPr>
                      <w:rFonts w:hint="eastAsia"/>
                      <w:color w:val="auto"/>
                      <w:sz w:val="18"/>
                      <w:szCs w:val="18"/>
                      <w:lang w:val="en-US" w:eastAsia="zh-CN"/>
                    </w:rPr>
                    <w:t>喷水降尘、密闭型设备</w:t>
                  </w:r>
                </w:p>
              </w:tc>
              <w:tc>
                <w:tcPr>
                  <w:tcW w:w="123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bCs/>
                      <w:color w:val="auto"/>
                      <w:kern w:val="0"/>
                      <w:sz w:val="18"/>
                      <w:szCs w:val="18"/>
                    </w:rPr>
                  </w:pPr>
                </w:p>
              </w:tc>
              <w:tc>
                <w:tcPr>
                  <w:tcW w:w="98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21"/>
                    </w:rPr>
                  </w:pPr>
                </w:p>
              </w:tc>
              <w:tc>
                <w:tcPr>
                  <w:tcW w:w="44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4" w:hRule="atLeast"/>
                <w:tblHeader/>
                <w:jc w:val="center"/>
              </w:trPr>
              <w:tc>
                <w:tcPr>
                  <w:tcW w:w="470"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5</w:t>
                  </w:r>
                </w:p>
              </w:tc>
              <w:tc>
                <w:tcPr>
                  <w:tcW w:w="821"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MF000</w:t>
                  </w:r>
                  <w:r>
                    <w:rPr>
                      <w:rFonts w:hint="default"/>
                      <w:color w:val="auto"/>
                      <w:sz w:val="18"/>
                      <w:szCs w:val="18"/>
                    </w:rPr>
                    <w:t>5</w:t>
                  </w:r>
                </w:p>
              </w:tc>
              <w:tc>
                <w:tcPr>
                  <w:tcW w:w="855" w:type="dxa"/>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color w:val="auto"/>
                      <w:sz w:val="18"/>
                      <w:szCs w:val="18"/>
                    </w:rPr>
                  </w:pPr>
                  <w:r>
                    <w:rPr>
                      <w:rFonts w:hint="default"/>
                      <w:color w:val="auto"/>
                      <w:sz w:val="18"/>
                      <w:szCs w:val="18"/>
                    </w:rPr>
                    <w:t>振动筛、</w:t>
                  </w:r>
                  <w:r>
                    <w:rPr>
                      <w:rFonts w:hint="eastAsia"/>
                      <w:color w:val="auto"/>
                      <w:sz w:val="18"/>
                      <w:szCs w:val="18"/>
                      <w:lang w:val="en-US" w:eastAsia="zh-CN"/>
                    </w:rPr>
                    <w:t>制砂机</w:t>
                  </w:r>
                </w:p>
              </w:tc>
              <w:tc>
                <w:tcPr>
                  <w:tcW w:w="79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21"/>
                    </w:rPr>
                  </w:pPr>
                  <w:r>
                    <w:rPr>
                      <w:rFonts w:hint="eastAsia"/>
                      <w:color w:val="auto"/>
                      <w:sz w:val="18"/>
                      <w:szCs w:val="18"/>
                    </w:rPr>
                    <w:t>颗粒物</w:t>
                  </w:r>
                </w:p>
              </w:tc>
              <w:tc>
                <w:tcPr>
                  <w:tcW w:w="628"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21"/>
                    </w:rPr>
                  </w:pPr>
                  <w:r>
                    <w:rPr>
                      <w:rFonts w:hint="eastAsia"/>
                      <w:color w:val="auto"/>
                      <w:sz w:val="18"/>
                      <w:szCs w:val="21"/>
                    </w:rPr>
                    <w:t>/</w:t>
                  </w:r>
                </w:p>
              </w:tc>
              <w:tc>
                <w:tcPr>
                  <w:tcW w:w="1747" w:type="dxa"/>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color w:val="auto"/>
                      <w:sz w:val="18"/>
                      <w:szCs w:val="18"/>
                    </w:rPr>
                  </w:pPr>
                  <w:r>
                    <w:rPr>
                      <w:rFonts w:hint="eastAsia"/>
                      <w:color w:val="auto"/>
                      <w:sz w:val="18"/>
                      <w:szCs w:val="18"/>
                    </w:rPr>
                    <w:t>车间封闭、湿法作业</w:t>
                  </w:r>
                </w:p>
              </w:tc>
              <w:tc>
                <w:tcPr>
                  <w:tcW w:w="123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bCs/>
                      <w:color w:val="auto"/>
                      <w:kern w:val="0"/>
                      <w:sz w:val="18"/>
                      <w:szCs w:val="18"/>
                    </w:rPr>
                  </w:pPr>
                </w:p>
              </w:tc>
              <w:tc>
                <w:tcPr>
                  <w:tcW w:w="98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21"/>
                    </w:rPr>
                  </w:pPr>
                </w:p>
              </w:tc>
              <w:tc>
                <w:tcPr>
                  <w:tcW w:w="44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4" w:hRule="atLeast"/>
                <w:tblHeader/>
                <w:jc w:val="center"/>
              </w:trPr>
              <w:tc>
                <w:tcPr>
                  <w:tcW w:w="470"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eastAsia="宋体"/>
                      <w:color w:val="auto"/>
                      <w:sz w:val="18"/>
                      <w:szCs w:val="18"/>
                      <w:lang w:val="en-US" w:eastAsia="zh-CN"/>
                    </w:rPr>
                  </w:pPr>
                  <w:r>
                    <w:rPr>
                      <w:rFonts w:hint="eastAsia"/>
                      <w:color w:val="auto"/>
                      <w:sz w:val="18"/>
                      <w:szCs w:val="18"/>
                      <w:lang w:val="en-US" w:eastAsia="zh-CN"/>
                    </w:rPr>
                    <w:t>6</w:t>
                  </w:r>
                </w:p>
              </w:tc>
              <w:tc>
                <w:tcPr>
                  <w:tcW w:w="821"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color w:val="auto"/>
                      <w:sz w:val="18"/>
                      <w:szCs w:val="18"/>
                    </w:rPr>
                  </w:pPr>
                  <w:r>
                    <w:rPr>
                      <w:rFonts w:hint="eastAsia"/>
                      <w:color w:val="auto"/>
                      <w:sz w:val="18"/>
                      <w:szCs w:val="18"/>
                    </w:rPr>
                    <w:t>MF000</w:t>
                  </w:r>
                  <w:r>
                    <w:rPr>
                      <w:rFonts w:hint="default"/>
                      <w:color w:val="auto"/>
                      <w:sz w:val="18"/>
                      <w:szCs w:val="18"/>
                    </w:rPr>
                    <w:t>6</w:t>
                  </w:r>
                </w:p>
              </w:tc>
              <w:tc>
                <w:tcPr>
                  <w:tcW w:w="855" w:type="dxa"/>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color w:val="auto"/>
                      <w:sz w:val="18"/>
                      <w:szCs w:val="18"/>
                    </w:rPr>
                  </w:pPr>
                  <w:r>
                    <w:rPr>
                      <w:rFonts w:hint="eastAsia"/>
                      <w:color w:val="auto"/>
                      <w:sz w:val="18"/>
                      <w:szCs w:val="18"/>
                      <w:lang w:val="en-US" w:eastAsia="zh-CN"/>
                    </w:rPr>
                    <w:t>产品库</w:t>
                  </w:r>
                </w:p>
              </w:tc>
              <w:tc>
                <w:tcPr>
                  <w:tcW w:w="79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color w:val="auto"/>
                      <w:sz w:val="18"/>
                      <w:szCs w:val="18"/>
                    </w:rPr>
                  </w:pPr>
                  <w:r>
                    <w:rPr>
                      <w:rFonts w:hint="eastAsia"/>
                      <w:color w:val="auto"/>
                      <w:sz w:val="18"/>
                      <w:szCs w:val="18"/>
                    </w:rPr>
                    <w:t>颗粒物</w:t>
                  </w:r>
                </w:p>
              </w:tc>
              <w:tc>
                <w:tcPr>
                  <w:tcW w:w="628"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eastAsia="宋体"/>
                      <w:color w:val="auto"/>
                      <w:sz w:val="18"/>
                      <w:szCs w:val="21"/>
                      <w:lang w:val="en-US" w:eastAsia="zh-CN"/>
                    </w:rPr>
                  </w:pPr>
                  <w:r>
                    <w:rPr>
                      <w:rFonts w:hint="eastAsia"/>
                      <w:color w:val="auto"/>
                      <w:sz w:val="18"/>
                      <w:szCs w:val="21"/>
                      <w:lang w:val="en-US" w:eastAsia="zh-CN"/>
                    </w:rPr>
                    <w:t>/</w:t>
                  </w:r>
                </w:p>
              </w:tc>
              <w:tc>
                <w:tcPr>
                  <w:tcW w:w="1747" w:type="dxa"/>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color w:val="auto"/>
                      <w:sz w:val="18"/>
                      <w:szCs w:val="18"/>
                    </w:rPr>
                  </w:pPr>
                  <w:r>
                    <w:rPr>
                      <w:rFonts w:hint="default"/>
                      <w:color w:val="auto"/>
                      <w:sz w:val="18"/>
                      <w:szCs w:val="18"/>
                    </w:rPr>
                    <w:t>车间封闭、喷雾降尘</w:t>
                  </w:r>
                </w:p>
              </w:tc>
              <w:tc>
                <w:tcPr>
                  <w:tcW w:w="123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bCs/>
                      <w:color w:val="auto"/>
                      <w:kern w:val="0"/>
                      <w:sz w:val="18"/>
                      <w:szCs w:val="18"/>
                    </w:rPr>
                  </w:pPr>
                </w:p>
              </w:tc>
              <w:tc>
                <w:tcPr>
                  <w:tcW w:w="98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21"/>
                    </w:rPr>
                  </w:pPr>
                </w:p>
              </w:tc>
              <w:tc>
                <w:tcPr>
                  <w:tcW w:w="44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eastAsia="宋体"/>
                      <w:color w:val="auto"/>
                      <w:sz w:val="18"/>
                      <w:szCs w:val="18"/>
                      <w:lang w:val="en-US" w:eastAsia="zh-CN"/>
                    </w:rPr>
                  </w:pPr>
                  <w:r>
                    <w:rPr>
                      <w:rFonts w:hint="eastAsia"/>
                      <w:color w:val="auto"/>
                      <w:sz w:val="18"/>
                      <w:szCs w:val="18"/>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4" w:hRule="atLeast"/>
                <w:tblHeader/>
                <w:jc w:val="center"/>
              </w:trPr>
              <w:tc>
                <w:tcPr>
                  <w:tcW w:w="470"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eastAsia="宋体"/>
                      <w:color w:val="auto"/>
                      <w:sz w:val="18"/>
                      <w:szCs w:val="18"/>
                      <w:lang w:eastAsia="zh-CN"/>
                    </w:rPr>
                  </w:pPr>
                  <w:r>
                    <w:rPr>
                      <w:rFonts w:hint="eastAsia"/>
                      <w:color w:val="auto"/>
                      <w:sz w:val="18"/>
                      <w:szCs w:val="18"/>
                      <w:lang w:val="en-US" w:eastAsia="zh-CN"/>
                    </w:rPr>
                    <w:t>7</w:t>
                  </w:r>
                </w:p>
              </w:tc>
              <w:tc>
                <w:tcPr>
                  <w:tcW w:w="821"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eastAsia="宋体"/>
                      <w:color w:val="auto"/>
                      <w:sz w:val="18"/>
                      <w:szCs w:val="18"/>
                      <w:lang w:eastAsia="zh-CN"/>
                    </w:rPr>
                  </w:pPr>
                  <w:r>
                    <w:rPr>
                      <w:rFonts w:hint="eastAsia"/>
                      <w:color w:val="auto"/>
                      <w:sz w:val="18"/>
                      <w:szCs w:val="18"/>
                    </w:rPr>
                    <w:t>MF000</w:t>
                  </w:r>
                  <w:r>
                    <w:rPr>
                      <w:rFonts w:hint="eastAsia"/>
                      <w:color w:val="auto"/>
                      <w:sz w:val="18"/>
                      <w:szCs w:val="18"/>
                      <w:lang w:val="en-US" w:eastAsia="zh-CN"/>
                    </w:rPr>
                    <w:t>7</w:t>
                  </w:r>
                </w:p>
              </w:tc>
              <w:tc>
                <w:tcPr>
                  <w:tcW w:w="855" w:type="dxa"/>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color w:val="auto"/>
                      <w:sz w:val="18"/>
                      <w:szCs w:val="18"/>
                    </w:rPr>
                  </w:pPr>
                  <w:r>
                    <w:rPr>
                      <w:rFonts w:hint="eastAsia"/>
                      <w:color w:val="auto"/>
                      <w:sz w:val="18"/>
                      <w:szCs w:val="18"/>
                    </w:rPr>
                    <w:t>运输车辆</w:t>
                  </w:r>
                </w:p>
              </w:tc>
              <w:tc>
                <w:tcPr>
                  <w:tcW w:w="79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颗粒物</w:t>
                  </w:r>
                </w:p>
              </w:tc>
              <w:tc>
                <w:tcPr>
                  <w:tcW w:w="628"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21"/>
                    </w:rPr>
                  </w:pPr>
                  <w:r>
                    <w:rPr>
                      <w:rFonts w:hint="eastAsia"/>
                      <w:color w:val="auto"/>
                      <w:sz w:val="18"/>
                      <w:szCs w:val="21"/>
                    </w:rPr>
                    <w:t>/</w:t>
                  </w:r>
                </w:p>
              </w:tc>
              <w:tc>
                <w:tcPr>
                  <w:tcW w:w="1747" w:type="dxa"/>
                  <w:vAlign w:val="center"/>
                </w:tcPr>
                <w:p>
                  <w:pPr>
                    <w:keepNext w:val="0"/>
                    <w:keepLines w:val="0"/>
                    <w:suppressLineNumbers w:val="0"/>
                    <w:adjustRightInd w:val="0"/>
                    <w:snapToGrid w:val="0"/>
                    <w:spacing w:before="0" w:beforeAutospacing="0" w:after="0" w:afterAutospacing="0" w:line="300" w:lineRule="exact"/>
                    <w:ind w:left="0" w:leftChars="0" w:right="0" w:rightChars="0"/>
                    <w:jc w:val="center"/>
                    <w:rPr>
                      <w:rFonts w:hint="default"/>
                      <w:color w:val="auto"/>
                      <w:sz w:val="18"/>
                      <w:szCs w:val="18"/>
                    </w:rPr>
                  </w:pPr>
                  <w:r>
                    <w:rPr>
                      <w:rFonts w:hint="eastAsia"/>
                      <w:color w:val="auto"/>
                      <w:sz w:val="18"/>
                      <w:szCs w:val="18"/>
                    </w:rPr>
                    <w:t>地面硬化、车辆冲洗</w:t>
                  </w:r>
                </w:p>
              </w:tc>
              <w:tc>
                <w:tcPr>
                  <w:tcW w:w="123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bCs/>
                      <w:color w:val="auto"/>
                      <w:kern w:val="0"/>
                      <w:sz w:val="18"/>
                      <w:szCs w:val="18"/>
                    </w:rPr>
                  </w:pPr>
                </w:p>
              </w:tc>
              <w:tc>
                <w:tcPr>
                  <w:tcW w:w="985" w:type="dxa"/>
                  <w:vMerge w:val="continue"/>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21"/>
                    </w:rPr>
                  </w:pPr>
                </w:p>
              </w:tc>
              <w:tc>
                <w:tcPr>
                  <w:tcW w:w="445"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r>
          </w:tbl>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cs="宋体"/>
                <w:b/>
                <w:color w:val="auto"/>
                <w:kern w:val="0"/>
                <w:szCs w:val="21"/>
              </w:rPr>
            </w:pPr>
            <w:r>
              <w:rPr>
                <w:rFonts w:hint="eastAsia" w:cs="宋体"/>
                <w:b/>
                <w:color w:val="auto"/>
                <w:kern w:val="0"/>
                <w:szCs w:val="21"/>
              </w:rPr>
              <w:t>1.3废气治理措施可行性分析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《排污许可证申请与核发技术规范 陶瓷砖瓦工业》（HJ954-2018）适用于陶瓷工业、砖瓦工业排污单位排放的大气污染物和水污染物的排污许可管理；也适用于防水建筑材料工业、隔热和隔音材料工业以及建筑用石加工工业等排污单位排放的大气污染物和水污染物的排污许可管理。参照HJ 954-2018中“6.2.1 可行技术”可知，其他制品类工业排污单位废气污染防治可行技术如下：</w:t>
            </w:r>
          </w:p>
          <w:p>
            <w:pPr>
              <w:keepNext w:val="0"/>
              <w:keepLines w:val="0"/>
              <w:suppressLineNumbers w:val="0"/>
              <w:spacing w:before="0" w:beforeAutospacing="0" w:after="0" w:afterAutospacing="0" w:line="340" w:lineRule="exact"/>
              <w:ind w:left="0" w:right="0"/>
              <w:jc w:val="center"/>
              <w:rPr>
                <w:rFonts w:hint="default" w:ascii="宋体" w:hAnsi="宋体"/>
                <w:b/>
                <w:bCs/>
                <w:color w:val="auto"/>
                <w:sz w:val="18"/>
              </w:rPr>
            </w:pPr>
          </w:p>
          <w:p>
            <w:pPr>
              <w:keepNext w:val="0"/>
              <w:keepLines w:val="0"/>
              <w:suppressLineNumbers w:val="0"/>
              <w:spacing w:before="0" w:beforeAutospacing="0" w:after="0" w:afterAutospacing="0" w:line="340" w:lineRule="exact"/>
              <w:ind w:left="0" w:right="0"/>
              <w:jc w:val="center"/>
              <w:rPr>
                <w:rFonts w:hint="default" w:ascii="宋体" w:hAnsi="宋体"/>
                <w:b/>
                <w:bCs/>
                <w:color w:val="auto"/>
                <w:sz w:val="18"/>
                <w:szCs w:val="21"/>
              </w:rPr>
            </w:pPr>
            <w:r>
              <w:rPr>
                <w:rFonts w:hint="default" w:ascii="宋体" w:hAnsi="宋体"/>
                <w:b/>
                <w:bCs/>
                <w:color w:val="auto"/>
                <w:sz w:val="18"/>
              </w:rPr>
              <w:t>表</w:t>
            </w:r>
            <w:r>
              <w:rPr>
                <w:rFonts w:hint="default"/>
                <w:b/>
                <w:bCs/>
                <w:color w:val="auto"/>
                <w:sz w:val="18"/>
              </w:rPr>
              <w:t>4-</w:t>
            </w:r>
            <w:r>
              <w:rPr>
                <w:rFonts w:hint="eastAsia"/>
                <w:b/>
                <w:bCs/>
                <w:color w:val="auto"/>
                <w:sz w:val="18"/>
              </w:rPr>
              <w:t xml:space="preserve">5    </w:t>
            </w:r>
            <w:r>
              <w:rPr>
                <w:rFonts w:hint="eastAsia" w:ascii="黑体" w:hAnsi="黑体" w:eastAsia="黑体"/>
                <w:bCs/>
                <w:color w:val="auto"/>
                <w:sz w:val="18"/>
                <w:szCs w:val="20"/>
              </w:rPr>
              <w:t>其他制品类工业排污单位废气污染防治可行技术</w:t>
            </w:r>
          </w:p>
          <w:tbl>
            <w:tblPr>
              <w:tblStyle w:val="14"/>
              <w:tblW w:w="78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3152"/>
              <w:gridCol w:w="1500"/>
              <w:gridCol w:w="2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908" w:type="dxa"/>
                  <w:vAlign w:val="center"/>
                </w:tcPr>
                <w:p>
                  <w:pPr>
                    <w:keepNext w:val="0"/>
                    <w:keepLines w:val="0"/>
                    <w:suppressLineNumbers w:val="0"/>
                    <w:spacing w:before="0" w:beforeAutospacing="0" w:after="0" w:afterAutospacing="0" w:line="280" w:lineRule="exact"/>
                    <w:ind w:left="0" w:right="0"/>
                    <w:jc w:val="center"/>
                    <w:rPr>
                      <w:rFonts w:hint="default" w:ascii="宋体" w:hAnsi="宋体"/>
                      <w:b/>
                      <w:bCs/>
                      <w:color w:val="auto"/>
                      <w:sz w:val="18"/>
                    </w:rPr>
                  </w:pPr>
                  <w:r>
                    <w:rPr>
                      <w:rFonts w:hint="eastAsia" w:ascii="宋体" w:hAnsi="宋体"/>
                      <w:b/>
                      <w:bCs/>
                      <w:color w:val="auto"/>
                      <w:sz w:val="18"/>
                    </w:rPr>
                    <w:t>排放口</w:t>
                  </w:r>
                </w:p>
              </w:tc>
              <w:tc>
                <w:tcPr>
                  <w:tcW w:w="3152" w:type="dxa"/>
                  <w:vAlign w:val="center"/>
                </w:tcPr>
                <w:p>
                  <w:pPr>
                    <w:keepNext w:val="0"/>
                    <w:keepLines w:val="0"/>
                    <w:suppressLineNumbers w:val="0"/>
                    <w:spacing w:before="0" w:beforeAutospacing="0" w:after="0" w:afterAutospacing="0" w:line="280" w:lineRule="exact"/>
                    <w:ind w:left="0" w:right="0"/>
                    <w:jc w:val="center"/>
                    <w:rPr>
                      <w:rFonts w:hint="default" w:ascii="宋体" w:hAnsi="宋体"/>
                      <w:b/>
                      <w:bCs/>
                      <w:color w:val="auto"/>
                      <w:sz w:val="18"/>
                    </w:rPr>
                  </w:pPr>
                  <w:r>
                    <w:rPr>
                      <w:rFonts w:hint="eastAsia" w:ascii="宋体" w:hAnsi="宋体"/>
                      <w:b/>
                      <w:bCs/>
                      <w:color w:val="auto"/>
                      <w:sz w:val="18"/>
                    </w:rPr>
                    <w:t>主要污染物</w:t>
                  </w:r>
                </w:p>
              </w:tc>
              <w:tc>
                <w:tcPr>
                  <w:tcW w:w="1500" w:type="dxa"/>
                  <w:vAlign w:val="center"/>
                </w:tcPr>
                <w:p>
                  <w:pPr>
                    <w:keepNext w:val="0"/>
                    <w:keepLines w:val="0"/>
                    <w:suppressLineNumbers w:val="0"/>
                    <w:spacing w:before="0" w:beforeAutospacing="0" w:after="0" w:afterAutospacing="0" w:line="280" w:lineRule="exact"/>
                    <w:ind w:left="0" w:right="0"/>
                    <w:jc w:val="center"/>
                    <w:rPr>
                      <w:rFonts w:hint="default" w:ascii="宋体" w:hAnsi="宋体"/>
                      <w:b/>
                      <w:bCs/>
                      <w:color w:val="auto"/>
                      <w:sz w:val="18"/>
                    </w:rPr>
                  </w:pPr>
                  <w:r>
                    <w:rPr>
                      <w:rFonts w:hint="eastAsia" w:ascii="宋体" w:hAnsi="宋体"/>
                      <w:b/>
                      <w:bCs/>
                      <w:color w:val="auto"/>
                      <w:sz w:val="18"/>
                    </w:rPr>
                    <w:t>主要污染物</w:t>
                  </w:r>
                </w:p>
              </w:tc>
              <w:tc>
                <w:tcPr>
                  <w:tcW w:w="2255" w:type="dxa"/>
                  <w:vAlign w:val="center"/>
                </w:tcPr>
                <w:p>
                  <w:pPr>
                    <w:keepNext w:val="0"/>
                    <w:keepLines w:val="0"/>
                    <w:suppressLineNumbers w:val="0"/>
                    <w:spacing w:before="0" w:beforeAutospacing="0" w:after="0" w:afterAutospacing="0" w:line="280" w:lineRule="exact"/>
                    <w:ind w:left="0" w:right="0"/>
                    <w:jc w:val="center"/>
                    <w:rPr>
                      <w:rFonts w:hint="default" w:ascii="宋体" w:hAnsi="宋体"/>
                      <w:b/>
                      <w:bCs/>
                      <w:color w:val="auto"/>
                      <w:sz w:val="18"/>
                    </w:rPr>
                  </w:pPr>
                  <w:r>
                    <w:rPr>
                      <w:rFonts w:hint="eastAsia" w:ascii="宋体" w:hAnsi="宋体"/>
                      <w:b/>
                      <w:bCs/>
                      <w:color w:val="auto"/>
                      <w:sz w:val="18"/>
                    </w:rPr>
                    <w:t>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jc w:val="center"/>
              </w:trPr>
              <w:tc>
                <w:tcPr>
                  <w:tcW w:w="908" w:type="dxa"/>
                  <w:vAlign w:val="center"/>
                </w:tcPr>
                <w:p>
                  <w:pPr>
                    <w:keepNext w:val="0"/>
                    <w:keepLines w:val="0"/>
                    <w:suppressLineNumbers w:val="0"/>
                    <w:spacing w:before="0" w:beforeAutospacing="0" w:after="0" w:afterAutospacing="0" w:line="280" w:lineRule="exact"/>
                    <w:ind w:left="0" w:right="0"/>
                    <w:jc w:val="center"/>
                    <w:rPr>
                      <w:rFonts w:hint="default" w:ascii="宋体" w:hAnsi="宋体"/>
                      <w:color w:val="auto"/>
                      <w:sz w:val="18"/>
                    </w:rPr>
                  </w:pPr>
                  <w:r>
                    <w:rPr>
                      <w:rFonts w:hint="eastAsia" w:ascii="宋体" w:hAnsi="宋体"/>
                      <w:color w:val="auto"/>
                      <w:sz w:val="18"/>
                    </w:rPr>
                    <w:t>生产过程</w:t>
                  </w:r>
                </w:p>
              </w:tc>
              <w:tc>
                <w:tcPr>
                  <w:tcW w:w="3152" w:type="dxa"/>
                  <w:vAlign w:val="center"/>
                </w:tcPr>
                <w:p>
                  <w:pPr>
                    <w:keepNext w:val="0"/>
                    <w:keepLines w:val="0"/>
                    <w:suppressLineNumbers w:val="0"/>
                    <w:spacing w:before="0" w:beforeAutospacing="0" w:after="0" w:afterAutospacing="0" w:line="280" w:lineRule="exact"/>
                    <w:ind w:left="0" w:right="0"/>
                    <w:jc w:val="center"/>
                    <w:rPr>
                      <w:rFonts w:hint="default" w:ascii="宋体" w:hAnsi="宋体"/>
                      <w:color w:val="auto"/>
                      <w:sz w:val="18"/>
                    </w:rPr>
                  </w:pPr>
                  <w:r>
                    <w:rPr>
                      <w:rFonts w:hint="eastAsia" w:ascii="宋体" w:hAnsi="宋体"/>
                      <w:color w:val="auto"/>
                      <w:sz w:val="18"/>
                    </w:rPr>
                    <w:t>生产过程中破碎机、搅拌机、成型机、其他废气收集装置等对应排放口</w:t>
                  </w:r>
                </w:p>
              </w:tc>
              <w:tc>
                <w:tcPr>
                  <w:tcW w:w="1500"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rPr>
                  </w:pPr>
                  <w:r>
                    <w:rPr>
                      <w:rFonts w:hint="eastAsia" w:ascii="宋体" w:hAnsi="宋体"/>
                      <w:color w:val="auto"/>
                      <w:sz w:val="18"/>
                    </w:rPr>
                    <w:t>颗粒物</w:t>
                  </w:r>
                </w:p>
              </w:tc>
              <w:tc>
                <w:tcPr>
                  <w:tcW w:w="2255" w:type="dxa"/>
                  <w:vAlign w:val="center"/>
                </w:tcPr>
                <w:p>
                  <w:pPr>
                    <w:keepNext w:val="0"/>
                    <w:keepLines w:val="0"/>
                    <w:suppressLineNumbers w:val="0"/>
                    <w:spacing w:before="0" w:beforeAutospacing="0" w:after="0" w:afterAutospacing="0" w:line="280" w:lineRule="exact"/>
                    <w:ind w:left="0" w:right="0"/>
                    <w:jc w:val="center"/>
                    <w:rPr>
                      <w:rFonts w:hint="default"/>
                      <w:color w:val="auto"/>
                      <w:sz w:val="18"/>
                    </w:rPr>
                  </w:pPr>
                  <w:r>
                    <w:rPr>
                      <w:rFonts w:hint="eastAsia" w:ascii="宋体" w:hAnsi="宋体"/>
                      <w:color w:val="auto"/>
                      <w:sz w:val="18"/>
                    </w:rPr>
                    <w:t>湿法作业或采用袋式除尘等技术</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本项目为湿法作业；同时项目通过设置封闭式厂房，将给料机、破碎机、传送带等生产设备均布置在封闭式车间内，设置能够覆盖粉尘产生环节的喷雾抑尘装置，能够有效降低粉尘影响，属于上述可行性技术中“湿法作业”的范畴，因此项目采取的废气治理措施属于可行性技术。</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cs="宋体"/>
                <w:b/>
                <w:color w:val="auto"/>
                <w:kern w:val="0"/>
                <w:szCs w:val="21"/>
              </w:rPr>
            </w:pPr>
            <w:r>
              <w:rPr>
                <w:rFonts w:hint="eastAsia" w:cs="宋体"/>
                <w:b/>
                <w:color w:val="auto"/>
                <w:kern w:val="0"/>
                <w:szCs w:val="21"/>
              </w:rPr>
              <w:t>1</w:t>
            </w:r>
            <w:r>
              <w:rPr>
                <w:rFonts w:hint="default" w:cs="宋体"/>
                <w:b/>
                <w:color w:val="auto"/>
                <w:kern w:val="0"/>
                <w:szCs w:val="21"/>
              </w:rPr>
              <w:t>.4</w:t>
            </w:r>
            <w:r>
              <w:rPr>
                <w:rFonts w:hint="eastAsia" w:cs="宋体"/>
                <w:b/>
                <w:color w:val="auto"/>
                <w:kern w:val="0"/>
                <w:szCs w:val="21"/>
              </w:rPr>
              <w:t>监测计划</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cs="宋体"/>
                <w:color w:val="auto"/>
                <w:kern w:val="0"/>
                <w:szCs w:val="21"/>
              </w:rPr>
              <w:t>根据《排污单位自行监测技术指南 总则》（HJ8</w:t>
            </w:r>
            <w:r>
              <w:rPr>
                <w:rFonts w:hint="eastAsia" w:cs="宋体"/>
                <w:color w:val="auto"/>
                <w:kern w:val="0"/>
                <w:szCs w:val="21"/>
              </w:rPr>
              <w:t>1</w:t>
            </w:r>
            <w:r>
              <w:rPr>
                <w:rFonts w:hint="default" w:cs="宋体"/>
                <w:color w:val="auto"/>
                <w:kern w:val="0"/>
                <w:szCs w:val="21"/>
              </w:rPr>
              <w:t>9-2017）并参考</w:t>
            </w:r>
            <w:r>
              <w:rPr>
                <w:rFonts w:hint="eastAsia" w:cs="宋体"/>
                <w:color w:val="auto"/>
                <w:kern w:val="0"/>
                <w:szCs w:val="21"/>
              </w:rPr>
              <w:t>《排污许可证申请与核发技术规范 陶瓷砖瓦工业》（HJ 954-2018）。</w:t>
            </w:r>
            <w:r>
              <w:rPr>
                <w:rFonts w:hint="default" w:cs="宋体"/>
                <w:color w:val="auto"/>
                <w:kern w:val="0"/>
                <w:szCs w:val="21"/>
              </w:rPr>
              <w:t>结合本项目污染物的特点，制定营运期监测计划见</w:t>
            </w:r>
            <w:r>
              <w:rPr>
                <w:rFonts w:hint="eastAsia" w:cs="宋体"/>
                <w:color w:val="auto"/>
                <w:kern w:val="0"/>
                <w:szCs w:val="21"/>
              </w:rPr>
              <w:t>下表</w:t>
            </w:r>
            <w:r>
              <w:rPr>
                <w:rFonts w:hint="default" w:cs="宋体"/>
                <w:color w:val="auto"/>
                <w:kern w:val="0"/>
                <w:szCs w:val="21"/>
              </w:rPr>
              <w:t>。</w:t>
            </w:r>
          </w:p>
          <w:p>
            <w:pPr>
              <w:keepNext w:val="0"/>
              <w:keepLines w:val="0"/>
              <w:suppressLineNumbers w:val="0"/>
              <w:autoSpaceDE w:val="0"/>
              <w:autoSpaceDN w:val="0"/>
              <w:adjustRightInd w:val="0"/>
              <w:spacing w:before="0" w:beforeAutospacing="0" w:after="0" w:afterAutospacing="0" w:line="420" w:lineRule="exact"/>
              <w:ind w:left="0" w:right="0" w:firstLine="465"/>
              <w:jc w:val="center"/>
              <w:rPr>
                <w:rFonts w:hint="default" w:eastAsia="黑体"/>
                <w:bCs/>
                <w:color w:val="auto"/>
                <w:sz w:val="18"/>
                <w:szCs w:val="20"/>
              </w:rPr>
            </w:pPr>
            <w:r>
              <w:rPr>
                <w:rFonts w:hint="default" w:ascii="黑体" w:hAnsi="黑体" w:eastAsia="黑体"/>
                <w:bCs/>
                <w:color w:val="auto"/>
                <w:sz w:val="18"/>
                <w:szCs w:val="20"/>
              </w:rPr>
              <w:t>表</w:t>
            </w:r>
            <w:r>
              <w:rPr>
                <w:rFonts w:hint="eastAsia" w:eastAsia="黑体"/>
                <w:bCs/>
                <w:color w:val="auto"/>
                <w:sz w:val="18"/>
                <w:szCs w:val="20"/>
              </w:rPr>
              <w:t>4-</w:t>
            </w:r>
            <w:r>
              <w:rPr>
                <w:rFonts w:hint="default" w:eastAsia="黑体"/>
                <w:bCs/>
                <w:color w:val="auto"/>
                <w:sz w:val="18"/>
                <w:szCs w:val="20"/>
              </w:rPr>
              <w:t xml:space="preserve">6   </w:t>
            </w:r>
            <w:r>
              <w:rPr>
                <w:rFonts w:hint="default" w:ascii="黑体" w:hAnsi="黑体" w:eastAsia="黑体"/>
                <w:bCs/>
                <w:color w:val="auto"/>
                <w:sz w:val="18"/>
                <w:szCs w:val="20"/>
              </w:rPr>
              <w:t>营运期废气监测计划</w:t>
            </w:r>
          </w:p>
          <w:tbl>
            <w:tblPr>
              <w:tblStyle w:val="14"/>
              <w:tblW w:w="78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469"/>
              <w:gridCol w:w="1104"/>
              <w:gridCol w:w="961"/>
              <w:gridCol w:w="3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943" w:type="dxa"/>
                  <w:vAlign w:val="center"/>
                </w:tcPr>
                <w:p>
                  <w:pPr>
                    <w:keepNext w:val="0"/>
                    <w:keepLines w:val="0"/>
                    <w:suppressLineNumbers w:val="0"/>
                    <w:adjustRightInd w:val="0"/>
                    <w:spacing w:before="0" w:beforeAutospacing="0" w:after="0" w:afterAutospacing="0" w:line="280" w:lineRule="exact"/>
                    <w:ind w:left="0" w:right="0"/>
                    <w:jc w:val="center"/>
                    <w:rPr>
                      <w:rFonts w:hint="default"/>
                      <w:b/>
                      <w:color w:val="auto"/>
                      <w:sz w:val="18"/>
                    </w:rPr>
                  </w:pPr>
                  <w:r>
                    <w:rPr>
                      <w:rFonts w:hint="default" w:ascii="宋体" w:hAnsi="宋体"/>
                      <w:b/>
                      <w:color w:val="auto"/>
                      <w:sz w:val="18"/>
                    </w:rPr>
                    <w:t>类别</w:t>
                  </w:r>
                </w:p>
              </w:tc>
              <w:tc>
                <w:tcPr>
                  <w:tcW w:w="1469" w:type="dxa"/>
                  <w:vAlign w:val="center"/>
                </w:tcPr>
                <w:p>
                  <w:pPr>
                    <w:keepNext w:val="0"/>
                    <w:keepLines w:val="0"/>
                    <w:suppressLineNumbers w:val="0"/>
                    <w:adjustRightInd w:val="0"/>
                    <w:spacing w:before="0" w:beforeAutospacing="0" w:after="0" w:afterAutospacing="0" w:line="280" w:lineRule="exact"/>
                    <w:ind w:left="0" w:right="0"/>
                    <w:jc w:val="center"/>
                    <w:rPr>
                      <w:rFonts w:hint="default" w:ascii="宋体" w:hAnsi="宋体"/>
                      <w:b/>
                      <w:color w:val="auto"/>
                      <w:sz w:val="18"/>
                    </w:rPr>
                  </w:pPr>
                  <w:r>
                    <w:rPr>
                      <w:rFonts w:hint="default" w:ascii="宋体" w:hAnsi="宋体"/>
                      <w:b/>
                      <w:color w:val="auto"/>
                      <w:sz w:val="18"/>
                    </w:rPr>
                    <w:t>监测</w:t>
                  </w:r>
                  <w:r>
                    <w:rPr>
                      <w:rFonts w:hint="eastAsia" w:ascii="宋体" w:hAnsi="宋体"/>
                      <w:b/>
                      <w:color w:val="auto"/>
                      <w:sz w:val="18"/>
                    </w:rPr>
                    <w:t>点位</w:t>
                  </w:r>
                </w:p>
              </w:tc>
              <w:tc>
                <w:tcPr>
                  <w:tcW w:w="1104" w:type="dxa"/>
                  <w:vAlign w:val="center"/>
                </w:tcPr>
                <w:p>
                  <w:pPr>
                    <w:keepNext w:val="0"/>
                    <w:keepLines w:val="0"/>
                    <w:suppressLineNumbers w:val="0"/>
                    <w:adjustRightInd w:val="0"/>
                    <w:spacing w:before="0" w:beforeAutospacing="0" w:after="0" w:afterAutospacing="0" w:line="280" w:lineRule="exact"/>
                    <w:ind w:left="0" w:right="0"/>
                    <w:jc w:val="center"/>
                    <w:rPr>
                      <w:rFonts w:hint="default"/>
                      <w:b/>
                      <w:color w:val="auto"/>
                      <w:sz w:val="18"/>
                    </w:rPr>
                  </w:pPr>
                  <w:r>
                    <w:rPr>
                      <w:rFonts w:hint="default" w:ascii="宋体" w:hAnsi="宋体"/>
                      <w:b/>
                      <w:color w:val="auto"/>
                      <w:sz w:val="18"/>
                    </w:rPr>
                    <w:t>监测因子</w:t>
                  </w:r>
                </w:p>
              </w:tc>
              <w:tc>
                <w:tcPr>
                  <w:tcW w:w="961" w:type="dxa"/>
                  <w:vAlign w:val="center"/>
                </w:tcPr>
                <w:p>
                  <w:pPr>
                    <w:keepNext w:val="0"/>
                    <w:keepLines w:val="0"/>
                    <w:suppressLineNumbers w:val="0"/>
                    <w:adjustRightInd w:val="0"/>
                    <w:spacing w:before="0" w:beforeAutospacing="0" w:after="0" w:afterAutospacing="0" w:line="280" w:lineRule="exact"/>
                    <w:ind w:left="0" w:right="0"/>
                    <w:jc w:val="center"/>
                    <w:rPr>
                      <w:rFonts w:hint="default"/>
                      <w:b/>
                      <w:color w:val="auto"/>
                      <w:sz w:val="18"/>
                    </w:rPr>
                  </w:pPr>
                  <w:r>
                    <w:rPr>
                      <w:rFonts w:hint="default" w:ascii="宋体" w:hAnsi="宋体"/>
                      <w:b/>
                      <w:color w:val="auto"/>
                      <w:sz w:val="18"/>
                    </w:rPr>
                    <w:t>监测频次</w:t>
                  </w:r>
                </w:p>
              </w:tc>
              <w:tc>
                <w:tcPr>
                  <w:tcW w:w="3323" w:type="dxa"/>
                  <w:vAlign w:val="center"/>
                </w:tcPr>
                <w:p>
                  <w:pPr>
                    <w:keepNext w:val="0"/>
                    <w:keepLines w:val="0"/>
                    <w:suppressLineNumbers w:val="0"/>
                    <w:adjustRightInd w:val="0"/>
                    <w:spacing w:before="0" w:beforeAutospacing="0" w:after="0" w:afterAutospacing="0" w:line="280" w:lineRule="exact"/>
                    <w:ind w:left="0" w:right="0"/>
                    <w:jc w:val="center"/>
                    <w:rPr>
                      <w:rFonts w:hint="default" w:ascii="宋体" w:hAnsi="宋体"/>
                      <w:b/>
                      <w:color w:val="auto"/>
                      <w:sz w:val="18"/>
                    </w:rPr>
                  </w:pPr>
                  <w:r>
                    <w:rPr>
                      <w:rFonts w:hint="eastAsia" w:ascii="宋体" w:hAnsi="宋体"/>
                      <w:b/>
                      <w:color w:val="auto"/>
                      <w:sz w:val="18"/>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943" w:type="dxa"/>
                  <w:vAlign w:val="center"/>
                </w:tcPr>
                <w:p>
                  <w:pPr>
                    <w:keepNext w:val="0"/>
                    <w:keepLines w:val="0"/>
                    <w:suppressLineNumbers w:val="0"/>
                    <w:adjustRightInd w:val="0"/>
                    <w:spacing w:before="0" w:beforeAutospacing="0" w:after="0" w:afterAutospacing="0" w:line="280" w:lineRule="exact"/>
                    <w:ind w:left="0" w:right="0"/>
                    <w:jc w:val="center"/>
                    <w:rPr>
                      <w:rFonts w:hint="default" w:ascii="宋体" w:hAnsi="宋体"/>
                      <w:bCs/>
                      <w:color w:val="auto"/>
                      <w:sz w:val="18"/>
                    </w:rPr>
                  </w:pPr>
                  <w:r>
                    <w:rPr>
                      <w:rFonts w:hint="eastAsia" w:ascii="宋体" w:hAnsi="宋体"/>
                      <w:bCs/>
                      <w:color w:val="auto"/>
                      <w:sz w:val="18"/>
                    </w:rPr>
                    <w:t>无组织废气</w:t>
                  </w:r>
                </w:p>
              </w:tc>
              <w:tc>
                <w:tcPr>
                  <w:tcW w:w="1469" w:type="dxa"/>
                  <w:vAlign w:val="center"/>
                </w:tcPr>
                <w:p>
                  <w:pPr>
                    <w:keepNext w:val="0"/>
                    <w:keepLines w:val="0"/>
                    <w:suppressLineNumbers w:val="0"/>
                    <w:adjustRightInd w:val="0"/>
                    <w:spacing w:before="0" w:beforeAutospacing="0" w:after="0" w:afterAutospacing="0" w:line="280" w:lineRule="exact"/>
                    <w:ind w:left="0" w:right="0"/>
                    <w:jc w:val="center"/>
                    <w:rPr>
                      <w:rFonts w:hint="default"/>
                      <w:bCs/>
                      <w:color w:val="auto"/>
                      <w:sz w:val="18"/>
                    </w:rPr>
                  </w:pPr>
                  <w:r>
                    <w:rPr>
                      <w:rFonts w:hint="eastAsia"/>
                      <w:bCs/>
                      <w:color w:val="auto"/>
                      <w:sz w:val="18"/>
                    </w:rPr>
                    <w:t>项目四周厂界</w:t>
                  </w:r>
                </w:p>
              </w:tc>
              <w:tc>
                <w:tcPr>
                  <w:tcW w:w="1104" w:type="dxa"/>
                  <w:vAlign w:val="center"/>
                </w:tcPr>
                <w:p>
                  <w:pPr>
                    <w:keepNext w:val="0"/>
                    <w:keepLines w:val="0"/>
                    <w:suppressLineNumbers w:val="0"/>
                    <w:adjustRightInd w:val="0"/>
                    <w:spacing w:before="0" w:beforeAutospacing="0" w:after="0" w:afterAutospacing="0" w:line="280" w:lineRule="exact"/>
                    <w:ind w:left="0" w:right="0"/>
                    <w:jc w:val="center"/>
                    <w:rPr>
                      <w:rFonts w:hint="default" w:ascii="宋体" w:hAnsi="宋体"/>
                      <w:bCs/>
                      <w:color w:val="auto"/>
                      <w:sz w:val="18"/>
                    </w:rPr>
                  </w:pPr>
                  <w:r>
                    <w:rPr>
                      <w:rFonts w:hint="eastAsia" w:ascii="宋体" w:hAnsi="宋体"/>
                      <w:bCs/>
                      <w:color w:val="auto"/>
                      <w:sz w:val="18"/>
                    </w:rPr>
                    <w:t>颗粒物</w:t>
                  </w:r>
                </w:p>
              </w:tc>
              <w:tc>
                <w:tcPr>
                  <w:tcW w:w="961" w:type="dxa"/>
                  <w:vAlign w:val="center"/>
                </w:tcPr>
                <w:p>
                  <w:pPr>
                    <w:keepNext w:val="0"/>
                    <w:keepLines w:val="0"/>
                    <w:suppressLineNumbers w:val="0"/>
                    <w:adjustRightInd w:val="0"/>
                    <w:spacing w:before="0" w:beforeAutospacing="0" w:after="0" w:afterAutospacing="0" w:line="280" w:lineRule="exact"/>
                    <w:ind w:left="0" w:right="0"/>
                    <w:jc w:val="center"/>
                    <w:rPr>
                      <w:rFonts w:hint="default"/>
                      <w:bCs/>
                      <w:color w:val="auto"/>
                      <w:sz w:val="18"/>
                    </w:rPr>
                  </w:pPr>
                  <w:r>
                    <w:rPr>
                      <w:rFonts w:hint="default"/>
                      <w:color w:val="auto"/>
                      <w:sz w:val="18"/>
                    </w:rPr>
                    <w:t>1</w:t>
                  </w:r>
                  <w:r>
                    <w:rPr>
                      <w:rFonts w:hint="default" w:ascii="宋体" w:hAnsi="宋体"/>
                      <w:color w:val="auto"/>
                      <w:sz w:val="18"/>
                    </w:rPr>
                    <w:t>次</w:t>
                  </w:r>
                  <w:r>
                    <w:rPr>
                      <w:rFonts w:hint="default"/>
                      <w:color w:val="auto"/>
                      <w:sz w:val="18"/>
                    </w:rPr>
                    <w:t>/</w:t>
                  </w:r>
                  <w:r>
                    <w:rPr>
                      <w:rFonts w:hint="default" w:ascii="宋体" w:hAnsi="宋体"/>
                      <w:color w:val="auto"/>
                      <w:sz w:val="18"/>
                    </w:rPr>
                    <w:t>年</w:t>
                  </w:r>
                </w:p>
              </w:tc>
              <w:tc>
                <w:tcPr>
                  <w:tcW w:w="3323" w:type="dxa"/>
                  <w:vAlign w:val="center"/>
                </w:tcPr>
                <w:p>
                  <w:pPr>
                    <w:keepNext w:val="0"/>
                    <w:keepLines w:val="0"/>
                    <w:suppressLineNumbers w:val="0"/>
                    <w:adjustRightInd w:val="0"/>
                    <w:spacing w:before="0" w:beforeAutospacing="0" w:after="0" w:afterAutospacing="0" w:line="280" w:lineRule="exact"/>
                    <w:ind w:left="0" w:right="0"/>
                    <w:jc w:val="center"/>
                    <w:rPr>
                      <w:rFonts w:hint="default"/>
                      <w:color w:val="auto"/>
                      <w:sz w:val="18"/>
                    </w:rPr>
                  </w:pPr>
                  <w:r>
                    <w:rPr>
                      <w:rFonts w:hint="eastAsia" w:ascii="宋体" w:hAnsi="宋体"/>
                      <w:color w:val="auto"/>
                      <w:sz w:val="18"/>
                    </w:rPr>
                    <w:t>《大气污染物综合排放标准》（</w:t>
                  </w:r>
                  <w:r>
                    <w:rPr>
                      <w:rFonts w:hint="eastAsia"/>
                      <w:color w:val="auto"/>
                      <w:sz w:val="18"/>
                    </w:rPr>
                    <w:t>GB16297-1996</w:t>
                  </w:r>
                  <w:r>
                    <w:rPr>
                      <w:rFonts w:hint="eastAsia" w:ascii="宋体" w:hAnsi="宋体"/>
                      <w:color w:val="auto"/>
                      <w:sz w:val="18"/>
                    </w:rPr>
                    <w:t>）标准要求</w:t>
                  </w:r>
                </w:p>
              </w:tc>
            </w:tr>
          </w:tbl>
          <w:p>
            <w:pPr>
              <w:keepNext w:val="0"/>
              <w:keepLines w:val="0"/>
              <w:suppressLineNumbers w:val="0"/>
              <w:autoSpaceDE w:val="0"/>
              <w:autoSpaceDN w:val="0"/>
              <w:adjustRightInd w:val="0"/>
              <w:snapToGrid w:val="0"/>
              <w:spacing w:before="0" w:beforeAutospacing="0" w:after="0" w:afterAutospacing="0" w:line="400" w:lineRule="exact"/>
              <w:ind w:left="0" w:right="0"/>
              <w:rPr>
                <w:rFonts w:hint="default" w:cs="宋体"/>
                <w:b/>
                <w:color w:val="auto"/>
                <w:kern w:val="0"/>
                <w:szCs w:val="21"/>
              </w:rPr>
            </w:pPr>
            <w:r>
              <w:rPr>
                <w:rFonts w:hint="eastAsia" w:cs="宋体"/>
                <w:b/>
                <w:color w:val="auto"/>
                <w:kern w:val="0"/>
                <w:szCs w:val="21"/>
              </w:rPr>
              <w:t>1</w:t>
            </w:r>
            <w:r>
              <w:rPr>
                <w:rFonts w:hint="default" w:cs="宋体"/>
                <w:b/>
                <w:color w:val="auto"/>
                <w:kern w:val="0"/>
                <w:szCs w:val="21"/>
              </w:rPr>
              <w:t>.5</w:t>
            </w:r>
            <w:r>
              <w:rPr>
                <w:rFonts w:hint="eastAsia" w:cs="宋体"/>
                <w:b/>
                <w:color w:val="auto"/>
                <w:kern w:val="0"/>
                <w:szCs w:val="21"/>
              </w:rPr>
              <w:t>环境影响</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本项目废气污染物主要为粉（扬）尘，通过采取湿法加工工艺、车间密闭、厂区地面硬化、进出厂区车辆冲洗等防治措施，能够有效降低废气污染物的排放量，对周围环境的污染影响较小，对所在区域大气环境影响程度为可以接受的影响程度。</w:t>
            </w:r>
          </w:p>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2、废水</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cs="宋体"/>
                <w:b/>
                <w:color w:val="auto"/>
                <w:kern w:val="0"/>
                <w:szCs w:val="21"/>
              </w:rPr>
            </w:pPr>
            <w:r>
              <w:rPr>
                <w:rFonts w:hint="eastAsia" w:cs="宋体"/>
                <w:b/>
                <w:color w:val="auto"/>
                <w:kern w:val="0"/>
                <w:szCs w:val="21"/>
              </w:rPr>
              <w:t>2</w:t>
            </w:r>
            <w:r>
              <w:rPr>
                <w:rFonts w:hint="default" w:cs="宋体"/>
                <w:b/>
                <w:color w:val="auto"/>
                <w:kern w:val="0"/>
                <w:szCs w:val="21"/>
              </w:rPr>
              <w:t>.1</w:t>
            </w:r>
            <w:r>
              <w:rPr>
                <w:rFonts w:hint="eastAsia" w:cs="宋体"/>
                <w:b/>
                <w:color w:val="auto"/>
                <w:kern w:val="0"/>
                <w:szCs w:val="21"/>
              </w:rPr>
              <w:t>产排污环节及产生量</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rPr>
            </w:pPr>
            <w:r>
              <w:rPr>
                <w:rFonts w:hint="eastAsia" w:ascii="宋体" w:hAnsi="宋体"/>
                <w:color w:val="auto"/>
                <w:kern w:val="0"/>
              </w:rPr>
              <w:t>根据工程分析，营运期废水主要有洗砂废水、</w:t>
            </w:r>
            <w:r>
              <w:rPr>
                <w:rFonts w:hint="eastAsia" w:ascii="宋体" w:hAnsi="宋体"/>
                <w:color w:val="auto"/>
                <w:kern w:val="0"/>
                <w:lang w:val="en-US" w:eastAsia="zh-CN"/>
              </w:rPr>
              <w:t>产品</w:t>
            </w:r>
            <w:r>
              <w:rPr>
                <w:rFonts w:hint="eastAsia" w:ascii="宋体" w:hAnsi="宋体"/>
                <w:color w:val="auto"/>
                <w:kern w:val="0"/>
              </w:rPr>
              <w:t>渗沥水、</w:t>
            </w:r>
            <w:r>
              <w:rPr>
                <w:rFonts w:hint="eastAsia" w:ascii="宋体" w:hAnsi="宋体"/>
                <w:color w:val="auto"/>
                <w:kern w:val="0"/>
                <w:lang w:val="en-US" w:eastAsia="zh-CN"/>
              </w:rPr>
              <w:t>场地散排水、</w:t>
            </w:r>
            <w:r>
              <w:rPr>
                <w:rFonts w:hint="eastAsia" w:ascii="宋体" w:hAnsi="宋体"/>
                <w:color w:val="auto"/>
                <w:kern w:val="0"/>
              </w:rPr>
              <w:t>车辆冲洗废水以及少量生活污水。</w:t>
            </w:r>
            <w:r>
              <w:rPr>
                <w:rFonts w:hint="eastAsia" w:ascii="宋体" w:hAnsi="宋体"/>
                <w:color w:val="auto"/>
                <w:kern w:val="0"/>
                <w:lang w:val="en-US" w:eastAsia="zh-CN"/>
              </w:rPr>
              <w:t>其中进入</w:t>
            </w:r>
            <w:r>
              <w:rPr>
                <w:rFonts w:hint="eastAsia" w:ascii="宋体" w:hAnsi="宋体"/>
                <w:color w:val="auto"/>
                <w:kern w:val="0"/>
              </w:rPr>
              <w:t>洗砂废水</w:t>
            </w:r>
            <w:r>
              <w:rPr>
                <w:rFonts w:hint="eastAsia" w:ascii="宋体" w:hAnsi="宋体"/>
                <w:color w:val="auto"/>
                <w:kern w:val="0"/>
                <w:lang w:val="en-US" w:eastAsia="zh-CN"/>
              </w:rPr>
              <w:t>处理设施的废水</w:t>
            </w:r>
            <w:r>
              <w:rPr>
                <w:rFonts w:hint="eastAsia" w:ascii="宋体" w:hAnsi="宋体"/>
                <w:color w:val="auto"/>
                <w:kern w:val="0"/>
              </w:rPr>
              <w:t>量</w:t>
            </w:r>
            <w:r>
              <w:rPr>
                <w:rFonts w:hint="eastAsia" w:ascii="宋体" w:hAnsi="宋体"/>
                <w:color w:val="auto"/>
                <w:kern w:val="0"/>
                <w:lang w:val="en-US" w:eastAsia="zh-CN"/>
              </w:rPr>
              <w:t>约</w:t>
            </w:r>
            <w:r>
              <w:rPr>
                <w:rFonts w:hint="eastAsia"/>
                <w:color w:val="auto"/>
                <w:kern w:val="0"/>
                <w:lang w:val="en-US" w:eastAsia="zh-CN"/>
              </w:rPr>
              <w:t>3735.73</w:t>
            </w:r>
            <w:r>
              <w:rPr>
                <w:rFonts w:hint="default"/>
                <w:color w:val="auto"/>
                <w:kern w:val="0"/>
              </w:rPr>
              <w:t>m</w:t>
            </w:r>
            <w:r>
              <w:rPr>
                <w:rFonts w:hint="default"/>
                <w:color w:val="auto"/>
                <w:kern w:val="0"/>
                <w:vertAlign w:val="superscript"/>
              </w:rPr>
              <w:t>3</w:t>
            </w:r>
            <w:r>
              <w:rPr>
                <w:rFonts w:hint="default"/>
                <w:color w:val="auto"/>
                <w:kern w:val="0"/>
              </w:rPr>
              <w:t>/d</w:t>
            </w:r>
            <w:r>
              <w:rPr>
                <w:rFonts w:hint="eastAsia" w:ascii="宋体" w:hAnsi="宋体"/>
                <w:color w:val="auto"/>
                <w:kern w:val="0"/>
              </w:rPr>
              <w:t>。车辆冲洗废水产生量为</w:t>
            </w:r>
            <w:r>
              <w:rPr>
                <w:rFonts w:hint="eastAsia"/>
                <w:color w:val="auto"/>
                <w:kern w:val="0"/>
                <w:lang w:val="en-US" w:eastAsia="zh-CN"/>
              </w:rPr>
              <w:t>12.75</w:t>
            </w:r>
            <w:r>
              <w:rPr>
                <w:rFonts w:hint="default"/>
                <w:color w:val="auto"/>
                <w:kern w:val="0"/>
              </w:rPr>
              <w:t>m</w:t>
            </w:r>
            <w:r>
              <w:rPr>
                <w:rFonts w:hint="default"/>
                <w:color w:val="auto"/>
                <w:kern w:val="0"/>
                <w:vertAlign w:val="superscript"/>
              </w:rPr>
              <w:t>3</w:t>
            </w:r>
            <w:r>
              <w:rPr>
                <w:rFonts w:hint="default"/>
                <w:color w:val="auto"/>
                <w:kern w:val="0"/>
              </w:rPr>
              <w:t>/d</w:t>
            </w:r>
            <w:r>
              <w:rPr>
                <w:rFonts w:hint="eastAsia" w:ascii="宋体" w:hAnsi="宋体"/>
                <w:color w:val="auto"/>
                <w:kern w:val="0"/>
              </w:rPr>
              <w:t>，生活污水产生量</w:t>
            </w:r>
            <w:r>
              <w:rPr>
                <w:rFonts w:hint="eastAsia"/>
                <w:color w:val="auto"/>
                <w:kern w:val="0"/>
              </w:rPr>
              <w:t>1.08</w:t>
            </w:r>
            <w:r>
              <w:rPr>
                <w:rFonts w:hint="default"/>
                <w:color w:val="auto"/>
                <w:kern w:val="0"/>
              </w:rPr>
              <w:t>m</w:t>
            </w:r>
            <w:r>
              <w:rPr>
                <w:rFonts w:hint="default"/>
                <w:color w:val="auto"/>
                <w:kern w:val="0"/>
                <w:vertAlign w:val="superscript"/>
              </w:rPr>
              <w:t>3</w:t>
            </w:r>
            <w:r>
              <w:rPr>
                <w:rFonts w:hint="default"/>
                <w:color w:val="auto"/>
                <w:kern w:val="0"/>
              </w:rPr>
              <w:t>/d</w:t>
            </w:r>
            <w:r>
              <w:rPr>
                <w:rFonts w:hint="eastAsia" w:ascii="宋体" w:hAnsi="宋体"/>
                <w:color w:val="auto"/>
                <w:kern w:val="0"/>
              </w:rPr>
              <w:t>。</w:t>
            </w:r>
          </w:p>
          <w:p>
            <w:pPr>
              <w:keepNext w:val="0"/>
              <w:keepLines w:val="0"/>
              <w:suppressLineNumbers w:val="0"/>
              <w:spacing w:before="0" w:beforeAutospacing="0" w:after="0" w:afterAutospacing="0" w:line="400" w:lineRule="exact"/>
              <w:ind w:left="0" w:right="0" w:firstLine="420" w:firstLineChars="200"/>
              <w:rPr>
                <w:rFonts w:hint="default"/>
                <w:color w:val="auto"/>
                <w:sz w:val="18"/>
                <w:szCs w:val="21"/>
              </w:rPr>
            </w:pPr>
            <w:r>
              <w:rPr>
                <w:rFonts w:hint="eastAsia" w:ascii="宋体" w:hAnsi="宋体"/>
                <w:color w:val="auto"/>
                <w:kern w:val="0"/>
                <w:lang w:val="en-US" w:eastAsia="zh-CN"/>
              </w:rPr>
              <w:t>散排废水：本项目</w:t>
            </w:r>
            <w:r>
              <w:rPr>
                <w:rFonts w:hint="default" w:ascii="宋体" w:hAnsi="宋体"/>
                <w:color w:val="auto"/>
                <w:kern w:val="0"/>
              </w:rPr>
              <w:t>项目初期雨水的产生量，采用《达州市中心城区暴雨强度公式》计算。初期雨水取</w:t>
            </w:r>
            <w:r>
              <w:rPr>
                <w:rFonts w:hint="default"/>
                <w:color w:val="auto"/>
                <w:kern w:val="0"/>
              </w:rPr>
              <w:t>15min</w:t>
            </w:r>
            <w:r>
              <w:rPr>
                <w:rFonts w:hint="default" w:ascii="宋体" w:hAnsi="宋体"/>
                <w:color w:val="auto"/>
                <w:kern w:val="0"/>
              </w:rPr>
              <w:t>时长，径流系数取</w:t>
            </w:r>
            <w:r>
              <w:rPr>
                <w:rFonts w:hint="default"/>
                <w:color w:val="auto"/>
                <w:kern w:val="0"/>
              </w:rPr>
              <w:t>0.9</w:t>
            </w:r>
            <w:r>
              <w:rPr>
                <w:rFonts w:hint="default" w:ascii="宋体" w:hAnsi="宋体"/>
                <w:color w:val="auto"/>
                <w:kern w:val="0"/>
              </w:rPr>
              <w:t>，汇入面积取</w:t>
            </w:r>
            <w:r>
              <w:rPr>
                <w:rFonts w:hint="default"/>
                <w:color w:val="auto"/>
                <w:kern w:val="0"/>
              </w:rPr>
              <w:t>0.7hm</w:t>
            </w:r>
            <w:r>
              <w:rPr>
                <w:rFonts w:hint="default"/>
                <w:color w:val="auto"/>
                <w:kern w:val="0"/>
                <w:vertAlign w:val="superscript"/>
              </w:rPr>
              <w:t>2</w:t>
            </w:r>
            <w:r>
              <w:rPr>
                <w:rFonts w:hint="default" w:ascii="宋体" w:hAnsi="宋体"/>
                <w:color w:val="auto"/>
                <w:kern w:val="0"/>
              </w:rPr>
              <w:t>，经计算项目厂区初期雨水量约</w:t>
            </w:r>
            <w:r>
              <w:rPr>
                <w:rFonts w:hint="eastAsia"/>
                <w:color w:val="auto"/>
                <w:kern w:val="0"/>
                <w:lang w:val="en-US" w:eastAsia="zh-CN"/>
              </w:rPr>
              <w:t>118</w:t>
            </w:r>
            <w:r>
              <w:rPr>
                <w:rFonts w:hint="default"/>
                <w:color w:val="auto"/>
                <w:kern w:val="0"/>
              </w:rPr>
              <w:t>m</w:t>
            </w:r>
            <w:r>
              <w:rPr>
                <w:rFonts w:hint="default"/>
                <w:color w:val="auto"/>
                <w:kern w:val="0"/>
                <w:vertAlign w:val="superscript"/>
              </w:rPr>
              <w:t>3</w:t>
            </w:r>
            <w:r>
              <w:rPr>
                <w:rFonts w:hint="default"/>
                <w:color w:val="auto"/>
                <w:kern w:val="0"/>
              </w:rPr>
              <w:t>/</w:t>
            </w:r>
            <w:r>
              <w:rPr>
                <w:rFonts w:hint="default" w:ascii="宋体" w:hAnsi="宋体"/>
                <w:color w:val="auto"/>
                <w:kern w:val="0"/>
              </w:rPr>
              <w:t>次。</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cs="宋体"/>
                <w:b/>
                <w:color w:val="auto"/>
                <w:kern w:val="0"/>
                <w:szCs w:val="21"/>
              </w:rPr>
            </w:pPr>
            <w:r>
              <w:rPr>
                <w:rFonts w:hint="eastAsia" w:cs="宋体"/>
                <w:b/>
                <w:color w:val="auto"/>
                <w:kern w:val="0"/>
                <w:szCs w:val="21"/>
              </w:rPr>
              <w:t>2</w:t>
            </w:r>
            <w:r>
              <w:rPr>
                <w:rFonts w:hint="default" w:cs="宋体"/>
                <w:b/>
                <w:color w:val="auto"/>
                <w:kern w:val="0"/>
                <w:szCs w:val="21"/>
              </w:rPr>
              <w:t>.2</w:t>
            </w:r>
            <w:r>
              <w:rPr>
                <w:rFonts w:hint="eastAsia" w:cs="宋体"/>
                <w:b/>
                <w:color w:val="auto"/>
                <w:kern w:val="0"/>
                <w:szCs w:val="21"/>
              </w:rPr>
              <w:t>治理措施及排放情况</w:t>
            </w:r>
          </w:p>
          <w:p>
            <w:pPr>
              <w:keepNext w:val="0"/>
              <w:keepLines w:val="0"/>
              <w:suppressLineNumbers w:val="0"/>
              <w:spacing w:before="0" w:beforeAutospacing="0" w:after="0" w:afterAutospacing="0" w:line="400" w:lineRule="exact"/>
              <w:ind w:left="0" w:right="0" w:firstLine="420" w:firstLineChars="200"/>
              <w:rPr>
                <w:rFonts w:hint="default"/>
                <w:color w:val="auto"/>
                <w:kern w:val="0"/>
              </w:rPr>
            </w:pPr>
            <w:r>
              <w:rPr>
                <w:rFonts w:hint="eastAsia"/>
                <w:color w:val="auto"/>
                <w:kern w:val="0"/>
              </w:rPr>
              <w:t>（1）洗砂废水及产品渗滤水处理措施</w:t>
            </w:r>
          </w:p>
          <w:p>
            <w:pPr>
              <w:keepNext w:val="0"/>
              <w:keepLines w:val="0"/>
              <w:suppressLineNumbers w:val="0"/>
              <w:spacing w:before="0" w:beforeAutospacing="0" w:after="0" w:afterAutospacing="0" w:line="400" w:lineRule="exact"/>
              <w:ind w:left="0" w:right="0" w:firstLine="420" w:firstLineChars="200"/>
              <w:rPr>
                <w:rFonts w:hint="default"/>
                <w:color w:val="auto"/>
                <w:kern w:val="0"/>
              </w:rPr>
            </w:pPr>
            <w:r>
              <w:rPr>
                <w:rFonts w:hint="eastAsia"/>
                <w:color w:val="auto"/>
                <w:kern w:val="0"/>
              </w:rPr>
              <w:t>洗砂废水及成品渗滤水主要污染物为悬浮物，但部分悬浮物颗粒较小自然沉降效果较差。因此，本项目设计采用“絮凝沉淀</w:t>
            </w:r>
            <w:r>
              <w:rPr>
                <w:rFonts w:hint="eastAsia"/>
                <w:color w:val="auto"/>
                <w:kern w:val="0"/>
                <w:lang w:val="en-US" w:eastAsia="zh-CN"/>
              </w:rPr>
              <w:t>+板框压滤</w:t>
            </w:r>
            <w:r>
              <w:rPr>
                <w:rFonts w:hint="eastAsia"/>
                <w:color w:val="auto"/>
                <w:kern w:val="0"/>
              </w:rPr>
              <w:t>”工艺，对废水进行处理后全部作为生产用水，循环回用不外排。</w:t>
            </w:r>
          </w:p>
          <w:p>
            <w:pPr>
              <w:keepNext w:val="0"/>
              <w:keepLines w:val="0"/>
              <w:suppressLineNumbers w:val="0"/>
              <w:spacing w:before="0" w:beforeAutospacing="0" w:after="0" w:afterAutospacing="0" w:line="400" w:lineRule="exact"/>
              <w:ind w:left="0" w:right="0" w:firstLine="420" w:firstLineChars="200"/>
              <w:rPr>
                <w:rFonts w:hint="eastAsia"/>
                <w:color w:val="auto"/>
                <w:kern w:val="0"/>
              </w:rPr>
            </w:pPr>
            <w:r>
              <w:rPr>
                <w:rFonts w:hint="eastAsia"/>
                <w:color w:val="auto"/>
                <w:kern w:val="0"/>
                <w:lang w:val="en-US" w:eastAsia="zh-CN"/>
              </w:rPr>
              <w:t>废水处理</w:t>
            </w:r>
            <w:r>
              <w:rPr>
                <w:rFonts w:hint="eastAsia"/>
                <w:color w:val="auto"/>
                <w:kern w:val="0"/>
              </w:rPr>
              <w:t>工艺流程如下：</w:t>
            </w:r>
          </w:p>
          <w:p>
            <w:pPr>
              <w:keepNext w:val="0"/>
              <w:keepLines w:val="0"/>
              <w:suppressLineNumbers w:val="0"/>
              <w:spacing w:before="0" w:beforeAutospacing="0" w:after="0" w:afterAutospacing="0" w:line="400" w:lineRule="exact"/>
              <w:ind w:left="0" w:right="0" w:firstLine="420" w:firstLineChars="200"/>
              <w:rPr>
                <w:rFonts w:hint="eastAsia"/>
                <w:color w:val="auto"/>
                <w:kern w:val="0"/>
              </w:rPr>
            </w:pPr>
          </w:p>
          <w:p>
            <w:pPr>
              <w:keepNext w:val="0"/>
              <w:keepLines w:val="0"/>
              <w:suppressLineNumbers w:val="0"/>
              <w:bidi w:val="0"/>
              <w:spacing w:before="0" w:beforeAutospacing="0" w:after="0" w:afterAutospacing="0"/>
              <w:ind w:left="0" w:right="0"/>
              <w:rPr>
                <w:rFonts w:hint="default"/>
                <w:color w:val="auto"/>
              </w:rPr>
            </w:pPr>
            <w:r>
              <w:rPr>
                <w:rFonts w:hint="default"/>
                <w:color w:val="auto"/>
              </w:rPr>
              <mc:AlternateContent>
                <mc:Choice Requires="wpg">
                  <w:drawing>
                    <wp:anchor distT="0" distB="0" distL="114300" distR="114300" simplePos="0" relativeHeight="251671552" behindDoc="0" locked="0" layoutInCell="1" allowOverlap="1">
                      <wp:simplePos x="0" y="0"/>
                      <wp:positionH relativeFrom="column">
                        <wp:posOffset>378460</wp:posOffset>
                      </wp:positionH>
                      <wp:positionV relativeFrom="paragraph">
                        <wp:posOffset>192405</wp:posOffset>
                      </wp:positionV>
                      <wp:extent cx="4338955" cy="1386205"/>
                      <wp:effectExtent l="0" t="4445" r="0" b="0"/>
                      <wp:wrapNone/>
                      <wp:docPr id="114" name="组合 114"/>
                      <wp:cNvGraphicFramePr/>
                      <a:graphic xmlns:a="http://schemas.openxmlformats.org/drawingml/2006/main">
                        <a:graphicData uri="http://schemas.microsoft.com/office/word/2010/wordprocessingGroup">
                          <wpg:wgp>
                            <wpg:cNvGrpSpPr/>
                            <wpg:grpSpPr>
                              <a:xfrm>
                                <a:off x="0" y="0"/>
                                <a:ext cx="4338955" cy="1386205"/>
                                <a:chOff x="3539" y="838748"/>
                                <a:chExt cx="6833" cy="2183"/>
                              </a:xfrm>
                            </wpg:grpSpPr>
                            <wps:wsp>
                              <wps:cNvPr id="7" name="文本框 7"/>
                              <wps:cNvSpPr txBox="1"/>
                              <wps:spPr>
                                <a:xfrm>
                                  <a:off x="6033" y="839440"/>
                                  <a:ext cx="1357" cy="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rPr>
                                    </w:pPr>
                                    <w:r>
                                      <w:rPr>
                                        <w:rFonts w:hint="eastAsia"/>
                                        <w:lang w:val="en-US" w:eastAsia="zh-CN"/>
                                      </w:rPr>
                                      <w:t>污水池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直接箭头连接符 8"/>
                              <wps:cNvCnPr/>
                              <wps:spPr>
                                <a:xfrm>
                                  <a:off x="7407" y="839637"/>
                                  <a:ext cx="6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文本框 9"/>
                              <wps:cNvSpPr txBox="1"/>
                              <wps:spPr>
                                <a:xfrm>
                                  <a:off x="8030" y="839424"/>
                                  <a:ext cx="1546" cy="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沉淀罐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接箭头连接符 15"/>
                              <wps:cNvCnPr/>
                              <wps:spPr>
                                <a:xfrm>
                                  <a:off x="5231" y="840470"/>
                                  <a:ext cx="401"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 name="直接箭头连接符 16"/>
                              <wps:cNvCnPr/>
                              <wps:spPr>
                                <a:xfrm flipH="1">
                                  <a:off x="8880" y="839169"/>
                                  <a:ext cx="0" cy="226"/>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7" name="文本框 17"/>
                              <wps:cNvSpPr txBox="1"/>
                              <wps:spPr>
                                <a:xfrm>
                                  <a:off x="4746" y="839445"/>
                                  <a:ext cx="783" cy="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8"/>
                                      </w:rPr>
                                    </w:pPr>
                                    <w:r>
                                      <w:rPr>
                                        <w:sz w:val="18"/>
                                      </w:rPr>
                                      <w:t>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6834" y="838760"/>
                                  <a:ext cx="1352" cy="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8"/>
                                      </w:rPr>
                                    </w:pPr>
                                    <w:r>
                                      <w:rPr>
                                        <w:rFonts w:hint="eastAsia"/>
                                        <w:sz w:val="18"/>
                                      </w:rPr>
                                      <w:t>P</w:t>
                                    </w:r>
                                    <w:r>
                                      <w:rPr>
                                        <w:sz w:val="18"/>
                                      </w:rPr>
                                      <w:t>AC</w:t>
                                    </w:r>
                                    <w:r>
                                      <w:rPr>
                                        <w:sz w:val="18"/>
                                      </w:rPr>
                                      <w:tab/>
                                    </w:r>
                                    <w:r>
                                      <w:rPr>
                                        <w:rFonts w:hint="eastAsia"/>
                                        <w:sz w:val="18"/>
                                      </w:rPr>
                                      <w:t>、</w:t>
                                    </w:r>
                                    <w:r>
                                      <w:rPr>
                                        <w:sz w:val="18"/>
                                      </w:rPr>
                                      <w:t>PAM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7243" y="839148"/>
                                  <a:ext cx="783" cy="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8"/>
                                      </w:rPr>
                                    </w:pPr>
                                    <w:r>
                                      <w:rPr>
                                        <w:rFonts w:hint="eastAsia"/>
                                        <w:sz w:val="18"/>
                                      </w:rPr>
                                      <w:t>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21"/>
                              <wps:cNvCnPr/>
                              <wps:spPr>
                                <a:xfrm flipH="1">
                                  <a:off x="8950" y="839854"/>
                                  <a:ext cx="0" cy="41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文本框 26"/>
                              <wps:cNvSpPr txBox="1"/>
                              <wps:spPr>
                                <a:xfrm>
                                  <a:off x="8383" y="840270"/>
                                  <a:ext cx="965" cy="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清水池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8815" y="839849"/>
                                  <a:ext cx="870" cy="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8"/>
                                      </w:rPr>
                                    </w:pPr>
                                    <w:r>
                                      <w:rPr>
                                        <w:rFonts w:hint="eastAsia"/>
                                        <w:sz w:val="18"/>
                                      </w:rPr>
                                      <w:t>上清液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直接箭头连接符 33"/>
                              <wps:cNvCnPr/>
                              <wps:spPr>
                                <a:xfrm flipH="1">
                                  <a:off x="8194" y="839828"/>
                                  <a:ext cx="0" cy="566"/>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5" name="直接箭头连接符 35"/>
                              <wps:cNvCnPr/>
                              <wps:spPr>
                                <a:xfrm>
                                  <a:off x="7083" y="840396"/>
                                  <a:ext cx="1134" cy="1"/>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 name="文本框 36"/>
                              <wps:cNvSpPr txBox="1"/>
                              <wps:spPr>
                                <a:xfrm>
                                  <a:off x="5659" y="840275"/>
                                  <a:ext cx="1423" cy="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板框压滤机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直接箭头连接符 39"/>
                              <wps:cNvCnPr/>
                              <wps:spPr>
                                <a:xfrm>
                                  <a:off x="9369" y="840450"/>
                                  <a:ext cx="40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文本框 40"/>
                              <wps:cNvSpPr txBox="1"/>
                              <wps:spPr>
                                <a:xfrm>
                                  <a:off x="9589" y="840265"/>
                                  <a:ext cx="783" cy="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8"/>
                                      </w:rPr>
                                    </w:pPr>
                                    <w:r>
                                      <w:rPr>
                                        <w:rFonts w:hint="eastAsia"/>
                                        <w:sz w:val="18"/>
                                      </w:rPr>
                                      <w:t>回用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直接箭头连接符 41"/>
                              <wps:cNvCnPr/>
                              <wps:spPr>
                                <a:xfrm>
                                  <a:off x="5362" y="839646"/>
                                  <a:ext cx="6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wps:spPr>
                                <a:xfrm>
                                  <a:off x="7085" y="840591"/>
                                  <a:ext cx="1304"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 name="文本框 43"/>
                              <wps:cNvSpPr txBox="1"/>
                              <wps:spPr>
                                <a:xfrm>
                                  <a:off x="7308" y="840512"/>
                                  <a:ext cx="877" cy="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8"/>
                                      </w:rPr>
                                    </w:pPr>
                                    <w:r>
                                      <w:rPr>
                                        <w:rFonts w:hint="eastAsia"/>
                                        <w:sz w:val="18"/>
                                        <w:lang w:val="en-US" w:eastAsia="zh-CN"/>
                                      </w:rPr>
                                      <w:t>压滤</w:t>
                                    </w:r>
                                    <w:r>
                                      <w:rPr>
                                        <w:rFonts w:hint="eastAsia"/>
                                        <w:sz w:val="18"/>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3539" y="840182"/>
                                  <a:ext cx="1886" cy="6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8"/>
                                      </w:rPr>
                                    </w:pPr>
                                    <w:r>
                                      <w:rPr>
                                        <w:rFonts w:hint="eastAsia"/>
                                        <w:sz w:val="18"/>
                                        <w:lang w:val="en-US" w:eastAsia="zh-CN"/>
                                      </w:rPr>
                                      <w:t>运至</w:t>
                                    </w:r>
                                    <w:r>
                                      <w:rPr>
                                        <w:rFonts w:hint="eastAsia"/>
                                        <w:sz w:val="18"/>
                                      </w:rPr>
                                      <w:t>附近砖</w:t>
                                    </w:r>
                                    <w:r>
                                      <w:rPr>
                                        <w:sz w:val="18"/>
                                      </w:rPr>
                                      <w:t>厂</w:t>
                                    </w:r>
                                    <w:r>
                                      <w:rPr>
                                        <w:rFonts w:hint="eastAsia"/>
                                        <w:sz w:val="18"/>
                                        <w:lang w:val="en-US" w:eastAsia="zh-CN"/>
                                      </w:rPr>
                                      <w:t>或者建材厂</w:t>
                                    </w:r>
                                    <w:r>
                                      <w:rPr>
                                        <w:sz w:val="18"/>
                                      </w:rPr>
                                      <w:t>做原料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文本框 4"/>
                              <wps:cNvSpPr txBox="1"/>
                              <wps:spPr>
                                <a:xfrm>
                                  <a:off x="7366" y="840127"/>
                                  <a:ext cx="783" cy="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8"/>
                                      </w:rPr>
                                    </w:pPr>
                                    <w:r>
                                      <w:rPr>
                                        <w:rFonts w:hint="eastAsia"/>
                                        <w:sz w:val="18"/>
                                      </w:rPr>
                                      <w:t>泥沙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13"/>
                              <wps:cNvSpPr txBox="1"/>
                              <wps:spPr>
                                <a:xfrm>
                                  <a:off x="8436" y="838748"/>
                                  <a:ext cx="965" cy="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rPr>
                                      <w:t>加药</w:t>
                                    </w:r>
                                    <w:r>
                                      <w:rPr>
                                        <w:rFonts w:hint="eastAsia"/>
                                        <w:lang w:val="en-US" w:eastAsia="zh-CN"/>
                                      </w:rPr>
                                      <w:t>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直接箭头连接符 38"/>
                              <wps:cNvCnPr/>
                              <wps:spPr>
                                <a:xfrm>
                                  <a:off x="8011" y="838947"/>
                                  <a:ext cx="39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文本框 46"/>
                              <wps:cNvSpPr txBox="1"/>
                              <wps:spPr>
                                <a:xfrm>
                                  <a:off x="8704" y="839082"/>
                                  <a:ext cx="783" cy="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8"/>
                                      </w:rPr>
                                    </w:pPr>
                                    <w:r>
                                      <w:rPr>
                                        <w:rFonts w:hint="eastAsia"/>
                                        <w:sz w:val="18"/>
                                      </w:rPr>
                                      <w:t>泵</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9.8pt;margin-top:15.15pt;height:109.15pt;width:341.65pt;z-index:251671552;mso-width-relative:page;mso-height-relative:page;" coordorigin="3539,838748" coordsize="6833,2183" o:gfxdata="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">
                      <o:lock v:ext="edit" aspectratio="f"/>
                      <v:shape id="_x0000_s1026" o:spid="_x0000_s1026" o:spt="202" type="#_x0000_t202" style="position:absolute;left:6033;top:839440;height:419;width:1357;" fillcolor="#FFFFFF [3201]" filled="t" stroked="t" coordsize="21600,21600" o:gfxdata="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HlYe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lang w:val="en-US"/>
                                </w:rPr>
                              </w:pPr>
                              <w:r>
                                <w:rPr>
                                  <w:rFonts w:hint="eastAsia"/>
                                  <w:lang w:val="en-US" w:eastAsia="zh-CN"/>
                                </w:rPr>
                                <w:t>污水池</w:t>
                              </w:r>
                            </w:p>
                          </w:txbxContent>
                        </v:textbox>
                      </v:shape>
                      <v:shape id="_x0000_s1026" o:spid="_x0000_s1026" o:spt="32" type="#_x0000_t32" style="position:absolute;left:7407;top:839637;height:0;width:680;" filled="f" stroked="t" coordsize="21600,21600" o:gfxdata="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0dEi5AAAA2gAA&#10;AA8AAAAAAAAAAQAgAAAAIgAAAGRycy9kb3ducmV2LnhtbFBLAQIUABQAAAAIAIdO4kAzLwWeOwAA&#10;ADkAAAAQAAAAAAAAAAEAIAAAAAgBAABkcnMvc2hhcGV4bWwueG1sUEsFBgAAAAAGAAYAWwEAALID&#10;AAAAAA==&#10;">
                        <v:fill on="f" focussize="0,0"/>
                        <v:stroke color="#000000 [3213]" joinstyle="round" endarrow="block"/>
                        <v:imagedata o:title=""/>
                        <o:lock v:ext="edit" aspectratio="f"/>
                      </v:shape>
                      <v:shape id="_x0000_s1026" o:spid="_x0000_s1026" o:spt="202" type="#_x0000_t202" style="position:absolute;left:8030;top:839424;height:419;width:1546;" fillcolor="#FFFFFF [3201]"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pPr>
                              <w:r>
                                <w:rPr>
                                  <w:rFonts w:hint="eastAsia"/>
                                </w:rPr>
                                <w:t>沉淀罐</w:t>
                              </w:r>
                            </w:p>
                          </w:txbxContent>
                        </v:textbox>
                      </v:shape>
                      <v:shape id="_x0000_s1026" o:spid="_x0000_s1026" o:spt="32" type="#_x0000_t32" style="position:absolute;left:5231;top:840470;height:0;width:401;" filled="f" stroked="t" coordsize="21600,21600" o:gfxdata="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4HbKK5AAAA2wAA&#10;AA8AAAAAAAAAAQAgAAAAIgAAAGRycy9kb3ducmV2LnhtbFBLAQIUABQAAAAIAIdO4kAzLwWeOwAA&#10;ADkAAAAQAAAAAAAAAAEAIAAAAAgBAABkcnMvc2hhcGV4bWwueG1sUEsFBgAAAAAGAAYAWwEAALID&#10;AAAAAA==&#10;">
                        <v:fill on="f" focussize="0,0"/>
                        <v:stroke color="#000000 [3213]" joinstyle="round" startarrow="block"/>
                        <v:imagedata o:title=""/>
                        <o:lock v:ext="edit" aspectratio="f"/>
                      </v:shape>
                      <v:shape id="_x0000_s1026" o:spid="_x0000_s1026" o:spt="32" type="#_x0000_t32" style="position:absolute;left:8880;top:839169;flip:x;height:226;width:0;" filled="f" stroked="t" coordsize="21600,21600" o:gfxdata="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WUkbsAAADb&#10;AAAADwAAAAAAAAABACAAAAAiAAAAZHJzL2Rvd25yZXYueG1sUEsBAhQAFAAAAAgAh07iQDMvBZ47&#10;AAAAOQAAABAAAAAAAAAAAQAgAAAACgEAAGRycy9zaGFwZXhtbC54bWxQSwUGAAAAAAYABgBbAQAA&#10;tAMAAAAA&#10;">
                        <v:fill on="f" focussize="0,0"/>
                        <v:stroke color="#000000 [3213]" joinstyle="round" endarrow="open"/>
                        <v:imagedata o:title=""/>
                        <o:lock v:ext="edit" aspectratio="f"/>
                      </v:shape>
                      <v:shape id="_x0000_s1026" o:spid="_x0000_s1026" o:spt="202" type="#_x0000_t202" style="position:absolute;left:4746;top:839445;height:419;width:783;"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sz w:val="18"/>
                                </w:rPr>
                              </w:pPr>
                              <w:r>
                                <w:rPr>
                                  <w:sz w:val="18"/>
                                </w:rPr>
                                <w:t>废水</w:t>
                              </w:r>
                            </w:p>
                          </w:txbxContent>
                        </v:textbox>
                      </v:shape>
                      <v:shape id="_x0000_s1026" o:spid="_x0000_s1026" o:spt="202" type="#_x0000_t202" style="position:absolute;left:6834;top:838760;height:419;width:1352;"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sz w:val="18"/>
                                </w:rPr>
                              </w:pPr>
                              <w:r>
                                <w:rPr>
                                  <w:rFonts w:hint="eastAsia"/>
                                  <w:sz w:val="18"/>
                                </w:rPr>
                                <w:t>P</w:t>
                              </w:r>
                              <w:r>
                                <w:rPr>
                                  <w:sz w:val="18"/>
                                </w:rPr>
                                <w:t>AC</w:t>
                              </w:r>
                              <w:r>
                                <w:rPr>
                                  <w:sz w:val="18"/>
                                </w:rPr>
                                <w:tab/>
                              </w:r>
                              <w:r>
                                <w:rPr>
                                  <w:rFonts w:hint="eastAsia"/>
                                  <w:sz w:val="18"/>
                                </w:rPr>
                                <w:t>、</w:t>
                              </w:r>
                              <w:r>
                                <w:rPr>
                                  <w:sz w:val="18"/>
                                </w:rPr>
                                <w:t>PAM</w:t>
                              </w:r>
                            </w:p>
                          </w:txbxContent>
                        </v:textbox>
                      </v:shape>
                      <v:shape id="_x0000_s1026" o:spid="_x0000_s1026" o:spt="202" type="#_x0000_t202" style="position:absolute;left:7243;top:839148;height:419;width:783;"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jc w:val="center"/>
                                <w:rPr>
                                  <w:sz w:val="18"/>
                                </w:rPr>
                              </w:pPr>
                              <w:r>
                                <w:rPr>
                                  <w:rFonts w:hint="eastAsia"/>
                                  <w:sz w:val="18"/>
                                </w:rPr>
                                <w:t>泵</w:t>
                              </w:r>
                            </w:p>
                          </w:txbxContent>
                        </v:textbox>
                      </v:shape>
                      <v:shape id="_x0000_s1026" o:spid="_x0000_s1026" o:spt="32" type="#_x0000_t32" style="position:absolute;left:8950;top:839854;flip:x;height:410;width:0;" filled="f" stroked="t" coordsize="21600,21600" o:gfxdata="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3dNyvQAA&#10;ANs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_x0000_s1026" o:spid="_x0000_s1026" o:spt="202" type="#_x0000_t202" style="position:absolute;left:8383;top:840270;height:419;width:965;" fillcolor="#FFFFFF [3201]" filled="t" stroked="t" coordsize="21600,21600" o:gfxdata="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I9dXS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pPr>
                              <w:r>
                                <w:rPr>
                                  <w:rFonts w:hint="eastAsia"/>
                                </w:rPr>
                                <w:t>清水池</w:t>
                              </w:r>
                            </w:p>
                          </w:txbxContent>
                        </v:textbox>
                      </v:shape>
                      <v:shape id="_x0000_s1026" o:spid="_x0000_s1026" o:spt="202" type="#_x0000_t202" style="position:absolute;left:8815;top:839849;height:419;width:870;"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sz w:val="18"/>
                                </w:rPr>
                              </w:pPr>
                              <w:r>
                                <w:rPr>
                                  <w:rFonts w:hint="eastAsia"/>
                                  <w:sz w:val="18"/>
                                </w:rPr>
                                <w:t>上清液</w:t>
                              </w:r>
                            </w:p>
                          </w:txbxContent>
                        </v:textbox>
                      </v:shape>
                      <v:shape id="_x0000_s1026" o:spid="_x0000_s1026" o:spt="32" type="#_x0000_t32" style="position:absolute;left:8194;top:839828;flip:x;height:566;width:0;" filled="f" stroked="t" coordsize="21600,21600" o:gfxdata="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2y/rsAAADb&#10;AAAADwAAAAAAAAABACAAAAAiAAAAZHJzL2Rvd25yZXYueG1sUEsBAhQAFAAAAAgAh07iQDMvBZ47&#10;AAAAOQAAABAAAAAAAAAAAQAgAAAACgEAAGRycy9zaGFwZXhtbC54bWxQSwUGAAAAAAYABgBbAQAA&#10;tAMAAAAA&#10;">
                        <v:fill on="f" focussize="0,0"/>
                        <v:stroke color="#000000 [3213]" joinstyle="round"/>
                        <v:imagedata o:title=""/>
                        <o:lock v:ext="edit" aspectratio="f"/>
                      </v:shape>
                      <v:shape id="_x0000_s1026" o:spid="_x0000_s1026" o:spt="32" type="#_x0000_t32" style="position:absolute;left:7083;top:840396;height:1;width:1134;" filled="f" stroked="t" coordsize="21600,21600" o:gfxdata="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yMMK8AAAA&#10;2wAAAA8AAAAAAAAAAQAgAAAAIgAAAGRycy9kb3ducmV2LnhtbFBLAQIUABQAAAAIAIdO4kAzLwWe&#10;OwAAADkAAAAQAAAAAAAAAAEAIAAAAAsBAABkcnMvc2hhcGV4bWwueG1sUEsFBgAAAAAGAAYAWwEA&#10;ALUDAAAAAA==&#10;">
                        <v:fill on="f" focussize="0,0"/>
                        <v:stroke color="#000000 [3213]" joinstyle="round" startarrow="block"/>
                        <v:imagedata o:title=""/>
                        <o:lock v:ext="edit" aspectratio="f"/>
                      </v:shape>
                      <v:shape id="_x0000_s1026" o:spid="_x0000_s1026" o:spt="202" type="#_x0000_t202" style="position:absolute;left:5659;top:840275;height:419;width:1423;" fillcolor="#FFFFFF [3201]" filled="t" stroked="t" coordsize="21600,21600" o:gfxdata="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k46m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pPr>
                              <w:r>
                                <w:rPr>
                                  <w:rFonts w:hint="eastAsia"/>
                                </w:rPr>
                                <w:t>板框压滤机</w:t>
                              </w:r>
                            </w:p>
                          </w:txbxContent>
                        </v:textbox>
                      </v:shape>
                      <v:shape id="_x0000_s1026" o:spid="_x0000_s1026" o:spt="32" type="#_x0000_t32" style="position:absolute;left:9369;top:840450;height:0;width:401;" filled="f" stroked="t" coordsize="21600,21600" o:gfxdata="UEsDBAoAAAAAAIdO4kAAAAAAAAAAAAAAAAAEAAAAZHJzL1BLAwQUAAAACACHTuJAxQMcB74AAADb&#10;AAAADwAAAGRycy9kb3ducmV2LnhtbEWPT2sCMRTE74V+h/CE3mpWC4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McB7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202" type="#_x0000_t202" style="position:absolute;left:9589;top:840265;height:419;width:783;" filled="f" stroked="f" coordsize="21600,216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center"/>
                                <w:rPr>
                                  <w:sz w:val="18"/>
                                </w:rPr>
                              </w:pPr>
                              <w:r>
                                <w:rPr>
                                  <w:rFonts w:hint="eastAsia"/>
                                  <w:sz w:val="18"/>
                                </w:rPr>
                                <w:t>回用</w:t>
                              </w:r>
                            </w:p>
                          </w:txbxContent>
                        </v:textbox>
                      </v:shape>
                      <v:shape id="_x0000_s1026" o:spid="_x0000_s1026" o:spt="32" type="#_x0000_t32" style="position:absolute;left:5362;top:839646;height:0;width:680;" filled="f" stroked="t" coordsize="21600,21600" o:gfxdata="UEsDBAoAAAAAAIdO4kAAAAAAAAAAAAAAAAAEAAAAZHJzL1BLAwQUAAAACACHTuJAY3NjfL4AAADb&#10;AAAADwAAAGRycy9kb3ducmV2LnhtbEWPT2sCMRTE7wW/Q3hCbzW7U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NjfL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32" type="#_x0000_t32" style="position:absolute;left:7085;top:840591;height:0;width:1304;"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202" type="#_x0000_t202" style="position:absolute;left:7308;top:840512;height:419;width:877;"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sz w:val="18"/>
                                </w:rPr>
                              </w:pPr>
                              <w:r>
                                <w:rPr>
                                  <w:rFonts w:hint="eastAsia"/>
                                  <w:sz w:val="18"/>
                                  <w:lang w:val="en-US" w:eastAsia="zh-CN"/>
                                </w:rPr>
                                <w:t>压滤</w:t>
                              </w:r>
                              <w:r>
                                <w:rPr>
                                  <w:rFonts w:hint="eastAsia"/>
                                  <w:sz w:val="18"/>
                                </w:rPr>
                                <w:t>水</w:t>
                              </w:r>
                            </w:p>
                          </w:txbxContent>
                        </v:textbox>
                      </v:shape>
                      <v:shape id="_x0000_s1026" o:spid="_x0000_s1026" o:spt="202" type="#_x0000_t202" style="position:absolute;left:3539;top:840182;height:664;width:1886;"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sz w:val="18"/>
                                </w:rPr>
                              </w:pPr>
                              <w:r>
                                <w:rPr>
                                  <w:rFonts w:hint="eastAsia"/>
                                  <w:sz w:val="18"/>
                                  <w:lang w:val="en-US" w:eastAsia="zh-CN"/>
                                </w:rPr>
                                <w:t>运至</w:t>
                              </w:r>
                              <w:r>
                                <w:rPr>
                                  <w:rFonts w:hint="eastAsia"/>
                                  <w:sz w:val="18"/>
                                </w:rPr>
                                <w:t>附近砖</w:t>
                              </w:r>
                              <w:r>
                                <w:rPr>
                                  <w:sz w:val="18"/>
                                </w:rPr>
                                <w:t>厂</w:t>
                              </w:r>
                              <w:r>
                                <w:rPr>
                                  <w:rFonts w:hint="eastAsia"/>
                                  <w:sz w:val="18"/>
                                  <w:lang w:val="en-US" w:eastAsia="zh-CN"/>
                                </w:rPr>
                                <w:t>或者建材厂</w:t>
                              </w:r>
                              <w:r>
                                <w:rPr>
                                  <w:sz w:val="18"/>
                                </w:rPr>
                                <w:t>做原料</w:t>
                              </w:r>
                            </w:p>
                          </w:txbxContent>
                        </v:textbox>
                      </v:shape>
                      <v:shape id="_x0000_s1026" o:spid="_x0000_s1026" o:spt="202" type="#_x0000_t202" style="position:absolute;left:7366;top:840127;height:419;width:783;" filled="f" stroked="f" coordsize="21600,21600" o:gfxdata="UEsDBAoAAAAAAIdO4kAAAAAAAAAAAAAAAAAEAAAAZHJzL1BLAwQUAAAACACHTuJA0wWMh78AAADa&#10;AAAADwAAAGRycy9kb3ducmV2LnhtbEWPT2vCQBTE74V+h+UVequbSC2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FjIe/&#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sz w:val="18"/>
                                </w:rPr>
                              </w:pPr>
                              <w:r>
                                <w:rPr>
                                  <w:rFonts w:hint="eastAsia"/>
                                  <w:sz w:val="18"/>
                                </w:rPr>
                                <w:t>泥沙</w:t>
                              </w:r>
                            </w:p>
                          </w:txbxContent>
                        </v:textbox>
                      </v:shape>
                      <v:shape id="_x0000_s1026" o:spid="_x0000_s1026" o:spt="202" type="#_x0000_t202" style="position:absolute;left:8436;top:838748;height:419;width:965;" fillcolor="#FFFFFF [3201]" filled="t" stroked="t" coordsize="21600,21600" o:gfxdata="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JhxR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eastAsia" w:eastAsia="宋体"/>
                                  <w:lang w:eastAsia="zh-CN"/>
                                </w:rPr>
                              </w:pPr>
                              <w:r>
                                <w:rPr>
                                  <w:rFonts w:hint="eastAsia"/>
                                </w:rPr>
                                <w:t>加药</w:t>
                              </w:r>
                              <w:r>
                                <w:rPr>
                                  <w:rFonts w:hint="eastAsia"/>
                                  <w:lang w:val="en-US" w:eastAsia="zh-CN"/>
                                </w:rPr>
                                <w:t>罐</w:t>
                              </w:r>
                            </w:p>
                          </w:txbxContent>
                        </v:textbox>
                      </v:shape>
                      <v:shape id="_x0000_s1026" o:spid="_x0000_s1026" o:spt="32" type="#_x0000_t32" style="position:absolute;left:8011;top:838947;height:0;width:397;" filled="f" stroked="t" coordsize="21600,21600" o:gfxdata="UEsDBAoAAAAAAIdO4kAAAAAAAAAAAAAAAAAEAAAAZHJzL1BLAwQUAAAACACHTuJAqk+5nLsAAADb&#10;AAAADwAAAGRycy9kb3ducmV2LnhtbEVPW2vCMBR+H+w/hDPY20zro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5nL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_x0000_s1026" o:spid="_x0000_s1026" o:spt="202" type="#_x0000_t202" style="position:absolute;left:8704;top:839082;height:419;width:783;" filled="f" stroked="f" coordsize="21600,21600" o:gfxdata="UEsDBAoAAAAAAIdO4kAAAAAAAAAAAAAAAAAEAAAAZHJzL1BLAwQUAAAACACHTuJAODJbcr8AAADb&#10;AAAADwAAAGRycy9kb3ducmV2LnhtbEWPQWvCQBSE7wX/w/IEb3UTaU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yW3K/&#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sz w:val="18"/>
                                </w:rPr>
                              </w:pPr>
                              <w:r>
                                <w:rPr>
                                  <w:rFonts w:hint="eastAsia"/>
                                  <w:sz w:val="18"/>
                                </w:rPr>
                                <w:t>泵</w:t>
                              </w:r>
                            </w:p>
                          </w:txbxContent>
                        </v:textbox>
                      </v:shape>
                    </v:group>
                  </w:pict>
                </mc:Fallback>
              </mc:AlternateContent>
            </w:r>
          </w:p>
          <w:p>
            <w:pPr>
              <w:keepNext w:val="0"/>
              <w:keepLines w:val="0"/>
              <w:suppressLineNumbers w:val="0"/>
              <w:spacing w:before="0" w:beforeAutospacing="0" w:after="0" w:afterAutospacing="0"/>
              <w:ind w:left="0" w:right="0"/>
              <w:jc w:val="center"/>
              <w:rPr>
                <w:rFonts w:hint="default" w:ascii="宋体" w:hAnsi="宋体"/>
                <w:color w:val="auto"/>
              </w:rPr>
            </w:pPr>
            <w:r>
              <w:rPr>
                <w:rFonts w:hint="eastAsia" w:ascii="宋体" w:hAnsi="宋体"/>
                <w:color w:val="auto"/>
              </w:rPr>
              <w:t xml:space="preserve"> </w:t>
            </w:r>
          </w:p>
          <w:p>
            <w:pPr>
              <w:keepNext w:val="0"/>
              <w:keepLines w:val="0"/>
              <w:suppressLineNumbers w:val="0"/>
              <w:spacing w:before="0" w:beforeAutospacing="0" w:after="0" w:afterAutospacing="0" w:line="400" w:lineRule="exact"/>
              <w:ind w:left="0" w:right="0" w:firstLine="420" w:firstLineChars="200"/>
              <w:rPr>
                <w:rFonts w:hint="default"/>
                <w:color w:val="auto"/>
                <w:kern w:val="0"/>
              </w:rPr>
            </w:pPr>
            <w:r>
              <w:rPr>
                <w:rFonts w:hint="default"/>
                <w:color w:val="auto"/>
                <w:kern w:val="0"/>
              </w:rPr>
              <w:t xml:space="preserve"> </w:t>
            </w:r>
          </w:p>
          <w:p>
            <w:pPr>
              <w:keepNext w:val="0"/>
              <w:keepLines w:val="0"/>
              <w:suppressLineNumbers w:val="0"/>
              <w:spacing w:before="0" w:beforeAutospacing="0" w:after="0" w:afterAutospacing="0" w:line="360" w:lineRule="auto"/>
              <w:ind w:left="0" w:right="0" w:firstLine="480" w:firstLineChars="200"/>
              <w:rPr>
                <w:rFonts w:hint="default" w:ascii="宋体" w:hAnsi="宋体"/>
                <w:color w:val="auto"/>
                <w:kern w:val="0"/>
                <w:sz w:val="24"/>
              </w:rPr>
            </w:pPr>
          </w:p>
          <w:p>
            <w:pPr>
              <w:keepNext w:val="0"/>
              <w:keepLines w:val="0"/>
              <w:suppressLineNumbers w:val="0"/>
              <w:spacing w:before="0" w:beforeAutospacing="0" w:after="0" w:afterAutospacing="0" w:line="360" w:lineRule="auto"/>
              <w:ind w:left="0" w:right="0" w:firstLine="480" w:firstLineChars="200"/>
              <w:rPr>
                <w:rFonts w:hint="default" w:ascii="宋体" w:hAnsi="宋体"/>
                <w:color w:val="auto"/>
                <w:kern w:val="0"/>
                <w:sz w:val="24"/>
              </w:rPr>
            </w:pPr>
          </w:p>
          <w:p>
            <w:pPr>
              <w:keepNext w:val="0"/>
              <w:keepLines w:val="0"/>
              <w:suppressLineNumbers w:val="0"/>
              <w:spacing w:before="0" w:beforeAutospacing="0" w:after="0" w:afterAutospacing="0" w:line="360" w:lineRule="auto"/>
              <w:ind w:left="0" w:right="0" w:firstLine="480" w:firstLineChars="200"/>
              <w:rPr>
                <w:rFonts w:hint="default" w:ascii="宋体" w:hAnsi="宋体"/>
                <w:color w:val="auto"/>
                <w:kern w:val="0"/>
                <w:sz w:val="24"/>
              </w:rPr>
            </w:pPr>
          </w:p>
          <w:p>
            <w:pPr>
              <w:keepNext w:val="0"/>
              <w:keepLines w:val="0"/>
              <w:suppressLineNumbers w:val="0"/>
              <w:spacing w:before="0" w:beforeAutospacing="0" w:after="0" w:afterAutospacing="0" w:line="400" w:lineRule="exact"/>
              <w:ind w:left="0" w:right="0" w:firstLine="420" w:firstLineChars="200"/>
              <w:rPr>
                <w:rFonts w:hint="eastAsia"/>
                <w:color w:val="auto"/>
                <w:kern w:val="0"/>
              </w:rPr>
            </w:pPr>
            <w:r>
              <w:rPr>
                <w:rFonts w:hint="eastAsia" w:ascii="宋体" w:hAnsi="宋体"/>
                <w:color w:val="auto"/>
              </w:rPr>
              <mc:AlternateContent>
                <mc:Choice Requires="wps">
                  <w:drawing>
                    <wp:anchor distT="0" distB="0" distL="114300" distR="114300" simplePos="0" relativeHeight="251666432" behindDoc="0" locked="0" layoutInCell="1" allowOverlap="1">
                      <wp:simplePos x="0" y="0"/>
                      <wp:positionH relativeFrom="column">
                        <wp:posOffset>560070</wp:posOffset>
                      </wp:positionH>
                      <wp:positionV relativeFrom="paragraph">
                        <wp:posOffset>49530</wp:posOffset>
                      </wp:positionV>
                      <wp:extent cx="4178300" cy="266065"/>
                      <wp:effectExtent l="0" t="0" r="0" b="635"/>
                      <wp:wrapNone/>
                      <wp:docPr id="45" name="文本框 45"/>
                      <wp:cNvGraphicFramePr/>
                      <a:graphic xmlns:a="http://schemas.openxmlformats.org/drawingml/2006/main">
                        <a:graphicData uri="http://schemas.microsoft.com/office/word/2010/wordprocessingShape">
                          <wps:wsp>
                            <wps:cNvSpPr txBox="1"/>
                            <wps:spPr>
                              <a:xfrm>
                                <a:off x="0" y="0"/>
                                <a:ext cx="417830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18"/>
                                    </w:rPr>
                                  </w:pPr>
                                  <w:r>
                                    <w:rPr>
                                      <w:rFonts w:hint="eastAsia"/>
                                      <w:b/>
                                      <w:sz w:val="18"/>
                                    </w:rPr>
                                    <w:t>图4-1：</w:t>
                                  </w:r>
                                  <w:r>
                                    <w:rPr>
                                      <w:b/>
                                      <w:sz w:val="18"/>
                                    </w:rPr>
                                    <w:t>项目废水处理工艺流程图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1pt;margin-top:3.9pt;height:20.95pt;width:329pt;z-index:251666432;mso-width-relative:page;mso-height-relative:page;" filled="f" stroked="f" coordsize="21600,21600" o:gfxdata="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ebZPYAAAABwEAAA8AAAAAAAAAAQAgAAAAIgAAAGRycy9kb3ducmV2LnhtbFBLAQIUABQAAAAI&#10;AIdO4kAJCZZOJgIAACgEAAAOAAAAAAAAAAEAIAAAACcBAABkcnMvZTJvRG9jLnhtbFBLBQYAAAAA&#10;BgAGAFkBAAC/BQAAAAA=&#10;">
                      <v:fill on="f" focussize="0,0"/>
                      <v:stroke on="f" weight="0.5pt"/>
                      <v:imagedata o:title=""/>
                      <o:lock v:ext="edit" aspectratio="f"/>
                      <v:textbox>
                        <w:txbxContent>
                          <w:p>
                            <w:pPr>
                              <w:jc w:val="center"/>
                              <w:rPr>
                                <w:b/>
                                <w:sz w:val="18"/>
                              </w:rPr>
                            </w:pPr>
                            <w:r>
                              <w:rPr>
                                <w:rFonts w:hint="eastAsia"/>
                                <w:b/>
                                <w:sz w:val="18"/>
                              </w:rPr>
                              <w:t>图4-1：</w:t>
                            </w:r>
                            <w:r>
                              <w:rPr>
                                <w:b/>
                                <w:sz w:val="18"/>
                              </w:rPr>
                              <w:t>项目废水处理工艺流程图</w:t>
                            </w:r>
                          </w:p>
                        </w:txbxContent>
                      </v:textbox>
                    </v:shape>
                  </w:pict>
                </mc:Fallback>
              </mc:AlternateContent>
            </w:r>
          </w:p>
          <w:p>
            <w:pPr>
              <w:keepNext w:val="0"/>
              <w:keepLines w:val="0"/>
              <w:suppressLineNumbers w:val="0"/>
              <w:spacing w:before="0" w:beforeAutospacing="0" w:after="0" w:afterAutospacing="0" w:line="400" w:lineRule="exact"/>
              <w:ind w:left="0" w:right="0" w:firstLine="420" w:firstLineChars="200"/>
              <w:rPr>
                <w:rFonts w:hint="default"/>
                <w:color w:val="auto"/>
                <w:kern w:val="0"/>
              </w:rPr>
            </w:pPr>
            <w:r>
              <w:rPr>
                <w:rFonts w:hint="eastAsia"/>
                <w:color w:val="auto"/>
                <w:kern w:val="0"/>
              </w:rPr>
              <w:t>废水首先进入</w:t>
            </w:r>
            <w:r>
              <w:rPr>
                <w:rFonts w:hint="eastAsia"/>
                <w:color w:val="auto"/>
                <w:kern w:val="0"/>
                <w:lang w:val="en-US" w:eastAsia="zh-CN"/>
              </w:rPr>
              <w:t>洗砂设备旁边</w:t>
            </w:r>
            <w:r>
              <w:rPr>
                <w:rFonts w:hint="eastAsia"/>
                <w:color w:val="auto"/>
                <w:kern w:val="0"/>
              </w:rPr>
              <w:t>的污水</w:t>
            </w:r>
            <w:r>
              <w:rPr>
                <w:rFonts w:hint="eastAsia"/>
                <w:color w:val="auto"/>
                <w:kern w:val="0"/>
                <w:lang w:val="en-US" w:eastAsia="zh-CN"/>
              </w:rPr>
              <w:t>收集池</w:t>
            </w:r>
            <w:r>
              <w:rPr>
                <w:rFonts w:hint="eastAsia"/>
                <w:color w:val="auto"/>
                <w:kern w:val="0"/>
              </w:rPr>
              <w:t>，然后通过管道</w:t>
            </w:r>
            <w:r>
              <w:rPr>
                <w:rFonts w:hint="eastAsia"/>
                <w:color w:val="auto"/>
                <w:kern w:val="0"/>
                <w:lang w:val="en-US" w:eastAsia="zh-CN"/>
              </w:rPr>
              <w:t>泵入污水沉淀罐</w:t>
            </w:r>
            <w:r>
              <w:rPr>
                <w:rFonts w:hint="eastAsia"/>
                <w:color w:val="auto"/>
                <w:kern w:val="0"/>
              </w:rPr>
              <w:t>。此时废水中悬浮物浓度较大约3000</w:t>
            </w:r>
            <w:r>
              <w:rPr>
                <w:rFonts w:hint="eastAsia"/>
                <w:color w:val="auto"/>
                <w:kern w:val="0"/>
                <w:lang w:val="en-US" w:eastAsia="zh-CN"/>
              </w:rPr>
              <w:t>~5000</w:t>
            </w:r>
            <w:r>
              <w:rPr>
                <w:rFonts w:hint="eastAsia"/>
                <w:color w:val="auto"/>
                <w:kern w:val="0"/>
              </w:rPr>
              <w:t>mg/L，仅靠自然沉淀效果不佳。沉淀罐旁配备有加药机（加药设备配有一个1m</w:t>
            </w:r>
            <w:r>
              <w:rPr>
                <w:rFonts w:hint="default"/>
                <w:color w:val="auto"/>
                <w:kern w:val="0"/>
                <w:vertAlign w:val="superscript"/>
              </w:rPr>
              <w:t>3</w:t>
            </w:r>
            <w:r>
              <w:rPr>
                <w:rFonts w:hint="eastAsia"/>
                <w:color w:val="auto"/>
                <w:kern w:val="0"/>
              </w:rPr>
              <w:t>的加药</w:t>
            </w:r>
            <w:r>
              <w:rPr>
                <w:rFonts w:hint="eastAsia"/>
                <w:color w:val="auto"/>
                <w:kern w:val="0"/>
                <w:lang w:val="en-US" w:eastAsia="zh-CN"/>
              </w:rPr>
              <w:t>罐</w:t>
            </w:r>
            <w:r>
              <w:rPr>
                <w:rFonts w:hint="eastAsia"/>
                <w:color w:val="auto"/>
                <w:kern w:val="0"/>
              </w:rPr>
              <w:t>），通过加入PAC和PAM与水混合均匀后，再将药水泵入沉淀罐，能有效提升悬浮物的沉淀速度。聚合氯化铝PAC有良好的絮凝性、无毒害且不会引入其他杂质（如铝等）,</w:t>
            </w:r>
            <w:r>
              <w:rPr>
                <w:rFonts w:hint="eastAsia"/>
                <w:color w:val="auto"/>
              </w:rPr>
              <w:t xml:space="preserve"> </w:t>
            </w:r>
            <w:r>
              <w:rPr>
                <w:rFonts w:hint="eastAsia"/>
                <w:color w:val="auto"/>
                <w:kern w:val="0"/>
              </w:rPr>
              <w:t>聚丙烯酰胺是由丙烯酰胺（AM）单体经自由基引发聚合而成的水溶性线性高分子聚合物，具有良好的絮凝性，可以降低液体之间的摩擦阻力，按离子特性分可分为非离子、阴离子、阳离子和两性型四种类型。</w:t>
            </w:r>
          </w:p>
          <w:p>
            <w:pPr>
              <w:keepNext w:val="0"/>
              <w:keepLines w:val="0"/>
              <w:suppressLineNumbers w:val="0"/>
              <w:spacing w:before="0" w:beforeAutospacing="0" w:after="0" w:afterAutospacing="0" w:line="400" w:lineRule="exact"/>
              <w:ind w:left="0" w:right="0" w:firstLine="420" w:firstLineChars="200"/>
              <w:rPr>
                <w:rFonts w:hint="default"/>
                <w:color w:val="auto"/>
                <w:kern w:val="0"/>
              </w:rPr>
            </w:pPr>
            <w:r>
              <w:rPr>
                <w:rFonts w:hint="default"/>
                <w:color w:val="auto"/>
                <w:kern w:val="0"/>
              </w:rPr>
              <w:t>在絮凝剂的作用下，废水中的</w:t>
            </w:r>
            <w:r>
              <w:rPr>
                <w:rFonts w:hint="eastAsia"/>
                <w:color w:val="auto"/>
                <w:kern w:val="0"/>
              </w:rPr>
              <w:t>悬浮物逐渐结合成团状，沉淀至锥形罐底成为淤泥。罐体上清液通过溢流口进入清水池。此时悬浮物的浓度约为200~300mg/L，能够满足回用需求。淤泥主要存在于第一级沉淀罐中，定期由污泥泵抽取至板框压滤机压滤处理后，暂存在压滤机下方的泥饼池，定期拉运至附近砖厂</w:t>
            </w:r>
            <w:r>
              <w:rPr>
                <w:rFonts w:hint="eastAsia"/>
                <w:color w:val="auto"/>
                <w:kern w:val="0"/>
                <w:lang w:val="en-US" w:eastAsia="zh-CN"/>
              </w:rPr>
              <w:t>或建材厂</w:t>
            </w:r>
            <w:r>
              <w:rPr>
                <w:rFonts w:hint="eastAsia"/>
                <w:color w:val="auto"/>
                <w:kern w:val="0"/>
              </w:rPr>
              <w:t>做原料再利用。</w:t>
            </w:r>
          </w:p>
          <w:p>
            <w:pPr>
              <w:keepNext w:val="0"/>
              <w:keepLines w:val="0"/>
              <w:suppressLineNumbers w:val="0"/>
              <w:spacing w:before="0" w:beforeAutospacing="0" w:after="0" w:afterAutospacing="0" w:line="400" w:lineRule="exact"/>
              <w:ind w:left="0" w:right="0" w:firstLine="420" w:firstLineChars="200"/>
              <w:rPr>
                <w:rFonts w:hint="eastAsia"/>
                <w:color w:val="auto"/>
                <w:kern w:val="0"/>
              </w:rPr>
            </w:pPr>
            <w:r>
              <w:rPr>
                <w:rFonts w:hint="default"/>
                <w:color w:val="auto"/>
                <w:kern w:val="0"/>
              </w:rPr>
              <w:t>根据设计，</w:t>
            </w:r>
            <w:r>
              <w:rPr>
                <w:rFonts w:hint="eastAsia"/>
                <w:color w:val="auto"/>
                <w:kern w:val="0"/>
                <w:lang w:val="en-US" w:eastAsia="zh-CN"/>
              </w:rPr>
              <w:t>本</w:t>
            </w:r>
            <w:r>
              <w:rPr>
                <w:rFonts w:hint="default"/>
                <w:color w:val="auto"/>
                <w:kern w:val="0"/>
              </w:rPr>
              <w:t>项目</w:t>
            </w:r>
            <w:r>
              <w:rPr>
                <w:rFonts w:hint="eastAsia"/>
                <w:color w:val="auto"/>
                <w:kern w:val="0"/>
              </w:rPr>
              <w:t>废水处理系统由</w:t>
            </w:r>
            <w:r>
              <w:rPr>
                <w:rFonts w:hint="default"/>
                <w:color w:val="auto"/>
                <w:kern w:val="0"/>
              </w:rPr>
              <w:t>3</w:t>
            </w:r>
            <w:r>
              <w:rPr>
                <w:rFonts w:hint="eastAsia"/>
                <w:color w:val="auto"/>
                <w:kern w:val="0"/>
              </w:rPr>
              <w:t>个池（罐）体、加药机、水泵、污泥泵等组成。池体总容积约</w:t>
            </w:r>
            <w:r>
              <w:rPr>
                <w:rFonts w:hint="eastAsia"/>
                <w:color w:val="auto"/>
                <w:kern w:val="0"/>
                <w:lang w:val="en-US" w:eastAsia="zh-CN"/>
              </w:rPr>
              <w:t>690</w:t>
            </w:r>
            <w:r>
              <w:rPr>
                <w:rFonts w:hint="eastAsia"/>
                <w:color w:val="auto"/>
                <w:kern w:val="0"/>
              </w:rPr>
              <w:t>m</w:t>
            </w:r>
            <w:r>
              <w:rPr>
                <w:rFonts w:hint="eastAsia"/>
                <w:color w:val="auto"/>
                <w:kern w:val="0"/>
                <w:vertAlign w:val="superscript"/>
              </w:rPr>
              <w:t>3</w:t>
            </w:r>
            <w:r>
              <w:rPr>
                <w:rFonts w:hint="eastAsia"/>
                <w:color w:val="auto"/>
                <w:kern w:val="0"/>
                <w:lang w:eastAsia="zh-CN"/>
              </w:rPr>
              <w:t>。</w:t>
            </w:r>
            <w:r>
              <w:rPr>
                <w:rFonts w:hint="default"/>
                <w:color w:val="auto"/>
                <w:kern w:val="0"/>
              </w:rPr>
              <w:t>拟采用的废水处理工艺，技术成熟工艺可靠度高，废水在处理系统内的停留时间设计为</w:t>
            </w:r>
            <w:r>
              <w:rPr>
                <w:rFonts w:hint="eastAsia"/>
                <w:color w:val="auto"/>
                <w:kern w:val="0"/>
              </w:rPr>
              <w:t>1</w:t>
            </w:r>
            <w:r>
              <w:rPr>
                <w:rFonts w:hint="eastAsia"/>
                <w:color w:val="auto"/>
                <w:kern w:val="0"/>
                <w:lang w:val="en-US" w:eastAsia="zh-CN"/>
              </w:rPr>
              <w:t>.5</w:t>
            </w:r>
            <w:r>
              <w:rPr>
                <w:rFonts w:hint="eastAsia"/>
                <w:color w:val="auto"/>
                <w:kern w:val="0"/>
              </w:rPr>
              <w:t>小时，即可得到可回用的清水</w:t>
            </w:r>
            <w:r>
              <w:rPr>
                <w:rFonts w:hint="eastAsia"/>
                <w:color w:val="auto"/>
                <w:kern w:val="0"/>
                <w:lang w:eastAsia="zh-CN"/>
              </w:rPr>
              <w:t>，</w:t>
            </w:r>
            <w:r>
              <w:rPr>
                <w:rFonts w:hint="eastAsia"/>
                <w:color w:val="auto"/>
                <w:kern w:val="0"/>
                <w:lang w:val="en-US" w:eastAsia="zh-CN"/>
              </w:rPr>
              <w:t>则处理能力为460</w:t>
            </w:r>
            <w:r>
              <w:rPr>
                <w:rFonts w:hint="eastAsia"/>
                <w:color w:val="auto"/>
                <w:kern w:val="0"/>
              </w:rPr>
              <w:t>m</w:t>
            </w:r>
            <w:r>
              <w:rPr>
                <w:rFonts w:hint="eastAsia"/>
                <w:color w:val="auto"/>
                <w:kern w:val="0"/>
                <w:vertAlign w:val="superscript"/>
              </w:rPr>
              <w:t>3</w:t>
            </w:r>
            <w:r>
              <w:rPr>
                <w:rFonts w:hint="eastAsia"/>
                <w:color w:val="auto"/>
                <w:kern w:val="0"/>
                <w:vertAlign w:val="baseline"/>
                <w:lang w:val="en-US" w:eastAsia="zh-CN"/>
              </w:rPr>
              <w:t>/h</w:t>
            </w:r>
            <w:r>
              <w:rPr>
                <w:rFonts w:hint="eastAsia"/>
                <w:color w:val="auto"/>
                <w:kern w:val="0"/>
              </w:rPr>
              <w:t>。</w:t>
            </w:r>
          </w:p>
          <w:p>
            <w:pPr>
              <w:keepNext w:val="0"/>
              <w:keepLines w:val="0"/>
              <w:suppressLineNumbers w:val="0"/>
              <w:spacing w:before="0" w:beforeAutospacing="0" w:after="0" w:afterAutospacing="0" w:line="400" w:lineRule="exact"/>
              <w:ind w:left="0" w:right="0" w:firstLine="420" w:firstLineChars="200"/>
              <w:rPr>
                <w:rFonts w:hint="default"/>
                <w:color w:val="auto"/>
                <w:kern w:val="0"/>
              </w:rPr>
            </w:pPr>
            <w:r>
              <w:rPr>
                <w:rFonts w:hint="eastAsia"/>
                <w:color w:val="auto"/>
                <w:kern w:val="0"/>
                <w:highlight w:val="none"/>
              </w:rPr>
              <w:t>本项目</w:t>
            </w:r>
            <w:r>
              <w:rPr>
                <w:rFonts w:hint="eastAsia"/>
                <w:color w:val="auto"/>
                <w:kern w:val="0"/>
                <w:highlight w:val="none"/>
                <w:lang w:val="en-US" w:eastAsia="zh-CN"/>
              </w:rPr>
              <w:t>砂石生产系统废水</w:t>
            </w:r>
            <w:r>
              <w:rPr>
                <w:rFonts w:hint="eastAsia"/>
                <w:color w:val="auto"/>
                <w:kern w:val="0"/>
                <w:highlight w:val="none"/>
              </w:rPr>
              <w:t>产生量</w:t>
            </w:r>
            <w:r>
              <w:rPr>
                <w:rFonts w:hint="eastAsia"/>
                <w:b w:val="0"/>
                <w:bCs w:val="0"/>
                <w:color w:val="auto"/>
                <w:kern w:val="0"/>
                <w:lang w:val="en-US" w:eastAsia="zh-CN"/>
              </w:rPr>
              <w:t>3735.73</w:t>
            </w:r>
            <w:r>
              <w:rPr>
                <w:rFonts w:hint="default" w:ascii="Times New Roman" w:hAnsi="Times New Roman" w:cs="Times New Roman"/>
                <w:b w:val="0"/>
                <w:bCs w:val="0"/>
                <w:color w:val="auto"/>
                <w:kern w:val="0"/>
                <w:lang w:val="en-US" w:eastAsia="zh-CN"/>
              </w:rPr>
              <w:t>m</w:t>
            </w:r>
            <w:r>
              <w:rPr>
                <w:rFonts w:hint="default" w:ascii="Times New Roman" w:hAnsi="Times New Roman" w:cs="Times New Roman"/>
                <w:b w:val="0"/>
                <w:bCs w:val="0"/>
                <w:color w:val="auto"/>
                <w:kern w:val="0"/>
                <w:vertAlign w:val="superscript"/>
                <w:lang w:val="en-US" w:eastAsia="zh-CN"/>
              </w:rPr>
              <w:t>3</w:t>
            </w:r>
            <w:r>
              <w:rPr>
                <w:rFonts w:hint="default" w:ascii="Times New Roman" w:hAnsi="Times New Roman" w:cs="Times New Roman"/>
                <w:b w:val="0"/>
                <w:bCs w:val="0"/>
                <w:color w:val="auto"/>
                <w:kern w:val="0"/>
                <w:lang w:val="en-US" w:eastAsia="zh-CN"/>
              </w:rPr>
              <w:t>/d</w:t>
            </w:r>
            <w:r>
              <w:rPr>
                <w:rFonts w:hint="eastAsia" w:cs="Times New Roman"/>
                <w:b w:val="0"/>
                <w:bCs w:val="0"/>
                <w:color w:val="auto"/>
                <w:kern w:val="0"/>
                <w:lang w:val="en-US" w:eastAsia="zh-CN"/>
              </w:rPr>
              <w:t>（约</w:t>
            </w:r>
            <w:r>
              <w:rPr>
                <w:rFonts w:hint="eastAsia"/>
                <w:b w:val="0"/>
                <w:bCs w:val="0"/>
                <w:color w:val="auto"/>
                <w:kern w:val="0"/>
                <w:lang w:val="en-US" w:eastAsia="zh-CN"/>
              </w:rPr>
              <w:t>373.57</w:t>
            </w:r>
            <w:r>
              <w:rPr>
                <w:rFonts w:hint="default" w:ascii="Times New Roman" w:hAnsi="Times New Roman" w:cs="Times New Roman"/>
                <w:b w:val="0"/>
                <w:bCs w:val="0"/>
                <w:color w:val="auto"/>
                <w:kern w:val="0"/>
                <w:lang w:val="en-US" w:eastAsia="zh-CN"/>
              </w:rPr>
              <w:t>m</w:t>
            </w:r>
            <w:r>
              <w:rPr>
                <w:rFonts w:hint="default" w:ascii="Times New Roman" w:hAnsi="Times New Roman" w:cs="Times New Roman"/>
                <w:b w:val="0"/>
                <w:bCs w:val="0"/>
                <w:color w:val="auto"/>
                <w:kern w:val="0"/>
                <w:vertAlign w:val="superscript"/>
                <w:lang w:val="en-US" w:eastAsia="zh-CN"/>
              </w:rPr>
              <w:t>3</w:t>
            </w:r>
            <w:r>
              <w:rPr>
                <w:rFonts w:hint="default" w:ascii="Times New Roman" w:hAnsi="Times New Roman" w:cs="Times New Roman"/>
                <w:b w:val="0"/>
                <w:bCs w:val="0"/>
                <w:color w:val="auto"/>
                <w:kern w:val="0"/>
                <w:lang w:val="en-US" w:eastAsia="zh-CN"/>
              </w:rPr>
              <w:t>/</w:t>
            </w:r>
            <w:r>
              <w:rPr>
                <w:rFonts w:hint="eastAsia" w:cs="Times New Roman"/>
                <w:b w:val="0"/>
                <w:bCs w:val="0"/>
                <w:color w:val="auto"/>
                <w:kern w:val="0"/>
                <w:lang w:val="en-US" w:eastAsia="zh-CN"/>
              </w:rPr>
              <w:t>h）</w:t>
            </w:r>
            <w:r>
              <w:rPr>
                <w:rFonts w:hint="eastAsia"/>
                <w:color w:val="auto"/>
                <w:kern w:val="0"/>
                <w:highlight w:val="none"/>
              </w:rPr>
              <w:t>。因此，项目废水处理设施设计处理能力大于废水产生量，</w:t>
            </w:r>
            <w:r>
              <w:rPr>
                <w:rFonts w:hint="eastAsia"/>
                <w:color w:val="auto"/>
                <w:kern w:val="0"/>
                <w:highlight w:val="none"/>
                <w:lang w:val="en-US" w:eastAsia="zh-CN"/>
              </w:rPr>
              <w:t>废水停留时间最长可达到约1.8小时，</w:t>
            </w:r>
            <w:r>
              <w:rPr>
                <w:rFonts w:hint="eastAsia"/>
                <w:color w:val="auto"/>
                <w:kern w:val="0"/>
                <w:highlight w:val="none"/>
              </w:rPr>
              <w:t>能够满足废水处理需求。</w:t>
            </w:r>
          </w:p>
          <w:p>
            <w:pPr>
              <w:keepNext w:val="0"/>
              <w:keepLines w:val="0"/>
              <w:suppressLineNumbers w:val="0"/>
              <w:spacing w:before="0" w:beforeAutospacing="0" w:after="0" w:afterAutospacing="0" w:line="400" w:lineRule="exact"/>
              <w:ind w:left="0" w:right="0" w:firstLine="420" w:firstLineChars="200"/>
              <w:rPr>
                <w:rFonts w:hint="default"/>
                <w:color w:val="auto"/>
                <w:kern w:val="0"/>
              </w:rPr>
            </w:pPr>
            <w:r>
              <w:rPr>
                <w:rFonts w:hint="eastAsia"/>
                <w:color w:val="auto"/>
                <w:kern w:val="0"/>
              </w:rPr>
              <w:t>项目废水处理主要设施见下表。</w:t>
            </w: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eastAsia="黑体"/>
                <w:color w:val="auto"/>
                <w:kern w:val="0"/>
                <w:sz w:val="18"/>
              </w:rPr>
            </w:pPr>
            <w:r>
              <w:rPr>
                <w:rFonts w:hint="eastAsia" w:ascii="黑体" w:hAnsi="黑体" w:eastAsia="黑体"/>
                <w:color w:val="auto"/>
                <w:kern w:val="0"/>
                <w:sz w:val="18"/>
              </w:rPr>
              <w:t>表</w:t>
            </w:r>
            <w:r>
              <w:rPr>
                <w:rFonts w:hint="default" w:eastAsia="黑体"/>
                <w:color w:val="auto"/>
                <w:kern w:val="0"/>
                <w:sz w:val="18"/>
              </w:rPr>
              <w:t>4-</w:t>
            </w:r>
            <w:r>
              <w:rPr>
                <w:rFonts w:hint="eastAsia" w:eastAsia="黑体"/>
                <w:color w:val="auto"/>
                <w:kern w:val="0"/>
                <w:sz w:val="18"/>
              </w:rPr>
              <w:t xml:space="preserve">7 </w:t>
            </w:r>
            <w:r>
              <w:rPr>
                <w:rFonts w:hint="default" w:eastAsia="黑体"/>
                <w:color w:val="auto"/>
                <w:kern w:val="0"/>
                <w:sz w:val="18"/>
              </w:rPr>
              <w:t xml:space="preserve">   </w:t>
            </w:r>
            <w:r>
              <w:rPr>
                <w:rFonts w:hint="eastAsia" w:ascii="黑体" w:hAnsi="黑体" w:eastAsia="黑体"/>
                <w:color w:val="auto"/>
                <w:kern w:val="0"/>
                <w:sz w:val="18"/>
              </w:rPr>
              <w:t xml:space="preserve"> 废水处理系统建设要求</w:t>
            </w:r>
          </w:p>
          <w:tbl>
            <w:tblPr>
              <w:tblStyle w:val="14"/>
              <w:tblW w:w="79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843"/>
              <w:gridCol w:w="1276"/>
              <w:gridCol w:w="1134"/>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865"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b/>
                      <w:bCs/>
                      <w:color w:val="auto"/>
                      <w:sz w:val="18"/>
                    </w:rPr>
                  </w:pPr>
                  <w:r>
                    <w:rPr>
                      <w:rFonts w:hint="eastAsia" w:ascii="宋体" w:hAnsi="宋体"/>
                      <w:b/>
                      <w:bCs/>
                      <w:color w:val="auto"/>
                      <w:sz w:val="18"/>
                    </w:rPr>
                    <w:t>序号</w:t>
                  </w:r>
                </w:p>
              </w:tc>
              <w:tc>
                <w:tcPr>
                  <w:tcW w:w="1843"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b/>
                      <w:bCs/>
                      <w:color w:val="auto"/>
                      <w:sz w:val="18"/>
                    </w:rPr>
                  </w:pPr>
                  <w:r>
                    <w:rPr>
                      <w:rFonts w:hint="eastAsia" w:ascii="宋体" w:hAnsi="宋体"/>
                      <w:b/>
                      <w:bCs/>
                      <w:color w:val="auto"/>
                      <w:sz w:val="18"/>
                    </w:rPr>
                    <w:t>设施名称</w:t>
                  </w:r>
                </w:p>
              </w:tc>
              <w:tc>
                <w:tcPr>
                  <w:tcW w:w="1276"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b/>
                      <w:bCs/>
                      <w:color w:val="auto"/>
                      <w:sz w:val="18"/>
                    </w:rPr>
                  </w:pPr>
                  <w:r>
                    <w:rPr>
                      <w:rFonts w:hint="eastAsia" w:ascii="宋体" w:hAnsi="宋体"/>
                      <w:b/>
                      <w:bCs/>
                      <w:color w:val="auto"/>
                      <w:sz w:val="18"/>
                    </w:rPr>
                    <w:t>总容积</w:t>
                  </w:r>
                </w:p>
              </w:tc>
              <w:tc>
                <w:tcPr>
                  <w:tcW w:w="1134"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b/>
                      <w:bCs/>
                      <w:color w:val="auto"/>
                      <w:sz w:val="18"/>
                    </w:rPr>
                  </w:pPr>
                  <w:r>
                    <w:rPr>
                      <w:rFonts w:hint="eastAsia" w:ascii="宋体" w:hAnsi="宋体"/>
                      <w:b/>
                      <w:bCs/>
                      <w:color w:val="auto"/>
                      <w:sz w:val="18"/>
                    </w:rPr>
                    <w:t>数量</w:t>
                  </w:r>
                </w:p>
              </w:tc>
              <w:tc>
                <w:tcPr>
                  <w:tcW w:w="2800"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b/>
                      <w:bCs/>
                      <w:color w:val="auto"/>
                      <w:sz w:val="18"/>
                    </w:rPr>
                  </w:pPr>
                  <w:r>
                    <w:rPr>
                      <w:rFonts w:hint="eastAsia" w:ascii="宋体" w:hAnsi="宋体"/>
                      <w:b/>
                      <w:bCs/>
                      <w:color w:val="auto"/>
                      <w:sz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865"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default"/>
                      <w:color w:val="auto"/>
                      <w:sz w:val="18"/>
                    </w:rPr>
                    <w:t>1</w:t>
                  </w:r>
                </w:p>
              </w:tc>
              <w:tc>
                <w:tcPr>
                  <w:tcW w:w="1843"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ascii="宋体" w:hAnsi="宋体"/>
                      <w:color w:val="auto"/>
                      <w:sz w:val="18"/>
                    </w:rPr>
                    <w:t>一级沉淀池</w:t>
                  </w:r>
                </w:p>
              </w:tc>
              <w:tc>
                <w:tcPr>
                  <w:tcW w:w="1276"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lang w:val="en-US" w:eastAsia="zh-CN"/>
                    </w:rPr>
                    <w:t>4</w:t>
                  </w:r>
                  <w:r>
                    <w:rPr>
                      <w:rFonts w:hint="eastAsia"/>
                      <w:color w:val="auto"/>
                      <w:sz w:val="18"/>
                    </w:rPr>
                    <w:t>0</w:t>
                  </w:r>
                  <w:r>
                    <w:rPr>
                      <w:rFonts w:hint="default"/>
                      <w:color w:val="auto"/>
                      <w:sz w:val="18"/>
                    </w:rPr>
                    <w:t>m</w:t>
                  </w:r>
                  <w:r>
                    <w:rPr>
                      <w:rFonts w:hint="default"/>
                      <w:color w:val="auto"/>
                      <w:sz w:val="18"/>
                      <w:vertAlign w:val="superscript"/>
                    </w:rPr>
                    <w:t>3</w:t>
                  </w:r>
                </w:p>
              </w:tc>
              <w:tc>
                <w:tcPr>
                  <w:tcW w:w="1134"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1</w:t>
                  </w:r>
                  <w:r>
                    <w:rPr>
                      <w:rFonts w:hint="eastAsia" w:ascii="宋体" w:hAnsi="宋体"/>
                      <w:color w:val="auto"/>
                      <w:sz w:val="18"/>
                    </w:rPr>
                    <w:t>个</w:t>
                  </w:r>
                </w:p>
              </w:tc>
              <w:tc>
                <w:tcPr>
                  <w:tcW w:w="2800"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ascii="宋体" w:hAnsi="宋体"/>
                      <w:color w:val="auto"/>
                      <w:sz w:val="18"/>
                    </w:rPr>
                    <w:t>基地硬化处理、池体防渗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865"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default"/>
                      <w:color w:val="auto"/>
                      <w:sz w:val="18"/>
                    </w:rPr>
                    <w:t>2</w:t>
                  </w:r>
                </w:p>
              </w:tc>
              <w:tc>
                <w:tcPr>
                  <w:tcW w:w="1843"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default"/>
                      <w:color w:val="auto"/>
                      <w:sz w:val="18"/>
                    </w:rPr>
                    <w:t>沉淀浓缩罐</w:t>
                  </w:r>
                </w:p>
              </w:tc>
              <w:tc>
                <w:tcPr>
                  <w:tcW w:w="1276"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default"/>
                      <w:color w:val="auto"/>
                      <w:sz w:val="18"/>
                    </w:rPr>
                    <w:t>3</w:t>
                  </w:r>
                  <w:r>
                    <w:rPr>
                      <w:rFonts w:hint="eastAsia"/>
                      <w:color w:val="auto"/>
                      <w:sz w:val="18"/>
                      <w:lang w:val="en-US" w:eastAsia="zh-CN"/>
                    </w:rPr>
                    <w:t>0</w:t>
                  </w:r>
                  <w:r>
                    <w:rPr>
                      <w:rFonts w:hint="eastAsia"/>
                      <w:color w:val="auto"/>
                      <w:sz w:val="18"/>
                    </w:rPr>
                    <w:t>0</w:t>
                  </w:r>
                  <w:r>
                    <w:rPr>
                      <w:rFonts w:hint="default"/>
                      <w:color w:val="auto"/>
                      <w:sz w:val="18"/>
                    </w:rPr>
                    <w:t>m</w:t>
                  </w:r>
                  <w:r>
                    <w:rPr>
                      <w:rFonts w:hint="default"/>
                      <w:color w:val="auto"/>
                      <w:sz w:val="18"/>
                      <w:vertAlign w:val="superscript"/>
                    </w:rPr>
                    <w:t>3</w:t>
                  </w:r>
                </w:p>
              </w:tc>
              <w:tc>
                <w:tcPr>
                  <w:tcW w:w="1134"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1</w:t>
                  </w:r>
                  <w:r>
                    <w:rPr>
                      <w:rFonts w:hint="eastAsia" w:ascii="宋体" w:hAnsi="宋体"/>
                      <w:color w:val="auto"/>
                      <w:sz w:val="18"/>
                    </w:rPr>
                    <w:t>个</w:t>
                  </w:r>
                </w:p>
              </w:tc>
              <w:tc>
                <w:tcPr>
                  <w:tcW w:w="2800"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ascii="宋体" w:hAnsi="宋体"/>
                      <w:color w:val="auto"/>
                      <w:sz w:val="18"/>
                    </w:rPr>
                    <w:t>基地硬化处理、罐体防渗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jc w:val="center"/>
              </w:trPr>
              <w:tc>
                <w:tcPr>
                  <w:tcW w:w="865"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default"/>
                      <w:color w:val="auto"/>
                      <w:sz w:val="18"/>
                    </w:rPr>
                    <w:t>3</w:t>
                  </w:r>
                </w:p>
              </w:tc>
              <w:tc>
                <w:tcPr>
                  <w:tcW w:w="1843"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ascii="宋体" w:hAnsi="宋体"/>
                      <w:color w:val="auto"/>
                      <w:sz w:val="18"/>
                    </w:rPr>
                    <w:t>清水池</w:t>
                  </w:r>
                </w:p>
              </w:tc>
              <w:tc>
                <w:tcPr>
                  <w:tcW w:w="1276"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lang w:val="en-US" w:eastAsia="zh-CN"/>
                    </w:rPr>
                    <w:t>350</w:t>
                  </w:r>
                  <w:r>
                    <w:rPr>
                      <w:rFonts w:hint="default"/>
                      <w:color w:val="auto"/>
                      <w:sz w:val="18"/>
                    </w:rPr>
                    <w:t>m</w:t>
                  </w:r>
                  <w:r>
                    <w:rPr>
                      <w:rFonts w:hint="default"/>
                      <w:color w:val="auto"/>
                      <w:sz w:val="18"/>
                      <w:vertAlign w:val="superscript"/>
                    </w:rPr>
                    <w:t>3</w:t>
                  </w:r>
                </w:p>
              </w:tc>
              <w:tc>
                <w:tcPr>
                  <w:tcW w:w="1134"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1</w:t>
                  </w:r>
                  <w:r>
                    <w:rPr>
                      <w:rFonts w:hint="eastAsia" w:ascii="宋体" w:hAnsi="宋体"/>
                      <w:color w:val="auto"/>
                      <w:sz w:val="18"/>
                    </w:rPr>
                    <w:t>个</w:t>
                  </w:r>
                </w:p>
              </w:tc>
              <w:tc>
                <w:tcPr>
                  <w:tcW w:w="2800"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ascii="宋体" w:hAnsi="宋体"/>
                      <w:color w:val="auto"/>
                      <w:sz w:val="18"/>
                    </w:rPr>
                    <w:t>基地硬化处理、池体防渗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865"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default"/>
                      <w:color w:val="auto"/>
                      <w:sz w:val="18"/>
                    </w:rPr>
                    <w:t>4</w:t>
                  </w:r>
                </w:p>
              </w:tc>
              <w:tc>
                <w:tcPr>
                  <w:tcW w:w="1843"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ascii="宋体" w:hAnsi="宋体"/>
                      <w:color w:val="auto"/>
                      <w:sz w:val="18"/>
                    </w:rPr>
                    <w:t>加药机</w:t>
                  </w:r>
                </w:p>
              </w:tc>
              <w:tc>
                <w:tcPr>
                  <w:tcW w:w="1276"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ascii="宋体" w:hAnsi="宋体"/>
                      <w:color w:val="auto"/>
                      <w:sz w:val="18"/>
                    </w:rPr>
                    <w:t>/</w:t>
                  </w:r>
                </w:p>
              </w:tc>
              <w:tc>
                <w:tcPr>
                  <w:tcW w:w="1134"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1</w:t>
                  </w:r>
                  <w:r>
                    <w:rPr>
                      <w:rFonts w:hint="eastAsia" w:ascii="宋体" w:hAnsi="宋体"/>
                      <w:color w:val="auto"/>
                      <w:sz w:val="18"/>
                    </w:rPr>
                    <w:t>台</w:t>
                  </w:r>
                </w:p>
              </w:tc>
              <w:tc>
                <w:tcPr>
                  <w:tcW w:w="2800"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ascii="宋体" w:hAnsi="宋体"/>
                      <w:color w:val="auto"/>
                      <w:sz w:val="18"/>
                    </w:rPr>
                    <w:t>配备药品</w:t>
                  </w:r>
                  <w:r>
                    <w:rPr>
                      <w:rFonts w:hint="eastAsia"/>
                      <w:color w:val="auto"/>
                      <w:sz w:val="18"/>
                    </w:rPr>
                    <w:t>PAC、PAM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865"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default"/>
                      <w:color w:val="auto"/>
                      <w:sz w:val="18"/>
                    </w:rPr>
                    <w:t>5</w:t>
                  </w:r>
                </w:p>
              </w:tc>
              <w:tc>
                <w:tcPr>
                  <w:tcW w:w="1843"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eastAsia" w:ascii="宋体" w:hAnsi="宋体" w:eastAsia="宋体"/>
                      <w:color w:val="auto"/>
                      <w:sz w:val="18"/>
                      <w:lang w:val="en-US" w:eastAsia="zh-CN"/>
                    </w:rPr>
                  </w:pPr>
                  <w:r>
                    <w:rPr>
                      <w:rFonts w:hint="eastAsia" w:ascii="宋体" w:hAnsi="宋体"/>
                      <w:color w:val="auto"/>
                      <w:sz w:val="18"/>
                    </w:rPr>
                    <w:t>加药</w:t>
                  </w:r>
                  <w:r>
                    <w:rPr>
                      <w:rFonts w:hint="eastAsia" w:ascii="宋体" w:hAnsi="宋体"/>
                      <w:color w:val="auto"/>
                      <w:sz w:val="18"/>
                      <w:lang w:val="en-US" w:eastAsia="zh-CN"/>
                    </w:rPr>
                    <w:t>罐</w:t>
                  </w:r>
                </w:p>
              </w:tc>
              <w:tc>
                <w:tcPr>
                  <w:tcW w:w="1276"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ascii="宋体" w:hAnsi="宋体"/>
                      <w:color w:val="auto"/>
                      <w:sz w:val="18"/>
                    </w:rPr>
                  </w:pPr>
                  <w:r>
                    <w:rPr>
                      <w:rFonts w:hint="default"/>
                      <w:color w:val="auto"/>
                      <w:sz w:val="18"/>
                    </w:rPr>
                    <w:t>1m</w:t>
                  </w:r>
                  <w:r>
                    <w:rPr>
                      <w:rFonts w:hint="default"/>
                      <w:color w:val="auto"/>
                      <w:sz w:val="18"/>
                      <w:vertAlign w:val="superscript"/>
                    </w:rPr>
                    <w:t>3</w:t>
                  </w:r>
                </w:p>
              </w:tc>
              <w:tc>
                <w:tcPr>
                  <w:tcW w:w="1134"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1</w:t>
                  </w:r>
                  <w:r>
                    <w:rPr>
                      <w:rFonts w:hint="eastAsia" w:ascii="宋体" w:hAnsi="宋体"/>
                      <w:color w:val="auto"/>
                      <w:sz w:val="18"/>
                    </w:rPr>
                    <w:t>个</w:t>
                  </w:r>
                </w:p>
              </w:tc>
              <w:tc>
                <w:tcPr>
                  <w:tcW w:w="2800"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ascii="宋体" w:hAnsi="宋体"/>
                      <w:color w:val="auto"/>
                      <w:sz w:val="18"/>
                    </w:rPr>
                    <w:t>基地硬化处理、池体防渗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865"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6</w:t>
                  </w:r>
                </w:p>
              </w:tc>
              <w:tc>
                <w:tcPr>
                  <w:tcW w:w="1843"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ascii="宋体" w:hAnsi="宋体"/>
                      <w:color w:val="auto"/>
                      <w:sz w:val="18"/>
                    </w:rPr>
                    <w:t>水泵</w:t>
                  </w:r>
                </w:p>
              </w:tc>
              <w:tc>
                <w:tcPr>
                  <w:tcW w:w="1276"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w:t>
                  </w:r>
                </w:p>
              </w:tc>
              <w:tc>
                <w:tcPr>
                  <w:tcW w:w="1134"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3</w:t>
                  </w:r>
                  <w:r>
                    <w:rPr>
                      <w:rFonts w:hint="eastAsia" w:ascii="宋体" w:hAnsi="宋体"/>
                      <w:color w:val="auto"/>
                      <w:sz w:val="18"/>
                    </w:rPr>
                    <w:t>台</w:t>
                  </w:r>
                </w:p>
              </w:tc>
              <w:tc>
                <w:tcPr>
                  <w:tcW w:w="2800"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2</w:t>
                  </w:r>
                  <w:r>
                    <w:rPr>
                      <w:rFonts w:hint="eastAsia" w:ascii="宋体" w:hAnsi="宋体"/>
                      <w:color w:val="auto"/>
                      <w:sz w:val="18"/>
                    </w:rPr>
                    <w:t>用</w:t>
                  </w:r>
                  <w:r>
                    <w:rPr>
                      <w:rFonts w:hint="eastAsia"/>
                      <w:color w:val="auto"/>
                      <w:sz w:val="18"/>
                    </w:rPr>
                    <w:t>1</w:t>
                  </w:r>
                  <w:r>
                    <w:rPr>
                      <w:rFonts w:hint="eastAsia" w:ascii="宋体" w:hAnsi="宋体"/>
                      <w:color w:val="auto"/>
                      <w:sz w:val="18"/>
                    </w:rPr>
                    <w:t>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865"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7</w:t>
                  </w:r>
                </w:p>
              </w:tc>
              <w:tc>
                <w:tcPr>
                  <w:tcW w:w="1843"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ascii="宋体" w:hAnsi="宋体"/>
                      <w:color w:val="auto"/>
                      <w:sz w:val="18"/>
                    </w:rPr>
                    <w:t>污泥泵</w:t>
                  </w:r>
                </w:p>
              </w:tc>
              <w:tc>
                <w:tcPr>
                  <w:tcW w:w="1276"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w:t>
                  </w:r>
                </w:p>
              </w:tc>
              <w:tc>
                <w:tcPr>
                  <w:tcW w:w="1134"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3</w:t>
                  </w:r>
                  <w:r>
                    <w:rPr>
                      <w:rFonts w:hint="eastAsia" w:ascii="宋体" w:hAnsi="宋体"/>
                      <w:color w:val="auto"/>
                      <w:sz w:val="18"/>
                    </w:rPr>
                    <w:t>台</w:t>
                  </w:r>
                </w:p>
              </w:tc>
              <w:tc>
                <w:tcPr>
                  <w:tcW w:w="2800" w:type="dxa"/>
                  <w:vAlign w:val="center"/>
                </w:tcPr>
                <w:p>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rPr>
                  </w:pPr>
                  <w:r>
                    <w:rPr>
                      <w:rFonts w:hint="eastAsia"/>
                      <w:color w:val="auto"/>
                      <w:sz w:val="18"/>
                    </w:rPr>
                    <w:t>2</w:t>
                  </w:r>
                  <w:r>
                    <w:rPr>
                      <w:rFonts w:hint="eastAsia" w:ascii="宋体" w:hAnsi="宋体"/>
                      <w:color w:val="auto"/>
                      <w:sz w:val="18"/>
                    </w:rPr>
                    <w:t>用</w:t>
                  </w:r>
                  <w:r>
                    <w:rPr>
                      <w:rFonts w:hint="default"/>
                      <w:color w:val="auto"/>
                      <w:sz w:val="18"/>
                    </w:rPr>
                    <w:t>1</w:t>
                  </w:r>
                  <w:r>
                    <w:rPr>
                      <w:rFonts w:hint="eastAsia" w:ascii="宋体" w:hAnsi="宋体"/>
                      <w:color w:val="auto"/>
                      <w:sz w:val="18"/>
                    </w:rPr>
                    <w:t>备</w:t>
                  </w:r>
                </w:p>
              </w:tc>
            </w:tr>
          </w:tbl>
          <w:p>
            <w:pPr>
              <w:keepNext w:val="0"/>
              <w:keepLines w:val="0"/>
              <w:suppressLineNumbers w:val="0"/>
              <w:spacing w:before="0" w:beforeAutospacing="0" w:after="0" w:afterAutospacing="0" w:line="400" w:lineRule="exact"/>
              <w:ind w:left="0" w:right="0" w:firstLine="420" w:firstLineChars="200"/>
              <w:rPr>
                <w:rFonts w:hint="default"/>
                <w:color w:val="auto"/>
                <w:kern w:val="0"/>
              </w:rPr>
            </w:pPr>
            <w:r>
              <w:rPr>
                <w:rFonts w:hint="eastAsia"/>
                <w:color w:val="auto"/>
                <w:kern w:val="0"/>
              </w:rPr>
              <w:t>（2）产品渗沥水处理措施</w:t>
            </w:r>
          </w:p>
          <w:p>
            <w:pPr>
              <w:keepNext w:val="0"/>
              <w:keepLines w:val="0"/>
              <w:suppressLineNumbers w:val="0"/>
              <w:spacing w:before="0" w:beforeAutospacing="0" w:after="0" w:afterAutospacing="0" w:line="400" w:lineRule="exact"/>
              <w:ind w:left="0" w:right="0" w:firstLine="420" w:firstLineChars="200"/>
              <w:rPr>
                <w:rFonts w:hint="default"/>
                <w:color w:val="auto"/>
                <w:kern w:val="0"/>
              </w:rPr>
            </w:pPr>
            <w:r>
              <w:rPr>
                <w:rFonts w:hint="eastAsia"/>
                <w:color w:val="auto"/>
                <w:kern w:val="0"/>
              </w:rPr>
              <w:t>产品渗沥水产生于</w:t>
            </w:r>
            <w:r>
              <w:rPr>
                <w:rFonts w:hint="eastAsia"/>
                <w:color w:val="auto"/>
                <w:kern w:val="0"/>
                <w:lang w:val="en-US" w:eastAsia="zh-CN"/>
              </w:rPr>
              <w:t>产品库</w:t>
            </w:r>
            <w:r>
              <w:rPr>
                <w:rFonts w:hint="eastAsia"/>
                <w:color w:val="auto"/>
                <w:kern w:val="0"/>
              </w:rPr>
              <w:t>，产品离开生产线时带走了部分水分。在成品堆场经过一段时间的暂存后，水分会逐渐的渗沥出来，产生量为</w:t>
            </w:r>
            <w:r>
              <w:rPr>
                <w:rFonts w:hint="eastAsia"/>
                <w:color w:val="auto"/>
                <w:kern w:val="0"/>
                <w:lang w:val="en-US" w:eastAsia="zh-CN"/>
              </w:rPr>
              <w:t>425.78</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w:t>
            </w:r>
          </w:p>
          <w:p>
            <w:pPr>
              <w:keepNext w:val="0"/>
              <w:keepLines w:val="0"/>
              <w:suppressLineNumbers w:val="0"/>
              <w:spacing w:before="0" w:beforeAutospacing="0" w:after="0" w:afterAutospacing="0" w:line="400" w:lineRule="exact"/>
              <w:ind w:left="0" w:right="0" w:firstLine="420" w:firstLineChars="200"/>
              <w:rPr>
                <w:rFonts w:hint="default"/>
                <w:color w:val="auto"/>
                <w:kern w:val="0"/>
              </w:rPr>
            </w:pPr>
            <w:r>
              <w:rPr>
                <w:rFonts w:hint="eastAsia"/>
                <w:color w:val="auto"/>
                <w:kern w:val="0"/>
              </w:rPr>
              <w:t>根据设计，项目拟在</w:t>
            </w:r>
            <w:r>
              <w:rPr>
                <w:rFonts w:hint="eastAsia"/>
                <w:color w:val="auto"/>
                <w:kern w:val="0"/>
                <w:lang w:val="en-US" w:eastAsia="zh-CN"/>
              </w:rPr>
              <w:t>产品库</w:t>
            </w:r>
            <w:r>
              <w:rPr>
                <w:rFonts w:hint="eastAsia"/>
                <w:color w:val="auto"/>
                <w:kern w:val="0"/>
              </w:rPr>
              <w:t>外围设置导水沟。导水沟将渗沥水全收集至</w:t>
            </w:r>
            <w:r>
              <w:rPr>
                <w:rFonts w:hint="eastAsia"/>
                <w:color w:val="auto"/>
                <w:kern w:val="0"/>
                <w:lang w:val="en-US" w:eastAsia="zh-CN"/>
              </w:rPr>
              <w:t>厂区的散水收集池，再泵回污水池进入废水处理系统</w:t>
            </w:r>
            <w:r>
              <w:rPr>
                <w:rFonts w:hint="eastAsia"/>
                <w:color w:val="auto"/>
                <w:kern w:val="0"/>
              </w:rPr>
              <w:t>处理后全部回用。</w:t>
            </w:r>
          </w:p>
          <w:p>
            <w:pPr>
              <w:keepNext w:val="0"/>
              <w:keepLines w:val="0"/>
              <w:suppressLineNumbers w:val="0"/>
              <w:spacing w:before="0" w:beforeAutospacing="0" w:after="0" w:afterAutospacing="0" w:line="400" w:lineRule="exact"/>
              <w:ind w:left="0" w:right="0" w:firstLine="420" w:firstLineChars="200"/>
              <w:rPr>
                <w:rFonts w:hint="default"/>
                <w:color w:val="auto"/>
                <w:kern w:val="0"/>
              </w:rPr>
            </w:pPr>
            <w:r>
              <w:rPr>
                <w:rFonts w:hint="eastAsia"/>
                <w:color w:val="auto"/>
                <w:kern w:val="0"/>
              </w:rPr>
              <w:t>（</w:t>
            </w:r>
            <w:r>
              <w:rPr>
                <w:rFonts w:hint="eastAsia"/>
                <w:color w:val="auto"/>
                <w:kern w:val="0"/>
                <w:lang w:val="en-US" w:eastAsia="zh-CN"/>
              </w:rPr>
              <w:t>3</w:t>
            </w:r>
            <w:r>
              <w:rPr>
                <w:rFonts w:hint="eastAsia"/>
                <w:color w:val="auto"/>
                <w:kern w:val="0"/>
              </w:rPr>
              <w:t>）场地初期雨水处理措施</w:t>
            </w:r>
          </w:p>
          <w:p>
            <w:pPr>
              <w:keepNext w:val="0"/>
              <w:keepLines w:val="0"/>
              <w:suppressLineNumbers w:val="0"/>
              <w:spacing w:before="0" w:beforeAutospacing="0" w:after="0" w:afterAutospacing="0" w:line="400" w:lineRule="exact"/>
              <w:ind w:left="0" w:right="0" w:firstLine="420" w:firstLineChars="200"/>
              <w:rPr>
                <w:rFonts w:hint="default"/>
                <w:color w:val="auto"/>
                <w:kern w:val="0"/>
              </w:rPr>
            </w:pPr>
            <w:r>
              <w:rPr>
                <w:rFonts w:hint="default"/>
                <w:color w:val="auto"/>
                <w:kern w:val="0"/>
              </w:rPr>
              <w:t>项目</w:t>
            </w:r>
            <w:r>
              <w:rPr>
                <w:rFonts w:hint="eastAsia"/>
                <w:color w:val="auto"/>
                <w:kern w:val="0"/>
                <w:lang w:val="en-US" w:eastAsia="zh-CN"/>
              </w:rPr>
              <w:t>区东面和南面</w:t>
            </w:r>
            <w:r>
              <w:rPr>
                <w:rFonts w:hint="default"/>
                <w:color w:val="auto"/>
                <w:kern w:val="0"/>
              </w:rPr>
              <w:t>临</w:t>
            </w:r>
            <w:r>
              <w:rPr>
                <w:rFonts w:hint="eastAsia"/>
                <w:color w:val="auto"/>
                <w:kern w:val="0"/>
                <w:lang w:val="en-US" w:eastAsia="zh-CN"/>
              </w:rPr>
              <w:t>山坡</w:t>
            </w:r>
            <w:r>
              <w:rPr>
                <w:rFonts w:hint="default"/>
                <w:color w:val="auto"/>
                <w:kern w:val="0"/>
              </w:rPr>
              <w:t>，</w:t>
            </w:r>
            <w:r>
              <w:rPr>
                <w:rFonts w:hint="eastAsia"/>
                <w:color w:val="auto"/>
                <w:kern w:val="0"/>
                <w:lang w:val="en-US" w:eastAsia="zh-CN"/>
              </w:rPr>
              <w:t>北侧和西侧有村道公路。</w:t>
            </w:r>
            <w:r>
              <w:rPr>
                <w:rFonts w:hint="default"/>
                <w:color w:val="auto"/>
                <w:kern w:val="0"/>
              </w:rPr>
              <w:t>为了防止雨季时大量降雨进入厂区。根据设计，建设单位拟在项目厂区用地范围四周</w:t>
            </w:r>
            <w:r>
              <w:rPr>
                <w:rFonts w:hint="eastAsia"/>
                <w:color w:val="auto"/>
                <w:kern w:val="0"/>
                <w:lang w:val="en-US" w:eastAsia="zh-CN"/>
              </w:rPr>
              <w:t>修建围墙并</w:t>
            </w:r>
            <w:r>
              <w:rPr>
                <w:rFonts w:hint="default"/>
                <w:color w:val="auto"/>
                <w:kern w:val="0"/>
              </w:rPr>
              <w:t>设置</w:t>
            </w:r>
            <w:r>
              <w:rPr>
                <w:rFonts w:hint="eastAsia"/>
                <w:color w:val="auto"/>
                <w:kern w:val="0"/>
                <w:lang w:val="en-US" w:eastAsia="zh-CN"/>
              </w:rPr>
              <w:t>雨水边沟，引导雨水向北面雨水沟排放</w:t>
            </w:r>
            <w:r>
              <w:rPr>
                <w:rFonts w:hint="eastAsia"/>
                <w:color w:val="auto"/>
                <w:kern w:val="0"/>
              </w:rPr>
              <w:t>，</w:t>
            </w:r>
            <w:r>
              <w:rPr>
                <w:rFonts w:hint="eastAsia"/>
                <w:color w:val="auto"/>
                <w:kern w:val="0"/>
                <w:lang w:val="en-US" w:eastAsia="zh-CN"/>
              </w:rPr>
              <w:t>避免厂区外的雨水进入</w:t>
            </w:r>
            <w:r>
              <w:rPr>
                <w:rFonts w:hint="eastAsia"/>
                <w:color w:val="auto"/>
                <w:kern w:val="0"/>
              </w:rPr>
              <w:t>厂区</w:t>
            </w:r>
            <w:r>
              <w:rPr>
                <w:rFonts w:hint="eastAsia"/>
                <w:color w:val="auto"/>
                <w:kern w:val="0"/>
                <w:lang w:eastAsia="zh-CN"/>
              </w:rPr>
              <w:t>。</w:t>
            </w:r>
            <w:r>
              <w:rPr>
                <w:rFonts w:hint="eastAsia"/>
                <w:color w:val="auto"/>
                <w:kern w:val="0"/>
                <w:lang w:val="en-US" w:eastAsia="zh-CN"/>
              </w:rPr>
              <w:t>同时在厂区</w:t>
            </w:r>
            <w:r>
              <w:rPr>
                <w:rFonts w:hint="eastAsia"/>
                <w:color w:val="auto"/>
                <w:kern w:val="0"/>
              </w:rPr>
              <w:t>内</w:t>
            </w:r>
            <w:r>
              <w:rPr>
                <w:rFonts w:hint="eastAsia"/>
                <w:color w:val="auto"/>
                <w:kern w:val="0"/>
                <w:lang w:val="en-US" w:eastAsia="zh-CN"/>
              </w:rPr>
              <w:t>设置收集沟，将</w:t>
            </w:r>
            <w:r>
              <w:rPr>
                <w:rFonts w:hint="eastAsia"/>
                <w:color w:val="auto"/>
                <w:kern w:val="0"/>
              </w:rPr>
              <w:t>露天场地的</w:t>
            </w:r>
            <w:r>
              <w:rPr>
                <w:rFonts w:hint="eastAsia"/>
                <w:color w:val="auto"/>
                <w:kern w:val="0"/>
                <w:lang w:val="en-US" w:eastAsia="zh-CN"/>
              </w:rPr>
              <w:t>散排水（包括初期雨水和产品库渗沥水），收集至散水收集池（</w:t>
            </w:r>
            <w:r>
              <w:rPr>
                <w:rFonts w:hint="eastAsia" w:ascii="宋体" w:hAnsi="宋体" w:eastAsia="宋体" w:cs="Times New Roman"/>
                <w:color w:val="auto"/>
                <w:kern w:val="0"/>
                <w:sz w:val="21"/>
                <w:szCs w:val="21"/>
                <w:lang w:val="en-US" w:eastAsia="zh-CN" w:bidi="ar"/>
              </w:rPr>
              <w:t>容积约50m</w:t>
            </w:r>
            <w:r>
              <w:rPr>
                <w:rFonts w:hint="eastAsia" w:ascii="宋体" w:hAnsi="宋体" w:eastAsia="宋体" w:cs="Times New Roman"/>
                <w:color w:val="auto"/>
                <w:kern w:val="0"/>
                <w:sz w:val="21"/>
                <w:szCs w:val="21"/>
                <w:vertAlign w:val="superscript"/>
                <w:lang w:val="en-US" w:eastAsia="zh-CN" w:bidi="ar"/>
              </w:rPr>
              <w:t>3</w:t>
            </w:r>
            <w:r>
              <w:rPr>
                <w:rFonts w:hint="eastAsia"/>
                <w:color w:val="auto"/>
                <w:kern w:val="0"/>
                <w:lang w:val="en-US" w:eastAsia="zh-CN"/>
              </w:rPr>
              <w:t>），池体内部分隔成两个，并设置水泵及时抽取至车间内的污水池，进入废水处理系统处理后循环回用不外排。</w:t>
            </w:r>
          </w:p>
          <w:p>
            <w:pPr>
              <w:keepNext w:val="0"/>
              <w:keepLines w:val="0"/>
              <w:suppressLineNumbers w:val="0"/>
              <w:spacing w:before="0" w:beforeAutospacing="0" w:after="0" w:afterAutospacing="0" w:line="400" w:lineRule="exact"/>
              <w:ind w:left="0" w:right="0" w:firstLine="420" w:firstLineChars="200"/>
              <w:rPr>
                <w:rFonts w:hint="default"/>
                <w:color w:val="auto"/>
                <w:kern w:val="0"/>
              </w:rPr>
            </w:pPr>
            <w:r>
              <w:rPr>
                <w:rFonts w:hint="eastAsia"/>
                <w:color w:val="auto"/>
                <w:kern w:val="0"/>
              </w:rPr>
              <w:t>（</w:t>
            </w:r>
            <w:r>
              <w:rPr>
                <w:rFonts w:hint="eastAsia"/>
                <w:color w:val="auto"/>
                <w:kern w:val="0"/>
                <w:lang w:val="en-US" w:eastAsia="zh-CN"/>
              </w:rPr>
              <w:t>4</w:t>
            </w:r>
            <w:r>
              <w:rPr>
                <w:rFonts w:hint="eastAsia"/>
                <w:color w:val="auto"/>
                <w:kern w:val="0"/>
              </w:rPr>
              <w:t>）车辆冲洗废水处理措施</w:t>
            </w:r>
          </w:p>
          <w:p>
            <w:pPr>
              <w:keepNext w:val="0"/>
              <w:keepLines w:val="0"/>
              <w:suppressLineNumbers w:val="0"/>
              <w:spacing w:before="0" w:beforeAutospacing="0" w:after="0" w:afterAutospacing="0" w:line="404" w:lineRule="exact"/>
              <w:ind w:left="0" w:right="0" w:firstLine="420" w:firstLineChars="200"/>
              <w:rPr>
                <w:rFonts w:hint="eastAsia"/>
                <w:color w:val="auto"/>
                <w:kern w:val="0"/>
              </w:rPr>
            </w:pPr>
            <w:r>
              <w:rPr>
                <w:rFonts w:hint="eastAsia"/>
                <w:color w:val="auto"/>
                <w:kern w:val="0"/>
              </w:rPr>
              <w:t>项目车辆冲洗废水产生量为</w:t>
            </w:r>
            <w:r>
              <w:rPr>
                <w:rFonts w:hint="eastAsia"/>
                <w:color w:val="auto"/>
                <w:kern w:val="0"/>
                <w:lang w:val="en-US" w:eastAsia="zh-CN"/>
              </w:rPr>
              <w:t>12.75</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。冲洗平台布置在厂区大门口，配套建设有容积约</w:t>
            </w:r>
            <w:r>
              <w:rPr>
                <w:rFonts w:hint="eastAsia"/>
                <w:color w:val="auto"/>
                <w:kern w:val="0"/>
                <w:lang w:val="en-US" w:eastAsia="zh-CN"/>
              </w:rPr>
              <w:t>2</w:t>
            </w:r>
            <w:r>
              <w:rPr>
                <w:rFonts w:hint="eastAsia"/>
                <w:color w:val="auto"/>
                <w:kern w:val="0"/>
              </w:rPr>
              <w:t>0m</w:t>
            </w:r>
            <w:r>
              <w:rPr>
                <w:rFonts w:hint="default"/>
                <w:color w:val="auto"/>
                <w:kern w:val="0"/>
                <w:vertAlign w:val="superscript"/>
              </w:rPr>
              <w:t>3</w:t>
            </w:r>
            <w:r>
              <w:rPr>
                <w:rFonts w:hint="eastAsia"/>
                <w:color w:val="auto"/>
                <w:kern w:val="0"/>
              </w:rPr>
              <w:t>废水</w:t>
            </w:r>
            <w:r>
              <w:rPr>
                <w:rFonts w:hint="eastAsia"/>
                <w:color w:val="auto"/>
                <w:kern w:val="0"/>
                <w:lang w:val="en-US" w:eastAsia="zh-CN"/>
              </w:rPr>
              <w:t>沉淀</w:t>
            </w:r>
            <w:r>
              <w:rPr>
                <w:rFonts w:hint="eastAsia"/>
                <w:color w:val="auto"/>
                <w:kern w:val="0"/>
              </w:rPr>
              <w:t>池，经过沉淀</w:t>
            </w:r>
            <w:r>
              <w:rPr>
                <w:rFonts w:hint="eastAsia"/>
                <w:color w:val="auto"/>
                <w:kern w:val="0"/>
                <w:lang w:val="en-US" w:eastAsia="zh-CN"/>
              </w:rPr>
              <w:t>处理</w:t>
            </w:r>
            <w:r>
              <w:rPr>
                <w:rFonts w:hint="eastAsia"/>
                <w:color w:val="auto"/>
                <w:kern w:val="0"/>
              </w:rPr>
              <w:t>后</w:t>
            </w:r>
            <w:r>
              <w:rPr>
                <w:rFonts w:hint="eastAsia"/>
                <w:color w:val="auto"/>
                <w:kern w:val="0"/>
                <w:lang w:val="en-US" w:eastAsia="zh-CN"/>
              </w:rPr>
              <w:t>循环</w:t>
            </w:r>
            <w:r>
              <w:rPr>
                <w:rFonts w:hint="eastAsia"/>
                <w:color w:val="auto"/>
                <w:kern w:val="0"/>
              </w:rPr>
              <w:t>回用不外排。</w:t>
            </w:r>
          </w:p>
          <w:p>
            <w:pPr>
              <w:keepNext w:val="0"/>
              <w:keepLines w:val="0"/>
              <w:suppressLineNumbers w:val="0"/>
              <w:spacing w:before="0" w:beforeAutospacing="0" w:after="0" w:afterAutospacing="0" w:line="404" w:lineRule="exact"/>
              <w:ind w:left="0" w:right="0" w:firstLine="420" w:firstLineChars="200"/>
              <w:rPr>
                <w:rFonts w:hint="default"/>
                <w:color w:val="auto"/>
                <w:kern w:val="0"/>
              </w:rPr>
            </w:pPr>
            <w:r>
              <w:rPr>
                <w:rFonts w:hint="eastAsia"/>
                <w:color w:val="auto"/>
                <w:kern w:val="0"/>
              </w:rPr>
              <w:t>（5）生活污水处理措施</w:t>
            </w:r>
          </w:p>
          <w:p>
            <w:pPr>
              <w:keepNext w:val="0"/>
              <w:keepLines w:val="0"/>
              <w:suppressLineNumbers w:val="0"/>
              <w:spacing w:before="0" w:beforeAutospacing="0" w:after="0" w:afterAutospacing="0" w:line="404" w:lineRule="exact"/>
              <w:ind w:left="0" w:right="0" w:firstLine="420" w:firstLineChars="200"/>
              <w:rPr>
                <w:rFonts w:hint="default"/>
                <w:color w:val="auto"/>
                <w:kern w:val="0"/>
              </w:rPr>
            </w:pPr>
            <w:r>
              <w:rPr>
                <w:rFonts w:hint="eastAsia"/>
                <w:color w:val="auto"/>
                <w:kern w:val="0"/>
              </w:rPr>
              <w:t>项目生活污水产生量为1.08</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。利用租用</w:t>
            </w:r>
            <w:r>
              <w:rPr>
                <w:rFonts w:hint="eastAsia"/>
                <w:color w:val="auto"/>
                <w:kern w:val="0"/>
                <w:lang w:val="en-US" w:eastAsia="zh-CN"/>
              </w:rPr>
              <w:t>房屋</w:t>
            </w:r>
            <w:r>
              <w:rPr>
                <w:rFonts w:hint="eastAsia"/>
                <w:color w:val="auto"/>
                <w:kern w:val="0"/>
              </w:rPr>
              <w:t>已建的化粪池（容积约</w:t>
            </w:r>
            <w:r>
              <w:rPr>
                <w:rFonts w:hint="default"/>
                <w:color w:val="auto"/>
                <w:kern w:val="0"/>
              </w:rPr>
              <w:t>20m</w:t>
            </w:r>
            <w:r>
              <w:rPr>
                <w:rFonts w:hint="default"/>
                <w:color w:val="auto"/>
                <w:kern w:val="0"/>
                <w:vertAlign w:val="superscript"/>
              </w:rPr>
              <w:t>3</w:t>
            </w:r>
            <w:r>
              <w:rPr>
                <w:rFonts w:hint="eastAsia"/>
                <w:color w:val="auto"/>
                <w:kern w:val="0"/>
              </w:rPr>
              <w:t>）收集处理后，</w:t>
            </w:r>
            <w:r>
              <w:rPr>
                <w:rFonts w:hint="eastAsia"/>
                <w:color w:val="auto"/>
                <w:kern w:val="0"/>
                <w:lang w:val="en-US" w:eastAsia="zh-CN"/>
              </w:rPr>
              <w:t>由附近农户定期清掏做农肥使用</w:t>
            </w:r>
            <w:r>
              <w:rPr>
                <w:rFonts w:hint="eastAsia"/>
                <w:color w:val="auto"/>
                <w:kern w:val="0"/>
              </w:rPr>
              <w:t>，对周围环境影响较小。</w:t>
            </w:r>
          </w:p>
          <w:p>
            <w:pPr>
              <w:keepNext w:val="0"/>
              <w:keepLines w:val="0"/>
              <w:suppressLineNumbers w:val="0"/>
              <w:spacing w:before="0" w:beforeAutospacing="0" w:after="0" w:afterAutospacing="0" w:line="404" w:lineRule="exact"/>
              <w:ind w:left="0" w:right="0"/>
              <w:rPr>
                <w:rFonts w:hint="default"/>
                <w:b/>
                <w:color w:val="auto"/>
                <w:kern w:val="0"/>
              </w:rPr>
            </w:pPr>
            <w:r>
              <w:rPr>
                <w:rFonts w:hint="eastAsia"/>
                <w:b/>
                <w:color w:val="auto"/>
                <w:kern w:val="0"/>
              </w:rPr>
              <w:t>2.3生产废水循环回用可行性论证</w:t>
            </w:r>
          </w:p>
          <w:p>
            <w:pPr>
              <w:keepNext w:val="0"/>
              <w:keepLines w:val="0"/>
              <w:suppressLineNumbers w:val="0"/>
              <w:spacing w:before="0" w:beforeAutospacing="0" w:after="0" w:afterAutospacing="0" w:line="404" w:lineRule="exact"/>
              <w:ind w:left="0" w:right="0" w:firstLine="420" w:firstLineChars="200"/>
              <w:rPr>
                <w:rFonts w:hint="default"/>
                <w:color w:val="auto"/>
                <w:kern w:val="0"/>
              </w:rPr>
            </w:pPr>
            <w:r>
              <w:rPr>
                <w:rFonts w:hint="eastAsia"/>
                <w:color w:val="auto"/>
                <w:kern w:val="0"/>
              </w:rPr>
              <w:t>&lt;1&gt;废水处理工艺论证</w:t>
            </w:r>
          </w:p>
          <w:p>
            <w:pPr>
              <w:keepNext w:val="0"/>
              <w:keepLines w:val="0"/>
              <w:suppressLineNumbers w:val="0"/>
              <w:spacing w:before="0" w:beforeAutospacing="0" w:after="0" w:afterAutospacing="0" w:line="404" w:lineRule="exact"/>
              <w:ind w:left="0" w:right="0" w:firstLine="420" w:firstLineChars="200"/>
              <w:rPr>
                <w:rFonts w:hint="default"/>
                <w:color w:val="auto"/>
                <w:kern w:val="0"/>
              </w:rPr>
            </w:pPr>
            <w:r>
              <w:rPr>
                <w:rFonts w:hint="eastAsia"/>
                <w:color w:val="auto"/>
                <w:kern w:val="0"/>
              </w:rPr>
              <w:t>由于生产废水中主要污染物为</w:t>
            </w:r>
            <w:r>
              <w:rPr>
                <w:rFonts w:hint="default"/>
                <w:color w:val="auto"/>
                <w:kern w:val="0"/>
              </w:rPr>
              <w:t>SS</w:t>
            </w:r>
            <w:r>
              <w:rPr>
                <w:rFonts w:hint="eastAsia"/>
                <w:color w:val="auto"/>
                <w:kern w:val="0"/>
              </w:rPr>
              <w:t>，污染物种类少且处理；同时本项目生产用水主要为防尘、制砂冲洗用水等环节，对水质要求不高。因此，项目废水经沉淀后能够满足回用的要求，回用价值高。项目选用</w:t>
            </w:r>
            <w:r>
              <w:rPr>
                <w:rFonts w:hint="default"/>
                <w:color w:val="auto"/>
                <w:kern w:val="0"/>
              </w:rPr>
              <w:t>“</w:t>
            </w:r>
            <w:r>
              <w:rPr>
                <w:rFonts w:hint="eastAsia"/>
                <w:color w:val="auto"/>
                <w:kern w:val="0"/>
              </w:rPr>
              <w:t>絮凝沉淀</w:t>
            </w:r>
            <w:r>
              <w:rPr>
                <w:rFonts w:hint="eastAsia"/>
                <w:color w:val="auto"/>
                <w:kern w:val="0"/>
                <w:lang w:val="en-US" w:eastAsia="zh-CN"/>
              </w:rPr>
              <w:t>+板框压滤</w:t>
            </w:r>
            <w:r>
              <w:rPr>
                <w:rFonts w:hint="default"/>
                <w:color w:val="auto"/>
                <w:kern w:val="0"/>
              </w:rPr>
              <w:t>”</w:t>
            </w:r>
            <w:r>
              <w:rPr>
                <w:rFonts w:hint="eastAsia"/>
                <w:color w:val="auto"/>
                <w:kern w:val="0"/>
              </w:rPr>
              <w:t>工艺处理生产废水，然后全部回用到生产过程中。</w:t>
            </w:r>
          </w:p>
          <w:p>
            <w:pPr>
              <w:keepNext w:val="0"/>
              <w:keepLines w:val="0"/>
              <w:suppressLineNumbers w:val="0"/>
              <w:spacing w:before="0" w:beforeAutospacing="0" w:after="0" w:afterAutospacing="0" w:line="404" w:lineRule="exact"/>
              <w:ind w:left="0" w:right="0" w:firstLine="420" w:firstLineChars="200"/>
              <w:rPr>
                <w:rFonts w:hint="default"/>
                <w:color w:val="auto"/>
                <w:kern w:val="0"/>
              </w:rPr>
            </w:pPr>
            <w:r>
              <w:rPr>
                <w:rFonts w:hint="eastAsia"/>
                <w:color w:val="auto"/>
                <w:kern w:val="0"/>
              </w:rPr>
              <w:t>废水经收集管道</w:t>
            </w:r>
            <w:r>
              <w:rPr>
                <w:rFonts w:hint="eastAsia"/>
                <w:color w:val="auto"/>
                <w:kern w:val="0"/>
                <w:lang w:val="en-US" w:eastAsia="zh-CN"/>
              </w:rPr>
              <w:t>进入沉淀罐</w:t>
            </w:r>
            <w:r>
              <w:rPr>
                <w:rFonts w:hint="eastAsia"/>
                <w:color w:val="auto"/>
                <w:kern w:val="0"/>
              </w:rPr>
              <w:t>后悬浮物开始沉淀，同时向沉淀</w:t>
            </w:r>
            <w:r>
              <w:rPr>
                <w:rFonts w:hint="eastAsia"/>
                <w:color w:val="auto"/>
                <w:kern w:val="0"/>
                <w:lang w:val="en-US" w:eastAsia="zh-CN"/>
              </w:rPr>
              <w:t>罐</w:t>
            </w:r>
            <w:r>
              <w:rPr>
                <w:rFonts w:hint="eastAsia"/>
                <w:color w:val="auto"/>
                <w:kern w:val="0"/>
              </w:rPr>
              <w:t>内加入絮凝剂</w:t>
            </w:r>
            <w:r>
              <w:rPr>
                <w:rFonts w:hint="eastAsia"/>
                <w:color w:val="auto"/>
                <w:kern w:val="0"/>
                <w:lang w:eastAsia="zh-CN"/>
              </w:rPr>
              <w:t>，</w:t>
            </w:r>
            <w:r>
              <w:rPr>
                <w:rFonts w:hint="eastAsia"/>
                <w:color w:val="auto"/>
                <w:kern w:val="0"/>
                <w:lang w:val="en-US" w:eastAsia="zh-CN"/>
              </w:rPr>
              <w:t>再药剂的作用下，废水中的悬浮物加速沉淀</w:t>
            </w:r>
            <w:r>
              <w:rPr>
                <w:rFonts w:hint="eastAsia"/>
                <w:color w:val="auto"/>
                <w:kern w:val="0"/>
              </w:rPr>
              <w:t>。沉淀</w:t>
            </w:r>
            <w:r>
              <w:rPr>
                <w:rFonts w:hint="eastAsia"/>
                <w:color w:val="auto"/>
                <w:kern w:val="0"/>
                <w:lang w:val="en-US" w:eastAsia="zh-CN"/>
              </w:rPr>
              <w:t>罐</w:t>
            </w:r>
            <w:r>
              <w:rPr>
                <w:rFonts w:hint="eastAsia"/>
                <w:color w:val="auto"/>
                <w:kern w:val="0"/>
              </w:rPr>
              <w:t>设有溢流口，</w:t>
            </w:r>
            <w:r>
              <w:rPr>
                <w:rFonts w:hint="eastAsia"/>
                <w:color w:val="auto"/>
                <w:kern w:val="0"/>
                <w:lang w:val="en-US" w:eastAsia="zh-CN"/>
              </w:rPr>
              <w:t>上清液</w:t>
            </w:r>
            <w:r>
              <w:rPr>
                <w:rFonts w:hint="eastAsia"/>
                <w:color w:val="auto"/>
                <w:kern w:val="0"/>
              </w:rPr>
              <w:t>可溢流进入</w:t>
            </w:r>
            <w:r>
              <w:rPr>
                <w:rFonts w:hint="eastAsia"/>
                <w:color w:val="auto"/>
                <w:kern w:val="0"/>
                <w:lang w:val="en-US" w:eastAsia="zh-CN"/>
              </w:rPr>
              <w:t>清水池</w:t>
            </w:r>
            <w:r>
              <w:rPr>
                <w:rFonts w:hint="eastAsia"/>
                <w:color w:val="auto"/>
                <w:kern w:val="0"/>
              </w:rPr>
              <w:t>；清水池内配备循环水泵，生产期间不停地将清水池内的水抽至用水工序回用。由于项目废水中的主要污染物为泥砂，比重较大，沉淀速率较快，废水严格按照该工艺处理，按照同类项目的生产的实际经验，保守估计，废水处理系统对泥砂的去除率可达到90~95</w:t>
            </w:r>
            <w:r>
              <w:rPr>
                <w:rFonts w:hint="default"/>
                <w:color w:val="auto"/>
                <w:kern w:val="0"/>
              </w:rPr>
              <w:t>%</w:t>
            </w:r>
            <w:r>
              <w:rPr>
                <w:rFonts w:hint="eastAsia"/>
                <w:color w:val="auto"/>
                <w:kern w:val="0"/>
              </w:rPr>
              <w:t>，该水质能够满足项目生产要求。</w:t>
            </w:r>
          </w:p>
          <w:p>
            <w:pPr>
              <w:keepNext w:val="0"/>
              <w:keepLines w:val="0"/>
              <w:suppressLineNumbers w:val="0"/>
              <w:spacing w:before="0" w:beforeAutospacing="0" w:after="0" w:afterAutospacing="0" w:line="404" w:lineRule="exact"/>
              <w:ind w:left="0" w:right="0" w:firstLine="420" w:firstLineChars="200"/>
              <w:rPr>
                <w:rFonts w:hint="default"/>
                <w:color w:val="auto"/>
                <w:kern w:val="0"/>
              </w:rPr>
            </w:pPr>
            <w:r>
              <w:rPr>
                <w:rFonts w:hint="eastAsia"/>
                <w:color w:val="auto"/>
                <w:kern w:val="0"/>
              </w:rPr>
              <w:t>&lt;2&gt;废水闭路循环的可靠性</w:t>
            </w:r>
          </w:p>
          <w:p>
            <w:pPr>
              <w:keepNext w:val="0"/>
              <w:keepLines w:val="0"/>
              <w:suppressLineNumbers w:val="0"/>
              <w:spacing w:before="0" w:beforeAutospacing="0" w:after="0" w:afterAutospacing="0" w:line="404" w:lineRule="exact"/>
              <w:ind w:left="0" w:right="0" w:firstLine="420" w:firstLineChars="200"/>
              <w:rPr>
                <w:rFonts w:hint="default"/>
                <w:color w:val="auto"/>
                <w:kern w:val="0"/>
              </w:rPr>
            </w:pPr>
            <w:r>
              <w:rPr>
                <w:rFonts w:hint="eastAsia"/>
                <w:color w:val="auto"/>
                <w:kern w:val="0"/>
              </w:rPr>
              <w:t>项目</w:t>
            </w:r>
            <w:r>
              <w:rPr>
                <w:rFonts w:hint="eastAsia"/>
                <w:color w:val="auto"/>
                <w:kern w:val="0"/>
                <w:lang w:val="en-US" w:eastAsia="zh-CN"/>
              </w:rPr>
              <w:t>砂石生产线振动筛分环节每日冲水</w:t>
            </w:r>
            <w:r>
              <w:rPr>
                <w:rFonts w:hint="eastAsia"/>
                <w:color w:val="auto"/>
                <w:kern w:val="0"/>
              </w:rPr>
              <w:t>量为</w:t>
            </w:r>
            <w:r>
              <w:rPr>
                <w:rFonts w:hint="eastAsia"/>
                <w:color w:val="auto"/>
                <w:kern w:val="0"/>
                <w:lang w:val="en-US" w:eastAsia="zh-CN"/>
              </w:rPr>
              <w:t>3838.86</w:t>
            </w:r>
            <w:r>
              <w:rPr>
                <w:rFonts w:hint="default"/>
                <w:color w:val="auto"/>
                <w:kern w:val="0"/>
              </w:rPr>
              <w:t>m</w:t>
            </w:r>
            <w:r>
              <w:rPr>
                <w:rFonts w:hint="default"/>
                <w:color w:val="auto"/>
                <w:kern w:val="0"/>
                <w:vertAlign w:val="superscript"/>
              </w:rPr>
              <w:t>3</w:t>
            </w:r>
            <w:r>
              <w:rPr>
                <w:rFonts w:hint="eastAsia"/>
                <w:color w:val="auto"/>
                <w:kern w:val="0"/>
                <w:vertAlign w:val="baseline"/>
                <w:lang w:val="en-US" w:eastAsia="zh-CN"/>
              </w:rPr>
              <w:t>/d</w:t>
            </w:r>
            <w:r>
              <w:rPr>
                <w:rFonts w:hint="eastAsia"/>
                <w:color w:val="auto"/>
                <w:kern w:val="0"/>
              </w:rPr>
              <w:t>，生产线每天产生的废水</w:t>
            </w:r>
            <w:r>
              <w:rPr>
                <w:rFonts w:hint="eastAsia"/>
                <w:color w:val="auto"/>
                <w:kern w:val="0"/>
                <w:lang w:val="en-US" w:eastAsia="zh-CN"/>
              </w:rPr>
              <w:t>3735.73</w:t>
            </w:r>
            <w:r>
              <w:rPr>
                <w:rFonts w:hint="default"/>
                <w:color w:val="auto"/>
                <w:kern w:val="0"/>
              </w:rPr>
              <w:t>m</w:t>
            </w:r>
            <w:r>
              <w:rPr>
                <w:rFonts w:hint="default"/>
                <w:color w:val="auto"/>
                <w:kern w:val="0"/>
                <w:vertAlign w:val="superscript"/>
              </w:rPr>
              <w:t>3</w:t>
            </w:r>
            <w:r>
              <w:rPr>
                <w:rFonts w:hint="eastAsia"/>
                <w:color w:val="auto"/>
                <w:kern w:val="0"/>
                <w:vertAlign w:val="baseline"/>
                <w:lang w:val="en-US" w:eastAsia="zh-CN"/>
              </w:rPr>
              <w:t>/d</w:t>
            </w:r>
            <w:r>
              <w:rPr>
                <w:rFonts w:hint="eastAsia"/>
                <w:color w:val="auto"/>
                <w:kern w:val="0"/>
              </w:rPr>
              <w:t>，</w:t>
            </w:r>
            <w:r>
              <w:rPr>
                <w:rFonts w:hint="eastAsia"/>
                <w:color w:val="auto"/>
                <w:kern w:val="0"/>
                <w:lang w:val="en-US" w:eastAsia="zh-CN"/>
              </w:rPr>
              <w:t>处理后清水池的可回用水量约3620.57</w:t>
            </w:r>
            <w:r>
              <w:rPr>
                <w:rFonts w:hint="default"/>
                <w:color w:val="auto"/>
                <w:kern w:val="0"/>
              </w:rPr>
              <w:t>m</w:t>
            </w:r>
            <w:r>
              <w:rPr>
                <w:rFonts w:hint="default"/>
                <w:color w:val="auto"/>
                <w:kern w:val="0"/>
                <w:vertAlign w:val="superscript"/>
              </w:rPr>
              <w:t>3</w:t>
            </w:r>
            <w:r>
              <w:rPr>
                <w:rFonts w:hint="eastAsia"/>
                <w:color w:val="auto"/>
                <w:kern w:val="0"/>
                <w:vertAlign w:val="baseline"/>
                <w:lang w:val="en-US" w:eastAsia="zh-CN"/>
              </w:rPr>
              <w:t>/d，回用水量</w:t>
            </w:r>
            <w:r>
              <w:rPr>
                <w:rFonts w:hint="eastAsia"/>
                <w:color w:val="auto"/>
                <w:kern w:val="0"/>
              </w:rPr>
              <w:t>小于用水量，产生的废水经处理后可全部进入废水处理系统处理。根据地势高低，项目废水经收集后全部进入沉淀池处理，通过在清水池内安装有循环水泵，每天先抽用回用水，保证沉淀池有足够的容量处理、容纳每天产生的废水，以确保项目废水不外排，实现生产废水闭路循环。项目废水沉淀池总容积</w:t>
            </w:r>
            <w:r>
              <w:rPr>
                <w:rFonts w:hint="eastAsia"/>
                <w:color w:val="auto"/>
                <w:kern w:val="0"/>
                <w:lang w:val="en-US" w:eastAsia="zh-CN"/>
              </w:rPr>
              <w:t>690</w:t>
            </w:r>
            <w:r>
              <w:rPr>
                <w:rFonts w:hint="default"/>
                <w:color w:val="auto"/>
                <w:kern w:val="0"/>
              </w:rPr>
              <w:t>m</w:t>
            </w:r>
            <w:r>
              <w:rPr>
                <w:rFonts w:hint="default"/>
                <w:color w:val="auto"/>
                <w:kern w:val="0"/>
                <w:vertAlign w:val="superscript"/>
              </w:rPr>
              <w:t>3</w:t>
            </w:r>
            <w:r>
              <w:rPr>
                <w:rFonts w:hint="eastAsia"/>
                <w:color w:val="auto"/>
                <w:kern w:val="0"/>
              </w:rPr>
              <w:t>，废水在沉淀池内通过添加絮凝剂能够使废水中的泥砂快速沉淀，达到回用的要求；同时利用清水池储存处理后的废水，确保废水处理后不外排。生产过程中，废水在产生的同时也不断地被抽取回用，使废水处理系统的水量保持一个动态平衡。</w:t>
            </w:r>
          </w:p>
          <w:p>
            <w:pPr>
              <w:keepNext w:val="0"/>
              <w:keepLines w:val="0"/>
              <w:suppressLineNumbers w:val="0"/>
              <w:spacing w:before="0" w:beforeAutospacing="0" w:after="0" w:afterAutospacing="0" w:line="404" w:lineRule="exact"/>
              <w:ind w:left="0" w:right="0" w:firstLine="420" w:firstLineChars="200"/>
              <w:rPr>
                <w:rFonts w:hint="default"/>
                <w:color w:val="auto"/>
                <w:kern w:val="0"/>
              </w:rPr>
            </w:pPr>
            <w:r>
              <w:rPr>
                <w:rFonts w:hint="eastAsia"/>
                <w:color w:val="auto"/>
                <w:kern w:val="0"/>
              </w:rPr>
              <w:t>按照一天为一个生产周期计算，每天工作制度为</w:t>
            </w:r>
            <w:r>
              <w:rPr>
                <w:rFonts w:hint="default"/>
                <w:color w:val="auto"/>
                <w:kern w:val="0"/>
              </w:rPr>
              <w:t>10</w:t>
            </w:r>
            <w:r>
              <w:rPr>
                <w:rFonts w:hint="eastAsia"/>
                <w:color w:val="auto"/>
                <w:kern w:val="0"/>
              </w:rPr>
              <w:t>小时，每天产生的废水</w:t>
            </w:r>
            <w:r>
              <w:rPr>
                <w:rFonts w:hint="eastAsia"/>
                <w:color w:val="auto"/>
                <w:kern w:val="0"/>
                <w:lang w:val="en-US" w:eastAsia="zh-CN"/>
              </w:rPr>
              <w:t>约373.57</w:t>
            </w:r>
            <w:r>
              <w:rPr>
                <w:rFonts w:hint="eastAsia"/>
                <w:color w:val="auto"/>
                <w:kern w:val="0"/>
              </w:rPr>
              <w:t>m</w:t>
            </w:r>
            <w:r>
              <w:rPr>
                <w:rFonts w:hint="eastAsia"/>
                <w:color w:val="auto"/>
                <w:kern w:val="0"/>
                <w:vertAlign w:val="superscript"/>
              </w:rPr>
              <w:t>3</w:t>
            </w:r>
            <w:r>
              <w:rPr>
                <w:rFonts w:hint="eastAsia"/>
                <w:color w:val="auto"/>
                <w:kern w:val="0"/>
              </w:rPr>
              <w:t>/h。项目设计废水处理过程的停留时间</w:t>
            </w:r>
            <w:r>
              <w:rPr>
                <w:rFonts w:hint="eastAsia"/>
                <w:color w:val="auto"/>
                <w:kern w:val="0"/>
                <w:lang w:val="en-US" w:eastAsia="zh-CN"/>
              </w:rPr>
              <w:t>1.5</w:t>
            </w:r>
            <w:r>
              <w:rPr>
                <w:rFonts w:hint="eastAsia"/>
                <w:color w:val="auto"/>
                <w:kern w:val="0"/>
              </w:rPr>
              <w:t>小时，则停止生产期间，最大需要约</w:t>
            </w:r>
            <w:r>
              <w:rPr>
                <w:rFonts w:hint="eastAsia"/>
                <w:color w:val="auto"/>
                <w:kern w:val="0"/>
                <w:lang w:val="en-US" w:eastAsia="zh-CN"/>
              </w:rPr>
              <w:t>560.355</w:t>
            </w:r>
            <w:r>
              <w:rPr>
                <w:rFonts w:hint="default"/>
                <w:color w:val="auto"/>
                <w:kern w:val="0"/>
              </w:rPr>
              <w:t>m</w:t>
            </w:r>
            <w:r>
              <w:rPr>
                <w:rFonts w:hint="default"/>
                <w:color w:val="auto"/>
                <w:kern w:val="0"/>
                <w:vertAlign w:val="superscript"/>
              </w:rPr>
              <w:t>3</w:t>
            </w:r>
            <w:r>
              <w:rPr>
                <w:rFonts w:hint="eastAsia"/>
                <w:color w:val="auto"/>
                <w:kern w:val="0"/>
              </w:rPr>
              <w:t>的蓄水池储存生产废水。项目废水处理设施总容积约</w:t>
            </w:r>
            <w:r>
              <w:rPr>
                <w:rFonts w:hint="eastAsia"/>
                <w:color w:val="auto"/>
                <w:kern w:val="0"/>
                <w:lang w:val="en-US" w:eastAsia="zh-CN"/>
              </w:rPr>
              <w:t>690</w:t>
            </w:r>
            <w:r>
              <w:rPr>
                <w:rFonts w:hint="eastAsia"/>
                <w:color w:val="auto"/>
                <w:kern w:val="0"/>
              </w:rPr>
              <w:t>m</w:t>
            </w:r>
            <w:r>
              <w:rPr>
                <w:rFonts w:hint="eastAsia"/>
                <w:color w:val="auto"/>
                <w:kern w:val="0"/>
                <w:vertAlign w:val="superscript"/>
              </w:rPr>
              <w:t>3</w:t>
            </w:r>
            <w:r>
              <w:rPr>
                <w:rFonts w:hint="eastAsia"/>
                <w:color w:val="auto"/>
                <w:kern w:val="0"/>
              </w:rPr>
              <w:t>，即使在不生产期间厂区也有足够的容积储存昼间产生的所有废水。项目须配备循环水泵，生产期间不停地将清水池内的水抽至用水工序，以便为新产生的废水提供足够的停留时间，满足生产需求。沉淀</w:t>
            </w:r>
            <w:r>
              <w:rPr>
                <w:rFonts w:hint="eastAsia"/>
                <w:color w:val="auto"/>
                <w:kern w:val="0"/>
                <w:lang w:val="en-US" w:eastAsia="zh-CN"/>
              </w:rPr>
              <w:t>罐</w:t>
            </w:r>
            <w:r>
              <w:rPr>
                <w:rFonts w:hint="eastAsia"/>
                <w:color w:val="auto"/>
                <w:kern w:val="0"/>
              </w:rPr>
              <w:t>底部均配备</w:t>
            </w:r>
            <w:r>
              <w:rPr>
                <w:rFonts w:hint="default"/>
                <w:color w:val="auto"/>
                <w:kern w:val="0"/>
              </w:rPr>
              <w:t>1</w:t>
            </w:r>
            <w:r>
              <w:rPr>
                <w:rFonts w:hint="eastAsia"/>
                <w:color w:val="auto"/>
                <w:kern w:val="0"/>
              </w:rPr>
              <w:t>台泥浆泵，池底淤泥由泥浆泵抽至板框压滤机内处理，压滤水回流至清水池。建设单位必须保证泥浆泵正常运行，及时抽走产生的泥砂，保证沉淀系统正常运行，确保项目废水全部处理后回用，杜绝生产废水外排。</w:t>
            </w:r>
          </w:p>
          <w:p>
            <w:pPr>
              <w:keepNext w:val="0"/>
              <w:keepLines w:val="0"/>
              <w:suppressLineNumbers w:val="0"/>
              <w:spacing w:before="0" w:beforeAutospacing="0" w:after="0" w:afterAutospacing="0" w:line="400" w:lineRule="exact"/>
              <w:ind w:left="0" w:right="0" w:firstLine="420" w:firstLineChars="200"/>
              <w:rPr>
                <w:rFonts w:hint="default"/>
                <w:color w:val="auto"/>
                <w:kern w:val="0"/>
              </w:rPr>
            </w:pPr>
            <w:r>
              <w:rPr>
                <w:rFonts w:hint="eastAsia"/>
                <w:color w:val="auto"/>
                <w:kern w:val="0"/>
              </w:rPr>
              <w:t>因此，只要建设单位加强生产管理，将处理后的回用水切实回用于生产，从水质、水量等方面分析，废水实现闭路循环，达到零排放的要求是可行可靠的。</w:t>
            </w:r>
          </w:p>
          <w:p>
            <w:pPr>
              <w:keepNext w:val="0"/>
              <w:keepLines w:val="0"/>
              <w:suppressLineNumbers w:val="0"/>
              <w:spacing w:before="0" w:beforeAutospacing="0" w:after="0" w:afterAutospacing="0" w:line="400" w:lineRule="exact"/>
              <w:ind w:left="0" w:right="0"/>
              <w:rPr>
                <w:rFonts w:hint="default"/>
                <w:color w:val="auto"/>
                <w:kern w:val="0"/>
              </w:rPr>
            </w:pPr>
            <w:r>
              <w:rPr>
                <w:rFonts w:hint="eastAsia"/>
                <w:b/>
                <w:color w:val="auto"/>
                <w:kern w:val="0"/>
              </w:rPr>
              <w:t>2.</w:t>
            </w:r>
            <w:r>
              <w:rPr>
                <w:rFonts w:hint="default"/>
                <w:b/>
                <w:color w:val="auto"/>
                <w:kern w:val="0"/>
              </w:rPr>
              <w:t>5</w:t>
            </w:r>
            <w:r>
              <w:rPr>
                <w:rFonts w:hint="eastAsia"/>
                <w:b/>
                <w:color w:val="auto"/>
                <w:kern w:val="0"/>
              </w:rPr>
              <w:t>污染物源强及治理设施信息</w:t>
            </w: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eastAsia="黑体"/>
                <w:color w:val="auto"/>
                <w:kern w:val="0"/>
                <w:sz w:val="18"/>
                <w:szCs w:val="20"/>
                <w:lang w:val="zh-CN"/>
              </w:rPr>
            </w:pPr>
            <w:r>
              <w:rPr>
                <w:rFonts w:hint="default" w:eastAsia="黑体"/>
                <w:color w:val="auto"/>
                <w:kern w:val="0"/>
                <w:sz w:val="18"/>
                <w:szCs w:val="20"/>
                <w:lang w:val="zh-CN"/>
              </w:rPr>
              <w:t>表</w:t>
            </w:r>
            <w:r>
              <w:rPr>
                <w:rFonts w:hint="default" w:eastAsia="黑体"/>
                <w:color w:val="auto"/>
                <w:kern w:val="0"/>
                <w:sz w:val="18"/>
                <w:szCs w:val="20"/>
              </w:rPr>
              <w:t xml:space="preserve">4-8  </w:t>
            </w:r>
            <w:r>
              <w:rPr>
                <w:rFonts w:hint="default" w:eastAsia="黑体"/>
                <w:color w:val="auto"/>
                <w:kern w:val="0"/>
                <w:sz w:val="18"/>
                <w:szCs w:val="20"/>
                <w:lang w:val="zh-CN"/>
              </w:rPr>
              <w:t>废水污染源源强核算结果及相关参数一览表</w:t>
            </w:r>
          </w:p>
          <w:tbl>
            <w:tblPr>
              <w:tblStyle w:val="14"/>
              <w:tblW w:w="792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435"/>
              <w:gridCol w:w="509"/>
              <w:gridCol w:w="600"/>
              <w:gridCol w:w="935"/>
              <w:gridCol w:w="483"/>
              <w:gridCol w:w="567"/>
              <w:gridCol w:w="567"/>
              <w:gridCol w:w="425"/>
              <w:gridCol w:w="425"/>
              <w:gridCol w:w="534"/>
              <w:gridCol w:w="709"/>
              <w:gridCol w:w="567"/>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600" w:type="dxa"/>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工序</w:t>
                  </w:r>
                  <w:r>
                    <w:rPr>
                      <w:rFonts w:hint="default" w:ascii="Times New Roman" w:hAnsi="Times New Roman"/>
                      <w:color w:val="auto"/>
                      <w:sz w:val="18"/>
                      <w:szCs w:val="18"/>
                    </w:rPr>
                    <w:t>/</w:t>
                  </w:r>
                  <w:r>
                    <w:rPr>
                      <w:rFonts w:hint="eastAsia" w:ascii="Times New Roman" w:hAnsi="Times New Roman"/>
                      <w:color w:val="auto"/>
                      <w:sz w:val="18"/>
                      <w:szCs w:val="18"/>
                    </w:rPr>
                    <w:t>生产线</w:t>
                  </w:r>
                </w:p>
              </w:tc>
              <w:tc>
                <w:tcPr>
                  <w:tcW w:w="435" w:type="dxa"/>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污染</w:t>
                  </w:r>
                  <w:r>
                    <w:rPr>
                      <w:rFonts w:hint="default" w:ascii="Times New Roman" w:hAnsi="Times New Roman"/>
                      <w:color w:val="auto"/>
                      <w:sz w:val="18"/>
                      <w:szCs w:val="18"/>
                    </w:rPr>
                    <w:t xml:space="preserve"> </w:t>
                  </w:r>
                  <w:r>
                    <w:rPr>
                      <w:rFonts w:hint="eastAsia" w:ascii="Times New Roman" w:hAnsi="Times New Roman"/>
                      <w:color w:val="auto"/>
                      <w:sz w:val="18"/>
                      <w:szCs w:val="18"/>
                    </w:rPr>
                    <w:t>源</w:t>
                  </w:r>
                </w:p>
              </w:tc>
              <w:tc>
                <w:tcPr>
                  <w:tcW w:w="509" w:type="dxa"/>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污染物</w:t>
                  </w:r>
                </w:p>
              </w:tc>
              <w:tc>
                <w:tcPr>
                  <w:tcW w:w="2585" w:type="dxa"/>
                  <w:gridSpan w:val="4"/>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污染物产生</w:t>
                  </w:r>
                </w:p>
              </w:tc>
              <w:tc>
                <w:tcPr>
                  <w:tcW w:w="992"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治理措施</w:t>
                  </w:r>
                </w:p>
              </w:tc>
              <w:tc>
                <w:tcPr>
                  <w:tcW w:w="2235" w:type="dxa"/>
                  <w:gridSpan w:val="4"/>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污染物排放</w:t>
                  </w:r>
                </w:p>
              </w:tc>
              <w:tc>
                <w:tcPr>
                  <w:tcW w:w="567" w:type="dxa"/>
                  <w:vMerge w:val="restart"/>
                  <w:vAlign w:val="center"/>
                </w:tcPr>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排放</w:t>
                  </w:r>
                </w:p>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时间</w:t>
                  </w:r>
                </w:p>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w:t>
                  </w:r>
                  <w:r>
                    <w:rPr>
                      <w:rFonts w:hint="default" w:ascii="Times New Roman" w:hAnsi="Times New Roman"/>
                      <w:color w:val="auto"/>
                      <w:sz w:val="18"/>
                      <w:szCs w:val="18"/>
                    </w:rPr>
                    <w:t>d/a</w:t>
                  </w:r>
                  <w:r>
                    <w:rPr>
                      <w:rFonts w:hint="eastAsia" w:ascii="Times New Roman" w:hAnsi="Times New Roman"/>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9" w:hRule="atLeast"/>
                <w:jc w:val="center"/>
              </w:trPr>
              <w:tc>
                <w:tcPr>
                  <w:tcW w:w="600" w:type="dxa"/>
                  <w:vMerge w:val="continue"/>
                  <w:vAlign w:val="center"/>
                </w:tcPr>
                <w:p>
                  <w:pPr>
                    <w:keepNext w:val="0"/>
                    <w:keepLines w:val="0"/>
                    <w:widowControl/>
                    <w:suppressLineNumbers w:val="0"/>
                    <w:spacing w:before="0" w:beforeAutospacing="0" w:after="0" w:afterAutospacing="0"/>
                    <w:ind w:left="0" w:right="0"/>
                    <w:jc w:val="left"/>
                    <w:rPr>
                      <w:rFonts w:hint="default" w:eastAsia="等线"/>
                      <w:color w:val="auto"/>
                      <w:kern w:val="0"/>
                      <w:sz w:val="18"/>
                      <w:szCs w:val="18"/>
                    </w:rPr>
                  </w:pPr>
                </w:p>
              </w:tc>
              <w:tc>
                <w:tcPr>
                  <w:tcW w:w="435" w:type="dxa"/>
                  <w:vMerge w:val="continue"/>
                  <w:vAlign w:val="center"/>
                </w:tcPr>
                <w:p>
                  <w:pPr>
                    <w:keepNext w:val="0"/>
                    <w:keepLines w:val="0"/>
                    <w:widowControl/>
                    <w:suppressLineNumbers w:val="0"/>
                    <w:spacing w:before="0" w:beforeAutospacing="0" w:after="0" w:afterAutospacing="0"/>
                    <w:ind w:left="0" w:right="0"/>
                    <w:jc w:val="left"/>
                    <w:rPr>
                      <w:rFonts w:hint="default" w:eastAsia="等线"/>
                      <w:color w:val="auto"/>
                      <w:kern w:val="0"/>
                      <w:sz w:val="18"/>
                      <w:szCs w:val="18"/>
                    </w:rPr>
                  </w:pPr>
                </w:p>
              </w:tc>
              <w:tc>
                <w:tcPr>
                  <w:tcW w:w="509" w:type="dxa"/>
                  <w:vMerge w:val="continue"/>
                  <w:vAlign w:val="center"/>
                </w:tcPr>
                <w:p>
                  <w:pPr>
                    <w:keepNext w:val="0"/>
                    <w:keepLines w:val="0"/>
                    <w:widowControl/>
                    <w:suppressLineNumbers w:val="0"/>
                    <w:spacing w:before="0" w:beforeAutospacing="0" w:after="0" w:afterAutospacing="0"/>
                    <w:ind w:left="0" w:right="0"/>
                    <w:jc w:val="left"/>
                    <w:rPr>
                      <w:rFonts w:hint="default" w:eastAsia="等线"/>
                      <w:color w:val="auto"/>
                      <w:kern w:val="0"/>
                      <w:sz w:val="18"/>
                      <w:szCs w:val="18"/>
                    </w:rPr>
                  </w:pPr>
                </w:p>
              </w:tc>
              <w:tc>
                <w:tcPr>
                  <w:tcW w:w="60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核算</w:t>
                  </w:r>
                </w:p>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方法</w:t>
                  </w:r>
                </w:p>
              </w:tc>
              <w:tc>
                <w:tcPr>
                  <w:tcW w:w="935"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产生量</w:t>
                  </w:r>
                  <w:r>
                    <w:rPr>
                      <w:rFonts w:hint="default" w:ascii="Times New Roman" w:hAnsi="Times New Roman" w:eastAsia="Calibri"/>
                      <w:color w:val="auto"/>
                      <w:spacing w:val="-1"/>
                      <w:sz w:val="18"/>
                      <w:szCs w:val="18"/>
                    </w:rPr>
                    <w:t xml:space="preserve"> (m</w:t>
                  </w:r>
                  <w:r>
                    <w:rPr>
                      <w:rFonts w:hint="default" w:ascii="Times New Roman" w:hAnsi="Times New Roman"/>
                      <w:color w:val="auto"/>
                      <w:spacing w:val="-1"/>
                      <w:sz w:val="18"/>
                      <w:szCs w:val="18"/>
                      <w:vertAlign w:val="superscript"/>
                    </w:rPr>
                    <w:t>3</w:t>
                  </w:r>
                  <w:r>
                    <w:rPr>
                      <w:rFonts w:hint="default" w:ascii="Times New Roman" w:hAnsi="Times New Roman" w:eastAsia="Calibri"/>
                      <w:color w:val="auto"/>
                      <w:spacing w:val="-1"/>
                      <w:sz w:val="18"/>
                      <w:szCs w:val="18"/>
                    </w:rPr>
                    <w:t>/a)</w:t>
                  </w:r>
                </w:p>
              </w:tc>
              <w:tc>
                <w:tcPr>
                  <w:tcW w:w="48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产生浓度</w:t>
                  </w:r>
                  <w:r>
                    <w:rPr>
                      <w:rFonts w:hint="eastAsia" w:ascii="Times New Roman" w:hAnsi="Times New Roman"/>
                      <w:color w:val="auto"/>
                      <w:spacing w:val="-1"/>
                      <w:sz w:val="18"/>
                      <w:szCs w:val="18"/>
                    </w:rPr>
                    <w:t>（</w:t>
                  </w:r>
                  <w:r>
                    <w:rPr>
                      <w:rFonts w:hint="default" w:ascii="Times New Roman" w:hAnsi="Times New Roman"/>
                      <w:color w:val="auto"/>
                      <w:spacing w:val="-1"/>
                      <w:sz w:val="18"/>
                      <w:szCs w:val="18"/>
                    </w:rPr>
                    <w:t>mg/L</w:t>
                  </w:r>
                  <w:r>
                    <w:rPr>
                      <w:rFonts w:hint="eastAsia" w:ascii="Times New Roman" w:hAnsi="Times New Roman"/>
                      <w:color w:val="auto"/>
                      <w:spacing w:val="-1"/>
                      <w:sz w:val="18"/>
                      <w:szCs w:val="18"/>
                    </w:rPr>
                    <w:t>）</w:t>
                  </w:r>
                </w:p>
              </w:tc>
              <w:tc>
                <w:tcPr>
                  <w:tcW w:w="567"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产生量</w:t>
                  </w:r>
                </w:p>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pacing w:val="-1"/>
                      <w:sz w:val="18"/>
                      <w:szCs w:val="18"/>
                    </w:rPr>
                    <w:t>（</w:t>
                  </w:r>
                  <w:r>
                    <w:rPr>
                      <w:rFonts w:hint="default" w:ascii="Times New Roman" w:hAnsi="Times New Roman"/>
                      <w:color w:val="auto"/>
                      <w:spacing w:val="-1"/>
                      <w:sz w:val="18"/>
                      <w:szCs w:val="18"/>
                    </w:rPr>
                    <w:t>t/a</w:t>
                  </w:r>
                  <w:r>
                    <w:rPr>
                      <w:rFonts w:hint="eastAsia" w:ascii="Times New Roman" w:hAnsi="Times New Roman"/>
                      <w:color w:val="auto"/>
                      <w:spacing w:val="-1"/>
                      <w:sz w:val="18"/>
                      <w:szCs w:val="18"/>
                    </w:rPr>
                    <w:t>）</w:t>
                  </w:r>
                </w:p>
              </w:tc>
              <w:tc>
                <w:tcPr>
                  <w:tcW w:w="567"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工艺</w:t>
                  </w:r>
                </w:p>
              </w:tc>
              <w:tc>
                <w:tcPr>
                  <w:tcW w:w="425"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效率</w:t>
                  </w:r>
                </w:p>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eastAsia="Calibri"/>
                      <w:color w:val="auto"/>
                      <w:sz w:val="18"/>
                      <w:szCs w:val="18"/>
                    </w:rPr>
                    <w:t>/%</w:t>
                  </w:r>
                </w:p>
              </w:tc>
              <w:tc>
                <w:tcPr>
                  <w:tcW w:w="425" w:type="dxa"/>
                  <w:vAlign w:val="center"/>
                </w:tcPr>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核算</w:t>
                  </w:r>
                </w:p>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方法</w:t>
                  </w:r>
                </w:p>
              </w:tc>
              <w:tc>
                <w:tcPr>
                  <w:tcW w:w="534" w:type="dxa"/>
                  <w:vAlign w:val="center"/>
                </w:tcPr>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排放量</w:t>
                  </w:r>
                </w:p>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default" w:ascii="Times New Roman" w:hAnsi="Times New Roman" w:eastAsia="Calibri"/>
                      <w:color w:val="auto"/>
                      <w:spacing w:val="-1"/>
                      <w:sz w:val="18"/>
                      <w:szCs w:val="18"/>
                    </w:rPr>
                    <w:t>(m</w:t>
                  </w:r>
                  <w:r>
                    <w:rPr>
                      <w:rFonts w:hint="default" w:ascii="Times New Roman" w:hAnsi="Times New Roman"/>
                      <w:color w:val="auto"/>
                      <w:spacing w:val="-1"/>
                      <w:sz w:val="18"/>
                      <w:szCs w:val="18"/>
                      <w:vertAlign w:val="superscript"/>
                    </w:rPr>
                    <w:t>3</w:t>
                  </w:r>
                  <w:r>
                    <w:rPr>
                      <w:rFonts w:hint="default" w:ascii="Times New Roman" w:hAnsi="Times New Roman" w:eastAsia="Calibri"/>
                      <w:color w:val="auto"/>
                      <w:spacing w:val="-1"/>
                      <w:sz w:val="18"/>
                      <w:szCs w:val="18"/>
                    </w:rPr>
                    <w:t>/a)</w:t>
                  </w:r>
                </w:p>
              </w:tc>
              <w:tc>
                <w:tcPr>
                  <w:tcW w:w="709" w:type="dxa"/>
                  <w:vAlign w:val="center"/>
                </w:tcPr>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排放浓度</w:t>
                  </w:r>
                </w:p>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pacing w:val="-1"/>
                      <w:sz w:val="18"/>
                      <w:szCs w:val="18"/>
                    </w:rPr>
                    <w:t>（</w:t>
                  </w:r>
                  <w:r>
                    <w:rPr>
                      <w:rFonts w:hint="default" w:ascii="Times New Roman" w:hAnsi="Times New Roman"/>
                      <w:color w:val="auto"/>
                      <w:spacing w:val="-1"/>
                      <w:sz w:val="18"/>
                      <w:szCs w:val="18"/>
                    </w:rPr>
                    <w:t>mg/L</w:t>
                  </w:r>
                  <w:r>
                    <w:rPr>
                      <w:rFonts w:hint="eastAsia" w:ascii="Times New Roman" w:hAnsi="Times New Roman"/>
                      <w:color w:val="auto"/>
                      <w:spacing w:val="-1"/>
                      <w:sz w:val="18"/>
                      <w:szCs w:val="18"/>
                    </w:rPr>
                    <w:t>）</w:t>
                  </w:r>
                </w:p>
              </w:tc>
              <w:tc>
                <w:tcPr>
                  <w:tcW w:w="567" w:type="dxa"/>
                  <w:vAlign w:val="center"/>
                </w:tcPr>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排放量</w:t>
                  </w:r>
                </w:p>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pacing w:val="-1"/>
                      <w:sz w:val="18"/>
                      <w:szCs w:val="18"/>
                    </w:rPr>
                    <w:t>（</w:t>
                  </w:r>
                  <w:r>
                    <w:rPr>
                      <w:rFonts w:hint="default" w:ascii="Times New Roman" w:hAnsi="Times New Roman"/>
                      <w:color w:val="auto"/>
                      <w:spacing w:val="-1"/>
                      <w:sz w:val="18"/>
                      <w:szCs w:val="18"/>
                    </w:rPr>
                    <w:t>t/a</w:t>
                  </w:r>
                  <w:r>
                    <w:rPr>
                      <w:rFonts w:hint="eastAsia" w:ascii="Times New Roman" w:hAnsi="Times New Roman"/>
                      <w:color w:val="auto"/>
                      <w:spacing w:val="-1"/>
                      <w:sz w:val="18"/>
                      <w:szCs w:val="18"/>
                    </w:rPr>
                    <w:t>）</w:t>
                  </w:r>
                </w:p>
              </w:tc>
              <w:tc>
                <w:tcPr>
                  <w:tcW w:w="567" w:type="dxa"/>
                  <w:vMerge w:val="continue"/>
                  <w:vAlign w:val="center"/>
                </w:tcPr>
                <w:p>
                  <w:pPr>
                    <w:keepNext w:val="0"/>
                    <w:keepLines w:val="0"/>
                    <w:widowControl/>
                    <w:suppressLineNumbers w:val="0"/>
                    <w:spacing w:before="0" w:beforeAutospacing="0" w:after="0" w:afterAutospacing="0"/>
                    <w:ind w:left="0" w:right="0"/>
                    <w:jc w:val="left"/>
                    <w:rPr>
                      <w:rFonts w:hint="default" w:eastAsia="等线"/>
                      <w:color w:val="auto"/>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7" w:hRule="atLeast"/>
                <w:jc w:val="center"/>
              </w:trPr>
              <w:tc>
                <w:tcPr>
                  <w:tcW w:w="600" w:type="dxa"/>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洗砂</w:t>
                  </w:r>
                </w:p>
              </w:tc>
              <w:tc>
                <w:tcPr>
                  <w:tcW w:w="435" w:type="dxa"/>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洗砂废水</w:t>
                  </w:r>
                </w:p>
              </w:tc>
              <w:tc>
                <w:tcPr>
                  <w:tcW w:w="509"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SS</w:t>
                  </w:r>
                </w:p>
              </w:tc>
              <w:tc>
                <w:tcPr>
                  <w:tcW w:w="600"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系数法</w:t>
                  </w:r>
                </w:p>
              </w:tc>
              <w:tc>
                <w:tcPr>
                  <w:tcW w:w="935" w:type="dxa"/>
                  <w:vAlign w:val="center"/>
                </w:tcPr>
                <w:p>
                  <w:pPr>
                    <w:keepNext w:val="0"/>
                    <w:keepLines w:val="0"/>
                    <w:widowControl/>
                    <w:suppressLineNumbers w:val="0"/>
                    <w:spacing w:before="0" w:beforeAutospacing="0" w:after="0" w:afterAutospacing="0" w:line="280" w:lineRule="exact"/>
                    <w:ind w:left="0" w:right="0"/>
                    <w:jc w:val="center"/>
                    <w:rPr>
                      <w:rFonts w:hint="default" w:eastAsia="宋体"/>
                      <w:color w:val="auto"/>
                      <w:sz w:val="18"/>
                      <w:szCs w:val="18"/>
                      <w:lang w:val="en-US" w:eastAsia="zh-CN"/>
                    </w:rPr>
                  </w:pPr>
                  <w:r>
                    <w:rPr>
                      <w:rFonts w:hint="eastAsia"/>
                      <w:color w:val="auto"/>
                      <w:sz w:val="18"/>
                      <w:szCs w:val="18"/>
                      <w:lang w:val="en-US" w:eastAsia="zh-CN"/>
                    </w:rPr>
                    <w:t>1059184</w:t>
                  </w:r>
                </w:p>
              </w:tc>
              <w:tc>
                <w:tcPr>
                  <w:tcW w:w="48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w:t>
                  </w:r>
                </w:p>
              </w:tc>
              <w:tc>
                <w:tcPr>
                  <w:tcW w:w="567"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w:t>
                  </w:r>
                </w:p>
              </w:tc>
              <w:tc>
                <w:tcPr>
                  <w:tcW w:w="567" w:type="dxa"/>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絮凝</w:t>
                  </w:r>
                </w:p>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沉淀</w:t>
                  </w:r>
                </w:p>
              </w:tc>
              <w:tc>
                <w:tcPr>
                  <w:tcW w:w="425"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90%</w:t>
                  </w:r>
                </w:p>
              </w:tc>
              <w:tc>
                <w:tcPr>
                  <w:tcW w:w="425" w:type="dxa"/>
                  <w:vAlign w:val="center"/>
                </w:tcPr>
                <w:p>
                  <w:pPr>
                    <w:keepNext w:val="0"/>
                    <w:keepLines w:val="0"/>
                    <w:widowControl/>
                    <w:suppressLineNumbers w:val="0"/>
                    <w:spacing w:before="0" w:beforeAutospacing="0" w:after="0" w:afterAutospacing="0" w:line="280" w:lineRule="exact"/>
                    <w:ind w:left="-21" w:leftChars="-10" w:right="-21" w:rightChars="-10"/>
                    <w:jc w:val="center"/>
                    <w:rPr>
                      <w:rFonts w:hint="default"/>
                      <w:color w:val="auto"/>
                      <w:sz w:val="18"/>
                      <w:szCs w:val="18"/>
                    </w:rPr>
                  </w:pPr>
                  <w:r>
                    <w:rPr>
                      <w:rFonts w:hint="eastAsia"/>
                      <w:color w:val="auto"/>
                      <w:sz w:val="18"/>
                      <w:szCs w:val="18"/>
                    </w:rPr>
                    <w:t>/</w:t>
                  </w:r>
                </w:p>
              </w:tc>
              <w:tc>
                <w:tcPr>
                  <w:tcW w:w="534" w:type="dxa"/>
                  <w:vAlign w:val="center"/>
                </w:tcPr>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widowControl/>
                    <w:suppressLineNumbers w:val="0"/>
                    <w:spacing w:before="0" w:beforeAutospacing="0" w:after="0" w:afterAutospacing="0" w:line="280" w:lineRule="exact"/>
                    <w:ind w:left="-21" w:leftChars="-10" w:right="-21" w:rightChars="-10"/>
                    <w:jc w:val="center"/>
                    <w:rPr>
                      <w:rFonts w:hint="default"/>
                      <w:color w:val="auto"/>
                      <w:sz w:val="18"/>
                      <w:szCs w:val="18"/>
                    </w:rPr>
                  </w:pPr>
                  <w:r>
                    <w:rPr>
                      <w:rFonts w:hint="eastAsia"/>
                      <w:color w:val="auto"/>
                      <w:sz w:val="18"/>
                      <w:szCs w:val="18"/>
                    </w:rPr>
                    <w:t>/</w:t>
                  </w:r>
                </w:p>
              </w:tc>
              <w:tc>
                <w:tcPr>
                  <w:tcW w:w="567" w:type="dxa"/>
                  <w:vAlign w:val="center"/>
                </w:tcPr>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567" w:type="dxa"/>
                  <w:vAlign w:val="center"/>
                </w:tcPr>
                <w:p>
                  <w:pPr>
                    <w:keepNext w:val="0"/>
                    <w:keepLines w:val="0"/>
                    <w:widowControl/>
                    <w:suppressLineNumbers w:val="0"/>
                    <w:spacing w:before="0" w:beforeAutospacing="0" w:after="0" w:afterAutospacing="0" w:line="280" w:lineRule="exact"/>
                    <w:ind w:left="-21" w:leftChars="-10" w:right="-21" w:rightChars="-10"/>
                    <w:jc w:val="center"/>
                    <w:rPr>
                      <w:rFonts w:hint="default"/>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7" w:hRule="atLeast"/>
                <w:jc w:val="center"/>
              </w:trPr>
              <w:tc>
                <w:tcPr>
                  <w:tcW w:w="600" w:type="dxa"/>
                  <w:vAlign w:val="center"/>
                </w:tcPr>
                <w:p>
                  <w:pPr>
                    <w:keepNext w:val="0"/>
                    <w:keepLines w:val="0"/>
                    <w:widowControl/>
                    <w:suppressLineNumbers w:val="0"/>
                    <w:spacing w:before="0" w:beforeAutospacing="0" w:after="0" w:afterAutospacing="0" w:line="280" w:lineRule="exact"/>
                    <w:ind w:left="0" w:right="0"/>
                    <w:jc w:val="center"/>
                    <w:rPr>
                      <w:rFonts w:hint="default" w:eastAsia="宋体"/>
                      <w:color w:val="auto"/>
                      <w:sz w:val="18"/>
                      <w:szCs w:val="18"/>
                      <w:lang w:val="en-US" w:eastAsia="zh-CN"/>
                    </w:rPr>
                  </w:pPr>
                  <w:r>
                    <w:rPr>
                      <w:rFonts w:hint="eastAsia"/>
                      <w:color w:val="auto"/>
                      <w:sz w:val="18"/>
                      <w:szCs w:val="18"/>
                      <w:lang w:val="en-US" w:eastAsia="zh-CN"/>
                    </w:rPr>
                    <w:t>产品库</w:t>
                  </w:r>
                </w:p>
              </w:tc>
              <w:tc>
                <w:tcPr>
                  <w:tcW w:w="435" w:type="dxa"/>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渗沥水</w:t>
                  </w:r>
                </w:p>
              </w:tc>
              <w:tc>
                <w:tcPr>
                  <w:tcW w:w="509"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SS</w:t>
                  </w:r>
                </w:p>
              </w:tc>
              <w:tc>
                <w:tcPr>
                  <w:tcW w:w="600"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系数法</w:t>
                  </w:r>
                </w:p>
              </w:tc>
              <w:tc>
                <w:tcPr>
                  <w:tcW w:w="935" w:type="dxa"/>
                  <w:vAlign w:val="center"/>
                </w:tcPr>
                <w:p>
                  <w:pPr>
                    <w:keepNext w:val="0"/>
                    <w:keepLines w:val="0"/>
                    <w:widowControl/>
                    <w:suppressLineNumbers w:val="0"/>
                    <w:spacing w:before="0" w:beforeAutospacing="0" w:after="0" w:afterAutospacing="0" w:line="280" w:lineRule="exact"/>
                    <w:ind w:left="0" w:right="0"/>
                    <w:jc w:val="center"/>
                    <w:rPr>
                      <w:rFonts w:hint="default" w:eastAsia="宋体"/>
                      <w:color w:val="auto"/>
                      <w:sz w:val="18"/>
                      <w:szCs w:val="18"/>
                      <w:lang w:val="en-US" w:eastAsia="zh-CN"/>
                    </w:rPr>
                  </w:pPr>
                  <w:r>
                    <w:rPr>
                      <w:rFonts w:hint="eastAsia"/>
                      <w:color w:val="auto"/>
                      <w:sz w:val="18"/>
                      <w:szCs w:val="18"/>
                      <w:lang w:val="en-US" w:eastAsia="zh-CN"/>
                    </w:rPr>
                    <w:t>136249.6</w:t>
                  </w:r>
                </w:p>
              </w:tc>
              <w:tc>
                <w:tcPr>
                  <w:tcW w:w="48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w:t>
                  </w:r>
                </w:p>
              </w:tc>
              <w:tc>
                <w:tcPr>
                  <w:tcW w:w="567"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w:t>
                  </w:r>
                </w:p>
              </w:tc>
              <w:tc>
                <w:tcPr>
                  <w:tcW w:w="567" w:type="dxa"/>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絮凝</w:t>
                  </w:r>
                </w:p>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沉淀</w:t>
                  </w:r>
                </w:p>
              </w:tc>
              <w:tc>
                <w:tcPr>
                  <w:tcW w:w="425"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90%</w:t>
                  </w:r>
                </w:p>
              </w:tc>
              <w:tc>
                <w:tcPr>
                  <w:tcW w:w="425" w:type="dxa"/>
                  <w:vAlign w:val="center"/>
                </w:tcPr>
                <w:p>
                  <w:pPr>
                    <w:keepNext w:val="0"/>
                    <w:keepLines w:val="0"/>
                    <w:widowControl/>
                    <w:suppressLineNumbers w:val="0"/>
                    <w:spacing w:before="0" w:beforeAutospacing="0" w:after="0" w:afterAutospacing="0" w:line="280" w:lineRule="exact"/>
                    <w:ind w:left="-21" w:leftChars="-10" w:right="-21" w:rightChars="-10"/>
                    <w:jc w:val="center"/>
                    <w:rPr>
                      <w:rFonts w:hint="default"/>
                      <w:color w:val="auto"/>
                      <w:sz w:val="18"/>
                      <w:szCs w:val="18"/>
                    </w:rPr>
                  </w:pPr>
                  <w:r>
                    <w:rPr>
                      <w:rFonts w:hint="eastAsia"/>
                      <w:color w:val="auto"/>
                      <w:sz w:val="18"/>
                      <w:szCs w:val="18"/>
                    </w:rPr>
                    <w:t>/</w:t>
                  </w:r>
                </w:p>
              </w:tc>
              <w:tc>
                <w:tcPr>
                  <w:tcW w:w="534" w:type="dxa"/>
                  <w:vAlign w:val="center"/>
                </w:tcPr>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widowControl/>
                    <w:suppressLineNumbers w:val="0"/>
                    <w:spacing w:before="0" w:beforeAutospacing="0" w:after="0" w:afterAutospacing="0" w:line="280" w:lineRule="exact"/>
                    <w:ind w:left="-21" w:leftChars="-10" w:right="-21" w:rightChars="-10"/>
                    <w:jc w:val="center"/>
                    <w:rPr>
                      <w:rFonts w:hint="default"/>
                      <w:color w:val="auto"/>
                      <w:sz w:val="18"/>
                      <w:szCs w:val="18"/>
                    </w:rPr>
                  </w:pPr>
                  <w:r>
                    <w:rPr>
                      <w:rFonts w:hint="eastAsia"/>
                      <w:color w:val="auto"/>
                      <w:sz w:val="18"/>
                      <w:szCs w:val="18"/>
                    </w:rPr>
                    <w:t>/</w:t>
                  </w:r>
                </w:p>
              </w:tc>
              <w:tc>
                <w:tcPr>
                  <w:tcW w:w="567" w:type="dxa"/>
                  <w:vAlign w:val="center"/>
                </w:tcPr>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567" w:type="dxa"/>
                  <w:vAlign w:val="center"/>
                </w:tcPr>
                <w:p>
                  <w:pPr>
                    <w:keepNext w:val="0"/>
                    <w:keepLines w:val="0"/>
                    <w:widowControl/>
                    <w:suppressLineNumbers w:val="0"/>
                    <w:spacing w:before="0" w:beforeAutospacing="0" w:after="0" w:afterAutospacing="0" w:line="280" w:lineRule="exact"/>
                    <w:ind w:left="-21" w:leftChars="-10" w:right="-21" w:rightChars="-10"/>
                    <w:jc w:val="center"/>
                    <w:rPr>
                      <w:rFonts w:hint="default"/>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7" w:hRule="atLeast"/>
                <w:jc w:val="center"/>
              </w:trPr>
              <w:tc>
                <w:tcPr>
                  <w:tcW w:w="600" w:type="dxa"/>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车辆</w:t>
                  </w:r>
                </w:p>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冲洗</w:t>
                  </w:r>
                </w:p>
              </w:tc>
              <w:tc>
                <w:tcPr>
                  <w:tcW w:w="435" w:type="dxa"/>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冲洗废水</w:t>
                  </w:r>
                </w:p>
              </w:tc>
              <w:tc>
                <w:tcPr>
                  <w:tcW w:w="509"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SS</w:t>
                  </w:r>
                </w:p>
              </w:tc>
              <w:tc>
                <w:tcPr>
                  <w:tcW w:w="600" w:type="dxa"/>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系数法</w:t>
                  </w:r>
                </w:p>
              </w:tc>
              <w:tc>
                <w:tcPr>
                  <w:tcW w:w="935" w:type="dxa"/>
                  <w:vAlign w:val="center"/>
                </w:tcPr>
                <w:p>
                  <w:pPr>
                    <w:keepNext w:val="0"/>
                    <w:keepLines w:val="0"/>
                    <w:widowControl/>
                    <w:suppressLineNumbers w:val="0"/>
                    <w:spacing w:before="0" w:beforeAutospacing="0" w:after="0" w:afterAutospacing="0" w:line="280" w:lineRule="exact"/>
                    <w:ind w:left="0" w:right="0"/>
                    <w:jc w:val="center"/>
                    <w:rPr>
                      <w:rFonts w:hint="default" w:eastAsia="宋体"/>
                      <w:color w:val="auto"/>
                      <w:sz w:val="18"/>
                      <w:szCs w:val="18"/>
                      <w:lang w:val="en-US" w:eastAsia="zh-CN"/>
                    </w:rPr>
                  </w:pPr>
                  <w:r>
                    <w:rPr>
                      <w:rFonts w:hint="default"/>
                      <w:color w:val="auto"/>
                      <w:sz w:val="18"/>
                      <w:szCs w:val="18"/>
                    </w:rPr>
                    <w:t>4</w:t>
                  </w:r>
                  <w:r>
                    <w:rPr>
                      <w:rFonts w:hint="eastAsia"/>
                      <w:color w:val="auto"/>
                      <w:sz w:val="18"/>
                      <w:szCs w:val="18"/>
                      <w:lang w:val="en-US" w:eastAsia="zh-CN"/>
                    </w:rPr>
                    <w:t>080</w:t>
                  </w:r>
                </w:p>
              </w:tc>
              <w:tc>
                <w:tcPr>
                  <w:tcW w:w="48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w:t>
                  </w:r>
                </w:p>
              </w:tc>
              <w:tc>
                <w:tcPr>
                  <w:tcW w:w="567"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w:t>
                  </w:r>
                </w:p>
              </w:tc>
              <w:tc>
                <w:tcPr>
                  <w:tcW w:w="567" w:type="dxa"/>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沉淀</w:t>
                  </w:r>
                </w:p>
              </w:tc>
              <w:tc>
                <w:tcPr>
                  <w:tcW w:w="425"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90%</w:t>
                  </w:r>
                </w:p>
              </w:tc>
              <w:tc>
                <w:tcPr>
                  <w:tcW w:w="425" w:type="dxa"/>
                  <w:vAlign w:val="center"/>
                </w:tcPr>
                <w:p>
                  <w:pPr>
                    <w:keepNext w:val="0"/>
                    <w:keepLines w:val="0"/>
                    <w:widowControl/>
                    <w:suppressLineNumbers w:val="0"/>
                    <w:spacing w:before="0" w:beforeAutospacing="0" w:after="0" w:afterAutospacing="0" w:line="280" w:lineRule="exact"/>
                    <w:ind w:left="-21" w:leftChars="-10" w:right="-21" w:rightChars="-10"/>
                    <w:jc w:val="center"/>
                    <w:rPr>
                      <w:rFonts w:hint="default"/>
                      <w:color w:val="auto"/>
                      <w:sz w:val="18"/>
                      <w:szCs w:val="18"/>
                    </w:rPr>
                  </w:pPr>
                  <w:r>
                    <w:rPr>
                      <w:rFonts w:hint="eastAsia"/>
                      <w:color w:val="auto"/>
                      <w:sz w:val="18"/>
                      <w:szCs w:val="18"/>
                    </w:rPr>
                    <w:t>/</w:t>
                  </w:r>
                </w:p>
              </w:tc>
              <w:tc>
                <w:tcPr>
                  <w:tcW w:w="534" w:type="dxa"/>
                  <w:vAlign w:val="center"/>
                </w:tcPr>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709" w:type="dxa"/>
                  <w:vAlign w:val="center"/>
                </w:tcPr>
                <w:p>
                  <w:pPr>
                    <w:keepNext w:val="0"/>
                    <w:keepLines w:val="0"/>
                    <w:widowControl/>
                    <w:suppressLineNumbers w:val="0"/>
                    <w:spacing w:before="0" w:beforeAutospacing="0" w:after="0" w:afterAutospacing="0" w:line="280" w:lineRule="exact"/>
                    <w:ind w:left="-21" w:leftChars="-10" w:right="-21" w:rightChars="-10"/>
                    <w:jc w:val="center"/>
                    <w:rPr>
                      <w:rFonts w:hint="default"/>
                      <w:color w:val="auto"/>
                      <w:sz w:val="18"/>
                      <w:szCs w:val="18"/>
                    </w:rPr>
                  </w:pPr>
                  <w:r>
                    <w:rPr>
                      <w:rFonts w:hint="eastAsia"/>
                      <w:color w:val="auto"/>
                      <w:sz w:val="18"/>
                      <w:szCs w:val="18"/>
                    </w:rPr>
                    <w:t>/</w:t>
                  </w:r>
                </w:p>
              </w:tc>
              <w:tc>
                <w:tcPr>
                  <w:tcW w:w="567" w:type="dxa"/>
                  <w:vAlign w:val="center"/>
                </w:tcPr>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567" w:type="dxa"/>
                  <w:vAlign w:val="center"/>
                </w:tcPr>
                <w:p>
                  <w:pPr>
                    <w:keepNext w:val="0"/>
                    <w:keepLines w:val="0"/>
                    <w:widowControl/>
                    <w:suppressLineNumbers w:val="0"/>
                    <w:spacing w:before="0" w:beforeAutospacing="0" w:after="0" w:afterAutospacing="0" w:line="280" w:lineRule="exact"/>
                    <w:ind w:left="-21" w:leftChars="-10" w:right="-21" w:rightChars="-10"/>
                    <w:jc w:val="center"/>
                    <w:rPr>
                      <w:rFonts w:hint="default"/>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7" w:hRule="atLeast"/>
                <w:jc w:val="center"/>
              </w:trPr>
              <w:tc>
                <w:tcPr>
                  <w:tcW w:w="600" w:type="dxa"/>
                  <w:vMerge w:val="restart"/>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办公</w:t>
                  </w:r>
                </w:p>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生活</w:t>
                  </w:r>
                </w:p>
              </w:tc>
              <w:tc>
                <w:tcPr>
                  <w:tcW w:w="435" w:type="dxa"/>
                  <w:vMerge w:val="restart"/>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生活污水</w:t>
                  </w:r>
                </w:p>
              </w:tc>
              <w:tc>
                <w:tcPr>
                  <w:tcW w:w="509"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COD</w:t>
                  </w:r>
                </w:p>
              </w:tc>
              <w:tc>
                <w:tcPr>
                  <w:tcW w:w="600" w:type="dxa"/>
                  <w:vMerge w:val="restart"/>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系数法</w:t>
                  </w:r>
                </w:p>
              </w:tc>
              <w:tc>
                <w:tcPr>
                  <w:tcW w:w="935" w:type="dxa"/>
                  <w:vMerge w:val="restart"/>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3</w:t>
                  </w:r>
                  <w:r>
                    <w:rPr>
                      <w:rFonts w:hint="default"/>
                      <w:color w:val="auto"/>
                      <w:sz w:val="18"/>
                      <w:szCs w:val="18"/>
                    </w:rPr>
                    <w:t>24</w:t>
                  </w:r>
                </w:p>
              </w:tc>
              <w:tc>
                <w:tcPr>
                  <w:tcW w:w="48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default" w:ascii="Times New Roman" w:hAnsi="Times New Roman"/>
                      <w:color w:val="auto"/>
                      <w:spacing w:val="1"/>
                      <w:sz w:val="18"/>
                      <w:szCs w:val="18"/>
                    </w:rPr>
                    <w:t>3</w:t>
                  </w:r>
                  <w:r>
                    <w:rPr>
                      <w:rFonts w:hint="eastAsia" w:ascii="Times New Roman" w:hAnsi="Times New Roman"/>
                      <w:color w:val="auto"/>
                      <w:spacing w:val="1"/>
                      <w:sz w:val="18"/>
                      <w:szCs w:val="18"/>
                    </w:rPr>
                    <w:t>50</w:t>
                  </w:r>
                </w:p>
              </w:tc>
              <w:tc>
                <w:tcPr>
                  <w:tcW w:w="567"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0.1</w:t>
                  </w:r>
                  <w:r>
                    <w:rPr>
                      <w:rFonts w:hint="default" w:ascii="Times New Roman" w:hAnsi="Times New Roman"/>
                      <w:color w:val="auto"/>
                      <w:sz w:val="18"/>
                      <w:szCs w:val="18"/>
                    </w:rPr>
                    <w:t>1</w:t>
                  </w:r>
                </w:p>
              </w:tc>
              <w:tc>
                <w:tcPr>
                  <w:tcW w:w="567" w:type="dxa"/>
                  <w:vMerge w:val="restart"/>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生化</w:t>
                  </w:r>
                </w:p>
              </w:tc>
              <w:tc>
                <w:tcPr>
                  <w:tcW w:w="425" w:type="dxa"/>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425" w:type="dxa"/>
                  <w:vMerge w:val="restart"/>
                  <w:vAlign w:val="center"/>
                </w:tcPr>
                <w:p>
                  <w:pPr>
                    <w:keepNext w:val="0"/>
                    <w:keepLines w:val="0"/>
                    <w:widowControl/>
                    <w:suppressLineNumbers w:val="0"/>
                    <w:spacing w:before="0" w:beforeAutospacing="0" w:after="0" w:afterAutospacing="0" w:line="280" w:lineRule="exact"/>
                    <w:ind w:left="-21" w:leftChars="-10" w:right="-21" w:rightChars="-10"/>
                    <w:jc w:val="center"/>
                    <w:rPr>
                      <w:rFonts w:hint="default"/>
                      <w:color w:val="auto"/>
                      <w:sz w:val="18"/>
                      <w:szCs w:val="18"/>
                    </w:rPr>
                  </w:pPr>
                  <w:r>
                    <w:rPr>
                      <w:rFonts w:hint="eastAsia"/>
                      <w:color w:val="auto"/>
                      <w:sz w:val="18"/>
                      <w:szCs w:val="18"/>
                    </w:rPr>
                    <w:t>/</w:t>
                  </w:r>
                </w:p>
              </w:tc>
              <w:tc>
                <w:tcPr>
                  <w:tcW w:w="534" w:type="dxa"/>
                  <w:vMerge w:val="restart"/>
                  <w:vAlign w:val="center"/>
                </w:tcPr>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709" w:type="dxa"/>
                  <w:vMerge w:val="restart"/>
                  <w:vAlign w:val="center"/>
                </w:tcPr>
                <w:p>
                  <w:pPr>
                    <w:keepNext w:val="0"/>
                    <w:keepLines w:val="0"/>
                    <w:widowControl/>
                    <w:suppressLineNumbers w:val="0"/>
                    <w:spacing w:before="0" w:beforeAutospacing="0" w:after="0" w:afterAutospacing="0" w:line="280" w:lineRule="exact"/>
                    <w:ind w:left="-21" w:leftChars="-10" w:right="-21" w:rightChars="-10"/>
                    <w:jc w:val="center"/>
                    <w:rPr>
                      <w:rFonts w:hint="default"/>
                      <w:color w:val="auto"/>
                      <w:sz w:val="18"/>
                      <w:szCs w:val="18"/>
                    </w:rPr>
                  </w:pPr>
                  <w:r>
                    <w:rPr>
                      <w:rFonts w:hint="eastAsia"/>
                      <w:color w:val="auto"/>
                      <w:sz w:val="18"/>
                      <w:szCs w:val="18"/>
                    </w:rPr>
                    <w:t>/</w:t>
                  </w:r>
                </w:p>
              </w:tc>
              <w:tc>
                <w:tcPr>
                  <w:tcW w:w="567" w:type="dxa"/>
                  <w:vMerge w:val="restart"/>
                  <w:vAlign w:val="center"/>
                </w:tcPr>
                <w:p>
                  <w:pPr>
                    <w:keepNext w:val="0"/>
                    <w:keepLines w:val="0"/>
                    <w:suppressLineNumbers w:val="0"/>
                    <w:spacing w:before="0" w:beforeAutospacing="0" w:after="0" w:afterAutospacing="0" w:line="280" w:lineRule="exact"/>
                    <w:ind w:left="-21" w:leftChars="-10" w:right="-21" w:rightChars="-1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567" w:type="dxa"/>
                  <w:vMerge w:val="restart"/>
                  <w:vAlign w:val="center"/>
                </w:tcPr>
                <w:p>
                  <w:pPr>
                    <w:keepNext w:val="0"/>
                    <w:keepLines w:val="0"/>
                    <w:widowControl/>
                    <w:suppressLineNumbers w:val="0"/>
                    <w:spacing w:before="0" w:beforeAutospacing="0" w:after="0" w:afterAutospacing="0" w:line="280" w:lineRule="exact"/>
                    <w:ind w:left="-21" w:leftChars="-10" w:right="-21" w:rightChars="-10"/>
                    <w:jc w:val="center"/>
                    <w:rPr>
                      <w:rFonts w:hint="default"/>
                      <w:color w:val="auto"/>
                      <w:sz w:val="18"/>
                      <w:szCs w:val="18"/>
                    </w:rPr>
                  </w:pPr>
                  <w:r>
                    <w:rPr>
                      <w:rFonts w:hint="eastAsia"/>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5" w:hRule="atLeast"/>
                <w:jc w:val="center"/>
              </w:trPr>
              <w:tc>
                <w:tcPr>
                  <w:tcW w:w="60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35"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509"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NH</w:t>
                  </w:r>
                  <w:r>
                    <w:rPr>
                      <w:rFonts w:hint="eastAsia" w:ascii="Times New Roman" w:hAnsi="Times New Roman"/>
                      <w:color w:val="auto"/>
                      <w:sz w:val="18"/>
                      <w:szCs w:val="18"/>
                      <w:vertAlign w:val="subscript"/>
                    </w:rPr>
                    <w:t>3</w:t>
                  </w:r>
                  <w:r>
                    <w:rPr>
                      <w:rFonts w:hint="eastAsia" w:ascii="Times New Roman" w:hAnsi="Times New Roman"/>
                      <w:color w:val="auto"/>
                      <w:sz w:val="18"/>
                      <w:szCs w:val="18"/>
                    </w:rPr>
                    <w:t>-N</w:t>
                  </w:r>
                </w:p>
              </w:tc>
              <w:tc>
                <w:tcPr>
                  <w:tcW w:w="600"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935"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8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35</w:t>
                  </w:r>
                </w:p>
              </w:tc>
              <w:tc>
                <w:tcPr>
                  <w:tcW w:w="567"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0.01</w:t>
                  </w:r>
                  <w:r>
                    <w:rPr>
                      <w:rFonts w:hint="default" w:ascii="Times New Roman" w:hAnsi="Times New Roman"/>
                      <w:color w:val="auto"/>
                      <w:sz w:val="18"/>
                      <w:szCs w:val="18"/>
                    </w:rPr>
                    <w:t>1</w:t>
                  </w:r>
                </w:p>
              </w:tc>
              <w:tc>
                <w:tcPr>
                  <w:tcW w:w="567"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425" w:type="dxa"/>
                  <w:vMerge w:val="continue"/>
                  <w:vAlign w:val="center"/>
                </w:tcPr>
                <w:p>
                  <w:pPr>
                    <w:keepNext w:val="0"/>
                    <w:keepLines w:val="0"/>
                    <w:widowControl/>
                    <w:suppressLineNumbers w:val="0"/>
                    <w:spacing w:before="0" w:beforeAutospacing="0" w:after="0" w:afterAutospacing="0"/>
                    <w:ind w:left="0" w:right="0"/>
                    <w:jc w:val="left"/>
                    <w:rPr>
                      <w:rFonts w:hint="default" w:eastAsia="等线"/>
                      <w:color w:val="auto"/>
                      <w:kern w:val="0"/>
                      <w:sz w:val="18"/>
                      <w:szCs w:val="18"/>
                    </w:rPr>
                  </w:pPr>
                </w:p>
              </w:tc>
              <w:tc>
                <w:tcPr>
                  <w:tcW w:w="425"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534" w:type="dxa"/>
                  <w:vMerge w:val="continue"/>
                  <w:vAlign w:val="center"/>
                </w:tcPr>
                <w:p>
                  <w:pPr>
                    <w:keepNext w:val="0"/>
                    <w:keepLines w:val="0"/>
                    <w:widowControl/>
                    <w:suppressLineNumbers w:val="0"/>
                    <w:spacing w:before="0" w:beforeAutospacing="0" w:after="0" w:afterAutospacing="0"/>
                    <w:ind w:left="0" w:right="0"/>
                    <w:jc w:val="left"/>
                    <w:rPr>
                      <w:rFonts w:hint="default" w:eastAsia="等线"/>
                      <w:color w:val="auto"/>
                      <w:kern w:val="0"/>
                      <w:sz w:val="18"/>
                      <w:szCs w:val="18"/>
                    </w:rPr>
                  </w:pPr>
                </w:p>
              </w:tc>
              <w:tc>
                <w:tcPr>
                  <w:tcW w:w="709"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c>
                <w:tcPr>
                  <w:tcW w:w="567" w:type="dxa"/>
                  <w:vMerge w:val="continue"/>
                  <w:vAlign w:val="center"/>
                </w:tcPr>
                <w:p>
                  <w:pPr>
                    <w:keepNext w:val="0"/>
                    <w:keepLines w:val="0"/>
                    <w:widowControl/>
                    <w:suppressLineNumbers w:val="0"/>
                    <w:spacing w:before="0" w:beforeAutospacing="0" w:after="0" w:afterAutospacing="0"/>
                    <w:ind w:left="0" w:right="0"/>
                    <w:jc w:val="left"/>
                    <w:rPr>
                      <w:rFonts w:hint="default" w:eastAsia="等线"/>
                      <w:color w:val="auto"/>
                      <w:kern w:val="0"/>
                      <w:sz w:val="18"/>
                      <w:szCs w:val="18"/>
                    </w:rPr>
                  </w:pPr>
                </w:p>
              </w:tc>
              <w:tc>
                <w:tcPr>
                  <w:tcW w:w="567" w:type="dxa"/>
                  <w:vMerge w:val="continue"/>
                  <w:vAlign w:val="center"/>
                </w:tcPr>
                <w:p>
                  <w:pPr>
                    <w:keepNext w:val="0"/>
                    <w:keepLines w:val="0"/>
                    <w:widowControl/>
                    <w:suppressLineNumbers w:val="0"/>
                    <w:spacing w:before="0" w:beforeAutospacing="0" w:after="0" w:afterAutospacing="0"/>
                    <w:ind w:left="0" w:right="0"/>
                    <w:jc w:val="left"/>
                    <w:rPr>
                      <w:rFonts w:hint="default"/>
                      <w:color w:val="auto"/>
                      <w:sz w:val="18"/>
                      <w:szCs w:val="18"/>
                    </w:rPr>
                  </w:pPr>
                </w:p>
              </w:tc>
            </w:tr>
          </w:tbl>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 xml:space="preserve"> </w:t>
            </w: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黑体"/>
                <w:color w:val="auto"/>
                <w:kern w:val="0"/>
                <w:sz w:val="18"/>
                <w:szCs w:val="20"/>
                <w:lang w:val="zh-CN"/>
              </w:rPr>
            </w:pP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黑体"/>
                <w:color w:val="auto"/>
                <w:kern w:val="0"/>
                <w:sz w:val="18"/>
                <w:szCs w:val="20"/>
                <w:lang w:val="zh-CN"/>
              </w:rPr>
            </w:pP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黑体"/>
                <w:color w:val="auto"/>
                <w:kern w:val="0"/>
                <w:sz w:val="18"/>
                <w:szCs w:val="20"/>
                <w:lang w:val="zh-CN"/>
              </w:rPr>
            </w:pP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黑体"/>
                <w:color w:val="auto"/>
                <w:kern w:val="0"/>
                <w:sz w:val="18"/>
                <w:szCs w:val="20"/>
                <w:lang w:val="zh-CN"/>
              </w:rPr>
            </w:pP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黑体"/>
                <w:color w:val="auto"/>
                <w:kern w:val="0"/>
                <w:sz w:val="18"/>
                <w:szCs w:val="20"/>
                <w:lang w:val="zh-CN"/>
              </w:rPr>
            </w:pP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黑体"/>
                <w:color w:val="auto"/>
                <w:kern w:val="0"/>
                <w:sz w:val="18"/>
                <w:szCs w:val="20"/>
                <w:lang w:val="zh-CN"/>
              </w:rPr>
            </w:pP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黑体"/>
                <w:color w:val="auto"/>
                <w:kern w:val="0"/>
                <w:sz w:val="18"/>
                <w:szCs w:val="20"/>
                <w:lang w:val="zh-CN"/>
              </w:rPr>
            </w:pPr>
            <w:r>
              <w:rPr>
                <w:rFonts w:hint="default" w:ascii="Times New Roman" w:hAnsi="Times New Roman" w:eastAsia="黑体"/>
                <w:color w:val="auto"/>
                <w:kern w:val="0"/>
                <w:sz w:val="18"/>
                <w:szCs w:val="20"/>
                <w:lang w:val="zh-CN"/>
              </w:rPr>
              <w:t>表4-9  废水类别、污染物及污染治理设施信息表</w:t>
            </w:r>
          </w:p>
          <w:tbl>
            <w:tblPr>
              <w:tblStyle w:val="14"/>
              <w:tblW w:w="80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946"/>
              <w:gridCol w:w="457"/>
              <w:gridCol w:w="473"/>
              <w:gridCol w:w="800"/>
              <w:gridCol w:w="761"/>
              <w:gridCol w:w="980"/>
              <w:gridCol w:w="803"/>
              <w:gridCol w:w="583"/>
              <w:gridCol w:w="761"/>
              <w:gridCol w:w="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878" w:type="dxa"/>
                  <w:vMerge w:val="restart"/>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r>
                    <w:rPr>
                      <w:rFonts w:hint="default"/>
                      <w:b/>
                      <w:bCs/>
                      <w:color w:val="auto"/>
                      <w:spacing w:val="-11"/>
                      <w:kern w:val="0"/>
                      <w:sz w:val="18"/>
                      <w:szCs w:val="18"/>
                    </w:rPr>
                    <w:t>废水类别</w:t>
                  </w:r>
                </w:p>
              </w:tc>
              <w:tc>
                <w:tcPr>
                  <w:tcW w:w="946" w:type="dxa"/>
                  <w:vMerge w:val="restart"/>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r>
                    <w:rPr>
                      <w:rFonts w:hint="default"/>
                      <w:b/>
                      <w:bCs/>
                      <w:color w:val="auto"/>
                      <w:spacing w:val="-11"/>
                      <w:kern w:val="0"/>
                      <w:sz w:val="18"/>
                      <w:szCs w:val="18"/>
                    </w:rPr>
                    <w:t>污染物</w:t>
                  </w:r>
                </w:p>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r>
                    <w:rPr>
                      <w:rFonts w:hint="default"/>
                      <w:b/>
                      <w:bCs/>
                      <w:color w:val="auto"/>
                      <w:spacing w:val="-11"/>
                      <w:kern w:val="0"/>
                      <w:sz w:val="18"/>
                      <w:szCs w:val="18"/>
                    </w:rPr>
                    <w:t>种类</w:t>
                  </w:r>
                </w:p>
              </w:tc>
              <w:tc>
                <w:tcPr>
                  <w:tcW w:w="457" w:type="dxa"/>
                  <w:vMerge w:val="restart"/>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r>
                    <w:rPr>
                      <w:rFonts w:hint="default"/>
                      <w:b/>
                      <w:bCs/>
                      <w:color w:val="auto"/>
                      <w:spacing w:val="-11"/>
                      <w:kern w:val="0"/>
                      <w:sz w:val="18"/>
                      <w:szCs w:val="18"/>
                    </w:rPr>
                    <w:t>排放去向</w:t>
                  </w:r>
                </w:p>
              </w:tc>
              <w:tc>
                <w:tcPr>
                  <w:tcW w:w="473" w:type="dxa"/>
                  <w:vMerge w:val="restart"/>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r>
                    <w:rPr>
                      <w:rFonts w:hint="default"/>
                      <w:b/>
                      <w:bCs/>
                      <w:color w:val="auto"/>
                      <w:spacing w:val="-11"/>
                      <w:kern w:val="0"/>
                      <w:sz w:val="18"/>
                      <w:szCs w:val="18"/>
                    </w:rPr>
                    <w:t>排放规律</w:t>
                  </w:r>
                </w:p>
              </w:tc>
              <w:tc>
                <w:tcPr>
                  <w:tcW w:w="3344" w:type="dxa"/>
                  <w:gridSpan w:val="4"/>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r>
                    <w:rPr>
                      <w:rFonts w:hint="default"/>
                      <w:b/>
                      <w:bCs/>
                      <w:color w:val="auto"/>
                      <w:spacing w:val="-11"/>
                      <w:kern w:val="0"/>
                      <w:sz w:val="18"/>
                      <w:szCs w:val="18"/>
                    </w:rPr>
                    <w:t>污染治理设施</w:t>
                  </w:r>
                </w:p>
              </w:tc>
              <w:tc>
                <w:tcPr>
                  <w:tcW w:w="583" w:type="dxa"/>
                  <w:vMerge w:val="restart"/>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r>
                    <w:rPr>
                      <w:rFonts w:hint="default"/>
                      <w:b/>
                      <w:bCs/>
                      <w:color w:val="auto"/>
                      <w:spacing w:val="-11"/>
                      <w:kern w:val="0"/>
                      <w:sz w:val="18"/>
                      <w:szCs w:val="18"/>
                    </w:rPr>
                    <w:t>排放口编号</w:t>
                  </w:r>
                </w:p>
              </w:tc>
              <w:tc>
                <w:tcPr>
                  <w:tcW w:w="761" w:type="dxa"/>
                  <w:vMerge w:val="restart"/>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r>
                    <w:rPr>
                      <w:rFonts w:hint="default"/>
                      <w:b/>
                      <w:bCs/>
                      <w:color w:val="auto"/>
                      <w:spacing w:val="-11"/>
                      <w:kern w:val="0"/>
                      <w:sz w:val="18"/>
                      <w:szCs w:val="18"/>
                    </w:rPr>
                    <w:t>排放口设置是否符合要求</w:t>
                  </w:r>
                </w:p>
              </w:tc>
              <w:tc>
                <w:tcPr>
                  <w:tcW w:w="595" w:type="dxa"/>
                  <w:vMerge w:val="restart"/>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r>
                    <w:rPr>
                      <w:rFonts w:hint="default"/>
                      <w:b/>
                      <w:bCs/>
                      <w:color w:val="auto"/>
                      <w:spacing w:val="-11"/>
                      <w:kern w:val="0"/>
                      <w:sz w:val="18"/>
                      <w:szCs w:val="18"/>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878" w:type="dxa"/>
                  <w:vMerge w:val="continue"/>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p>
              </w:tc>
              <w:tc>
                <w:tcPr>
                  <w:tcW w:w="946" w:type="dxa"/>
                  <w:vMerge w:val="continue"/>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p>
              </w:tc>
              <w:tc>
                <w:tcPr>
                  <w:tcW w:w="457" w:type="dxa"/>
                  <w:vMerge w:val="continue"/>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p>
              </w:tc>
              <w:tc>
                <w:tcPr>
                  <w:tcW w:w="473" w:type="dxa"/>
                  <w:vMerge w:val="continue"/>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p>
              </w:tc>
              <w:tc>
                <w:tcPr>
                  <w:tcW w:w="800" w:type="dxa"/>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r>
                    <w:rPr>
                      <w:rFonts w:hint="default"/>
                      <w:b/>
                      <w:bCs/>
                      <w:color w:val="auto"/>
                      <w:spacing w:val="-11"/>
                      <w:kern w:val="0"/>
                      <w:sz w:val="18"/>
                      <w:szCs w:val="18"/>
                    </w:rPr>
                    <w:t>污染治理设施编号</w:t>
                  </w:r>
                </w:p>
              </w:tc>
              <w:tc>
                <w:tcPr>
                  <w:tcW w:w="761" w:type="dxa"/>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r>
                    <w:rPr>
                      <w:rFonts w:hint="default"/>
                      <w:b/>
                      <w:bCs/>
                      <w:color w:val="auto"/>
                      <w:spacing w:val="-11"/>
                      <w:kern w:val="0"/>
                      <w:sz w:val="18"/>
                      <w:szCs w:val="18"/>
                    </w:rPr>
                    <w:t>污染治理设施名称</w:t>
                  </w:r>
                </w:p>
              </w:tc>
              <w:tc>
                <w:tcPr>
                  <w:tcW w:w="980" w:type="dxa"/>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r>
                    <w:rPr>
                      <w:rFonts w:hint="default"/>
                      <w:b/>
                      <w:bCs/>
                      <w:color w:val="auto"/>
                      <w:spacing w:val="-11"/>
                      <w:kern w:val="0"/>
                      <w:sz w:val="18"/>
                      <w:szCs w:val="18"/>
                    </w:rPr>
                    <w:t>污染治理设施工艺</w:t>
                  </w:r>
                </w:p>
              </w:tc>
              <w:tc>
                <w:tcPr>
                  <w:tcW w:w="803" w:type="dxa"/>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r>
                    <w:rPr>
                      <w:rFonts w:hint="default"/>
                      <w:b/>
                      <w:bCs/>
                      <w:color w:val="auto"/>
                      <w:spacing w:val="-11"/>
                      <w:kern w:val="0"/>
                      <w:sz w:val="18"/>
                      <w:szCs w:val="18"/>
                    </w:rPr>
                    <w:t>是否为可行技术</w:t>
                  </w:r>
                </w:p>
              </w:tc>
              <w:tc>
                <w:tcPr>
                  <w:tcW w:w="583" w:type="dxa"/>
                  <w:vMerge w:val="continue"/>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p>
              </w:tc>
              <w:tc>
                <w:tcPr>
                  <w:tcW w:w="761" w:type="dxa"/>
                  <w:vMerge w:val="continue"/>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p>
              </w:tc>
              <w:tc>
                <w:tcPr>
                  <w:tcW w:w="595" w:type="dxa"/>
                  <w:vMerge w:val="continue"/>
                  <w:vAlign w:val="center"/>
                </w:tcPr>
                <w:p>
                  <w:pPr>
                    <w:keepNext w:val="0"/>
                    <w:keepLines w:val="0"/>
                    <w:suppressLineNumbers w:val="0"/>
                    <w:adjustRightInd w:val="0"/>
                    <w:snapToGrid w:val="0"/>
                    <w:spacing w:before="0" w:beforeAutospacing="0" w:after="0" w:afterAutospacing="0" w:line="300" w:lineRule="exact"/>
                    <w:ind w:left="-71" w:leftChars="-34" w:right="-71" w:rightChars="-34"/>
                    <w:jc w:val="center"/>
                    <w:rPr>
                      <w:rFonts w:hint="default"/>
                      <w:b/>
                      <w:bCs/>
                      <w:color w:val="auto"/>
                      <w:spacing w:val="-11"/>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878"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生产废水</w:t>
                  </w:r>
                </w:p>
              </w:tc>
              <w:tc>
                <w:tcPr>
                  <w:tcW w:w="946"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悬浮物</w:t>
                  </w:r>
                </w:p>
              </w:tc>
              <w:tc>
                <w:tcPr>
                  <w:tcW w:w="457"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47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80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TW001</w:t>
                  </w:r>
                </w:p>
              </w:tc>
              <w:tc>
                <w:tcPr>
                  <w:tcW w:w="76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沉淀池</w:t>
                  </w:r>
                </w:p>
              </w:tc>
              <w:tc>
                <w:tcPr>
                  <w:tcW w:w="98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絮凝沉淀</w:t>
                  </w:r>
                </w:p>
              </w:tc>
              <w:tc>
                <w:tcPr>
                  <w:tcW w:w="8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是</w:t>
                  </w:r>
                </w:p>
              </w:tc>
              <w:tc>
                <w:tcPr>
                  <w:tcW w:w="58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w:t>
                  </w:r>
                </w:p>
              </w:tc>
              <w:tc>
                <w:tcPr>
                  <w:tcW w:w="76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595"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878"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车辆冲洗废水</w:t>
                  </w:r>
                </w:p>
              </w:tc>
              <w:tc>
                <w:tcPr>
                  <w:tcW w:w="946"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悬浮物</w:t>
                  </w:r>
                </w:p>
              </w:tc>
              <w:tc>
                <w:tcPr>
                  <w:tcW w:w="457"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47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80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TW002</w:t>
                  </w:r>
                </w:p>
              </w:tc>
              <w:tc>
                <w:tcPr>
                  <w:tcW w:w="76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沉淀池</w:t>
                  </w:r>
                </w:p>
              </w:tc>
              <w:tc>
                <w:tcPr>
                  <w:tcW w:w="98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自然沉淀</w:t>
                  </w:r>
                </w:p>
              </w:tc>
              <w:tc>
                <w:tcPr>
                  <w:tcW w:w="8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是</w:t>
                  </w:r>
                </w:p>
              </w:tc>
              <w:tc>
                <w:tcPr>
                  <w:tcW w:w="58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w:t>
                  </w:r>
                </w:p>
              </w:tc>
              <w:tc>
                <w:tcPr>
                  <w:tcW w:w="76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595"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878"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生活污水</w:t>
                  </w:r>
                </w:p>
              </w:tc>
              <w:tc>
                <w:tcPr>
                  <w:tcW w:w="946"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COD、NH</w:t>
                  </w:r>
                  <w:r>
                    <w:rPr>
                      <w:rFonts w:hint="eastAsia" w:ascii="Times New Roman" w:hAnsi="Times New Roman"/>
                      <w:color w:val="auto"/>
                      <w:sz w:val="18"/>
                      <w:szCs w:val="18"/>
                      <w:vertAlign w:val="subscript"/>
                    </w:rPr>
                    <w:t>3</w:t>
                  </w:r>
                  <w:r>
                    <w:rPr>
                      <w:rFonts w:hint="eastAsia" w:ascii="Times New Roman" w:hAnsi="Times New Roman"/>
                      <w:color w:val="auto"/>
                      <w:sz w:val="18"/>
                      <w:szCs w:val="18"/>
                    </w:rPr>
                    <w:t>-N</w:t>
                  </w:r>
                </w:p>
              </w:tc>
              <w:tc>
                <w:tcPr>
                  <w:tcW w:w="457"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47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80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TW003</w:t>
                  </w:r>
                </w:p>
              </w:tc>
              <w:tc>
                <w:tcPr>
                  <w:tcW w:w="76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化粪池</w:t>
                  </w:r>
                </w:p>
              </w:tc>
              <w:tc>
                <w:tcPr>
                  <w:tcW w:w="98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生化</w:t>
                  </w:r>
                </w:p>
              </w:tc>
              <w:tc>
                <w:tcPr>
                  <w:tcW w:w="80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是</w:t>
                  </w:r>
                </w:p>
              </w:tc>
              <w:tc>
                <w:tcPr>
                  <w:tcW w:w="583"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w:t>
                  </w:r>
                </w:p>
              </w:tc>
              <w:tc>
                <w:tcPr>
                  <w:tcW w:w="761"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c>
                <w:tcPr>
                  <w:tcW w:w="595"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w:t>
                  </w:r>
                </w:p>
              </w:tc>
            </w:tr>
          </w:tbl>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cs="宋体"/>
                <w:b/>
                <w:color w:val="auto"/>
                <w:kern w:val="0"/>
                <w:szCs w:val="18"/>
              </w:rPr>
            </w:pPr>
            <w:r>
              <w:rPr>
                <w:rFonts w:hint="eastAsia"/>
                <w:b/>
                <w:color w:val="auto"/>
                <w:kern w:val="0"/>
                <w:szCs w:val="18"/>
              </w:rPr>
              <w:t>2.</w:t>
            </w:r>
            <w:r>
              <w:rPr>
                <w:rFonts w:hint="default"/>
                <w:b/>
                <w:color w:val="auto"/>
                <w:kern w:val="0"/>
                <w:szCs w:val="18"/>
              </w:rPr>
              <w:t>5</w:t>
            </w:r>
            <w:r>
              <w:rPr>
                <w:rFonts w:hint="eastAsia"/>
                <w:b/>
                <w:color w:val="auto"/>
                <w:kern w:val="0"/>
                <w:szCs w:val="18"/>
                <w:lang w:val="en-US" w:eastAsia="zh-CN"/>
              </w:rPr>
              <w:t>影响</w:t>
            </w:r>
            <w:r>
              <w:rPr>
                <w:rFonts w:hint="eastAsia" w:cs="宋体"/>
                <w:b/>
                <w:color w:val="auto"/>
                <w:kern w:val="0"/>
                <w:szCs w:val="18"/>
              </w:rPr>
              <w:t>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宋体"/>
                <w:color w:val="auto"/>
                <w:kern w:val="0"/>
                <w:szCs w:val="21"/>
              </w:rPr>
            </w:pPr>
            <w:r>
              <w:rPr>
                <w:rFonts w:hint="default" w:ascii="Times New Roman" w:hAnsi="Times New Roman" w:eastAsia="宋体" w:cs="宋体"/>
                <w:color w:val="auto"/>
                <w:kern w:val="0"/>
                <w:szCs w:val="21"/>
              </w:rPr>
              <w:t>本项目营运期废水主要为洗砂废水、产品渗沥水、</w:t>
            </w:r>
            <w:r>
              <w:rPr>
                <w:rFonts w:hint="eastAsia" w:ascii="Times New Roman" w:hAnsi="Times New Roman" w:eastAsia="宋体" w:cs="宋体"/>
                <w:color w:val="auto"/>
                <w:kern w:val="0"/>
                <w:szCs w:val="21"/>
              </w:rPr>
              <w:t>车辆</w:t>
            </w:r>
            <w:r>
              <w:rPr>
                <w:rFonts w:hint="default" w:ascii="Times New Roman" w:hAnsi="Times New Roman" w:eastAsia="宋体" w:cs="宋体"/>
                <w:color w:val="auto"/>
                <w:kern w:val="0"/>
                <w:szCs w:val="21"/>
              </w:rPr>
              <w:t>冲洗废水</w:t>
            </w:r>
            <w:r>
              <w:rPr>
                <w:rFonts w:hint="eastAsia" w:ascii="Times New Roman" w:hAnsi="Times New Roman" w:eastAsia="宋体" w:cs="宋体"/>
                <w:color w:val="auto"/>
                <w:kern w:val="0"/>
                <w:szCs w:val="21"/>
              </w:rPr>
              <w:t>。通过设置废水处理系统，采用“絮凝沉淀</w:t>
            </w:r>
            <w:r>
              <w:rPr>
                <w:rFonts w:hint="eastAsia" w:ascii="Times New Roman" w:hAnsi="Times New Roman" w:eastAsia="宋体" w:cs="宋体"/>
                <w:color w:val="auto"/>
                <w:kern w:val="0"/>
                <w:szCs w:val="21"/>
                <w:lang w:val="en-US" w:eastAsia="zh-CN"/>
              </w:rPr>
              <w:t>+板框压滤</w:t>
            </w:r>
            <w:r>
              <w:rPr>
                <w:rFonts w:hint="eastAsia" w:ascii="Times New Roman" w:hAnsi="Times New Roman" w:eastAsia="宋体" w:cs="宋体"/>
                <w:color w:val="auto"/>
                <w:kern w:val="0"/>
                <w:szCs w:val="21"/>
              </w:rPr>
              <w:t>”工艺处理后，</w:t>
            </w:r>
            <w:r>
              <w:rPr>
                <w:rFonts w:hint="default" w:ascii="Times New Roman" w:hAnsi="Times New Roman" w:eastAsia="宋体" w:cs="宋体"/>
                <w:color w:val="auto"/>
                <w:kern w:val="0"/>
                <w:szCs w:val="21"/>
              </w:rPr>
              <w:t>洗砂废水和产品渗沥水能够实现循环回用不外排，不会对区域地表水体造成污染影响。车辆冲洗废水沉淀处理后回用不外排。生活污水设化粪池处理后</w:t>
            </w:r>
            <w:r>
              <w:rPr>
                <w:rFonts w:hint="eastAsia" w:ascii="Times New Roman" w:hAnsi="Times New Roman" w:eastAsia="宋体" w:cs="宋体"/>
                <w:color w:val="auto"/>
                <w:kern w:val="0"/>
                <w:szCs w:val="21"/>
                <w:lang w:val="en-US" w:eastAsia="zh-CN"/>
              </w:rPr>
              <w:t>由附近农户定期清掏做农肥使用不外排</w:t>
            </w:r>
            <w:r>
              <w:rPr>
                <w:rFonts w:hint="eastAsia" w:ascii="Times New Roman" w:hAnsi="Times New Roman" w:eastAsia="宋体" w:cs="宋体"/>
                <w:color w:val="auto"/>
                <w:kern w:val="0"/>
                <w:szCs w:val="21"/>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宋体"/>
                <w:color w:val="auto"/>
                <w:kern w:val="0"/>
                <w:szCs w:val="21"/>
              </w:rPr>
            </w:pPr>
            <w:r>
              <w:rPr>
                <w:rFonts w:hint="eastAsia" w:ascii="Times New Roman" w:hAnsi="Times New Roman" w:eastAsia="宋体" w:cs="宋体"/>
                <w:color w:val="auto"/>
                <w:kern w:val="0"/>
                <w:szCs w:val="21"/>
              </w:rPr>
              <w:t>本项目营运期不涉及废水外排，对区域地表水体影响较小。</w:t>
            </w:r>
          </w:p>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3、噪声</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cs="宋体"/>
                <w:b/>
                <w:color w:val="auto"/>
                <w:kern w:val="0"/>
                <w:szCs w:val="21"/>
              </w:rPr>
            </w:pPr>
            <w:r>
              <w:rPr>
                <w:rFonts w:hint="eastAsia" w:cs="宋体"/>
                <w:b/>
                <w:color w:val="auto"/>
                <w:kern w:val="0"/>
                <w:szCs w:val="21"/>
              </w:rPr>
              <w:t>3</w:t>
            </w:r>
            <w:r>
              <w:rPr>
                <w:rFonts w:hint="default" w:cs="宋体"/>
                <w:b/>
                <w:color w:val="auto"/>
                <w:kern w:val="0"/>
                <w:szCs w:val="21"/>
              </w:rPr>
              <w:t>.1</w:t>
            </w:r>
            <w:r>
              <w:rPr>
                <w:rFonts w:hint="eastAsia" w:cs="宋体"/>
                <w:b/>
                <w:color w:val="auto"/>
                <w:kern w:val="0"/>
                <w:szCs w:val="21"/>
              </w:rPr>
              <w:t>噪声源强</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 w:val="24"/>
                <w:szCs w:val="21"/>
              </w:rPr>
            </w:pPr>
            <w:r>
              <w:rPr>
                <w:rFonts w:hint="eastAsia" w:cs="宋体"/>
                <w:color w:val="auto"/>
                <w:kern w:val="0"/>
                <w:szCs w:val="21"/>
              </w:rPr>
              <w:t>营运期噪声主要来源于给料机、颚破机、</w:t>
            </w:r>
            <w:r>
              <w:rPr>
                <w:rFonts w:hint="eastAsia" w:cs="宋体"/>
                <w:color w:val="auto"/>
                <w:kern w:val="0"/>
                <w:szCs w:val="21"/>
                <w:lang w:val="en-US" w:eastAsia="zh-CN"/>
              </w:rPr>
              <w:t>反击破</w:t>
            </w:r>
            <w:r>
              <w:rPr>
                <w:rFonts w:hint="eastAsia" w:cs="宋体"/>
                <w:color w:val="auto"/>
                <w:kern w:val="0"/>
                <w:szCs w:val="21"/>
              </w:rPr>
              <w:t>、</w:t>
            </w:r>
            <w:r>
              <w:rPr>
                <w:rFonts w:hint="eastAsia" w:cs="宋体"/>
                <w:color w:val="auto"/>
                <w:kern w:val="0"/>
                <w:szCs w:val="21"/>
                <w:lang w:val="en-US" w:eastAsia="zh-CN"/>
              </w:rPr>
              <w:t>立轴</w:t>
            </w:r>
            <w:r>
              <w:rPr>
                <w:rFonts w:hint="eastAsia" w:cs="宋体"/>
                <w:color w:val="auto"/>
                <w:kern w:val="0"/>
                <w:szCs w:val="21"/>
              </w:rPr>
              <w:t>冲击</w:t>
            </w:r>
            <w:r>
              <w:rPr>
                <w:rFonts w:hint="eastAsia" w:cs="宋体"/>
                <w:color w:val="auto"/>
                <w:kern w:val="0"/>
                <w:szCs w:val="21"/>
                <w:lang w:val="en-US" w:eastAsia="zh-CN"/>
              </w:rPr>
              <w:t>式制砂机</w:t>
            </w:r>
            <w:r>
              <w:rPr>
                <w:rFonts w:hint="eastAsia" w:cs="宋体"/>
                <w:color w:val="auto"/>
                <w:kern w:val="0"/>
                <w:szCs w:val="21"/>
              </w:rPr>
              <w:t>、振动筛分机、</w:t>
            </w:r>
            <w:r>
              <w:rPr>
                <w:rFonts w:hint="eastAsia" w:cs="宋体"/>
                <w:color w:val="auto"/>
                <w:kern w:val="0"/>
                <w:szCs w:val="21"/>
                <w:lang w:val="en-US" w:eastAsia="zh-CN"/>
              </w:rPr>
              <w:t>轮斗式</w:t>
            </w:r>
            <w:r>
              <w:rPr>
                <w:rFonts w:hint="eastAsia" w:cs="宋体"/>
                <w:color w:val="auto"/>
                <w:kern w:val="0"/>
                <w:szCs w:val="21"/>
              </w:rPr>
              <w:t>洗砂机、板框压滤机、尾砂回收机、装载机、水泵等的设备运行的噪声，噪声源强为70～95dB(A)。另外，物料运输车辆会产生一定的交通噪声，噪声声压级约为75～85dB(A)。</w:t>
            </w: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ascii="Times New Roman" w:hAnsi="Times New Roman" w:eastAsia="黑体"/>
                <w:color w:val="auto"/>
                <w:kern w:val="0"/>
                <w:sz w:val="18"/>
                <w:szCs w:val="20"/>
                <w:lang w:val="zh-CN"/>
              </w:rPr>
            </w:pPr>
            <w:r>
              <w:rPr>
                <w:rFonts w:hint="eastAsia" w:ascii="Times New Roman" w:hAnsi="Times New Roman" w:eastAsia="黑体"/>
                <w:color w:val="auto"/>
                <w:kern w:val="0"/>
                <w:sz w:val="18"/>
                <w:szCs w:val="20"/>
                <w:lang w:val="zh-CN"/>
              </w:rPr>
              <w:t>表4-</w:t>
            </w:r>
            <w:r>
              <w:rPr>
                <w:rFonts w:hint="default" w:ascii="Times New Roman" w:hAnsi="Times New Roman" w:eastAsia="黑体"/>
                <w:color w:val="auto"/>
                <w:kern w:val="0"/>
                <w:sz w:val="18"/>
                <w:szCs w:val="20"/>
                <w:lang w:val="zh-CN"/>
              </w:rPr>
              <w:t>10</w:t>
            </w:r>
            <w:r>
              <w:rPr>
                <w:rFonts w:hint="eastAsia" w:ascii="Times New Roman" w:hAnsi="Times New Roman" w:eastAsia="黑体"/>
                <w:color w:val="auto"/>
                <w:kern w:val="0"/>
                <w:sz w:val="18"/>
                <w:szCs w:val="20"/>
                <w:lang w:val="zh-CN"/>
              </w:rPr>
              <w:t xml:space="preserve">   主要噪声污染源源强核算结果及相关参数一览表  单位：dB（A）</w:t>
            </w:r>
          </w:p>
          <w:tbl>
            <w:tblPr>
              <w:tblStyle w:val="14"/>
              <w:tblW w:w="759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7"/>
              <w:gridCol w:w="709"/>
              <w:gridCol w:w="709"/>
              <w:gridCol w:w="850"/>
              <w:gridCol w:w="567"/>
              <w:gridCol w:w="1701"/>
              <w:gridCol w:w="916"/>
              <w:gridCol w:w="699"/>
              <w:gridCol w:w="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 w:hRule="atLeast"/>
                <w:jc w:val="center"/>
              </w:trPr>
              <w:tc>
                <w:tcPr>
                  <w:tcW w:w="687" w:type="dxa"/>
                  <w:vMerge w:val="restar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18"/>
                      <w:szCs w:val="18"/>
                    </w:rPr>
                  </w:pPr>
                  <w:r>
                    <w:rPr>
                      <w:rFonts w:hint="eastAsia" w:ascii="Times New Roman" w:hAnsi="Times New Roman"/>
                      <w:b/>
                      <w:color w:val="auto"/>
                      <w:sz w:val="18"/>
                      <w:szCs w:val="18"/>
                    </w:rPr>
                    <w:t>工序</w:t>
                  </w:r>
                  <w:r>
                    <w:rPr>
                      <w:rFonts w:hint="default" w:ascii="Times New Roman" w:hAnsi="Times New Roman"/>
                      <w:b/>
                      <w:color w:val="auto"/>
                      <w:sz w:val="18"/>
                      <w:szCs w:val="18"/>
                    </w:rPr>
                    <w:t>/</w:t>
                  </w:r>
                  <w:r>
                    <w:rPr>
                      <w:rFonts w:hint="eastAsia" w:ascii="Times New Roman" w:hAnsi="Times New Roman"/>
                      <w:b/>
                      <w:color w:val="auto"/>
                      <w:sz w:val="18"/>
                      <w:szCs w:val="18"/>
                    </w:rPr>
                    <w:t>生 产线</w:t>
                  </w:r>
                </w:p>
              </w:tc>
              <w:tc>
                <w:tcPr>
                  <w:tcW w:w="709" w:type="dxa"/>
                  <w:vMerge w:val="restar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18"/>
                      <w:szCs w:val="18"/>
                    </w:rPr>
                  </w:pPr>
                  <w:r>
                    <w:rPr>
                      <w:rFonts w:hint="eastAsia" w:ascii="Times New Roman" w:hAnsi="Times New Roman"/>
                      <w:b/>
                      <w:color w:val="auto"/>
                      <w:sz w:val="18"/>
                      <w:szCs w:val="18"/>
                    </w:rPr>
                    <w:t>噪声源</w:t>
                  </w:r>
                </w:p>
              </w:tc>
              <w:tc>
                <w:tcPr>
                  <w:tcW w:w="709" w:type="dxa"/>
                  <w:vMerge w:val="restar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18"/>
                      <w:szCs w:val="18"/>
                    </w:rPr>
                  </w:pPr>
                  <w:r>
                    <w:rPr>
                      <w:rFonts w:hint="eastAsia" w:ascii="Times New Roman" w:hAnsi="Times New Roman"/>
                      <w:b/>
                      <w:color w:val="auto"/>
                      <w:sz w:val="18"/>
                      <w:szCs w:val="18"/>
                    </w:rPr>
                    <w:t>声源</w:t>
                  </w:r>
                </w:p>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18"/>
                      <w:szCs w:val="18"/>
                    </w:rPr>
                  </w:pPr>
                  <w:r>
                    <w:rPr>
                      <w:rFonts w:hint="eastAsia" w:ascii="Times New Roman" w:hAnsi="Times New Roman"/>
                      <w:b/>
                      <w:color w:val="auto"/>
                      <w:sz w:val="18"/>
                      <w:szCs w:val="18"/>
                    </w:rPr>
                    <w:t>类型</w:t>
                  </w:r>
                </w:p>
              </w:tc>
              <w:tc>
                <w:tcPr>
                  <w:tcW w:w="1417" w:type="dxa"/>
                  <w:gridSpan w:val="2"/>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18"/>
                      <w:szCs w:val="18"/>
                    </w:rPr>
                  </w:pPr>
                  <w:r>
                    <w:rPr>
                      <w:rFonts w:hint="eastAsia" w:ascii="Times New Roman" w:hAnsi="Times New Roman"/>
                      <w:b/>
                      <w:color w:val="auto"/>
                      <w:sz w:val="18"/>
                      <w:szCs w:val="18"/>
                    </w:rPr>
                    <w:t>噪声源强</w:t>
                  </w:r>
                </w:p>
              </w:tc>
              <w:tc>
                <w:tcPr>
                  <w:tcW w:w="2617" w:type="dxa"/>
                  <w:gridSpan w:val="2"/>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18"/>
                      <w:szCs w:val="18"/>
                    </w:rPr>
                  </w:pPr>
                  <w:r>
                    <w:rPr>
                      <w:rFonts w:hint="eastAsia" w:ascii="Times New Roman" w:hAnsi="Times New Roman"/>
                      <w:b/>
                      <w:color w:val="auto"/>
                      <w:sz w:val="18"/>
                      <w:szCs w:val="18"/>
                    </w:rPr>
                    <w:t>降噪措施</w:t>
                  </w:r>
                </w:p>
              </w:tc>
              <w:tc>
                <w:tcPr>
                  <w:tcW w:w="699" w:type="dxa"/>
                  <w:vMerge w:val="restart"/>
                  <w:tcBorders>
                    <w:left w:val="single" w:color="auto" w:sz="4" w:space="0"/>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18"/>
                      <w:szCs w:val="18"/>
                    </w:rPr>
                  </w:pPr>
                  <w:r>
                    <w:rPr>
                      <w:rFonts w:hint="eastAsia" w:ascii="Times New Roman" w:hAnsi="Times New Roman"/>
                      <w:b/>
                      <w:color w:val="auto"/>
                      <w:sz w:val="18"/>
                      <w:szCs w:val="18"/>
                    </w:rPr>
                    <w:t>噪声排放值</w:t>
                  </w:r>
                </w:p>
              </w:tc>
              <w:tc>
                <w:tcPr>
                  <w:tcW w:w="755" w:type="dxa"/>
                  <w:vMerge w:val="restar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18"/>
                      <w:szCs w:val="18"/>
                    </w:rPr>
                  </w:pPr>
                  <w:r>
                    <w:rPr>
                      <w:rFonts w:hint="eastAsia" w:ascii="Times New Roman" w:hAnsi="Times New Roman"/>
                      <w:b/>
                      <w:color w:val="auto"/>
                      <w:sz w:val="18"/>
                      <w:szCs w:val="18"/>
                    </w:rPr>
                    <w:t>持续</w:t>
                  </w:r>
                </w:p>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b/>
                      <w:color w:val="auto"/>
                      <w:sz w:val="18"/>
                      <w:szCs w:val="18"/>
                    </w:rPr>
                    <w:t>时间</w:t>
                  </w:r>
                  <w:r>
                    <w:rPr>
                      <w:rFonts w:hint="default" w:ascii="Times New Roman" w:hAnsi="Times New Roman"/>
                      <w:b/>
                      <w:color w:val="auto"/>
                      <w:sz w:val="18"/>
                      <w:szCs w:val="18"/>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 w:hRule="atLeast"/>
                <w:jc w:val="center"/>
              </w:trPr>
              <w:tc>
                <w:tcPr>
                  <w:tcW w:w="687" w:type="dxa"/>
                  <w:vMerge w:val="continue"/>
                  <w:tcBorders>
                    <w:tl2br w:val="nil"/>
                    <w:tr2bl w:val="nil"/>
                  </w:tcBorders>
                  <w:vAlign w:val="center"/>
                </w:tcPr>
                <w:p>
                  <w:pPr>
                    <w:keepNext w:val="0"/>
                    <w:keepLines w:val="0"/>
                    <w:widowControl/>
                    <w:suppressLineNumbers w:val="0"/>
                    <w:spacing w:before="0" w:beforeAutospacing="0" w:after="0" w:afterAutospacing="0" w:line="280" w:lineRule="exact"/>
                    <w:ind w:left="0" w:right="0"/>
                    <w:jc w:val="center"/>
                    <w:rPr>
                      <w:rFonts w:hint="default"/>
                      <w:b/>
                      <w:color w:val="auto"/>
                      <w:sz w:val="18"/>
                      <w:szCs w:val="18"/>
                    </w:rPr>
                  </w:pPr>
                </w:p>
              </w:tc>
              <w:tc>
                <w:tcPr>
                  <w:tcW w:w="709" w:type="dxa"/>
                  <w:vMerge w:val="continue"/>
                  <w:tcBorders>
                    <w:tl2br w:val="nil"/>
                    <w:tr2bl w:val="nil"/>
                  </w:tcBorders>
                  <w:vAlign w:val="center"/>
                </w:tcPr>
                <w:p>
                  <w:pPr>
                    <w:keepNext w:val="0"/>
                    <w:keepLines w:val="0"/>
                    <w:widowControl/>
                    <w:suppressLineNumbers w:val="0"/>
                    <w:spacing w:before="0" w:beforeAutospacing="0" w:after="0" w:afterAutospacing="0" w:line="280" w:lineRule="exact"/>
                    <w:ind w:left="0" w:right="0"/>
                    <w:jc w:val="center"/>
                    <w:rPr>
                      <w:rFonts w:hint="default"/>
                      <w:b/>
                      <w:color w:val="auto"/>
                      <w:sz w:val="18"/>
                      <w:szCs w:val="18"/>
                    </w:rPr>
                  </w:pPr>
                </w:p>
              </w:tc>
              <w:tc>
                <w:tcPr>
                  <w:tcW w:w="709" w:type="dxa"/>
                  <w:vMerge w:val="continue"/>
                  <w:tcBorders>
                    <w:tl2br w:val="nil"/>
                    <w:tr2bl w:val="nil"/>
                  </w:tcBorders>
                  <w:vAlign w:val="center"/>
                </w:tcPr>
                <w:p>
                  <w:pPr>
                    <w:keepNext w:val="0"/>
                    <w:keepLines w:val="0"/>
                    <w:widowControl/>
                    <w:suppressLineNumbers w:val="0"/>
                    <w:spacing w:before="0" w:beforeAutospacing="0" w:after="0" w:afterAutospacing="0" w:line="280" w:lineRule="exact"/>
                    <w:ind w:left="0" w:right="0"/>
                    <w:jc w:val="center"/>
                    <w:rPr>
                      <w:rFonts w:hint="default"/>
                      <w:b/>
                      <w:color w:val="auto"/>
                      <w:sz w:val="18"/>
                      <w:szCs w:val="18"/>
                    </w:rPr>
                  </w:pPr>
                </w:p>
              </w:tc>
              <w:tc>
                <w:tcPr>
                  <w:tcW w:w="850"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18"/>
                      <w:szCs w:val="18"/>
                    </w:rPr>
                  </w:pPr>
                  <w:r>
                    <w:rPr>
                      <w:rFonts w:hint="eastAsia" w:ascii="Times New Roman" w:hAnsi="Times New Roman"/>
                      <w:b/>
                      <w:color w:val="auto"/>
                      <w:sz w:val="18"/>
                      <w:szCs w:val="18"/>
                    </w:rPr>
                    <w:t>核算方法</w:t>
                  </w:r>
                </w:p>
              </w:tc>
              <w:tc>
                <w:tcPr>
                  <w:tcW w:w="56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18"/>
                      <w:szCs w:val="18"/>
                    </w:rPr>
                  </w:pPr>
                  <w:r>
                    <w:rPr>
                      <w:rFonts w:hint="eastAsia" w:ascii="Times New Roman" w:hAnsi="Times New Roman"/>
                      <w:b/>
                      <w:color w:val="auto"/>
                      <w:sz w:val="18"/>
                      <w:szCs w:val="18"/>
                    </w:rPr>
                    <w:t>噪声值</w:t>
                  </w:r>
                </w:p>
              </w:tc>
              <w:tc>
                <w:tcPr>
                  <w:tcW w:w="1701"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18"/>
                      <w:szCs w:val="18"/>
                    </w:rPr>
                  </w:pPr>
                  <w:r>
                    <w:rPr>
                      <w:rFonts w:hint="eastAsia" w:ascii="Times New Roman" w:hAnsi="Times New Roman"/>
                      <w:b/>
                      <w:color w:val="auto"/>
                      <w:sz w:val="18"/>
                      <w:szCs w:val="18"/>
                    </w:rPr>
                    <w:t>工艺</w:t>
                  </w:r>
                </w:p>
              </w:tc>
              <w:tc>
                <w:tcPr>
                  <w:tcW w:w="916"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18"/>
                      <w:szCs w:val="18"/>
                    </w:rPr>
                  </w:pPr>
                  <w:r>
                    <w:rPr>
                      <w:rFonts w:hint="eastAsia" w:ascii="Times New Roman" w:hAnsi="Times New Roman"/>
                      <w:b/>
                      <w:color w:val="auto"/>
                      <w:sz w:val="18"/>
                      <w:szCs w:val="18"/>
                    </w:rPr>
                    <w:t>降噪效果</w:t>
                  </w:r>
                </w:p>
              </w:tc>
              <w:tc>
                <w:tcPr>
                  <w:tcW w:w="699" w:type="dxa"/>
                  <w:vMerge w:val="continue"/>
                  <w:tcBorders>
                    <w:left w:val="single" w:color="auto" w:sz="4" w:space="0"/>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b/>
                      <w:color w:val="auto"/>
                      <w:sz w:val="18"/>
                      <w:szCs w:val="18"/>
                    </w:rPr>
                  </w:pPr>
                </w:p>
              </w:tc>
              <w:tc>
                <w:tcPr>
                  <w:tcW w:w="755"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 w:hRule="atLeast"/>
                <w:jc w:val="center"/>
              </w:trPr>
              <w:tc>
                <w:tcPr>
                  <w:tcW w:w="68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进料</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给料机</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频发</w:t>
                  </w:r>
                </w:p>
              </w:tc>
              <w:tc>
                <w:tcPr>
                  <w:tcW w:w="850" w:type="dxa"/>
                  <w:vMerge w:val="restar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类比法</w:t>
                  </w:r>
                </w:p>
              </w:tc>
              <w:tc>
                <w:tcPr>
                  <w:tcW w:w="56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85</w:t>
                  </w:r>
                </w:p>
              </w:tc>
              <w:tc>
                <w:tcPr>
                  <w:tcW w:w="1701" w:type="dxa"/>
                  <w:vMerge w:val="restart"/>
                  <w:tcBorders>
                    <w:tl2br w:val="nil"/>
                    <w:tr2bl w:val="nil"/>
                  </w:tcBorders>
                  <w:vAlign w:val="center"/>
                </w:tcPr>
                <w:p>
                  <w:pPr>
                    <w:keepNext w:val="0"/>
                    <w:keepLines w:val="0"/>
                    <w:widowControl/>
                    <w:suppressLineNumbers w:val="0"/>
                    <w:spacing w:before="0" w:beforeAutospacing="0" w:after="0" w:afterAutospacing="0" w:line="280" w:lineRule="exact"/>
                    <w:ind w:left="0" w:right="0"/>
                    <w:rPr>
                      <w:rFonts w:hint="default"/>
                      <w:color w:val="auto"/>
                    </w:rPr>
                  </w:pPr>
                  <w:r>
                    <w:rPr>
                      <w:rFonts w:hint="eastAsia"/>
                      <w:color w:val="auto"/>
                      <w:sz w:val="18"/>
                      <w:szCs w:val="18"/>
                    </w:rPr>
                    <w:t>优选设备、基础减振、建筑隔声、加强管理。合理安排运输时间、控制车速</w:t>
                  </w:r>
                </w:p>
              </w:tc>
              <w:tc>
                <w:tcPr>
                  <w:tcW w:w="916"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15</w:t>
                  </w:r>
                </w:p>
              </w:tc>
              <w:tc>
                <w:tcPr>
                  <w:tcW w:w="69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70</w:t>
                  </w:r>
                </w:p>
              </w:tc>
              <w:tc>
                <w:tcPr>
                  <w:tcW w:w="755"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3</w:t>
                  </w:r>
                  <w:r>
                    <w:rPr>
                      <w:rFonts w:hint="eastAsia" w:ascii="Times New Roman" w:hAnsi="Times New Roman" w:eastAsiaTheme="minorEastAsia"/>
                      <w:color w:val="auto"/>
                      <w:sz w:val="18"/>
                      <w:szCs w:val="18"/>
                      <w:lang w:val="en-US" w:eastAsia="zh-CN"/>
                    </w:rPr>
                    <w:t>2</w:t>
                  </w:r>
                  <w:r>
                    <w:rPr>
                      <w:rFonts w:hint="eastAsia" w:ascii="Times New Roman" w:hAnsi="Times New Roman" w:eastAsiaTheme="minorEastAsia"/>
                      <w:color w:val="auto"/>
                      <w:sz w:val="18"/>
                      <w:szCs w:val="18"/>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 w:hRule="atLeast"/>
                <w:jc w:val="center"/>
              </w:trPr>
              <w:tc>
                <w:tcPr>
                  <w:tcW w:w="687" w:type="dxa"/>
                  <w:vMerge w:val="restart"/>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破碎</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颚破机</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频发</w:t>
                  </w:r>
                </w:p>
              </w:tc>
              <w:tc>
                <w:tcPr>
                  <w:tcW w:w="850"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56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95</w:t>
                  </w:r>
                </w:p>
              </w:tc>
              <w:tc>
                <w:tcPr>
                  <w:tcW w:w="1701"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rPr>
                      <w:rFonts w:hint="default" w:ascii="Times New Roman" w:hAnsi="Times New Roman"/>
                      <w:color w:val="auto"/>
                      <w:sz w:val="18"/>
                      <w:szCs w:val="18"/>
                    </w:rPr>
                  </w:pPr>
                </w:p>
              </w:tc>
              <w:tc>
                <w:tcPr>
                  <w:tcW w:w="916"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15</w:t>
                  </w:r>
                </w:p>
              </w:tc>
              <w:tc>
                <w:tcPr>
                  <w:tcW w:w="69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75</w:t>
                  </w:r>
                </w:p>
              </w:tc>
              <w:tc>
                <w:tcPr>
                  <w:tcW w:w="755"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3</w:t>
                  </w:r>
                  <w:r>
                    <w:rPr>
                      <w:rFonts w:hint="eastAsia" w:ascii="Times New Roman" w:hAnsi="Times New Roman" w:eastAsiaTheme="minorEastAsia"/>
                      <w:color w:val="auto"/>
                      <w:sz w:val="18"/>
                      <w:szCs w:val="18"/>
                      <w:lang w:val="en-US" w:eastAsia="zh-CN"/>
                    </w:rPr>
                    <w:t>2</w:t>
                  </w:r>
                  <w:r>
                    <w:rPr>
                      <w:rFonts w:hint="eastAsia" w:ascii="Times New Roman" w:hAnsi="Times New Roman" w:eastAsiaTheme="minorEastAsia"/>
                      <w:color w:val="auto"/>
                      <w:sz w:val="18"/>
                      <w:szCs w:val="18"/>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 w:hRule="atLeast"/>
                <w:jc w:val="center"/>
              </w:trPr>
              <w:tc>
                <w:tcPr>
                  <w:tcW w:w="687"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709" w:type="dxa"/>
                  <w:tcBorders>
                    <w:tl2br w:val="nil"/>
                    <w:tr2bl w:val="nil"/>
                  </w:tcBorders>
                  <w:vAlign w:val="center"/>
                </w:tcPr>
                <w:p>
                  <w:pPr>
                    <w:keepNext w:val="0"/>
                    <w:keepLines w:val="0"/>
                    <w:widowControl/>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lang w:val="en-US" w:eastAsia="zh-CN"/>
                    </w:rPr>
                    <w:t>反击</w:t>
                  </w:r>
                  <w:r>
                    <w:rPr>
                      <w:rFonts w:hint="eastAsia"/>
                      <w:color w:val="auto"/>
                      <w:sz w:val="18"/>
                      <w:szCs w:val="18"/>
                    </w:rPr>
                    <w:t>破</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频发</w:t>
                  </w:r>
                </w:p>
              </w:tc>
              <w:tc>
                <w:tcPr>
                  <w:tcW w:w="850"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56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90</w:t>
                  </w:r>
                </w:p>
              </w:tc>
              <w:tc>
                <w:tcPr>
                  <w:tcW w:w="1701"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916"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15</w:t>
                  </w:r>
                </w:p>
              </w:tc>
              <w:tc>
                <w:tcPr>
                  <w:tcW w:w="69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70</w:t>
                  </w:r>
                </w:p>
              </w:tc>
              <w:tc>
                <w:tcPr>
                  <w:tcW w:w="755"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3</w:t>
                  </w:r>
                  <w:r>
                    <w:rPr>
                      <w:rFonts w:hint="eastAsia" w:ascii="Times New Roman" w:hAnsi="Times New Roman" w:eastAsiaTheme="minorEastAsia"/>
                      <w:color w:val="auto"/>
                      <w:sz w:val="18"/>
                      <w:szCs w:val="18"/>
                      <w:lang w:val="en-US" w:eastAsia="zh-CN"/>
                    </w:rPr>
                    <w:t>2</w:t>
                  </w:r>
                  <w:r>
                    <w:rPr>
                      <w:rFonts w:hint="eastAsia" w:ascii="Times New Roman" w:hAnsi="Times New Roman" w:eastAsiaTheme="minorEastAsia"/>
                      <w:color w:val="auto"/>
                      <w:sz w:val="18"/>
                      <w:szCs w:val="18"/>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 w:hRule="atLeast"/>
                <w:jc w:val="center"/>
              </w:trPr>
              <w:tc>
                <w:tcPr>
                  <w:tcW w:w="68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筛分</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筛分机</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频发</w:t>
                  </w:r>
                </w:p>
              </w:tc>
              <w:tc>
                <w:tcPr>
                  <w:tcW w:w="850"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56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等线"/>
                      <w:color w:val="auto"/>
                      <w:spacing w:val="1"/>
                      <w:sz w:val="18"/>
                      <w:szCs w:val="18"/>
                    </w:rPr>
                  </w:pPr>
                  <w:r>
                    <w:rPr>
                      <w:rFonts w:hint="eastAsia" w:ascii="Times New Roman" w:hAnsi="Times New Roman"/>
                      <w:color w:val="auto"/>
                      <w:spacing w:val="1"/>
                      <w:sz w:val="18"/>
                      <w:szCs w:val="18"/>
                    </w:rPr>
                    <w:t>90</w:t>
                  </w:r>
                </w:p>
              </w:tc>
              <w:tc>
                <w:tcPr>
                  <w:tcW w:w="1701"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916"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15</w:t>
                  </w:r>
                </w:p>
              </w:tc>
              <w:tc>
                <w:tcPr>
                  <w:tcW w:w="69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75</w:t>
                  </w:r>
                </w:p>
              </w:tc>
              <w:tc>
                <w:tcPr>
                  <w:tcW w:w="755"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3</w:t>
                  </w:r>
                  <w:r>
                    <w:rPr>
                      <w:rFonts w:hint="eastAsia" w:ascii="Times New Roman" w:hAnsi="Times New Roman" w:eastAsiaTheme="minorEastAsia"/>
                      <w:color w:val="auto"/>
                      <w:sz w:val="18"/>
                      <w:szCs w:val="18"/>
                      <w:lang w:val="en-US" w:eastAsia="zh-CN"/>
                    </w:rPr>
                    <w:t>2</w:t>
                  </w:r>
                  <w:r>
                    <w:rPr>
                      <w:rFonts w:hint="eastAsia" w:ascii="Times New Roman" w:hAnsi="Times New Roman" w:eastAsiaTheme="minorEastAsia"/>
                      <w:color w:val="auto"/>
                      <w:sz w:val="18"/>
                      <w:szCs w:val="18"/>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 w:hRule="atLeast"/>
                <w:jc w:val="center"/>
              </w:trPr>
              <w:tc>
                <w:tcPr>
                  <w:tcW w:w="68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制砂</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制砂机</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频发</w:t>
                  </w:r>
                </w:p>
              </w:tc>
              <w:tc>
                <w:tcPr>
                  <w:tcW w:w="850"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567"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等线" w:cs="Times New Roman"/>
                      <w:color w:val="auto"/>
                      <w:spacing w:val="1"/>
                      <w:kern w:val="0"/>
                      <w:sz w:val="18"/>
                      <w:szCs w:val="18"/>
                      <w:lang w:val="en-US" w:eastAsia="zh-CN" w:bidi="ar-SA"/>
                    </w:rPr>
                  </w:pPr>
                  <w:r>
                    <w:rPr>
                      <w:rFonts w:hint="eastAsia" w:ascii="Times New Roman" w:hAnsi="Times New Roman"/>
                      <w:color w:val="auto"/>
                      <w:spacing w:val="1"/>
                      <w:sz w:val="18"/>
                      <w:szCs w:val="18"/>
                    </w:rPr>
                    <w:t>90</w:t>
                  </w:r>
                </w:p>
              </w:tc>
              <w:tc>
                <w:tcPr>
                  <w:tcW w:w="1701" w:type="dxa"/>
                  <w:vMerge w:val="continue"/>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default" w:ascii="Times New Roman" w:hAnsi="Times New Roman" w:eastAsia="宋体" w:cs="Times New Roman"/>
                      <w:color w:val="auto"/>
                      <w:kern w:val="0"/>
                      <w:sz w:val="18"/>
                      <w:szCs w:val="18"/>
                      <w:lang w:val="en-US" w:eastAsia="zh-CN" w:bidi="ar-SA"/>
                    </w:rPr>
                  </w:pPr>
                </w:p>
              </w:tc>
              <w:tc>
                <w:tcPr>
                  <w:tcW w:w="916"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color w:val="auto"/>
                      <w:sz w:val="18"/>
                      <w:szCs w:val="18"/>
                    </w:rPr>
                    <w:t>15</w:t>
                  </w:r>
                </w:p>
              </w:tc>
              <w:tc>
                <w:tcPr>
                  <w:tcW w:w="699"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eastAsia="宋体" w:cs="Times New Roman"/>
                      <w:color w:val="auto"/>
                      <w:spacing w:val="1"/>
                      <w:kern w:val="0"/>
                      <w:sz w:val="18"/>
                      <w:szCs w:val="18"/>
                      <w:lang w:val="en-US" w:eastAsia="zh-CN" w:bidi="ar-SA"/>
                    </w:rPr>
                  </w:pPr>
                  <w:r>
                    <w:rPr>
                      <w:rFonts w:hint="eastAsia" w:ascii="Times New Roman" w:hAnsi="Times New Roman"/>
                      <w:color w:val="auto"/>
                      <w:spacing w:val="1"/>
                      <w:sz w:val="18"/>
                      <w:szCs w:val="18"/>
                    </w:rPr>
                    <w:t>75</w:t>
                  </w:r>
                </w:p>
              </w:tc>
              <w:tc>
                <w:tcPr>
                  <w:tcW w:w="755" w:type="dxa"/>
                  <w:tcBorders>
                    <w:tl2br w:val="nil"/>
                    <w:tr2bl w:val="nil"/>
                  </w:tcBorders>
                  <w:vAlign w:val="center"/>
                </w:tcPr>
                <w:p>
                  <w:pPr>
                    <w:keepNext w:val="0"/>
                    <w:keepLines w:val="0"/>
                    <w:suppressLineNumbers w:val="0"/>
                    <w:spacing w:before="0" w:beforeAutospacing="0" w:after="0" w:afterAutospacing="0" w:line="280" w:lineRule="exact"/>
                    <w:ind w:left="0" w:leftChars="0" w:right="0" w:rightChars="0"/>
                    <w:jc w:val="center"/>
                    <w:rPr>
                      <w:rFonts w:hint="eastAsia" w:ascii="Times New Roman" w:hAnsi="Times New Roman" w:cs="Times New Roman" w:eastAsiaTheme="minorEastAsia"/>
                      <w:color w:val="auto"/>
                      <w:kern w:val="0"/>
                      <w:sz w:val="18"/>
                      <w:szCs w:val="18"/>
                      <w:lang w:val="en-US" w:eastAsia="zh-CN" w:bidi="ar-SA"/>
                    </w:rPr>
                  </w:pPr>
                  <w:r>
                    <w:rPr>
                      <w:rFonts w:hint="eastAsia" w:ascii="Times New Roman" w:hAnsi="Times New Roman" w:eastAsiaTheme="minorEastAsia"/>
                      <w:color w:val="auto"/>
                      <w:sz w:val="18"/>
                      <w:szCs w:val="18"/>
                    </w:rPr>
                    <w:t>3</w:t>
                  </w:r>
                  <w:r>
                    <w:rPr>
                      <w:rFonts w:hint="eastAsia" w:ascii="Times New Roman" w:hAnsi="Times New Roman" w:eastAsiaTheme="minorEastAsia"/>
                      <w:color w:val="auto"/>
                      <w:sz w:val="18"/>
                      <w:szCs w:val="18"/>
                      <w:lang w:val="en-US" w:eastAsia="zh-CN"/>
                    </w:rPr>
                    <w:t>2</w:t>
                  </w:r>
                  <w:r>
                    <w:rPr>
                      <w:rFonts w:hint="eastAsia" w:ascii="Times New Roman" w:hAnsi="Times New Roman" w:eastAsiaTheme="minorEastAsia"/>
                      <w:color w:val="auto"/>
                      <w:sz w:val="18"/>
                      <w:szCs w:val="18"/>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 w:hRule="atLeast"/>
                <w:jc w:val="center"/>
              </w:trPr>
              <w:tc>
                <w:tcPr>
                  <w:tcW w:w="68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洗砂</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洗砂机</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频发</w:t>
                  </w:r>
                </w:p>
              </w:tc>
              <w:tc>
                <w:tcPr>
                  <w:tcW w:w="850"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56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85</w:t>
                  </w:r>
                </w:p>
              </w:tc>
              <w:tc>
                <w:tcPr>
                  <w:tcW w:w="1701"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916"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15</w:t>
                  </w:r>
                </w:p>
              </w:tc>
              <w:tc>
                <w:tcPr>
                  <w:tcW w:w="69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70</w:t>
                  </w:r>
                </w:p>
              </w:tc>
              <w:tc>
                <w:tcPr>
                  <w:tcW w:w="755"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3</w:t>
                  </w:r>
                  <w:r>
                    <w:rPr>
                      <w:rFonts w:hint="eastAsia" w:ascii="Times New Roman" w:hAnsi="Times New Roman" w:eastAsiaTheme="minorEastAsia"/>
                      <w:color w:val="auto"/>
                      <w:sz w:val="18"/>
                      <w:szCs w:val="18"/>
                      <w:lang w:val="en-US" w:eastAsia="zh-CN"/>
                    </w:rPr>
                    <w:t>2</w:t>
                  </w:r>
                  <w:r>
                    <w:rPr>
                      <w:rFonts w:hint="eastAsia" w:ascii="Times New Roman" w:hAnsi="Times New Roman" w:eastAsiaTheme="minorEastAsia"/>
                      <w:color w:val="auto"/>
                      <w:sz w:val="18"/>
                      <w:szCs w:val="18"/>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 w:hRule="atLeast"/>
                <w:jc w:val="center"/>
              </w:trPr>
              <w:tc>
                <w:tcPr>
                  <w:tcW w:w="68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泥砂</w:t>
                  </w:r>
                </w:p>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处理</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压滤机</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频发</w:t>
                  </w:r>
                </w:p>
              </w:tc>
              <w:tc>
                <w:tcPr>
                  <w:tcW w:w="850"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56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80</w:t>
                  </w:r>
                </w:p>
              </w:tc>
              <w:tc>
                <w:tcPr>
                  <w:tcW w:w="1701"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916"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15</w:t>
                  </w:r>
                </w:p>
              </w:tc>
              <w:tc>
                <w:tcPr>
                  <w:tcW w:w="69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65</w:t>
                  </w:r>
                </w:p>
              </w:tc>
              <w:tc>
                <w:tcPr>
                  <w:tcW w:w="755"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3</w:t>
                  </w:r>
                  <w:r>
                    <w:rPr>
                      <w:rFonts w:hint="eastAsia" w:ascii="Times New Roman" w:hAnsi="Times New Roman" w:eastAsiaTheme="minorEastAsia"/>
                      <w:color w:val="auto"/>
                      <w:sz w:val="18"/>
                      <w:szCs w:val="18"/>
                      <w:lang w:val="en-US" w:eastAsia="zh-CN"/>
                    </w:rPr>
                    <w:t>2</w:t>
                  </w:r>
                  <w:r>
                    <w:rPr>
                      <w:rFonts w:hint="eastAsia" w:ascii="Times New Roman" w:hAnsi="Times New Roman" w:eastAsiaTheme="minorEastAsia"/>
                      <w:color w:val="auto"/>
                      <w:sz w:val="18"/>
                      <w:szCs w:val="18"/>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 w:hRule="atLeast"/>
                <w:jc w:val="center"/>
              </w:trPr>
              <w:tc>
                <w:tcPr>
                  <w:tcW w:w="68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输送</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输送机</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频发</w:t>
                  </w:r>
                </w:p>
              </w:tc>
              <w:tc>
                <w:tcPr>
                  <w:tcW w:w="850"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56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75</w:t>
                  </w:r>
                </w:p>
              </w:tc>
              <w:tc>
                <w:tcPr>
                  <w:tcW w:w="1701"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916"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15</w:t>
                  </w:r>
                </w:p>
              </w:tc>
              <w:tc>
                <w:tcPr>
                  <w:tcW w:w="69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60</w:t>
                  </w:r>
                </w:p>
              </w:tc>
              <w:tc>
                <w:tcPr>
                  <w:tcW w:w="755"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3</w:t>
                  </w:r>
                  <w:r>
                    <w:rPr>
                      <w:rFonts w:hint="eastAsia" w:ascii="Times New Roman" w:hAnsi="Times New Roman" w:eastAsiaTheme="minorEastAsia"/>
                      <w:color w:val="auto"/>
                      <w:sz w:val="18"/>
                      <w:szCs w:val="18"/>
                      <w:lang w:val="en-US" w:eastAsia="zh-CN"/>
                    </w:rPr>
                    <w:t>2</w:t>
                  </w:r>
                  <w:r>
                    <w:rPr>
                      <w:rFonts w:hint="eastAsia" w:ascii="Times New Roman" w:hAnsi="Times New Roman" w:eastAsiaTheme="minorEastAsia"/>
                      <w:color w:val="auto"/>
                      <w:sz w:val="18"/>
                      <w:szCs w:val="18"/>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 w:hRule="atLeast"/>
                <w:jc w:val="center"/>
              </w:trPr>
              <w:tc>
                <w:tcPr>
                  <w:tcW w:w="68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铲装</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铲车</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偶发</w:t>
                  </w:r>
                </w:p>
              </w:tc>
              <w:tc>
                <w:tcPr>
                  <w:tcW w:w="850"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56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85</w:t>
                  </w:r>
                </w:p>
              </w:tc>
              <w:tc>
                <w:tcPr>
                  <w:tcW w:w="1701"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916"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15</w:t>
                  </w:r>
                </w:p>
              </w:tc>
              <w:tc>
                <w:tcPr>
                  <w:tcW w:w="69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75</w:t>
                  </w:r>
                </w:p>
              </w:tc>
              <w:tc>
                <w:tcPr>
                  <w:tcW w:w="755"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 w:hRule="atLeast"/>
                <w:jc w:val="center"/>
              </w:trPr>
              <w:tc>
                <w:tcPr>
                  <w:tcW w:w="68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废水</w:t>
                  </w:r>
                </w:p>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处理</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水泵</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频发</w:t>
                  </w:r>
                </w:p>
              </w:tc>
              <w:tc>
                <w:tcPr>
                  <w:tcW w:w="850"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56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70</w:t>
                  </w:r>
                </w:p>
              </w:tc>
              <w:tc>
                <w:tcPr>
                  <w:tcW w:w="1701"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916"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20</w:t>
                  </w:r>
                </w:p>
              </w:tc>
              <w:tc>
                <w:tcPr>
                  <w:tcW w:w="69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50</w:t>
                  </w:r>
                </w:p>
              </w:tc>
              <w:tc>
                <w:tcPr>
                  <w:tcW w:w="755"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3</w:t>
                  </w:r>
                  <w:r>
                    <w:rPr>
                      <w:rFonts w:hint="eastAsia" w:ascii="Times New Roman" w:hAnsi="Times New Roman" w:eastAsiaTheme="minorEastAsia"/>
                      <w:color w:val="auto"/>
                      <w:sz w:val="18"/>
                      <w:szCs w:val="18"/>
                      <w:lang w:val="en-US" w:eastAsia="zh-CN"/>
                    </w:rPr>
                    <w:t>2</w:t>
                  </w:r>
                  <w:r>
                    <w:rPr>
                      <w:rFonts w:hint="eastAsia" w:ascii="Times New Roman" w:hAnsi="Times New Roman" w:eastAsiaTheme="minorEastAsia"/>
                      <w:color w:val="auto"/>
                      <w:sz w:val="18"/>
                      <w:szCs w:val="18"/>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3" w:hRule="atLeast"/>
                <w:jc w:val="center"/>
              </w:trPr>
              <w:tc>
                <w:tcPr>
                  <w:tcW w:w="68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运输</w:t>
                  </w:r>
                </w:p>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作业</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车辆</w:t>
                  </w:r>
                </w:p>
              </w:tc>
              <w:tc>
                <w:tcPr>
                  <w:tcW w:w="70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偶发</w:t>
                  </w:r>
                </w:p>
              </w:tc>
              <w:tc>
                <w:tcPr>
                  <w:tcW w:w="850"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567"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85</w:t>
                  </w:r>
                </w:p>
              </w:tc>
              <w:tc>
                <w:tcPr>
                  <w:tcW w:w="1701" w:type="dxa"/>
                  <w:vMerge w:val="continue"/>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p>
              </w:tc>
              <w:tc>
                <w:tcPr>
                  <w:tcW w:w="916"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w:t>
                  </w:r>
                </w:p>
              </w:tc>
              <w:tc>
                <w:tcPr>
                  <w:tcW w:w="699"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color w:val="auto"/>
                      <w:spacing w:val="1"/>
                      <w:sz w:val="18"/>
                      <w:szCs w:val="18"/>
                    </w:rPr>
                  </w:pPr>
                  <w:r>
                    <w:rPr>
                      <w:rFonts w:hint="eastAsia" w:ascii="Times New Roman" w:hAnsi="Times New Roman"/>
                      <w:color w:val="auto"/>
                      <w:spacing w:val="1"/>
                      <w:sz w:val="18"/>
                      <w:szCs w:val="18"/>
                    </w:rPr>
                    <w:t>85</w:t>
                  </w:r>
                </w:p>
              </w:tc>
              <w:tc>
                <w:tcPr>
                  <w:tcW w:w="755" w:type="dxa"/>
                  <w:tcBorders>
                    <w:tl2br w:val="nil"/>
                    <w:tr2bl w:val="nil"/>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1200</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cs="宋体"/>
                <w:color w:val="auto"/>
                <w:kern w:val="0"/>
                <w:szCs w:val="21"/>
              </w:rPr>
              <w:t xml:space="preserve">为减轻生产过程对周围声环境质量的影响，评价建议采取的噪声防治措施如下： </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ascii="宋体" w:hAnsi="宋体" w:cs="宋体"/>
                <w:color w:val="auto"/>
                <w:kern w:val="0"/>
                <w:szCs w:val="21"/>
              </w:rPr>
              <w:t>①</w:t>
            </w:r>
            <w:r>
              <w:rPr>
                <w:rFonts w:hint="default" w:cs="宋体"/>
                <w:color w:val="auto"/>
                <w:kern w:val="0"/>
                <w:szCs w:val="21"/>
              </w:rPr>
              <w:t>从声源上控制，在满足功能要求的前提下，选择低噪声且符合国家噪声标准的环保型设备。生产时，加强对各类机械设备的维护保养，把对环境的影响降到最低限度。</w:t>
            </w:r>
          </w:p>
          <w:p>
            <w:pPr>
              <w:keepNext w:val="0"/>
              <w:keepLines w:val="0"/>
              <w:suppressLineNumbers w:val="0"/>
              <w:autoSpaceDE w:val="0"/>
              <w:autoSpaceDN w:val="0"/>
              <w:adjustRightInd w:val="0"/>
              <w:snapToGrid w:val="0"/>
              <w:spacing w:before="0" w:beforeAutospacing="0" w:after="0" w:afterAutospacing="0" w:line="400" w:lineRule="exact"/>
              <w:ind w:left="0" w:right="0" w:firstLine="420"/>
              <w:jc w:val="left"/>
              <w:rPr>
                <w:rFonts w:hint="default" w:cs="宋体"/>
                <w:color w:val="auto"/>
                <w:kern w:val="0"/>
                <w:szCs w:val="21"/>
              </w:rPr>
            </w:pPr>
            <w:r>
              <w:rPr>
                <w:rFonts w:hint="eastAsia" w:ascii="宋体" w:hAnsi="宋体" w:cs="宋体"/>
                <w:color w:val="auto"/>
                <w:kern w:val="0"/>
                <w:szCs w:val="21"/>
              </w:rPr>
              <w:t>②</w:t>
            </w:r>
            <w:r>
              <w:rPr>
                <w:rFonts w:hint="default" w:cs="宋体"/>
                <w:color w:val="auto"/>
                <w:kern w:val="0"/>
                <w:szCs w:val="21"/>
              </w:rPr>
              <w:t>优化布局</w:t>
            </w:r>
            <w:r>
              <w:rPr>
                <w:rFonts w:hint="eastAsia" w:cs="宋体"/>
                <w:color w:val="auto"/>
                <w:kern w:val="0"/>
                <w:szCs w:val="21"/>
              </w:rPr>
              <w:t>。在生产车间内尽量将各类生产设备布置在车间中部，远离厂房边界。</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s="宋体"/>
                <w:color w:val="auto"/>
                <w:kern w:val="0"/>
                <w:szCs w:val="21"/>
              </w:rPr>
            </w:pPr>
            <w:r>
              <w:rPr>
                <w:rFonts w:hint="eastAsia" w:ascii="宋体" w:hAnsi="宋体" w:cs="宋体"/>
                <w:color w:val="auto"/>
                <w:kern w:val="0"/>
                <w:szCs w:val="21"/>
              </w:rPr>
              <w:t>③建筑隔声。将生产车间建设为封闭式厂房（采用彩钢板封闭），仅物料进出大门侧为敞开面。</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ascii="宋体" w:hAnsi="宋体" w:cs="宋体"/>
                <w:color w:val="auto"/>
                <w:kern w:val="0"/>
                <w:szCs w:val="21"/>
              </w:rPr>
              <w:t>④基础减振。在各噪声</w:t>
            </w:r>
            <w:r>
              <w:rPr>
                <w:rFonts w:hint="default" w:cs="宋体"/>
                <w:color w:val="auto"/>
                <w:kern w:val="0"/>
                <w:szCs w:val="21"/>
              </w:rPr>
              <w:t>设备安装时，通过加装减振垫等措施</w:t>
            </w:r>
            <w:r>
              <w:rPr>
                <w:rFonts w:hint="eastAsia" w:cs="宋体"/>
                <w:color w:val="auto"/>
                <w:kern w:val="0"/>
                <w:szCs w:val="21"/>
              </w:rPr>
              <w:t>，降低噪声产生。</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ascii="宋体" w:hAnsi="宋体" w:cs="宋体"/>
                <w:color w:val="auto"/>
                <w:kern w:val="0"/>
                <w:szCs w:val="21"/>
              </w:rPr>
              <w:t>⑤</w:t>
            </w:r>
            <w:r>
              <w:rPr>
                <w:rFonts w:hint="default" w:cs="宋体"/>
                <w:color w:val="auto"/>
                <w:kern w:val="0"/>
                <w:szCs w:val="21"/>
              </w:rPr>
              <w:t>严格规定生产时间，</w:t>
            </w:r>
            <w:r>
              <w:rPr>
                <w:rFonts w:hint="eastAsia" w:cs="宋体"/>
                <w:color w:val="auto"/>
                <w:kern w:val="0"/>
                <w:szCs w:val="21"/>
              </w:rPr>
              <w:t>仅在昼间生产</w:t>
            </w:r>
            <w:r>
              <w:rPr>
                <w:rFonts w:hint="default" w:cs="宋体"/>
                <w:color w:val="auto"/>
                <w:kern w:val="0"/>
                <w:szCs w:val="21"/>
              </w:rPr>
              <w:t>不安排夜间生产（22:00-次日6：00）。产品及原料运输应安排在白天进行，在车辆经过道路两旁住户时，应尽量减少鸣笛次数；尽量不安排在夜间进行运输作业，避免噪声扰民。</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cs="宋体"/>
                <w:b/>
                <w:color w:val="auto"/>
                <w:kern w:val="0"/>
                <w:szCs w:val="21"/>
              </w:rPr>
            </w:pPr>
            <w:r>
              <w:rPr>
                <w:rFonts w:hint="eastAsia" w:cs="宋体"/>
                <w:b/>
                <w:color w:val="auto"/>
                <w:kern w:val="0"/>
                <w:szCs w:val="21"/>
              </w:rPr>
              <w:t>3</w:t>
            </w:r>
            <w:r>
              <w:rPr>
                <w:rFonts w:hint="default" w:cs="宋体"/>
                <w:b/>
                <w:color w:val="auto"/>
                <w:kern w:val="0"/>
                <w:szCs w:val="21"/>
              </w:rPr>
              <w:t>.2</w:t>
            </w:r>
            <w:r>
              <w:rPr>
                <w:rFonts w:hint="eastAsia" w:cs="宋体"/>
                <w:b/>
                <w:color w:val="auto"/>
                <w:kern w:val="0"/>
                <w:szCs w:val="21"/>
              </w:rPr>
              <w:t>环境影响及达标分析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 w:val="24"/>
                <w:szCs w:val="21"/>
              </w:rPr>
            </w:pPr>
            <w:r>
              <w:rPr>
                <w:rFonts w:hint="eastAsia" w:cs="宋体"/>
                <w:color w:val="auto"/>
                <w:kern w:val="0"/>
                <w:szCs w:val="21"/>
              </w:rPr>
              <w:t>本项目厂界噪声预测，以生产车间各频发噪声源为源强，预测其到各厂界的贡献值的叠加值作为评价量，分析厂界噪声达标情况。本项目仅安排昼间生产，仅对昼间噪声影响进行预测。项目的噪声</w:t>
            </w:r>
            <w:r>
              <w:rPr>
                <w:rFonts w:hint="default" w:cs="宋体"/>
                <w:color w:val="auto"/>
                <w:kern w:val="0"/>
                <w:szCs w:val="21"/>
              </w:rPr>
              <w:t>预测结果见下表。</w:t>
            </w:r>
          </w:p>
          <w:p>
            <w:pPr>
              <w:keepNext w:val="0"/>
              <w:keepLines w:val="0"/>
              <w:suppressLineNumbers w:val="0"/>
              <w:adjustRightInd w:val="0"/>
              <w:snapToGrid w:val="0"/>
              <w:spacing w:before="0" w:beforeAutospacing="0" w:after="0" w:afterAutospacing="0" w:line="400" w:lineRule="exact"/>
              <w:ind w:left="0" w:right="0"/>
              <w:jc w:val="center"/>
              <w:rPr>
                <w:rFonts w:hint="default" w:eastAsia="黑体"/>
                <w:color w:val="auto"/>
                <w:sz w:val="18"/>
                <w:szCs w:val="18"/>
              </w:rPr>
            </w:pPr>
            <w:r>
              <w:rPr>
                <w:rFonts w:hint="default" w:ascii="黑体" w:hAnsi="黑体" w:eastAsia="黑体"/>
                <w:color w:val="auto"/>
                <w:sz w:val="18"/>
                <w:szCs w:val="18"/>
              </w:rPr>
              <w:t>表</w:t>
            </w:r>
            <w:r>
              <w:rPr>
                <w:rFonts w:hint="eastAsia" w:eastAsia="黑体"/>
                <w:color w:val="auto"/>
                <w:sz w:val="18"/>
                <w:szCs w:val="18"/>
              </w:rPr>
              <w:t>4-</w:t>
            </w:r>
            <w:r>
              <w:rPr>
                <w:rFonts w:hint="default" w:eastAsia="黑体"/>
                <w:color w:val="auto"/>
                <w:sz w:val="18"/>
                <w:szCs w:val="18"/>
              </w:rPr>
              <w:t>11   项目厂界处的</w:t>
            </w:r>
            <w:r>
              <w:rPr>
                <w:rFonts w:hint="default" w:ascii="黑体" w:hAnsi="黑体" w:eastAsia="黑体"/>
                <w:color w:val="auto"/>
                <w:sz w:val="18"/>
                <w:szCs w:val="18"/>
              </w:rPr>
              <w:t>噪声预测结果</w:t>
            </w:r>
            <w:r>
              <w:rPr>
                <w:rFonts w:hint="eastAsia" w:eastAsia="黑体"/>
                <w:color w:val="auto"/>
                <w:sz w:val="18"/>
                <w:szCs w:val="18"/>
              </w:rPr>
              <w:t xml:space="preserve">    </w:t>
            </w:r>
            <w:r>
              <w:rPr>
                <w:rFonts w:hint="eastAsia" w:ascii="黑体" w:hAnsi="黑体" w:eastAsia="黑体"/>
                <w:bCs/>
                <w:color w:val="auto"/>
                <w:sz w:val="18"/>
                <w:szCs w:val="18"/>
              </w:rPr>
              <w:t>单位：</w:t>
            </w:r>
            <w:r>
              <w:rPr>
                <w:rFonts w:hint="eastAsia"/>
                <w:color w:val="auto"/>
                <w:sz w:val="18"/>
                <w:szCs w:val="18"/>
              </w:rPr>
              <w:t>dB(A)</w:t>
            </w:r>
          </w:p>
          <w:tbl>
            <w:tblPr>
              <w:tblStyle w:val="14"/>
              <w:tblW w:w="7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1325"/>
              <w:gridCol w:w="689"/>
              <w:gridCol w:w="720"/>
              <w:gridCol w:w="658"/>
              <w:gridCol w:w="737"/>
              <w:gridCol w:w="727"/>
              <w:gridCol w:w="704"/>
              <w:gridCol w:w="611"/>
              <w:gridCol w:w="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105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default"/>
                      <w:b/>
                      <w:color w:val="auto"/>
                      <w:kern w:val="0"/>
                      <w:sz w:val="18"/>
                      <w:szCs w:val="18"/>
                    </w:rPr>
                    <w:t>项目</w:t>
                  </w:r>
                </w:p>
              </w:tc>
              <w:tc>
                <w:tcPr>
                  <w:tcW w:w="1325" w:type="dxa"/>
                  <w:vMerge w:val="restart"/>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eastAsia"/>
                      <w:b/>
                      <w:color w:val="auto"/>
                      <w:kern w:val="0"/>
                      <w:sz w:val="18"/>
                      <w:szCs w:val="18"/>
                    </w:rPr>
                    <w:t>贡献值</w:t>
                  </w:r>
                </w:p>
              </w:tc>
              <w:tc>
                <w:tcPr>
                  <w:tcW w:w="1409"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sz w:val="18"/>
                      <w:szCs w:val="18"/>
                    </w:rPr>
                  </w:pPr>
                  <w:r>
                    <w:rPr>
                      <w:rFonts w:hint="default"/>
                      <w:b/>
                      <w:color w:val="auto"/>
                      <w:sz w:val="18"/>
                      <w:szCs w:val="18"/>
                    </w:rPr>
                    <w:t>背景值</w:t>
                  </w:r>
                </w:p>
              </w:tc>
              <w:tc>
                <w:tcPr>
                  <w:tcW w:w="1395"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default"/>
                      <w:b/>
                      <w:color w:val="auto"/>
                      <w:kern w:val="0"/>
                      <w:sz w:val="18"/>
                      <w:szCs w:val="18"/>
                    </w:rPr>
                    <w:t>预测值</w:t>
                  </w:r>
                </w:p>
              </w:tc>
              <w:tc>
                <w:tcPr>
                  <w:tcW w:w="1431"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eastAsia"/>
                      <w:b/>
                      <w:color w:val="auto"/>
                      <w:kern w:val="0"/>
                      <w:sz w:val="18"/>
                      <w:szCs w:val="18"/>
                    </w:rPr>
                    <w:t>执行标准</w:t>
                  </w:r>
                </w:p>
              </w:tc>
              <w:tc>
                <w:tcPr>
                  <w:tcW w:w="1154"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eastAsia"/>
                      <w:b/>
                      <w:color w:val="auto"/>
                      <w:kern w:val="0"/>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05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20" w:lineRule="exact"/>
                    <w:ind w:left="0" w:right="0"/>
                    <w:jc w:val="left"/>
                    <w:rPr>
                      <w:rFonts w:hint="default"/>
                      <w:b/>
                      <w:color w:val="auto"/>
                      <w:kern w:val="0"/>
                      <w:sz w:val="18"/>
                      <w:szCs w:val="18"/>
                    </w:rPr>
                  </w:pPr>
                </w:p>
              </w:tc>
              <w:tc>
                <w:tcPr>
                  <w:tcW w:w="1325"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20" w:lineRule="exact"/>
                    <w:ind w:left="0" w:right="0"/>
                    <w:jc w:val="left"/>
                    <w:rPr>
                      <w:rFonts w:hint="default"/>
                      <w:b/>
                      <w:color w:val="auto"/>
                      <w:kern w:val="0"/>
                      <w:sz w:val="18"/>
                      <w:szCs w:val="18"/>
                    </w:rPr>
                  </w:pPr>
                </w:p>
              </w:tc>
              <w:tc>
                <w:tcPr>
                  <w:tcW w:w="68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eastAsia"/>
                      <w:b/>
                      <w:color w:val="auto"/>
                      <w:kern w:val="0"/>
                      <w:sz w:val="18"/>
                      <w:szCs w:val="18"/>
                    </w:rPr>
                    <w:t>昼间</w:t>
                  </w:r>
                </w:p>
              </w:tc>
              <w:tc>
                <w:tcPr>
                  <w:tcW w:w="72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default"/>
                      <w:b/>
                      <w:color w:val="auto"/>
                      <w:kern w:val="0"/>
                      <w:sz w:val="18"/>
                      <w:szCs w:val="18"/>
                    </w:rPr>
                    <w:t>夜间</w:t>
                  </w:r>
                </w:p>
              </w:tc>
              <w:tc>
                <w:tcPr>
                  <w:tcW w:w="658"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eastAsia"/>
                      <w:b/>
                      <w:color w:val="auto"/>
                      <w:kern w:val="0"/>
                      <w:sz w:val="18"/>
                      <w:szCs w:val="18"/>
                    </w:rPr>
                    <w:t>昼间</w:t>
                  </w:r>
                </w:p>
              </w:tc>
              <w:tc>
                <w:tcPr>
                  <w:tcW w:w="73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default"/>
                      <w:b/>
                      <w:color w:val="auto"/>
                      <w:kern w:val="0"/>
                      <w:sz w:val="18"/>
                      <w:szCs w:val="18"/>
                    </w:rPr>
                    <w:t>夜间</w:t>
                  </w:r>
                </w:p>
              </w:tc>
              <w:tc>
                <w:tcPr>
                  <w:tcW w:w="72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eastAsia"/>
                      <w:b/>
                      <w:color w:val="auto"/>
                      <w:kern w:val="0"/>
                      <w:sz w:val="18"/>
                      <w:szCs w:val="18"/>
                    </w:rPr>
                    <w:t>昼间</w:t>
                  </w:r>
                </w:p>
              </w:tc>
              <w:tc>
                <w:tcPr>
                  <w:tcW w:w="70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default"/>
                      <w:b/>
                      <w:color w:val="auto"/>
                      <w:kern w:val="0"/>
                      <w:sz w:val="18"/>
                      <w:szCs w:val="18"/>
                    </w:rPr>
                    <w:t>夜间</w:t>
                  </w:r>
                </w:p>
              </w:tc>
              <w:tc>
                <w:tcPr>
                  <w:tcW w:w="61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eastAsia"/>
                      <w:b/>
                      <w:color w:val="auto"/>
                      <w:kern w:val="0"/>
                      <w:sz w:val="18"/>
                      <w:szCs w:val="18"/>
                    </w:rPr>
                    <w:t>昼间</w:t>
                  </w:r>
                </w:p>
              </w:tc>
              <w:tc>
                <w:tcPr>
                  <w:tcW w:w="54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color w:val="auto"/>
                      <w:kern w:val="0"/>
                      <w:sz w:val="18"/>
                      <w:szCs w:val="18"/>
                    </w:rPr>
                  </w:pPr>
                  <w:r>
                    <w:rPr>
                      <w:rFonts w:hint="default"/>
                      <w:b/>
                      <w:color w:val="auto"/>
                      <w:kern w:val="0"/>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5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sz w:val="18"/>
                      <w:szCs w:val="18"/>
                    </w:rPr>
                  </w:pPr>
                  <w:r>
                    <w:rPr>
                      <w:rFonts w:hint="eastAsia"/>
                      <w:color w:val="auto"/>
                      <w:sz w:val="18"/>
                      <w:szCs w:val="18"/>
                    </w:rPr>
                    <w:t>东厂界</w:t>
                  </w:r>
                </w:p>
              </w:tc>
              <w:tc>
                <w:tcPr>
                  <w:tcW w:w="1325" w:type="dxa"/>
                  <w:tcBorders>
                    <w:top w:val="single" w:color="auto" w:sz="4" w:space="0"/>
                    <w:left w:val="nil"/>
                    <w:bottom w:val="single" w:color="auto" w:sz="4" w:space="0"/>
                    <w:right w:val="single" w:color="auto" w:sz="4" w:space="0"/>
                  </w:tcBorders>
                  <w:vAlign w:val="bottom"/>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default"/>
                      <w:color w:val="auto"/>
                      <w:kern w:val="0"/>
                      <w:sz w:val="18"/>
                      <w:szCs w:val="18"/>
                    </w:rPr>
                    <w:t>54.7</w:t>
                  </w:r>
                </w:p>
              </w:tc>
              <w:tc>
                <w:tcPr>
                  <w:tcW w:w="68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2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658"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3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2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60</w:t>
                  </w:r>
                </w:p>
              </w:tc>
              <w:tc>
                <w:tcPr>
                  <w:tcW w:w="70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50</w:t>
                  </w:r>
                </w:p>
              </w:tc>
              <w:tc>
                <w:tcPr>
                  <w:tcW w:w="61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达标</w:t>
                  </w:r>
                </w:p>
              </w:tc>
              <w:tc>
                <w:tcPr>
                  <w:tcW w:w="54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5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sz w:val="18"/>
                      <w:szCs w:val="18"/>
                    </w:rPr>
                  </w:pPr>
                  <w:r>
                    <w:rPr>
                      <w:rFonts w:hint="eastAsia"/>
                      <w:color w:val="auto"/>
                      <w:sz w:val="18"/>
                      <w:szCs w:val="18"/>
                    </w:rPr>
                    <w:t>南厂界</w:t>
                  </w:r>
                </w:p>
              </w:tc>
              <w:tc>
                <w:tcPr>
                  <w:tcW w:w="1325" w:type="dxa"/>
                  <w:tcBorders>
                    <w:top w:val="single" w:color="auto" w:sz="4" w:space="0"/>
                    <w:left w:val="nil"/>
                    <w:bottom w:val="single" w:color="auto" w:sz="4" w:space="0"/>
                    <w:right w:val="single" w:color="auto" w:sz="4" w:space="0"/>
                  </w:tcBorders>
                  <w:vAlign w:val="bottom"/>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58.2</w:t>
                  </w:r>
                </w:p>
              </w:tc>
              <w:tc>
                <w:tcPr>
                  <w:tcW w:w="68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2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658"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3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2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60</w:t>
                  </w:r>
                </w:p>
              </w:tc>
              <w:tc>
                <w:tcPr>
                  <w:tcW w:w="70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50</w:t>
                  </w:r>
                </w:p>
              </w:tc>
              <w:tc>
                <w:tcPr>
                  <w:tcW w:w="61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Cs/>
                      <w:color w:val="auto"/>
                      <w:kern w:val="0"/>
                      <w:sz w:val="18"/>
                      <w:szCs w:val="18"/>
                    </w:rPr>
                  </w:pPr>
                  <w:r>
                    <w:rPr>
                      <w:rFonts w:hint="eastAsia"/>
                      <w:color w:val="auto"/>
                      <w:kern w:val="0"/>
                      <w:sz w:val="18"/>
                      <w:szCs w:val="18"/>
                    </w:rPr>
                    <w:t>达标</w:t>
                  </w:r>
                </w:p>
              </w:tc>
              <w:tc>
                <w:tcPr>
                  <w:tcW w:w="54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5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sz w:val="18"/>
                      <w:szCs w:val="18"/>
                    </w:rPr>
                  </w:pPr>
                  <w:r>
                    <w:rPr>
                      <w:rFonts w:hint="eastAsia"/>
                      <w:color w:val="auto"/>
                      <w:sz w:val="18"/>
                      <w:szCs w:val="18"/>
                    </w:rPr>
                    <w:t>西厂界</w:t>
                  </w:r>
                </w:p>
              </w:tc>
              <w:tc>
                <w:tcPr>
                  <w:tcW w:w="1325" w:type="dxa"/>
                  <w:tcBorders>
                    <w:top w:val="single" w:color="auto" w:sz="4" w:space="0"/>
                    <w:left w:val="nil"/>
                    <w:bottom w:val="single" w:color="auto" w:sz="4" w:space="0"/>
                    <w:right w:val="single" w:color="auto" w:sz="4" w:space="0"/>
                  </w:tcBorders>
                  <w:vAlign w:val="bottom"/>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default"/>
                      <w:color w:val="auto"/>
                      <w:kern w:val="0"/>
                      <w:sz w:val="18"/>
                      <w:szCs w:val="18"/>
                    </w:rPr>
                    <w:t>52.4</w:t>
                  </w:r>
                </w:p>
              </w:tc>
              <w:tc>
                <w:tcPr>
                  <w:tcW w:w="68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2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658"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3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2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60</w:t>
                  </w:r>
                </w:p>
              </w:tc>
              <w:tc>
                <w:tcPr>
                  <w:tcW w:w="70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50</w:t>
                  </w:r>
                </w:p>
              </w:tc>
              <w:tc>
                <w:tcPr>
                  <w:tcW w:w="61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b/>
                      <w:bCs/>
                      <w:color w:val="auto"/>
                      <w:kern w:val="0"/>
                      <w:sz w:val="18"/>
                      <w:szCs w:val="18"/>
                    </w:rPr>
                  </w:pPr>
                  <w:r>
                    <w:rPr>
                      <w:rFonts w:hint="eastAsia"/>
                      <w:color w:val="auto"/>
                      <w:kern w:val="0"/>
                      <w:sz w:val="18"/>
                      <w:szCs w:val="18"/>
                    </w:rPr>
                    <w:t>达标</w:t>
                  </w:r>
                </w:p>
              </w:tc>
              <w:tc>
                <w:tcPr>
                  <w:tcW w:w="54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105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sz w:val="18"/>
                      <w:szCs w:val="18"/>
                    </w:rPr>
                  </w:pPr>
                  <w:r>
                    <w:rPr>
                      <w:rFonts w:hint="eastAsia"/>
                      <w:color w:val="auto"/>
                      <w:sz w:val="18"/>
                      <w:szCs w:val="18"/>
                    </w:rPr>
                    <w:t>北厂界</w:t>
                  </w:r>
                </w:p>
              </w:tc>
              <w:tc>
                <w:tcPr>
                  <w:tcW w:w="1325" w:type="dxa"/>
                  <w:tcBorders>
                    <w:top w:val="single" w:color="auto" w:sz="4" w:space="0"/>
                    <w:left w:val="nil"/>
                    <w:bottom w:val="single" w:color="auto" w:sz="4" w:space="0"/>
                    <w:right w:val="single" w:color="auto" w:sz="4" w:space="0"/>
                  </w:tcBorders>
                  <w:vAlign w:val="bottom"/>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default"/>
                      <w:color w:val="auto"/>
                      <w:kern w:val="0"/>
                      <w:sz w:val="18"/>
                      <w:szCs w:val="18"/>
                    </w:rPr>
                    <w:t>51.1</w:t>
                  </w:r>
                </w:p>
              </w:tc>
              <w:tc>
                <w:tcPr>
                  <w:tcW w:w="68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2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658"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3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c>
                <w:tcPr>
                  <w:tcW w:w="727"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60</w:t>
                  </w:r>
                </w:p>
              </w:tc>
              <w:tc>
                <w:tcPr>
                  <w:tcW w:w="70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50</w:t>
                  </w:r>
                </w:p>
              </w:tc>
              <w:tc>
                <w:tcPr>
                  <w:tcW w:w="61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达标</w:t>
                  </w:r>
                </w:p>
              </w:tc>
              <w:tc>
                <w:tcPr>
                  <w:tcW w:w="54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320" w:lineRule="exact"/>
                    <w:ind w:left="-53" w:leftChars="-25" w:right="-53" w:rightChars="-25"/>
                    <w:jc w:val="center"/>
                    <w:rPr>
                      <w:rFonts w:hint="default"/>
                      <w:color w:val="auto"/>
                      <w:kern w:val="0"/>
                      <w:sz w:val="18"/>
                      <w:szCs w:val="18"/>
                    </w:rPr>
                  </w:pPr>
                  <w:r>
                    <w:rPr>
                      <w:rFonts w:hint="eastAsia"/>
                      <w:color w:val="auto"/>
                      <w:kern w:val="0"/>
                      <w:sz w:val="18"/>
                      <w:szCs w:val="18"/>
                    </w:rPr>
                    <w:t>/</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cs="宋体"/>
                <w:color w:val="auto"/>
                <w:kern w:val="0"/>
                <w:szCs w:val="21"/>
              </w:rPr>
              <w:t>由上表</w:t>
            </w:r>
            <w:r>
              <w:rPr>
                <w:rFonts w:hint="eastAsia" w:cs="宋体"/>
                <w:color w:val="auto"/>
                <w:kern w:val="0"/>
                <w:szCs w:val="21"/>
              </w:rPr>
              <w:t>预测结果</w:t>
            </w:r>
            <w:r>
              <w:rPr>
                <w:rFonts w:hint="default" w:cs="宋体"/>
                <w:color w:val="auto"/>
                <w:kern w:val="0"/>
                <w:szCs w:val="21"/>
              </w:rPr>
              <w:t>可知，本项目在采取建筑隔声、基础减振、距离衰减等措施的情况下，项目厂界四周噪声值能</w:t>
            </w:r>
            <w:r>
              <w:rPr>
                <w:rFonts w:hint="eastAsia" w:cs="宋体"/>
                <w:color w:val="auto"/>
                <w:kern w:val="0"/>
                <w:szCs w:val="21"/>
              </w:rPr>
              <w:t>够</w:t>
            </w:r>
            <w:r>
              <w:rPr>
                <w:rFonts w:hint="default" w:cs="宋体"/>
                <w:color w:val="auto"/>
                <w:kern w:val="0"/>
                <w:szCs w:val="21"/>
              </w:rPr>
              <w:t>满足《工业企业厂界环境噪声排放标准》（GB12348-2008）</w:t>
            </w:r>
            <w:r>
              <w:rPr>
                <w:rFonts w:hint="eastAsia" w:cs="宋体"/>
                <w:color w:val="auto"/>
                <w:kern w:val="0"/>
                <w:szCs w:val="21"/>
              </w:rPr>
              <w:t>2类声环境功能区的</w:t>
            </w:r>
            <w:r>
              <w:rPr>
                <w:rFonts w:hint="default" w:cs="宋体"/>
                <w:color w:val="auto"/>
                <w:kern w:val="0"/>
                <w:szCs w:val="21"/>
              </w:rPr>
              <w:t>排放</w:t>
            </w:r>
            <w:r>
              <w:rPr>
                <w:rFonts w:hint="eastAsia" w:cs="宋体"/>
                <w:color w:val="auto"/>
                <w:kern w:val="0"/>
                <w:szCs w:val="21"/>
              </w:rPr>
              <w:t>限值要求。</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评价认为，项目建设不会改变区域声环境质量现状。</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cs="宋体"/>
                <w:b/>
                <w:color w:val="auto"/>
                <w:kern w:val="0"/>
                <w:szCs w:val="21"/>
              </w:rPr>
            </w:pPr>
            <w:r>
              <w:rPr>
                <w:rFonts w:hint="eastAsia" w:cs="宋体"/>
                <w:b/>
                <w:color w:val="auto"/>
                <w:kern w:val="0"/>
                <w:szCs w:val="21"/>
              </w:rPr>
              <w:t>3</w:t>
            </w:r>
            <w:r>
              <w:rPr>
                <w:rFonts w:hint="default" w:cs="宋体"/>
                <w:b/>
                <w:color w:val="auto"/>
                <w:kern w:val="0"/>
                <w:szCs w:val="21"/>
              </w:rPr>
              <w:t>.3</w:t>
            </w:r>
            <w:r>
              <w:rPr>
                <w:rFonts w:hint="eastAsia" w:cs="宋体"/>
                <w:b/>
                <w:color w:val="auto"/>
                <w:kern w:val="0"/>
                <w:szCs w:val="21"/>
              </w:rPr>
              <w:t>交通噪声影响分析</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项目进出厂区的运输车辆将产生交通噪声，噪声值在70～85dB(A)之间，交通噪声为流动噪声源，具有分散性、临时性、不持续性。通过严格规定生产时间，尽量不安排夜间（22:00-次日6:00）进行生产和运输作业。产品及原料运输应安排在白天进行，在车辆经过道路两旁住户时，应尽量减少鸣笛次数，避免噪声扰民。交通噪声对周围环境影响较小。</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cs="宋体"/>
                <w:b/>
                <w:color w:val="auto"/>
                <w:kern w:val="0"/>
                <w:szCs w:val="21"/>
              </w:rPr>
            </w:pPr>
            <w:r>
              <w:rPr>
                <w:rFonts w:hint="eastAsia" w:cs="宋体"/>
                <w:b/>
                <w:color w:val="auto"/>
                <w:kern w:val="0"/>
                <w:szCs w:val="21"/>
              </w:rPr>
              <w:t>3</w:t>
            </w:r>
            <w:r>
              <w:rPr>
                <w:rFonts w:hint="default" w:cs="宋体"/>
                <w:b/>
                <w:color w:val="auto"/>
                <w:kern w:val="0"/>
                <w:szCs w:val="21"/>
              </w:rPr>
              <w:t>.4</w:t>
            </w:r>
            <w:r>
              <w:rPr>
                <w:rFonts w:hint="eastAsia" w:cs="宋体"/>
                <w:b/>
                <w:color w:val="auto"/>
                <w:kern w:val="0"/>
                <w:szCs w:val="21"/>
              </w:rPr>
              <w:t>监测计划</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 w:val="24"/>
                <w:szCs w:val="21"/>
              </w:rPr>
            </w:pPr>
            <w:r>
              <w:rPr>
                <w:rFonts w:hint="default" w:cs="宋体"/>
                <w:color w:val="auto"/>
                <w:kern w:val="0"/>
                <w:szCs w:val="21"/>
              </w:rPr>
              <w:t>根据《排污单位自行监测技术指南 总则》（HJ8</w:t>
            </w:r>
            <w:r>
              <w:rPr>
                <w:rFonts w:hint="eastAsia" w:cs="宋体"/>
                <w:color w:val="auto"/>
                <w:kern w:val="0"/>
                <w:szCs w:val="21"/>
              </w:rPr>
              <w:t>1</w:t>
            </w:r>
            <w:r>
              <w:rPr>
                <w:rFonts w:hint="default" w:cs="宋体"/>
                <w:color w:val="auto"/>
                <w:kern w:val="0"/>
                <w:szCs w:val="21"/>
              </w:rPr>
              <w:t>9-2017）文件，并结合本项目污染物的特点，制定营运期监测计划见</w:t>
            </w:r>
            <w:r>
              <w:rPr>
                <w:rFonts w:hint="eastAsia" w:cs="宋体"/>
                <w:color w:val="auto"/>
                <w:kern w:val="0"/>
                <w:szCs w:val="21"/>
              </w:rPr>
              <w:t>下表</w:t>
            </w:r>
            <w:r>
              <w:rPr>
                <w:rFonts w:hint="default" w:cs="宋体"/>
                <w:color w:val="auto"/>
                <w:kern w:val="0"/>
                <w:szCs w:val="21"/>
              </w:rPr>
              <w:t>。</w:t>
            </w:r>
          </w:p>
          <w:p>
            <w:pPr>
              <w:keepNext w:val="0"/>
              <w:keepLines w:val="0"/>
              <w:suppressLineNumbers w:val="0"/>
              <w:autoSpaceDE w:val="0"/>
              <w:autoSpaceDN w:val="0"/>
              <w:adjustRightInd w:val="0"/>
              <w:spacing w:before="0" w:beforeAutospacing="0" w:after="0" w:afterAutospacing="0" w:line="400" w:lineRule="exact"/>
              <w:ind w:left="0" w:right="0" w:firstLine="465"/>
              <w:jc w:val="center"/>
              <w:rPr>
                <w:rFonts w:hint="default" w:eastAsia="黑体"/>
                <w:bCs/>
                <w:color w:val="auto"/>
                <w:sz w:val="18"/>
                <w:szCs w:val="20"/>
              </w:rPr>
            </w:pPr>
            <w:r>
              <w:rPr>
                <w:rFonts w:hint="default" w:ascii="黑体" w:hAnsi="黑体" w:eastAsia="黑体"/>
                <w:bCs/>
                <w:color w:val="auto"/>
                <w:sz w:val="18"/>
                <w:szCs w:val="20"/>
              </w:rPr>
              <w:t>表</w:t>
            </w:r>
            <w:r>
              <w:rPr>
                <w:rFonts w:hint="eastAsia" w:eastAsia="黑体"/>
                <w:bCs/>
                <w:color w:val="auto"/>
                <w:sz w:val="18"/>
                <w:szCs w:val="20"/>
              </w:rPr>
              <w:t>4-1</w:t>
            </w:r>
            <w:r>
              <w:rPr>
                <w:rFonts w:hint="default" w:eastAsia="黑体"/>
                <w:bCs/>
                <w:color w:val="auto"/>
                <w:sz w:val="18"/>
                <w:szCs w:val="20"/>
              </w:rPr>
              <w:t>2</w:t>
            </w:r>
            <w:r>
              <w:rPr>
                <w:rFonts w:hint="eastAsia" w:eastAsia="黑体"/>
                <w:bCs/>
                <w:color w:val="auto"/>
                <w:sz w:val="18"/>
                <w:szCs w:val="20"/>
              </w:rPr>
              <w:t xml:space="preserve"> </w:t>
            </w:r>
            <w:r>
              <w:rPr>
                <w:rFonts w:hint="default" w:eastAsia="黑体"/>
                <w:bCs/>
                <w:color w:val="auto"/>
                <w:sz w:val="18"/>
                <w:szCs w:val="20"/>
              </w:rPr>
              <w:t xml:space="preserve">   </w:t>
            </w:r>
            <w:r>
              <w:rPr>
                <w:rFonts w:hint="default" w:ascii="黑体" w:hAnsi="黑体" w:eastAsia="黑体"/>
                <w:bCs/>
                <w:color w:val="auto"/>
                <w:sz w:val="18"/>
                <w:szCs w:val="20"/>
              </w:rPr>
              <w:t>营运期噪声监测计划</w:t>
            </w:r>
          </w:p>
          <w:tbl>
            <w:tblPr>
              <w:tblStyle w:val="14"/>
              <w:tblW w:w="77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344"/>
              <w:gridCol w:w="960"/>
              <w:gridCol w:w="2728"/>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监测项目</w:t>
                  </w:r>
                </w:p>
              </w:tc>
              <w:tc>
                <w:tcPr>
                  <w:tcW w:w="1344"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监测点位</w:t>
                  </w:r>
                </w:p>
              </w:tc>
              <w:tc>
                <w:tcPr>
                  <w:tcW w:w="960"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监测因子</w:t>
                  </w:r>
                </w:p>
              </w:tc>
              <w:tc>
                <w:tcPr>
                  <w:tcW w:w="2728"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监测</w:t>
                  </w:r>
                  <w:r>
                    <w:rPr>
                      <w:rFonts w:hint="eastAsia"/>
                      <w:b/>
                      <w:color w:val="auto"/>
                      <w:sz w:val="18"/>
                      <w:szCs w:val="18"/>
                    </w:rPr>
                    <w:t>频次</w:t>
                  </w:r>
                </w:p>
              </w:tc>
              <w:tc>
                <w:tcPr>
                  <w:tcW w:w="1421"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噪声</w:t>
                  </w:r>
                </w:p>
              </w:tc>
              <w:tc>
                <w:tcPr>
                  <w:tcW w:w="1344"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厂界</w:t>
                  </w:r>
                  <w:r>
                    <w:rPr>
                      <w:rFonts w:hint="eastAsia"/>
                      <w:bCs/>
                      <w:color w:val="auto"/>
                      <w:sz w:val="18"/>
                      <w:szCs w:val="18"/>
                    </w:rPr>
                    <w:t>四周</w:t>
                  </w:r>
                </w:p>
              </w:tc>
              <w:tc>
                <w:tcPr>
                  <w:tcW w:w="960"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bCs/>
                      <w:color w:val="auto"/>
                      <w:sz w:val="18"/>
                      <w:szCs w:val="18"/>
                    </w:rPr>
                  </w:pPr>
                  <w:r>
                    <w:rPr>
                      <w:rFonts w:hint="default"/>
                      <w:color w:val="auto"/>
                      <w:sz w:val="18"/>
                      <w:szCs w:val="18"/>
                    </w:rPr>
                    <w:t>噪声</w:t>
                  </w:r>
                </w:p>
              </w:tc>
              <w:tc>
                <w:tcPr>
                  <w:tcW w:w="2728"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bCs/>
                      <w:color w:val="auto"/>
                      <w:sz w:val="18"/>
                      <w:szCs w:val="18"/>
                    </w:rPr>
                  </w:pPr>
                  <w:r>
                    <w:rPr>
                      <w:rFonts w:hint="eastAsia"/>
                      <w:bCs/>
                      <w:color w:val="auto"/>
                      <w:sz w:val="18"/>
                      <w:szCs w:val="18"/>
                    </w:rPr>
                    <w:t>1</w:t>
                  </w:r>
                  <w:r>
                    <w:rPr>
                      <w:rFonts w:hint="eastAsia" w:ascii="宋体" w:hAnsi="宋体"/>
                      <w:bCs/>
                      <w:color w:val="auto"/>
                      <w:sz w:val="18"/>
                      <w:szCs w:val="18"/>
                    </w:rPr>
                    <w:t>天（每天昼间</w:t>
                  </w:r>
                  <w:r>
                    <w:rPr>
                      <w:rFonts w:hint="eastAsia"/>
                      <w:bCs/>
                      <w:color w:val="auto"/>
                      <w:sz w:val="18"/>
                      <w:szCs w:val="18"/>
                    </w:rPr>
                    <w:t>1</w:t>
                  </w:r>
                  <w:r>
                    <w:rPr>
                      <w:rFonts w:hint="eastAsia" w:ascii="宋体" w:hAnsi="宋体"/>
                      <w:bCs/>
                      <w:color w:val="auto"/>
                      <w:sz w:val="18"/>
                      <w:szCs w:val="18"/>
                    </w:rPr>
                    <w:t>次，夜间不生产）</w:t>
                  </w:r>
                </w:p>
              </w:tc>
              <w:tc>
                <w:tcPr>
                  <w:tcW w:w="1421"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80" w:lineRule="exact"/>
                    <w:ind w:left="0" w:right="0"/>
                    <w:jc w:val="center"/>
                    <w:rPr>
                      <w:rFonts w:hint="default"/>
                      <w:bCs/>
                      <w:color w:val="auto"/>
                      <w:sz w:val="18"/>
                      <w:szCs w:val="18"/>
                    </w:rPr>
                  </w:pPr>
                  <w:r>
                    <w:rPr>
                      <w:rFonts w:hint="eastAsia"/>
                      <w:bCs/>
                      <w:color w:val="auto"/>
                      <w:sz w:val="18"/>
                      <w:szCs w:val="18"/>
                    </w:rPr>
                    <w:t>每季度1</w:t>
                  </w:r>
                  <w:r>
                    <w:rPr>
                      <w:rFonts w:hint="eastAsia" w:ascii="宋体" w:hAnsi="宋体"/>
                      <w:bCs/>
                      <w:color w:val="auto"/>
                      <w:sz w:val="18"/>
                      <w:szCs w:val="18"/>
                    </w:rPr>
                    <w:t>次</w:t>
                  </w:r>
                </w:p>
              </w:tc>
            </w:tr>
          </w:tbl>
          <w:p>
            <w:pPr>
              <w:keepNext w:val="0"/>
              <w:keepLines w:val="0"/>
              <w:suppressLineNumbers w:val="0"/>
              <w:adjustRightInd w:val="0"/>
              <w:snapToGrid w:val="0"/>
              <w:spacing w:before="0" w:beforeAutospacing="0" w:after="0" w:afterAutospacing="0" w:line="400" w:lineRule="exact"/>
              <w:ind w:left="0" w:right="0"/>
              <w:jc w:val="left"/>
              <w:rPr>
                <w:rFonts w:hint="default" w:ascii="黑体" w:hAnsi="黑体" w:eastAsia="黑体" w:cs="宋体"/>
                <w:bCs/>
                <w:color w:val="auto"/>
                <w:sz w:val="22"/>
                <w:szCs w:val="22"/>
              </w:rPr>
            </w:pPr>
            <w:r>
              <w:rPr>
                <w:rFonts w:hint="eastAsia" w:ascii="黑体" w:hAnsi="黑体" w:eastAsia="黑体" w:cs="宋体"/>
                <w:bCs/>
                <w:color w:val="auto"/>
                <w:sz w:val="22"/>
                <w:szCs w:val="22"/>
              </w:rPr>
              <w:t>4、固体废物</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rPr>
            </w:pPr>
            <w:r>
              <w:rPr>
                <w:rFonts w:hint="default"/>
                <w:color w:val="auto"/>
                <w:kern w:val="0"/>
                <w:szCs w:val="21"/>
              </w:rPr>
              <w:t>营运期固废主要为</w:t>
            </w:r>
            <w:r>
              <w:rPr>
                <w:rFonts w:hint="eastAsia"/>
                <w:color w:val="auto"/>
                <w:kern w:val="0"/>
                <w:szCs w:val="21"/>
                <w:lang w:val="en-US" w:eastAsia="zh-CN"/>
              </w:rPr>
              <w:t>振动给料机分离的泥、干化泥饼</w:t>
            </w:r>
            <w:r>
              <w:rPr>
                <w:rFonts w:hint="eastAsia"/>
                <w:color w:val="auto"/>
                <w:kern w:val="0"/>
                <w:szCs w:val="21"/>
              </w:rPr>
              <w:t>、</w:t>
            </w:r>
            <w:r>
              <w:rPr>
                <w:rFonts w:hint="eastAsia"/>
                <w:color w:val="auto"/>
                <w:kern w:val="0"/>
                <w:szCs w:val="21"/>
                <w:lang w:val="en-US" w:eastAsia="zh-CN"/>
              </w:rPr>
              <w:t>铁质废物、</w:t>
            </w:r>
            <w:r>
              <w:rPr>
                <w:rFonts w:hint="eastAsia"/>
                <w:color w:val="auto"/>
                <w:kern w:val="0"/>
                <w:szCs w:val="21"/>
              </w:rPr>
              <w:t>废包装材料和办公生活产生的少量生活垃圾</w:t>
            </w:r>
            <w:r>
              <w:rPr>
                <w:rFonts w:hint="default"/>
                <w:color w:val="auto"/>
                <w:kern w:val="0"/>
                <w:szCs w:val="21"/>
              </w:rPr>
              <w:t>。项目机械设备维护保养时，还会产生少量的废机油等危废。</w:t>
            </w:r>
          </w:p>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b/>
                <w:color w:val="auto"/>
                <w:kern w:val="0"/>
                <w:szCs w:val="21"/>
              </w:rPr>
            </w:pPr>
            <w:r>
              <w:rPr>
                <w:rFonts w:hint="eastAsia"/>
                <w:b/>
                <w:color w:val="auto"/>
                <w:kern w:val="0"/>
                <w:szCs w:val="21"/>
              </w:rPr>
              <w:t>4.1一般固废</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宋体"/>
                <w:color w:val="auto"/>
                <w:kern w:val="0"/>
                <w:szCs w:val="21"/>
                <w:lang w:val="en-US" w:eastAsia="zh-CN"/>
              </w:rPr>
            </w:pPr>
            <w:r>
              <w:rPr>
                <w:rFonts w:hint="eastAsia"/>
                <w:color w:val="auto"/>
                <w:kern w:val="0"/>
                <w:szCs w:val="21"/>
              </w:rPr>
              <w:t>（1）</w:t>
            </w:r>
            <w:r>
              <w:rPr>
                <w:rFonts w:hint="eastAsia"/>
                <w:color w:val="auto"/>
                <w:kern w:val="0"/>
                <w:szCs w:val="21"/>
                <w:lang w:val="en-US" w:eastAsia="zh-CN"/>
              </w:rPr>
              <w:t>干化泥饼</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rPr>
            </w:pPr>
            <w:r>
              <w:rPr>
                <w:rFonts w:hint="default"/>
                <w:color w:val="auto"/>
                <w:kern w:val="0"/>
                <w:szCs w:val="21"/>
              </w:rPr>
              <w:t>本项目废水处理系统</w:t>
            </w:r>
            <w:r>
              <w:rPr>
                <w:rFonts w:hint="eastAsia"/>
                <w:color w:val="auto"/>
                <w:kern w:val="0"/>
                <w:szCs w:val="21"/>
                <w:lang w:val="en-US" w:eastAsia="zh-CN"/>
              </w:rPr>
              <w:t>采用“絮凝沉淀+板框压滤”工艺，处理废水的同时会产生一定量的干化泥饼，干化泥饼主要为原料中含有的泥沙。</w:t>
            </w:r>
            <w:r>
              <w:rPr>
                <w:rFonts w:hint="eastAsia"/>
                <w:color w:val="auto"/>
                <w:kern w:val="0"/>
                <w:szCs w:val="21"/>
              </w:rPr>
              <w:t>根据建设单位介绍，项目外购原料一般含泥量约在</w:t>
            </w:r>
            <w:r>
              <w:rPr>
                <w:rFonts w:hint="eastAsia"/>
                <w:color w:val="auto"/>
                <w:kern w:val="0"/>
                <w:szCs w:val="21"/>
                <w:lang w:val="en-US" w:eastAsia="zh-CN"/>
              </w:rPr>
              <w:t>5</w:t>
            </w:r>
            <w:r>
              <w:rPr>
                <w:rFonts w:hint="eastAsia"/>
                <w:color w:val="auto"/>
                <w:kern w:val="0"/>
                <w:szCs w:val="21"/>
              </w:rPr>
              <w:t>%左右，</w:t>
            </w:r>
            <w:r>
              <w:rPr>
                <w:rFonts w:hint="eastAsia"/>
                <w:color w:val="auto"/>
                <w:kern w:val="0"/>
                <w:szCs w:val="21"/>
                <w:lang w:val="en-US" w:eastAsia="zh-CN"/>
              </w:rPr>
              <w:t>经计算泥沙干基量为61421.76t/a。振动给料环节分离约60%的泥土，则进入废水系统的泥土量约为总泥沙量的40%，约24568.70t/a</w:t>
            </w:r>
            <w:r>
              <w:rPr>
                <w:rFonts w:hint="eastAsia"/>
                <w:color w:val="auto"/>
                <w:kern w:val="0"/>
                <w:szCs w:val="21"/>
              </w:rPr>
              <w:t>（干基）</w:t>
            </w:r>
            <w:r>
              <w:rPr>
                <w:rFonts w:hint="eastAsia"/>
                <w:color w:val="auto"/>
                <w:kern w:val="0"/>
                <w:szCs w:val="21"/>
                <w:lang w:val="en-US" w:eastAsia="zh-CN"/>
              </w:rPr>
              <w:t>。</w:t>
            </w:r>
            <w:r>
              <w:rPr>
                <w:rFonts w:hint="eastAsia"/>
                <w:color w:val="auto"/>
                <w:kern w:val="0"/>
                <w:szCs w:val="21"/>
              </w:rPr>
              <w:t>废水处理系统的泥沙，经板框压滤机压滤后泥饼含水率降至60%左右。经计算，项目干化泥饼的产生量为</w:t>
            </w:r>
            <w:r>
              <w:rPr>
                <w:rFonts w:hint="eastAsia"/>
                <w:color w:val="auto"/>
                <w:kern w:val="0"/>
                <w:szCs w:val="21"/>
                <w:lang w:val="en-US" w:eastAsia="zh-CN"/>
              </w:rPr>
              <w:t>61421.76</w:t>
            </w:r>
            <w:r>
              <w:rPr>
                <w:rFonts w:hint="eastAsia"/>
                <w:color w:val="auto"/>
                <w:kern w:val="0"/>
                <w:szCs w:val="21"/>
              </w:rPr>
              <w:t>t/a（</w:t>
            </w:r>
            <w:r>
              <w:rPr>
                <w:rFonts w:hint="eastAsia" w:ascii="宋体" w:hAnsi="宋体"/>
                <w:color w:val="auto"/>
                <w:kern w:val="0"/>
              </w:rPr>
              <w:t>约</w:t>
            </w:r>
            <w:r>
              <w:rPr>
                <w:rFonts w:hint="eastAsia"/>
                <w:color w:val="auto"/>
                <w:kern w:val="0"/>
                <w:lang w:val="en-US" w:eastAsia="zh-CN"/>
              </w:rPr>
              <w:t>191.94</w:t>
            </w:r>
            <w:r>
              <w:rPr>
                <w:rFonts w:hint="eastAsia"/>
                <w:color w:val="auto"/>
                <w:kern w:val="0"/>
              </w:rPr>
              <w:t>t/d</w:t>
            </w:r>
            <w:r>
              <w:rPr>
                <w:rFonts w:hint="eastAsia"/>
                <w:color w:val="auto"/>
                <w:kern w:val="0"/>
                <w:szCs w:val="21"/>
              </w:rPr>
              <w:t>），含水率60%。干化泥饼在压滤机下方的泥饼池暂存，定期拉运至附近砖厂做制砖</w:t>
            </w:r>
            <w:r>
              <w:rPr>
                <w:rFonts w:hint="eastAsia"/>
                <w:color w:val="auto"/>
                <w:kern w:val="0"/>
                <w:szCs w:val="21"/>
                <w:lang w:val="en-US" w:eastAsia="zh-CN"/>
              </w:rPr>
              <w:t>或建材厂做</w:t>
            </w:r>
            <w:r>
              <w:rPr>
                <w:rFonts w:hint="eastAsia"/>
                <w:color w:val="auto"/>
                <w:kern w:val="0"/>
                <w:szCs w:val="21"/>
              </w:rPr>
              <w:t>原料利用。评价要求，建设单位应营运期切实做好干化泥饼的合理处置，做好干化泥饼外运处置的台账记录。</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rPr>
            </w:pPr>
            <w:r>
              <w:rPr>
                <w:rFonts w:hint="eastAsia"/>
                <w:color w:val="auto"/>
                <w:kern w:val="0"/>
                <w:szCs w:val="21"/>
              </w:rPr>
              <w:t>（2）废包装材料</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rPr>
            </w:pPr>
            <w:r>
              <w:rPr>
                <w:rFonts w:hint="eastAsia"/>
                <w:color w:val="auto"/>
                <w:kern w:val="0"/>
                <w:szCs w:val="21"/>
              </w:rPr>
              <w:t>项目废水处理采用聚丙烯酰胺、聚合氯化铝做絮凝剂。使用后剩下的废包装材料，产生量约0.</w:t>
            </w:r>
            <w:r>
              <w:rPr>
                <w:rFonts w:hint="default"/>
                <w:color w:val="auto"/>
                <w:kern w:val="0"/>
                <w:szCs w:val="21"/>
              </w:rPr>
              <w:t>1</w:t>
            </w:r>
            <w:r>
              <w:rPr>
                <w:rFonts w:hint="eastAsia"/>
                <w:color w:val="auto"/>
                <w:kern w:val="0"/>
                <w:szCs w:val="21"/>
              </w:rPr>
              <w:t>t/a。统一收集后，由厂家回收利用。</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olor w:val="auto"/>
                <w:kern w:val="0"/>
                <w:szCs w:val="21"/>
                <w:lang w:val="en-US" w:eastAsia="zh-CN"/>
              </w:rPr>
            </w:pPr>
            <w:r>
              <w:rPr>
                <w:rFonts w:hint="eastAsia"/>
                <w:color w:val="auto"/>
                <w:kern w:val="0"/>
                <w:szCs w:val="21"/>
                <w:lang w:eastAsia="zh-CN"/>
              </w:rPr>
              <w:t>（</w:t>
            </w:r>
            <w:r>
              <w:rPr>
                <w:rFonts w:hint="eastAsia"/>
                <w:color w:val="auto"/>
                <w:kern w:val="0"/>
                <w:szCs w:val="21"/>
                <w:lang w:val="en-US" w:eastAsia="zh-CN"/>
              </w:rPr>
              <w:t>3</w:t>
            </w:r>
            <w:r>
              <w:rPr>
                <w:rFonts w:hint="eastAsia"/>
                <w:color w:val="auto"/>
                <w:kern w:val="0"/>
                <w:szCs w:val="21"/>
                <w:lang w:eastAsia="zh-CN"/>
              </w:rPr>
              <w:t>）</w:t>
            </w:r>
            <w:r>
              <w:rPr>
                <w:rFonts w:hint="eastAsia"/>
                <w:color w:val="auto"/>
                <w:kern w:val="0"/>
                <w:szCs w:val="21"/>
                <w:lang w:val="en-US" w:eastAsia="zh-CN"/>
              </w:rPr>
              <w:t>铁质废物</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olor w:val="auto"/>
                <w:kern w:val="0"/>
                <w:szCs w:val="21"/>
                <w:lang w:val="en-US" w:eastAsia="zh-CN"/>
              </w:rPr>
            </w:pPr>
            <w:r>
              <w:rPr>
                <w:rFonts w:hint="eastAsia" w:ascii="Times New Roman" w:hAnsi="Times New Roman" w:eastAsia="宋体"/>
                <w:color w:val="auto"/>
                <w:kern w:val="0"/>
                <w:szCs w:val="21"/>
                <w:lang w:val="en-US" w:eastAsia="zh-CN"/>
              </w:rPr>
              <w:t>项目生产线设有除铁器，能够收集原料中的少量铁质废物，避免对后续破碎等生产设备造成损坏。根据建设单位介绍，铁质废物产生量较少，约0.1t/a。定期收集后外售废品回收站。</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olor w:val="auto"/>
                <w:kern w:val="0"/>
                <w:szCs w:val="21"/>
                <w:lang w:val="en-US" w:eastAsia="zh-CN"/>
              </w:rPr>
            </w:pPr>
            <w:r>
              <w:rPr>
                <w:rFonts w:hint="eastAsia"/>
                <w:color w:val="auto"/>
                <w:kern w:val="0"/>
                <w:szCs w:val="21"/>
              </w:rPr>
              <w:t>（</w:t>
            </w:r>
            <w:r>
              <w:rPr>
                <w:rFonts w:hint="eastAsia"/>
                <w:color w:val="auto"/>
                <w:kern w:val="0"/>
                <w:szCs w:val="21"/>
                <w:lang w:val="en-US" w:eastAsia="zh-CN"/>
              </w:rPr>
              <w:t>4</w:t>
            </w:r>
            <w:r>
              <w:rPr>
                <w:rFonts w:hint="eastAsia"/>
                <w:color w:val="auto"/>
                <w:kern w:val="0"/>
                <w:szCs w:val="21"/>
              </w:rPr>
              <w:t>）</w:t>
            </w:r>
            <w:r>
              <w:rPr>
                <w:rFonts w:hint="eastAsia"/>
                <w:color w:val="auto"/>
                <w:kern w:val="0"/>
                <w:szCs w:val="21"/>
                <w:lang w:val="en-US" w:eastAsia="zh-CN"/>
              </w:rPr>
              <w:t>振动给料分离的泥</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lang w:val="en-US" w:eastAsia="zh-CN"/>
              </w:rPr>
            </w:pPr>
            <w:r>
              <w:rPr>
                <w:rFonts w:hint="eastAsia"/>
                <w:color w:val="auto"/>
                <w:kern w:val="0"/>
                <w:szCs w:val="21"/>
                <w:lang w:val="en-US" w:eastAsia="zh-CN"/>
              </w:rPr>
              <w:t>本项目原料为矿山开采企业生产的块状矿石料，原料装车过程不可避免的会带入少量泥、砂等。根据建设单位介绍，本项目外购原料的含泥量会控制在5%以内。经计算原料泥沙干基含量约61421.76t/a。在生产线的振动给料过程会分离其中约60%的泥沙，产生量约36853.06t/a。生产时将产生的泥沙收集</w:t>
            </w:r>
            <w:r>
              <w:rPr>
                <w:rFonts w:hint="default"/>
                <w:color w:val="auto"/>
                <w:kern w:val="0"/>
                <w:szCs w:val="21"/>
                <w:lang w:val="en-US" w:eastAsia="zh-CN"/>
              </w:rPr>
              <w:t>后</w:t>
            </w:r>
            <w:r>
              <w:rPr>
                <w:rFonts w:hint="eastAsia"/>
                <w:color w:val="auto"/>
                <w:kern w:val="0"/>
                <w:szCs w:val="21"/>
                <w:lang w:val="en-US" w:eastAsia="zh-CN"/>
              </w:rPr>
              <w:t>，统一</w:t>
            </w:r>
            <w:r>
              <w:rPr>
                <w:rFonts w:hint="default"/>
                <w:color w:val="auto"/>
                <w:kern w:val="0"/>
                <w:szCs w:val="21"/>
                <w:lang w:val="en-US" w:eastAsia="zh-CN"/>
              </w:rPr>
              <w:t>由原料运输车辆统一运回出售矿石的矿山企业用于采空区回填</w:t>
            </w:r>
            <w:r>
              <w:rPr>
                <w:rFonts w:hint="eastAsia"/>
                <w:color w:val="auto"/>
                <w:kern w:val="0"/>
                <w:szCs w:val="21"/>
                <w:lang w:val="en-US"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rPr>
            </w:pPr>
            <w:r>
              <w:rPr>
                <w:rFonts w:hint="eastAsia"/>
                <w:color w:val="auto"/>
                <w:kern w:val="0"/>
                <w:szCs w:val="21"/>
                <w:lang w:eastAsia="zh-CN"/>
              </w:rPr>
              <w:t>（</w:t>
            </w:r>
            <w:r>
              <w:rPr>
                <w:rFonts w:hint="eastAsia"/>
                <w:color w:val="auto"/>
                <w:kern w:val="0"/>
                <w:szCs w:val="21"/>
                <w:lang w:val="en-US" w:eastAsia="zh-CN"/>
              </w:rPr>
              <w:t>5</w:t>
            </w:r>
            <w:r>
              <w:rPr>
                <w:rFonts w:hint="eastAsia"/>
                <w:color w:val="auto"/>
                <w:kern w:val="0"/>
                <w:szCs w:val="21"/>
                <w:lang w:eastAsia="zh-CN"/>
              </w:rPr>
              <w:t>）</w:t>
            </w:r>
            <w:r>
              <w:rPr>
                <w:rFonts w:hint="eastAsia"/>
                <w:color w:val="auto"/>
                <w:kern w:val="0"/>
                <w:szCs w:val="21"/>
              </w:rPr>
              <w:t>生活垃圾</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rPr>
            </w:pPr>
            <w:r>
              <w:rPr>
                <w:rFonts w:hint="eastAsia"/>
                <w:color w:val="auto"/>
                <w:kern w:val="0"/>
                <w:szCs w:val="21"/>
              </w:rPr>
              <w:t>项目员工人数为</w:t>
            </w:r>
            <w:r>
              <w:rPr>
                <w:rFonts w:hint="default"/>
                <w:color w:val="auto"/>
                <w:kern w:val="0"/>
                <w:szCs w:val="21"/>
              </w:rPr>
              <w:t>20</w:t>
            </w:r>
            <w:r>
              <w:rPr>
                <w:rFonts w:hint="eastAsia"/>
                <w:color w:val="auto"/>
                <w:kern w:val="0"/>
                <w:szCs w:val="21"/>
              </w:rPr>
              <w:t>人，生活垃圾产生量为0.5kg/d·人。经计算，项目生活垃圾产生量为</w:t>
            </w:r>
            <w:r>
              <w:rPr>
                <w:rFonts w:hint="default"/>
                <w:color w:val="auto"/>
                <w:kern w:val="0"/>
                <w:szCs w:val="21"/>
              </w:rPr>
              <w:t>3.0</w:t>
            </w:r>
            <w:r>
              <w:rPr>
                <w:rFonts w:hint="eastAsia"/>
                <w:color w:val="auto"/>
                <w:kern w:val="0"/>
                <w:szCs w:val="21"/>
              </w:rPr>
              <w:t>t/a。厂区设垃圾桶收集后，及时外运附近生活垃圾集中收集点，由环卫负责清运处置。</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kern w:val="0"/>
                <w:szCs w:val="21"/>
              </w:rPr>
            </w:pPr>
            <w:r>
              <w:rPr>
                <w:rFonts w:hint="default"/>
                <w:color w:val="auto"/>
                <w:kern w:val="0"/>
                <w:szCs w:val="21"/>
              </w:rPr>
              <w:t>在采取上述固废处置措施后，本项目固体废物能够做到去向明确，能够得到妥善处置，不会产生二次污染。</w:t>
            </w: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eastAsia="黑体"/>
                <w:color w:val="auto"/>
                <w:kern w:val="0"/>
                <w:sz w:val="20"/>
                <w:szCs w:val="20"/>
                <w:lang w:val="zh-CN"/>
              </w:rPr>
            </w:pPr>
            <w:r>
              <w:rPr>
                <w:rFonts w:hint="default" w:eastAsia="黑体"/>
                <w:color w:val="auto"/>
                <w:kern w:val="0"/>
                <w:sz w:val="20"/>
                <w:szCs w:val="20"/>
                <w:lang w:val="zh-CN"/>
              </w:rPr>
              <w:t>表</w:t>
            </w:r>
            <w:r>
              <w:rPr>
                <w:rFonts w:hint="default" w:eastAsia="黑体"/>
                <w:color w:val="auto"/>
                <w:kern w:val="0"/>
                <w:sz w:val="20"/>
                <w:szCs w:val="20"/>
              </w:rPr>
              <w:t>4-13</w:t>
            </w:r>
            <w:r>
              <w:rPr>
                <w:rFonts w:hint="default" w:eastAsia="黑体"/>
                <w:color w:val="auto"/>
                <w:kern w:val="0"/>
                <w:sz w:val="20"/>
                <w:szCs w:val="20"/>
                <w:lang w:val="zh-CN"/>
              </w:rPr>
              <w:t xml:space="preserve"> </w:t>
            </w:r>
            <w:r>
              <w:rPr>
                <w:rFonts w:hint="eastAsia" w:eastAsia="黑体"/>
                <w:color w:val="auto"/>
                <w:kern w:val="0"/>
                <w:sz w:val="20"/>
                <w:szCs w:val="20"/>
                <w:lang w:val="en-US" w:eastAsia="zh-CN"/>
              </w:rPr>
              <w:t xml:space="preserve">  </w:t>
            </w:r>
            <w:r>
              <w:rPr>
                <w:rFonts w:hint="default" w:eastAsia="黑体"/>
                <w:color w:val="auto"/>
                <w:kern w:val="0"/>
                <w:sz w:val="20"/>
                <w:szCs w:val="20"/>
                <w:lang w:val="zh-CN"/>
              </w:rPr>
              <w:t xml:space="preserve"> 固体废物产生情况表</w:t>
            </w:r>
          </w:p>
          <w:tbl>
            <w:tblPr>
              <w:tblStyle w:val="14"/>
              <w:tblW w:w="80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197"/>
              <w:gridCol w:w="852"/>
              <w:gridCol w:w="851"/>
              <w:gridCol w:w="545"/>
              <w:gridCol w:w="590"/>
              <w:gridCol w:w="531"/>
              <w:gridCol w:w="746"/>
              <w:gridCol w:w="851"/>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4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105" w:leftChars="-50" w:right="-105" w:rightChars="-50"/>
                    <w:jc w:val="center"/>
                    <w:textAlignment w:val="auto"/>
                    <w:rPr>
                      <w:rFonts w:hint="default"/>
                      <w:b/>
                      <w:color w:val="auto"/>
                      <w:sz w:val="18"/>
                      <w:szCs w:val="18"/>
                    </w:rPr>
                  </w:pPr>
                  <w:r>
                    <w:rPr>
                      <w:rFonts w:hint="default"/>
                      <w:b/>
                      <w:color w:val="auto"/>
                      <w:sz w:val="18"/>
                      <w:szCs w:val="18"/>
                    </w:rPr>
                    <w:t>序号</w:t>
                  </w:r>
                </w:p>
              </w:tc>
              <w:tc>
                <w:tcPr>
                  <w:tcW w:w="119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105" w:leftChars="-50" w:right="-105" w:rightChars="-50"/>
                    <w:jc w:val="center"/>
                    <w:textAlignment w:val="auto"/>
                    <w:rPr>
                      <w:rFonts w:hint="default"/>
                      <w:b/>
                      <w:color w:val="auto"/>
                      <w:sz w:val="18"/>
                      <w:szCs w:val="18"/>
                    </w:rPr>
                  </w:pPr>
                  <w:r>
                    <w:rPr>
                      <w:rFonts w:hint="default"/>
                      <w:b/>
                      <w:color w:val="auto"/>
                      <w:sz w:val="18"/>
                      <w:szCs w:val="18"/>
                    </w:rPr>
                    <w:t>名称</w:t>
                  </w:r>
                </w:p>
              </w:tc>
              <w:tc>
                <w:tcPr>
                  <w:tcW w:w="85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105" w:leftChars="-50" w:right="-105" w:rightChars="-50"/>
                    <w:jc w:val="center"/>
                    <w:textAlignment w:val="auto"/>
                    <w:rPr>
                      <w:rFonts w:hint="default"/>
                      <w:b/>
                      <w:color w:val="auto"/>
                      <w:sz w:val="18"/>
                      <w:szCs w:val="18"/>
                    </w:rPr>
                  </w:pPr>
                  <w:r>
                    <w:rPr>
                      <w:rFonts w:hint="default"/>
                      <w:b/>
                      <w:color w:val="auto"/>
                      <w:sz w:val="18"/>
                      <w:szCs w:val="18"/>
                    </w:rPr>
                    <w:t>产生环节</w:t>
                  </w:r>
                </w:p>
              </w:tc>
              <w:tc>
                <w:tcPr>
                  <w:tcW w:w="85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71" w:leftChars="-34" w:right="-71" w:rightChars="-34"/>
                    <w:jc w:val="center"/>
                    <w:textAlignment w:val="auto"/>
                    <w:rPr>
                      <w:rFonts w:hint="default"/>
                      <w:b/>
                      <w:color w:val="auto"/>
                      <w:sz w:val="18"/>
                      <w:szCs w:val="18"/>
                    </w:rPr>
                  </w:pPr>
                  <w:r>
                    <w:rPr>
                      <w:rFonts w:hint="default"/>
                      <w:b/>
                      <w:color w:val="auto"/>
                      <w:sz w:val="18"/>
                      <w:szCs w:val="18"/>
                    </w:rPr>
                    <w:t>固废类别</w:t>
                  </w:r>
                </w:p>
              </w:tc>
              <w:tc>
                <w:tcPr>
                  <w:tcW w:w="54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105" w:leftChars="-50" w:right="-105" w:rightChars="-50"/>
                    <w:jc w:val="center"/>
                    <w:textAlignment w:val="auto"/>
                    <w:rPr>
                      <w:rFonts w:hint="default"/>
                      <w:b/>
                      <w:color w:val="auto"/>
                      <w:sz w:val="18"/>
                      <w:szCs w:val="18"/>
                    </w:rPr>
                  </w:pPr>
                  <w:r>
                    <w:rPr>
                      <w:rFonts w:hint="default"/>
                      <w:b/>
                      <w:color w:val="auto"/>
                      <w:sz w:val="18"/>
                      <w:szCs w:val="18"/>
                    </w:rPr>
                    <w:t>属性</w:t>
                  </w:r>
                </w:p>
              </w:tc>
              <w:tc>
                <w:tcPr>
                  <w:tcW w:w="59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105" w:leftChars="-50" w:right="-105" w:rightChars="-50"/>
                    <w:jc w:val="center"/>
                    <w:textAlignment w:val="auto"/>
                    <w:rPr>
                      <w:rFonts w:hint="default"/>
                      <w:b/>
                      <w:color w:val="auto"/>
                      <w:sz w:val="18"/>
                      <w:szCs w:val="18"/>
                    </w:rPr>
                  </w:pPr>
                  <w:r>
                    <w:rPr>
                      <w:rFonts w:hint="default"/>
                      <w:b/>
                      <w:color w:val="auto"/>
                      <w:sz w:val="18"/>
                      <w:szCs w:val="18"/>
                    </w:rPr>
                    <w:t>产生量</w:t>
                  </w:r>
                </w:p>
              </w:tc>
              <w:tc>
                <w:tcPr>
                  <w:tcW w:w="5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b/>
                      <w:bCs/>
                      <w:color w:val="auto"/>
                      <w:sz w:val="18"/>
                      <w:szCs w:val="18"/>
                    </w:rPr>
                  </w:pPr>
                  <w:r>
                    <w:rPr>
                      <w:rFonts w:hint="default"/>
                      <w:b/>
                      <w:bCs/>
                      <w:color w:val="auto"/>
                      <w:sz w:val="18"/>
                      <w:szCs w:val="18"/>
                    </w:rPr>
                    <w:t>性状</w:t>
                  </w:r>
                </w:p>
              </w:tc>
              <w:tc>
                <w:tcPr>
                  <w:tcW w:w="746"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b/>
                      <w:bCs/>
                      <w:color w:val="auto"/>
                      <w:kern w:val="0"/>
                      <w:sz w:val="18"/>
                      <w:szCs w:val="18"/>
                    </w:rPr>
                  </w:pPr>
                  <w:r>
                    <w:rPr>
                      <w:rFonts w:hint="default"/>
                      <w:b/>
                      <w:bCs/>
                      <w:color w:val="auto"/>
                      <w:kern w:val="0"/>
                      <w:sz w:val="18"/>
                      <w:szCs w:val="18"/>
                    </w:rPr>
                    <w:t>主要成分</w:t>
                  </w:r>
                </w:p>
              </w:tc>
              <w:tc>
                <w:tcPr>
                  <w:tcW w:w="85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b/>
                      <w:bCs/>
                      <w:color w:val="auto"/>
                      <w:kern w:val="0"/>
                      <w:sz w:val="18"/>
                      <w:szCs w:val="18"/>
                    </w:rPr>
                  </w:pPr>
                  <w:r>
                    <w:rPr>
                      <w:rFonts w:hint="default"/>
                      <w:b/>
                      <w:bCs/>
                      <w:color w:val="auto"/>
                      <w:kern w:val="0"/>
                      <w:sz w:val="18"/>
                      <w:szCs w:val="18"/>
                    </w:rPr>
                    <w:t>贮存方式</w:t>
                  </w:r>
                </w:p>
              </w:tc>
              <w:tc>
                <w:tcPr>
                  <w:tcW w:w="145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105" w:leftChars="-50" w:right="-105" w:rightChars="-50"/>
                    <w:jc w:val="center"/>
                    <w:textAlignment w:val="auto"/>
                    <w:rPr>
                      <w:rFonts w:hint="default"/>
                      <w:b/>
                      <w:color w:val="auto"/>
                      <w:sz w:val="18"/>
                      <w:szCs w:val="18"/>
                    </w:rPr>
                  </w:pPr>
                  <w:r>
                    <w:rPr>
                      <w:rFonts w:hint="default"/>
                      <w:b/>
                      <w:color w:val="auto"/>
                      <w:sz w:val="18"/>
                      <w:szCs w:val="18"/>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4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105" w:leftChars="-50" w:right="-105" w:rightChars="-50"/>
                    <w:jc w:val="center"/>
                    <w:textAlignment w:val="auto"/>
                    <w:rPr>
                      <w:rFonts w:hint="default"/>
                      <w:bCs/>
                      <w:color w:val="auto"/>
                      <w:sz w:val="18"/>
                      <w:szCs w:val="18"/>
                    </w:rPr>
                  </w:pPr>
                  <w:r>
                    <w:rPr>
                      <w:rFonts w:hint="default"/>
                      <w:bCs/>
                      <w:color w:val="auto"/>
                      <w:sz w:val="18"/>
                      <w:szCs w:val="18"/>
                    </w:rPr>
                    <w:t>1</w:t>
                  </w:r>
                </w:p>
              </w:tc>
              <w:tc>
                <w:tcPr>
                  <w:tcW w:w="119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53" w:leftChars="-25" w:right="-53" w:rightChars="-25"/>
                    <w:jc w:val="center"/>
                    <w:textAlignment w:val="auto"/>
                    <w:rPr>
                      <w:rFonts w:hint="default"/>
                      <w:color w:val="auto"/>
                      <w:sz w:val="18"/>
                      <w:szCs w:val="18"/>
                    </w:rPr>
                  </w:pPr>
                  <w:r>
                    <w:rPr>
                      <w:rFonts w:hint="eastAsia" w:ascii="宋体" w:hAnsi="宋体"/>
                      <w:color w:val="auto"/>
                      <w:sz w:val="18"/>
                      <w:szCs w:val="18"/>
                    </w:rPr>
                    <w:t>干化泥饼</w:t>
                  </w:r>
                </w:p>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53" w:leftChars="-25" w:right="-53" w:rightChars="-25"/>
                    <w:jc w:val="center"/>
                    <w:textAlignment w:val="auto"/>
                    <w:rPr>
                      <w:rFonts w:hint="default"/>
                      <w:color w:val="auto"/>
                      <w:sz w:val="18"/>
                      <w:szCs w:val="18"/>
                    </w:rPr>
                  </w:pPr>
                  <w:r>
                    <w:rPr>
                      <w:rFonts w:hint="eastAsia" w:ascii="宋体" w:hAnsi="宋体"/>
                      <w:color w:val="auto"/>
                      <w:sz w:val="18"/>
                      <w:szCs w:val="18"/>
                    </w:rPr>
                    <w:t>（含水</w:t>
                  </w:r>
                  <w:r>
                    <w:rPr>
                      <w:rFonts w:hint="eastAsia"/>
                      <w:color w:val="auto"/>
                      <w:sz w:val="18"/>
                      <w:szCs w:val="18"/>
                    </w:rPr>
                    <w:t>60%</w:t>
                  </w:r>
                  <w:r>
                    <w:rPr>
                      <w:rFonts w:hint="eastAsia" w:ascii="宋体" w:hAnsi="宋体"/>
                      <w:color w:val="auto"/>
                      <w:sz w:val="18"/>
                      <w:szCs w:val="18"/>
                    </w:rPr>
                    <w:t>）</w:t>
                  </w:r>
                </w:p>
              </w:tc>
              <w:tc>
                <w:tcPr>
                  <w:tcW w:w="85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sz w:val="18"/>
                      <w:szCs w:val="18"/>
                    </w:rPr>
                  </w:pPr>
                  <w:r>
                    <w:rPr>
                      <w:rFonts w:hint="default"/>
                      <w:color w:val="auto"/>
                      <w:kern w:val="0"/>
                      <w:sz w:val="18"/>
                      <w:szCs w:val="18"/>
                    </w:rPr>
                    <w:t>废水处理</w:t>
                  </w:r>
                </w:p>
              </w:tc>
              <w:tc>
                <w:tcPr>
                  <w:tcW w:w="85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53" w:leftChars="-25" w:right="-53" w:rightChars="-25"/>
                    <w:jc w:val="center"/>
                    <w:textAlignment w:val="auto"/>
                    <w:rPr>
                      <w:rFonts w:hint="default"/>
                      <w:color w:val="auto"/>
                      <w:sz w:val="18"/>
                      <w:szCs w:val="18"/>
                    </w:rPr>
                  </w:pPr>
                  <w:r>
                    <w:rPr>
                      <w:rFonts w:hint="eastAsia" w:ascii="宋体" w:hAnsi="宋体"/>
                      <w:color w:val="auto"/>
                      <w:sz w:val="18"/>
                      <w:szCs w:val="18"/>
                    </w:rPr>
                    <w:t>无机废水污泥</w:t>
                  </w:r>
                </w:p>
              </w:tc>
              <w:tc>
                <w:tcPr>
                  <w:tcW w:w="54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一般固废</w:t>
                  </w:r>
                </w:p>
              </w:tc>
              <w:tc>
                <w:tcPr>
                  <w:tcW w:w="59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eastAsia"/>
                      <w:color w:val="auto"/>
                      <w:kern w:val="0"/>
                      <w:sz w:val="18"/>
                      <w:szCs w:val="18"/>
                      <w:lang w:val="en-US" w:eastAsia="zh-CN"/>
                    </w:rPr>
                    <w:t>61421.76</w:t>
                  </w:r>
                  <w:r>
                    <w:rPr>
                      <w:rFonts w:hint="eastAsia"/>
                      <w:color w:val="auto"/>
                      <w:kern w:val="0"/>
                      <w:sz w:val="18"/>
                      <w:szCs w:val="18"/>
                    </w:rPr>
                    <w:t>t/a</w:t>
                  </w:r>
                </w:p>
              </w:tc>
              <w:tc>
                <w:tcPr>
                  <w:tcW w:w="5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固态</w:t>
                  </w:r>
                </w:p>
              </w:tc>
              <w:tc>
                <w:tcPr>
                  <w:tcW w:w="746"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eastAsia"/>
                      <w:color w:val="auto"/>
                      <w:kern w:val="0"/>
                      <w:sz w:val="18"/>
                      <w:szCs w:val="18"/>
                    </w:rPr>
                    <w:t>泥砂</w:t>
                  </w:r>
                </w:p>
              </w:tc>
              <w:tc>
                <w:tcPr>
                  <w:tcW w:w="85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干化</w:t>
                  </w:r>
                  <w:r>
                    <w:rPr>
                      <w:rFonts w:hint="eastAsia"/>
                      <w:color w:val="auto"/>
                      <w:kern w:val="0"/>
                      <w:sz w:val="18"/>
                      <w:szCs w:val="18"/>
                    </w:rPr>
                    <w:t>场</w:t>
                  </w:r>
                </w:p>
              </w:tc>
              <w:tc>
                <w:tcPr>
                  <w:tcW w:w="145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送至砖厂做原料或当地政府指定的弃土场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4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Cs/>
                      <w:color w:val="auto"/>
                      <w:kern w:val="2"/>
                      <w:sz w:val="18"/>
                      <w:szCs w:val="18"/>
                      <w:lang w:val="en-US" w:eastAsia="zh-CN" w:bidi="ar-SA"/>
                    </w:rPr>
                  </w:pPr>
                  <w:r>
                    <w:rPr>
                      <w:rFonts w:hint="eastAsia"/>
                      <w:bCs/>
                      <w:color w:val="auto"/>
                      <w:sz w:val="18"/>
                      <w:szCs w:val="18"/>
                    </w:rPr>
                    <w:t>2</w:t>
                  </w:r>
                </w:p>
              </w:tc>
              <w:tc>
                <w:tcPr>
                  <w:tcW w:w="119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53" w:leftChars="-25" w:right="-53" w:rightChars="-25"/>
                    <w:jc w:val="center"/>
                    <w:textAlignment w:val="auto"/>
                    <w:rPr>
                      <w:rFonts w:hint="eastAsia" w:ascii="宋体" w:hAnsi="宋体" w:eastAsia="宋体"/>
                      <w:color w:val="auto"/>
                      <w:sz w:val="18"/>
                      <w:szCs w:val="18"/>
                      <w:lang w:val="en-US" w:eastAsia="zh-CN"/>
                    </w:rPr>
                  </w:pPr>
                  <w:r>
                    <w:rPr>
                      <w:rFonts w:hint="eastAsia" w:ascii="宋体" w:hAnsi="宋体"/>
                      <w:color w:val="auto"/>
                      <w:sz w:val="18"/>
                      <w:szCs w:val="18"/>
                      <w:lang w:val="en-US" w:eastAsia="zh-CN"/>
                    </w:rPr>
                    <w:t>振动给料分离的泥沙</w:t>
                  </w:r>
                </w:p>
              </w:tc>
              <w:tc>
                <w:tcPr>
                  <w:tcW w:w="85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振动给料</w:t>
                  </w:r>
                </w:p>
              </w:tc>
              <w:tc>
                <w:tcPr>
                  <w:tcW w:w="85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53" w:leftChars="-25" w:right="-53" w:rightChars="-25"/>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其他废物</w:t>
                  </w:r>
                </w:p>
              </w:tc>
              <w:tc>
                <w:tcPr>
                  <w:tcW w:w="54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一般固废</w:t>
                  </w:r>
                </w:p>
              </w:tc>
              <w:tc>
                <w:tcPr>
                  <w:tcW w:w="59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lang w:val="en-US" w:eastAsia="zh-CN"/>
                    </w:rPr>
                  </w:pPr>
                  <w:r>
                    <w:rPr>
                      <w:rFonts w:hint="eastAsia"/>
                      <w:color w:val="auto"/>
                      <w:kern w:val="0"/>
                      <w:sz w:val="18"/>
                      <w:szCs w:val="18"/>
                      <w:lang w:val="en-US" w:eastAsia="zh-CN"/>
                    </w:rPr>
                    <w:t>36853.06t/a</w:t>
                  </w:r>
                </w:p>
              </w:tc>
              <w:tc>
                <w:tcPr>
                  <w:tcW w:w="5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eastAsia" w:eastAsia="宋体"/>
                      <w:color w:val="auto"/>
                      <w:kern w:val="0"/>
                      <w:sz w:val="18"/>
                      <w:szCs w:val="18"/>
                      <w:lang w:val="en-US" w:eastAsia="zh-CN"/>
                    </w:rPr>
                  </w:pPr>
                  <w:r>
                    <w:rPr>
                      <w:rFonts w:hint="eastAsia"/>
                      <w:color w:val="auto"/>
                      <w:kern w:val="0"/>
                      <w:sz w:val="18"/>
                      <w:szCs w:val="18"/>
                      <w:lang w:val="en-US" w:eastAsia="zh-CN"/>
                    </w:rPr>
                    <w:t>固态</w:t>
                  </w:r>
                </w:p>
              </w:tc>
              <w:tc>
                <w:tcPr>
                  <w:tcW w:w="746"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eastAsia" w:eastAsia="宋体"/>
                      <w:color w:val="auto"/>
                      <w:kern w:val="0"/>
                      <w:sz w:val="18"/>
                      <w:szCs w:val="18"/>
                      <w:lang w:val="en-US" w:eastAsia="zh-CN"/>
                    </w:rPr>
                  </w:pPr>
                  <w:r>
                    <w:rPr>
                      <w:rFonts w:hint="eastAsia"/>
                      <w:color w:val="auto"/>
                      <w:kern w:val="0"/>
                      <w:sz w:val="18"/>
                      <w:szCs w:val="18"/>
                      <w:lang w:val="en-US" w:eastAsia="zh-CN"/>
                    </w:rPr>
                    <w:t>泥砂</w:t>
                  </w:r>
                </w:p>
              </w:tc>
              <w:tc>
                <w:tcPr>
                  <w:tcW w:w="85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车间内收集</w:t>
                  </w:r>
                </w:p>
              </w:tc>
              <w:tc>
                <w:tcPr>
                  <w:tcW w:w="145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统一运回出售矿石的矿山企业用于采空区回填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4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3</w:t>
                  </w:r>
                </w:p>
              </w:tc>
              <w:tc>
                <w:tcPr>
                  <w:tcW w:w="119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53" w:leftChars="-25" w:right="-53" w:rightChars="-25"/>
                    <w:jc w:val="center"/>
                    <w:textAlignment w:val="auto"/>
                    <w:rPr>
                      <w:rFonts w:hint="default"/>
                      <w:color w:val="auto"/>
                      <w:sz w:val="18"/>
                      <w:szCs w:val="18"/>
                    </w:rPr>
                  </w:pPr>
                  <w:r>
                    <w:rPr>
                      <w:rFonts w:hint="eastAsia" w:ascii="宋体" w:hAnsi="宋体"/>
                      <w:color w:val="auto"/>
                      <w:sz w:val="18"/>
                      <w:szCs w:val="18"/>
                    </w:rPr>
                    <w:t>废包装材料</w:t>
                  </w:r>
                </w:p>
              </w:tc>
              <w:tc>
                <w:tcPr>
                  <w:tcW w:w="85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废水处理</w:t>
                  </w:r>
                </w:p>
              </w:tc>
              <w:tc>
                <w:tcPr>
                  <w:tcW w:w="85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53" w:leftChars="-25" w:right="-53" w:rightChars="-25"/>
                    <w:jc w:val="center"/>
                    <w:textAlignment w:val="auto"/>
                    <w:rPr>
                      <w:rFonts w:hint="default"/>
                      <w:color w:val="auto"/>
                      <w:sz w:val="18"/>
                      <w:szCs w:val="18"/>
                    </w:rPr>
                  </w:pPr>
                  <w:r>
                    <w:rPr>
                      <w:rFonts w:hint="default" w:ascii="宋体" w:hAnsi="宋体"/>
                      <w:color w:val="auto"/>
                      <w:sz w:val="18"/>
                      <w:szCs w:val="18"/>
                    </w:rPr>
                    <w:t>废塑料</w:t>
                  </w:r>
                </w:p>
              </w:tc>
              <w:tc>
                <w:tcPr>
                  <w:tcW w:w="54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一般固废</w:t>
                  </w:r>
                </w:p>
              </w:tc>
              <w:tc>
                <w:tcPr>
                  <w:tcW w:w="59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eastAsia"/>
                      <w:color w:val="auto"/>
                      <w:kern w:val="0"/>
                      <w:sz w:val="18"/>
                      <w:szCs w:val="18"/>
                    </w:rPr>
                    <w:t>0.</w:t>
                  </w:r>
                  <w:r>
                    <w:rPr>
                      <w:rFonts w:hint="default"/>
                      <w:color w:val="auto"/>
                      <w:kern w:val="0"/>
                      <w:sz w:val="18"/>
                      <w:szCs w:val="18"/>
                    </w:rPr>
                    <w:t>1</w:t>
                  </w:r>
                  <w:r>
                    <w:rPr>
                      <w:rFonts w:hint="eastAsia"/>
                      <w:color w:val="auto"/>
                      <w:kern w:val="0"/>
                      <w:sz w:val="18"/>
                      <w:szCs w:val="18"/>
                    </w:rPr>
                    <w:t>t/a</w:t>
                  </w:r>
                </w:p>
              </w:tc>
              <w:tc>
                <w:tcPr>
                  <w:tcW w:w="5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固态</w:t>
                  </w:r>
                </w:p>
              </w:tc>
              <w:tc>
                <w:tcPr>
                  <w:tcW w:w="746"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eastAsia"/>
                      <w:color w:val="auto"/>
                      <w:kern w:val="0"/>
                      <w:sz w:val="18"/>
                      <w:szCs w:val="18"/>
                    </w:rPr>
                    <w:t>塑料</w:t>
                  </w:r>
                </w:p>
              </w:tc>
              <w:tc>
                <w:tcPr>
                  <w:tcW w:w="85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厂区固废点</w:t>
                  </w:r>
                </w:p>
              </w:tc>
              <w:tc>
                <w:tcPr>
                  <w:tcW w:w="145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right="0"/>
                    <w:textAlignment w:val="auto"/>
                    <w:rPr>
                      <w:rFonts w:hint="default"/>
                      <w:color w:val="auto"/>
                      <w:kern w:val="0"/>
                      <w:sz w:val="18"/>
                      <w:szCs w:val="18"/>
                    </w:rPr>
                  </w:pPr>
                  <w:r>
                    <w:rPr>
                      <w:rFonts w:hint="default"/>
                      <w:color w:val="auto"/>
                      <w:kern w:val="0"/>
                      <w:sz w:val="18"/>
                      <w:szCs w:val="18"/>
                    </w:rPr>
                    <w:t>送废品回收站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4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105" w:leftChars="-50" w:right="-105" w:rightChars="-50"/>
                    <w:jc w:val="center"/>
                    <w:textAlignment w:val="auto"/>
                    <w:rPr>
                      <w:rFonts w:hint="eastAsia" w:ascii="Times New Roman" w:hAnsi="Times New Roman" w:eastAsia="宋体" w:cs="Times New Roman"/>
                      <w:bCs/>
                      <w:color w:val="auto"/>
                      <w:kern w:val="2"/>
                      <w:sz w:val="18"/>
                      <w:szCs w:val="18"/>
                      <w:lang w:val="en-US" w:eastAsia="zh-CN" w:bidi="ar-SA"/>
                    </w:rPr>
                  </w:pPr>
                  <w:r>
                    <w:rPr>
                      <w:rFonts w:hint="eastAsia"/>
                      <w:bCs/>
                      <w:color w:val="auto"/>
                      <w:sz w:val="18"/>
                      <w:szCs w:val="18"/>
                      <w:lang w:val="en-US" w:eastAsia="zh-CN"/>
                    </w:rPr>
                    <w:t>4</w:t>
                  </w:r>
                </w:p>
              </w:tc>
              <w:tc>
                <w:tcPr>
                  <w:tcW w:w="119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53" w:leftChars="-25" w:right="-53" w:rightChars="-25"/>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铁质废物</w:t>
                  </w:r>
                </w:p>
              </w:tc>
              <w:tc>
                <w:tcPr>
                  <w:tcW w:w="85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除铁</w:t>
                  </w:r>
                </w:p>
              </w:tc>
              <w:tc>
                <w:tcPr>
                  <w:tcW w:w="85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53" w:leftChars="-25" w:right="-53" w:rightChars="-25"/>
                    <w:jc w:val="center"/>
                    <w:textAlignment w:val="auto"/>
                    <w:rPr>
                      <w:rFonts w:hint="default" w:ascii="宋体" w:hAnsi="宋体" w:eastAsia="宋体"/>
                      <w:color w:val="auto"/>
                      <w:sz w:val="18"/>
                      <w:szCs w:val="18"/>
                      <w:lang w:val="en-US" w:eastAsia="zh-CN"/>
                    </w:rPr>
                  </w:pPr>
                  <w:r>
                    <w:rPr>
                      <w:rFonts w:hint="eastAsia" w:ascii="宋体" w:hAnsi="宋体"/>
                      <w:color w:val="auto"/>
                      <w:sz w:val="18"/>
                      <w:szCs w:val="18"/>
                      <w:lang w:val="en-US" w:eastAsia="zh-CN"/>
                    </w:rPr>
                    <w:t>废金属</w:t>
                  </w:r>
                </w:p>
              </w:tc>
              <w:tc>
                <w:tcPr>
                  <w:tcW w:w="54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一般固废</w:t>
                  </w:r>
                </w:p>
              </w:tc>
              <w:tc>
                <w:tcPr>
                  <w:tcW w:w="59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0.1t/a</w:t>
                  </w:r>
                </w:p>
              </w:tc>
              <w:tc>
                <w:tcPr>
                  <w:tcW w:w="5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eastAsia" w:eastAsia="宋体"/>
                      <w:color w:val="auto"/>
                      <w:kern w:val="0"/>
                      <w:sz w:val="18"/>
                      <w:szCs w:val="18"/>
                      <w:lang w:val="en-US" w:eastAsia="zh-CN"/>
                    </w:rPr>
                  </w:pPr>
                  <w:r>
                    <w:rPr>
                      <w:rFonts w:hint="eastAsia"/>
                      <w:color w:val="auto"/>
                      <w:kern w:val="0"/>
                      <w:sz w:val="18"/>
                      <w:szCs w:val="18"/>
                      <w:lang w:val="en-US" w:eastAsia="zh-CN"/>
                    </w:rPr>
                    <w:t>固态</w:t>
                  </w:r>
                </w:p>
              </w:tc>
              <w:tc>
                <w:tcPr>
                  <w:tcW w:w="746"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eastAsia" w:eastAsia="宋体"/>
                      <w:color w:val="auto"/>
                      <w:kern w:val="0"/>
                      <w:sz w:val="18"/>
                      <w:szCs w:val="18"/>
                      <w:lang w:val="en-US" w:eastAsia="zh-CN"/>
                    </w:rPr>
                  </w:pPr>
                  <w:r>
                    <w:rPr>
                      <w:rFonts w:hint="eastAsia"/>
                      <w:color w:val="auto"/>
                      <w:kern w:val="0"/>
                      <w:sz w:val="18"/>
                      <w:szCs w:val="18"/>
                      <w:lang w:val="en-US" w:eastAsia="zh-CN"/>
                    </w:rPr>
                    <w:t>铁质</w:t>
                  </w:r>
                </w:p>
              </w:tc>
              <w:tc>
                <w:tcPr>
                  <w:tcW w:w="85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eastAsia="宋体"/>
                      <w:color w:val="auto"/>
                      <w:kern w:val="0"/>
                      <w:sz w:val="18"/>
                      <w:szCs w:val="18"/>
                      <w:lang w:val="en-US" w:eastAsia="zh-CN"/>
                    </w:rPr>
                  </w:pPr>
                  <w:r>
                    <w:rPr>
                      <w:rFonts w:hint="eastAsia"/>
                      <w:color w:val="auto"/>
                      <w:kern w:val="0"/>
                      <w:sz w:val="18"/>
                      <w:szCs w:val="18"/>
                      <w:lang w:val="en-US" w:eastAsia="zh-CN"/>
                    </w:rPr>
                    <w:t>厂区固定点收集</w:t>
                  </w:r>
                </w:p>
              </w:tc>
              <w:tc>
                <w:tcPr>
                  <w:tcW w:w="145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0" w:right="0"/>
                    <w:textAlignment w:val="auto"/>
                    <w:rPr>
                      <w:rFonts w:hint="default" w:eastAsia="宋体"/>
                      <w:color w:val="auto"/>
                      <w:kern w:val="0"/>
                      <w:sz w:val="18"/>
                      <w:szCs w:val="18"/>
                      <w:lang w:val="en-US" w:eastAsia="zh-CN"/>
                    </w:rPr>
                  </w:pPr>
                  <w:r>
                    <w:rPr>
                      <w:rFonts w:hint="eastAsia"/>
                      <w:color w:val="auto"/>
                      <w:kern w:val="0"/>
                      <w:sz w:val="18"/>
                      <w:szCs w:val="18"/>
                      <w:lang w:val="en-US" w:eastAsia="zh-CN"/>
                    </w:rPr>
                    <w:t>外售废品回收站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4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80" w:lineRule="exact"/>
                    <w:ind w:left="-105" w:leftChars="-50" w:right="-105" w:rightChars="-50"/>
                    <w:jc w:val="center"/>
                    <w:textAlignment w:val="auto"/>
                    <w:rPr>
                      <w:rFonts w:hint="default" w:eastAsia="宋体"/>
                      <w:bCs/>
                      <w:color w:val="auto"/>
                      <w:sz w:val="18"/>
                      <w:szCs w:val="18"/>
                      <w:lang w:val="en-US" w:eastAsia="zh-CN"/>
                    </w:rPr>
                  </w:pPr>
                  <w:r>
                    <w:rPr>
                      <w:rFonts w:hint="eastAsia"/>
                      <w:bCs/>
                      <w:color w:val="auto"/>
                      <w:sz w:val="18"/>
                      <w:szCs w:val="18"/>
                      <w:lang w:val="en-US" w:eastAsia="zh-CN"/>
                    </w:rPr>
                    <w:t>5</w:t>
                  </w:r>
                </w:p>
              </w:tc>
              <w:tc>
                <w:tcPr>
                  <w:tcW w:w="1197"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生活垃圾</w:t>
                  </w:r>
                </w:p>
              </w:tc>
              <w:tc>
                <w:tcPr>
                  <w:tcW w:w="85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办公生活</w:t>
                  </w:r>
                </w:p>
              </w:tc>
              <w:tc>
                <w:tcPr>
                  <w:tcW w:w="85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w:t>
                  </w:r>
                </w:p>
              </w:tc>
              <w:tc>
                <w:tcPr>
                  <w:tcW w:w="54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eastAsia"/>
                      <w:color w:val="auto"/>
                      <w:kern w:val="0"/>
                      <w:sz w:val="18"/>
                      <w:szCs w:val="18"/>
                    </w:rPr>
                    <w:t>/</w:t>
                  </w:r>
                </w:p>
              </w:tc>
              <w:tc>
                <w:tcPr>
                  <w:tcW w:w="59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3.0t/a</w:t>
                  </w:r>
                </w:p>
              </w:tc>
              <w:tc>
                <w:tcPr>
                  <w:tcW w:w="53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固态</w:t>
                  </w:r>
                </w:p>
              </w:tc>
              <w:tc>
                <w:tcPr>
                  <w:tcW w:w="746"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生活垃圾</w:t>
                  </w:r>
                </w:p>
              </w:tc>
              <w:tc>
                <w:tcPr>
                  <w:tcW w:w="85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袋装收集</w:t>
                  </w:r>
                </w:p>
              </w:tc>
              <w:tc>
                <w:tcPr>
                  <w:tcW w:w="145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105" w:leftChars="-50" w:right="-105" w:rightChars="-50"/>
                    <w:jc w:val="center"/>
                    <w:textAlignment w:val="auto"/>
                    <w:rPr>
                      <w:rFonts w:hint="default"/>
                      <w:color w:val="auto"/>
                      <w:kern w:val="0"/>
                      <w:sz w:val="18"/>
                      <w:szCs w:val="18"/>
                    </w:rPr>
                  </w:pPr>
                  <w:r>
                    <w:rPr>
                      <w:rFonts w:hint="default"/>
                      <w:color w:val="auto"/>
                      <w:kern w:val="0"/>
                      <w:sz w:val="18"/>
                      <w:szCs w:val="18"/>
                    </w:rPr>
                    <w:t>运至附近场镇生活垃圾收集点</w:t>
                  </w:r>
                </w:p>
              </w:tc>
            </w:tr>
          </w:tbl>
          <w:p>
            <w:pPr>
              <w:keepNext w:val="0"/>
              <w:keepLines w:val="0"/>
              <w:suppressLineNumbers w:val="0"/>
              <w:spacing w:before="0" w:beforeAutospacing="0" w:after="0" w:afterAutospacing="0" w:line="400" w:lineRule="exact"/>
              <w:ind w:left="0" w:right="0"/>
              <w:rPr>
                <w:rFonts w:hint="default" w:ascii="宋体" w:hAnsi="宋体" w:cs="宋体"/>
                <w:b/>
                <w:color w:val="auto"/>
                <w:kern w:val="0"/>
              </w:rPr>
            </w:pPr>
            <w:r>
              <w:rPr>
                <w:rFonts w:hint="eastAsia" w:ascii="宋体" w:hAnsi="宋体" w:cs="宋体"/>
                <w:b/>
                <w:color w:val="auto"/>
                <w:kern w:val="0"/>
              </w:rPr>
              <w:t>4.2危险废物</w:t>
            </w:r>
          </w:p>
          <w:p>
            <w:pPr>
              <w:keepNext w:val="0"/>
              <w:keepLines w:val="0"/>
              <w:suppressLineNumbers w:val="0"/>
              <w:spacing w:before="0" w:beforeAutospacing="0" w:after="0" w:afterAutospacing="0" w:line="400" w:lineRule="exact"/>
              <w:ind w:left="0" w:right="0" w:firstLine="480"/>
              <w:rPr>
                <w:rFonts w:hint="default"/>
                <w:color w:val="auto"/>
                <w:kern w:val="0"/>
              </w:rPr>
            </w:pPr>
            <w:r>
              <w:rPr>
                <w:rFonts w:hint="eastAsia" w:ascii="宋体" w:hAnsi="宋体" w:cs="宋体"/>
                <w:color w:val="auto"/>
                <w:kern w:val="0"/>
              </w:rPr>
              <w:t>①</w:t>
            </w:r>
            <w:r>
              <w:rPr>
                <w:rFonts w:hint="eastAsia"/>
                <w:color w:val="auto"/>
                <w:kern w:val="0"/>
              </w:rPr>
              <w:t>废机油</w:t>
            </w:r>
          </w:p>
          <w:p>
            <w:pPr>
              <w:keepNext w:val="0"/>
              <w:keepLines w:val="0"/>
              <w:suppressLineNumbers w:val="0"/>
              <w:spacing w:before="0" w:beforeAutospacing="0" w:after="0" w:afterAutospacing="0" w:line="400" w:lineRule="exact"/>
              <w:ind w:left="0" w:right="0" w:firstLine="480"/>
              <w:rPr>
                <w:rFonts w:hint="default"/>
                <w:color w:val="auto"/>
                <w:kern w:val="0"/>
              </w:rPr>
            </w:pPr>
            <w:r>
              <w:rPr>
                <w:rFonts w:hint="default"/>
                <w:color w:val="auto"/>
                <w:kern w:val="0"/>
              </w:rPr>
              <w:t>本项目在设备运行生产、维修过程中会产生废机油</w:t>
            </w:r>
            <w:r>
              <w:rPr>
                <w:rFonts w:hint="eastAsia"/>
                <w:color w:val="auto"/>
                <w:kern w:val="0"/>
              </w:rPr>
              <w:t>，</w:t>
            </w:r>
            <w:r>
              <w:rPr>
                <w:rFonts w:hint="default"/>
                <w:color w:val="auto"/>
                <w:kern w:val="0"/>
              </w:rPr>
              <w:t>预计</w:t>
            </w:r>
            <w:r>
              <w:rPr>
                <w:rFonts w:hint="eastAsia"/>
                <w:color w:val="auto"/>
                <w:kern w:val="0"/>
              </w:rPr>
              <w:t>项目废机油产生量为</w:t>
            </w:r>
            <w:r>
              <w:rPr>
                <w:rFonts w:hint="default"/>
                <w:color w:val="auto"/>
                <w:kern w:val="0"/>
              </w:rPr>
              <w:t>0.0</w:t>
            </w:r>
            <w:r>
              <w:rPr>
                <w:rFonts w:hint="eastAsia"/>
                <w:color w:val="auto"/>
                <w:kern w:val="0"/>
              </w:rPr>
              <w:t>5</w:t>
            </w:r>
            <w:r>
              <w:rPr>
                <w:rFonts w:hint="default"/>
                <w:color w:val="auto"/>
                <w:kern w:val="0"/>
              </w:rPr>
              <w:t>t/a。根据</w:t>
            </w:r>
            <w:r>
              <w:rPr>
                <w:rFonts w:hint="eastAsia"/>
                <w:color w:val="auto"/>
              </w:rPr>
              <w:t>《国家危险废物名录（</w:t>
            </w:r>
            <w:r>
              <w:rPr>
                <w:rFonts w:hint="default" w:eastAsia="TTA1o00"/>
                <w:color w:val="auto"/>
              </w:rPr>
              <w:t>20</w:t>
            </w:r>
            <w:r>
              <w:rPr>
                <w:rFonts w:hint="eastAsia" w:eastAsia="TTA1o00"/>
                <w:color w:val="auto"/>
              </w:rPr>
              <w:t>21年</w:t>
            </w:r>
            <w:r>
              <w:rPr>
                <w:rFonts w:hint="default" w:eastAsia="TTA1o00"/>
                <w:color w:val="auto"/>
              </w:rPr>
              <w:t>版</w:t>
            </w:r>
            <w:r>
              <w:rPr>
                <w:rFonts w:hint="eastAsia"/>
                <w:color w:val="auto"/>
              </w:rPr>
              <w:t>）》，废机油属于其中HW08类，危废代码：900-214-08</w:t>
            </w:r>
            <w:r>
              <w:rPr>
                <w:rFonts w:hint="eastAsia" w:eastAsia="TTA1o00"/>
                <w:color w:val="auto"/>
              </w:rPr>
              <w:t>。</w:t>
            </w:r>
          </w:p>
          <w:p>
            <w:pPr>
              <w:keepNext w:val="0"/>
              <w:keepLines w:val="0"/>
              <w:suppressLineNumbers w:val="0"/>
              <w:spacing w:before="0" w:beforeAutospacing="0" w:after="0" w:afterAutospacing="0" w:line="400" w:lineRule="exact"/>
              <w:ind w:left="0" w:right="0" w:firstLine="480"/>
              <w:rPr>
                <w:rFonts w:hint="default"/>
                <w:color w:val="auto"/>
              </w:rPr>
            </w:pPr>
            <w:r>
              <w:rPr>
                <w:rFonts w:hint="eastAsia" w:ascii="宋体" w:hAnsi="宋体" w:cs="宋体"/>
                <w:color w:val="auto"/>
              </w:rPr>
              <w:t>②</w:t>
            </w:r>
            <w:r>
              <w:rPr>
                <w:rFonts w:hint="default"/>
                <w:color w:val="auto"/>
              </w:rPr>
              <w:t>废机油桶</w:t>
            </w:r>
          </w:p>
          <w:p>
            <w:pPr>
              <w:keepNext w:val="0"/>
              <w:keepLines w:val="0"/>
              <w:suppressLineNumbers w:val="0"/>
              <w:spacing w:before="0" w:beforeAutospacing="0" w:after="0" w:afterAutospacing="0" w:line="400" w:lineRule="exact"/>
              <w:ind w:left="0" w:right="0" w:firstLine="480"/>
              <w:rPr>
                <w:rFonts w:hint="default"/>
                <w:color w:val="auto"/>
                <w:kern w:val="0"/>
              </w:rPr>
            </w:pPr>
            <w:r>
              <w:rPr>
                <w:rFonts w:hint="eastAsia"/>
                <w:color w:val="auto"/>
                <w:kern w:val="0"/>
              </w:rPr>
              <w:t>项目使用的各类机油、润滑油后会产生一些废机油桶，产生量约0.2t/a。</w:t>
            </w:r>
            <w:r>
              <w:rPr>
                <w:rFonts w:hint="default"/>
                <w:color w:val="auto"/>
                <w:kern w:val="0"/>
              </w:rPr>
              <w:t>根据</w:t>
            </w:r>
            <w:r>
              <w:rPr>
                <w:rFonts w:hint="eastAsia"/>
                <w:color w:val="auto"/>
              </w:rPr>
              <w:t>《国家危险废物名录（</w:t>
            </w:r>
            <w:r>
              <w:rPr>
                <w:rFonts w:hint="default" w:eastAsia="TTA1o00"/>
                <w:color w:val="auto"/>
              </w:rPr>
              <w:t>20</w:t>
            </w:r>
            <w:r>
              <w:rPr>
                <w:rFonts w:hint="eastAsia" w:eastAsia="TTA1o00"/>
                <w:color w:val="auto"/>
              </w:rPr>
              <w:t>21年</w:t>
            </w:r>
            <w:r>
              <w:rPr>
                <w:rFonts w:hint="default" w:eastAsia="TTA1o00"/>
                <w:color w:val="auto"/>
              </w:rPr>
              <w:t>版</w:t>
            </w:r>
            <w:r>
              <w:rPr>
                <w:rFonts w:hint="eastAsia"/>
                <w:color w:val="auto"/>
              </w:rPr>
              <w:t>）》，</w:t>
            </w:r>
            <w:r>
              <w:rPr>
                <w:rFonts w:hint="eastAsia"/>
                <w:color w:val="auto"/>
                <w:kern w:val="0"/>
              </w:rPr>
              <w:t>废机油桶</w:t>
            </w:r>
            <w:r>
              <w:rPr>
                <w:rFonts w:hint="eastAsia"/>
                <w:color w:val="auto"/>
              </w:rPr>
              <w:t>其中HW08类，危废代码：900-249-08</w:t>
            </w:r>
            <w:r>
              <w:rPr>
                <w:rFonts w:hint="eastAsia" w:eastAsia="TTA1o00"/>
                <w:color w:val="auto"/>
              </w:rPr>
              <w:t>。</w:t>
            </w:r>
          </w:p>
          <w:p>
            <w:pPr>
              <w:keepNext w:val="0"/>
              <w:keepLines w:val="0"/>
              <w:suppressLineNumbers w:val="0"/>
              <w:spacing w:before="0" w:beforeAutospacing="0" w:after="0" w:afterAutospacing="0" w:line="400" w:lineRule="exact"/>
              <w:ind w:left="0" w:right="0" w:firstLine="480"/>
              <w:rPr>
                <w:rFonts w:hint="default"/>
                <w:color w:val="auto"/>
              </w:rPr>
            </w:pPr>
            <w:r>
              <w:rPr>
                <w:rFonts w:hint="default"/>
                <w:color w:val="auto"/>
              </w:rPr>
              <w:t>项目危险废物产生及处置情况见</w:t>
            </w:r>
            <w:r>
              <w:rPr>
                <w:rFonts w:hint="eastAsia"/>
                <w:color w:val="auto"/>
              </w:rPr>
              <w:t>下表</w:t>
            </w:r>
            <w:r>
              <w:rPr>
                <w:rFonts w:hint="default"/>
                <w:color w:val="auto"/>
              </w:rPr>
              <w:t>。</w:t>
            </w:r>
          </w:p>
          <w:p>
            <w:pPr>
              <w:keepNext w:val="0"/>
              <w:keepLines w:val="0"/>
              <w:pageBreakBefore w:val="0"/>
              <w:widowControl w:val="0"/>
              <w:suppressLineNumbers w:val="0"/>
              <w:tabs>
                <w:tab w:val="left" w:pos="1260"/>
              </w:tabs>
              <w:kinsoku/>
              <w:wordWrap/>
              <w:overflowPunct/>
              <w:topLinePunct w:val="0"/>
              <w:autoSpaceDE/>
              <w:autoSpaceDN/>
              <w:bidi w:val="0"/>
              <w:adjustRightInd w:val="0"/>
              <w:snapToGrid w:val="0"/>
              <w:spacing w:before="0" w:beforeAutospacing="0" w:after="0" w:afterAutospacing="0" w:line="360" w:lineRule="exact"/>
              <w:ind w:left="0" w:right="0" w:firstLine="0"/>
              <w:jc w:val="center"/>
              <w:textAlignment w:val="auto"/>
              <w:rPr>
                <w:rFonts w:hint="default"/>
                <w:b/>
                <w:bCs/>
                <w:color w:val="auto"/>
                <w:sz w:val="18"/>
              </w:rPr>
            </w:pPr>
            <w:r>
              <w:rPr>
                <w:rFonts w:hint="default"/>
                <w:b/>
                <w:bCs/>
                <w:color w:val="auto"/>
                <w:sz w:val="18"/>
              </w:rPr>
              <w:t>表4-</w:t>
            </w:r>
            <w:r>
              <w:rPr>
                <w:rFonts w:hint="eastAsia"/>
                <w:b/>
                <w:bCs/>
                <w:color w:val="auto"/>
                <w:sz w:val="18"/>
              </w:rPr>
              <w:t>1</w:t>
            </w:r>
            <w:r>
              <w:rPr>
                <w:rFonts w:hint="default"/>
                <w:b/>
                <w:bCs/>
                <w:color w:val="auto"/>
                <w:sz w:val="18"/>
              </w:rPr>
              <w:t>4</w:t>
            </w:r>
            <w:r>
              <w:rPr>
                <w:rFonts w:hint="eastAsia"/>
                <w:b/>
                <w:bCs/>
                <w:color w:val="auto"/>
                <w:sz w:val="18"/>
              </w:rPr>
              <w:t xml:space="preserve">   </w:t>
            </w:r>
            <w:r>
              <w:rPr>
                <w:rFonts w:hint="default"/>
                <w:b/>
                <w:bCs/>
                <w:color w:val="auto"/>
                <w:sz w:val="18"/>
              </w:rPr>
              <w:t xml:space="preserve"> 项目危险废物产生及处置情况</w:t>
            </w:r>
          </w:p>
          <w:tbl>
            <w:tblPr>
              <w:tblStyle w:val="14"/>
              <w:tblW w:w="79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905"/>
              <w:gridCol w:w="736"/>
              <w:gridCol w:w="853"/>
              <w:gridCol w:w="874"/>
              <w:gridCol w:w="702"/>
              <w:gridCol w:w="588"/>
              <w:gridCol w:w="654"/>
              <w:gridCol w:w="437"/>
              <w:gridCol w:w="436"/>
              <w:gridCol w:w="50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9" w:hRule="atLeast"/>
                <w:jc w:val="center"/>
              </w:trPr>
              <w:tc>
                <w:tcPr>
                  <w:tcW w:w="420"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b/>
                      <w:color w:val="auto"/>
                      <w:kern w:val="0"/>
                      <w:sz w:val="18"/>
                    </w:rPr>
                  </w:pPr>
                  <w:r>
                    <w:rPr>
                      <w:rFonts w:hint="default"/>
                      <w:b/>
                      <w:color w:val="auto"/>
                      <w:kern w:val="0"/>
                      <w:sz w:val="18"/>
                    </w:rPr>
                    <w:t>序号</w:t>
                  </w:r>
                </w:p>
              </w:tc>
              <w:tc>
                <w:tcPr>
                  <w:tcW w:w="905"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b/>
                      <w:color w:val="auto"/>
                      <w:kern w:val="0"/>
                      <w:sz w:val="18"/>
                    </w:rPr>
                  </w:pPr>
                  <w:r>
                    <w:rPr>
                      <w:rFonts w:hint="default"/>
                      <w:b/>
                      <w:color w:val="auto"/>
                      <w:kern w:val="0"/>
                      <w:sz w:val="18"/>
                    </w:rPr>
                    <w:t>危险废物名称</w:t>
                  </w:r>
                </w:p>
              </w:tc>
              <w:tc>
                <w:tcPr>
                  <w:tcW w:w="736"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b/>
                      <w:color w:val="auto"/>
                      <w:kern w:val="0"/>
                      <w:sz w:val="18"/>
                    </w:rPr>
                  </w:pPr>
                  <w:r>
                    <w:rPr>
                      <w:rFonts w:hint="default"/>
                      <w:b/>
                      <w:color w:val="auto"/>
                      <w:kern w:val="0"/>
                      <w:sz w:val="18"/>
                    </w:rPr>
                    <w:t>危险废物类别</w:t>
                  </w:r>
                </w:p>
              </w:tc>
              <w:tc>
                <w:tcPr>
                  <w:tcW w:w="853"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b/>
                      <w:color w:val="auto"/>
                      <w:kern w:val="0"/>
                      <w:sz w:val="18"/>
                    </w:rPr>
                  </w:pPr>
                  <w:r>
                    <w:rPr>
                      <w:rFonts w:hint="default"/>
                      <w:b/>
                      <w:color w:val="auto"/>
                      <w:kern w:val="0"/>
                      <w:sz w:val="18"/>
                    </w:rPr>
                    <w:t>危险废物代码</w:t>
                  </w:r>
                </w:p>
              </w:tc>
              <w:tc>
                <w:tcPr>
                  <w:tcW w:w="874"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b/>
                      <w:color w:val="auto"/>
                      <w:kern w:val="0"/>
                      <w:sz w:val="18"/>
                    </w:rPr>
                  </w:pPr>
                  <w:r>
                    <w:rPr>
                      <w:rFonts w:hint="default"/>
                      <w:b/>
                      <w:color w:val="auto"/>
                      <w:kern w:val="0"/>
                      <w:sz w:val="18"/>
                    </w:rPr>
                    <w:t>产生量（吨/年）</w:t>
                  </w:r>
                </w:p>
              </w:tc>
              <w:tc>
                <w:tcPr>
                  <w:tcW w:w="702"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b/>
                      <w:color w:val="auto"/>
                      <w:kern w:val="0"/>
                      <w:sz w:val="18"/>
                    </w:rPr>
                  </w:pPr>
                  <w:r>
                    <w:rPr>
                      <w:rFonts w:hint="default"/>
                      <w:b/>
                      <w:color w:val="auto"/>
                      <w:kern w:val="0"/>
                      <w:sz w:val="18"/>
                    </w:rPr>
                    <w:t>产生工序及装置</w:t>
                  </w:r>
                </w:p>
              </w:tc>
              <w:tc>
                <w:tcPr>
                  <w:tcW w:w="588"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b/>
                      <w:color w:val="auto"/>
                      <w:kern w:val="0"/>
                      <w:sz w:val="18"/>
                    </w:rPr>
                  </w:pPr>
                  <w:r>
                    <w:rPr>
                      <w:rFonts w:hint="default"/>
                      <w:b/>
                      <w:color w:val="auto"/>
                      <w:kern w:val="0"/>
                      <w:sz w:val="18"/>
                    </w:rPr>
                    <w:t>形态</w:t>
                  </w:r>
                </w:p>
              </w:tc>
              <w:tc>
                <w:tcPr>
                  <w:tcW w:w="654"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b/>
                      <w:color w:val="auto"/>
                      <w:kern w:val="0"/>
                      <w:sz w:val="18"/>
                    </w:rPr>
                  </w:pPr>
                  <w:r>
                    <w:rPr>
                      <w:rFonts w:hint="default"/>
                      <w:b/>
                      <w:color w:val="auto"/>
                      <w:kern w:val="0"/>
                      <w:sz w:val="18"/>
                    </w:rPr>
                    <w:t>主要成分</w:t>
                  </w:r>
                </w:p>
              </w:tc>
              <w:tc>
                <w:tcPr>
                  <w:tcW w:w="437"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b/>
                      <w:color w:val="auto"/>
                      <w:kern w:val="0"/>
                      <w:sz w:val="18"/>
                    </w:rPr>
                  </w:pPr>
                  <w:r>
                    <w:rPr>
                      <w:rFonts w:hint="default"/>
                      <w:b/>
                      <w:color w:val="auto"/>
                      <w:kern w:val="0"/>
                      <w:sz w:val="18"/>
                    </w:rPr>
                    <w:t>有害成分</w:t>
                  </w:r>
                </w:p>
              </w:tc>
              <w:tc>
                <w:tcPr>
                  <w:tcW w:w="436"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b/>
                      <w:color w:val="auto"/>
                      <w:kern w:val="0"/>
                      <w:sz w:val="18"/>
                    </w:rPr>
                  </w:pPr>
                  <w:r>
                    <w:rPr>
                      <w:rFonts w:hint="default"/>
                      <w:b/>
                      <w:color w:val="auto"/>
                      <w:kern w:val="0"/>
                      <w:sz w:val="18"/>
                    </w:rPr>
                    <w:t>产废周期</w:t>
                  </w:r>
                </w:p>
              </w:tc>
              <w:tc>
                <w:tcPr>
                  <w:tcW w:w="506"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b/>
                      <w:color w:val="auto"/>
                      <w:kern w:val="0"/>
                      <w:sz w:val="18"/>
                    </w:rPr>
                  </w:pPr>
                  <w:r>
                    <w:rPr>
                      <w:rFonts w:hint="default"/>
                      <w:b/>
                      <w:color w:val="auto"/>
                      <w:kern w:val="0"/>
                      <w:sz w:val="18"/>
                    </w:rPr>
                    <w:t>危险</w:t>
                  </w:r>
                </w:p>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b/>
                      <w:color w:val="auto"/>
                      <w:kern w:val="0"/>
                      <w:sz w:val="18"/>
                    </w:rPr>
                  </w:pPr>
                  <w:r>
                    <w:rPr>
                      <w:rFonts w:hint="default"/>
                      <w:b/>
                      <w:color w:val="auto"/>
                      <w:kern w:val="0"/>
                      <w:sz w:val="18"/>
                    </w:rPr>
                    <w:t>特性</w:t>
                  </w:r>
                </w:p>
              </w:tc>
              <w:tc>
                <w:tcPr>
                  <w:tcW w:w="843"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b/>
                      <w:color w:val="auto"/>
                      <w:kern w:val="0"/>
                      <w:sz w:val="18"/>
                    </w:rPr>
                  </w:pPr>
                  <w:r>
                    <w:rPr>
                      <w:rFonts w:hint="default"/>
                      <w:b/>
                      <w:color w:val="auto"/>
                      <w:kern w:val="0"/>
                      <w:sz w:val="18"/>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420"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default"/>
                      <w:color w:val="auto"/>
                      <w:kern w:val="0"/>
                      <w:sz w:val="18"/>
                    </w:rPr>
                    <w:t>1</w:t>
                  </w:r>
                </w:p>
              </w:tc>
              <w:tc>
                <w:tcPr>
                  <w:tcW w:w="905" w:type="dxa"/>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sz w:val="18"/>
                    </w:rPr>
                  </w:pPr>
                  <w:r>
                    <w:rPr>
                      <w:rFonts w:hint="default"/>
                      <w:color w:val="auto"/>
                      <w:sz w:val="18"/>
                    </w:rPr>
                    <w:t>废</w:t>
                  </w:r>
                  <w:r>
                    <w:rPr>
                      <w:rFonts w:hint="eastAsia"/>
                      <w:color w:val="auto"/>
                      <w:sz w:val="18"/>
                    </w:rPr>
                    <w:t>机油桶</w:t>
                  </w:r>
                </w:p>
              </w:tc>
              <w:tc>
                <w:tcPr>
                  <w:tcW w:w="736" w:type="dxa"/>
                  <w:vAlign w:val="center"/>
                </w:tcPr>
                <w:p>
                  <w:pPr>
                    <w:keepNext w:val="0"/>
                    <w:keepLines w:val="0"/>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default"/>
                      <w:color w:val="auto"/>
                      <w:sz w:val="18"/>
                    </w:rPr>
                    <w:t>HW</w:t>
                  </w:r>
                  <w:r>
                    <w:rPr>
                      <w:rFonts w:hint="eastAsia"/>
                      <w:color w:val="auto"/>
                      <w:sz w:val="18"/>
                    </w:rPr>
                    <w:t>08</w:t>
                  </w:r>
                </w:p>
              </w:tc>
              <w:tc>
                <w:tcPr>
                  <w:tcW w:w="853"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default"/>
                      <w:color w:val="auto"/>
                      <w:sz w:val="18"/>
                    </w:rPr>
                    <w:t>900-</w:t>
                  </w:r>
                  <w:r>
                    <w:rPr>
                      <w:rFonts w:hint="eastAsia"/>
                      <w:color w:val="auto"/>
                      <w:sz w:val="18"/>
                    </w:rPr>
                    <w:t>249-08</w:t>
                  </w:r>
                </w:p>
              </w:tc>
              <w:tc>
                <w:tcPr>
                  <w:tcW w:w="874" w:type="dxa"/>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eastAsia"/>
                      <w:color w:val="auto"/>
                      <w:sz w:val="18"/>
                    </w:rPr>
                    <w:t>0.2</w:t>
                  </w:r>
                </w:p>
              </w:tc>
              <w:tc>
                <w:tcPr>
                  <w:tcW w:w="702" w:type="dxa"/>
                  <w:vMerge w:val="restart"/>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eastAsia"/>
                      <w:color w:val="auto"/>
                      <w:sz w:val="18"/>
                    </w:rPr>
                    <w:t>机械设备维护、保养</w:t>
                  </w:r>
                </w:p>
              </w:tc>
              <w:tc>
                <w:tcPr>
                  <w:tcW w:w="588" w:type="dxa"/>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default"/>
                      <w:color w:val="auto"/>
                      <w:sz w:val="18"/>
                    </w:rPr>
                    <w:t>固态</w:t>
                  </w:r>
                </w:p>
              </w:tc>
              <w:tc>
                <w:tcPr>
                  <w:tcW w:w="654" w:type="dxa"/>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eastAsia"/>
                      <w:color w:val="auto"/>
                      <w:sz w:val="18"/>
                    </w:rPr>
                    <w:t>矿物油</w:t>
                  </w:r>
                </w:p>
              </w:tc>
              <w:tc>
                <w:tcPr>
                  <w:tcW w:w="437" w:type="dxa"/>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eastAsia"/>
                      <w:color w:val="auto"/>
                      <w:kern w:val="0"/>
                      <w:sz w:val="18"/>
                    </w:rPr>
                    <w:t>矿物油</w:t>
                  </w:r>
                </w:p>
              </w:tc>
              <w:tc>
                <w:tcPr>
                  <w:tcW w:w="436" w:type="dxa"/>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default"/>
                      <w:color w:val="auto"/>
                      <w:sz w:val="18"/>
                    </w:rPr>
                    <w:t>每月</w:t>
                  </w:r>
                </w:p>
              </w:tc>
              <w:tc>
                <w:tcPr>
                  <w:tcW w:w="506" w:type="dxa"/>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default"/>
                      <w:color w:val="auto"/>
                      <w:sz w:val="18"/>
                    </w:rPr>
                    <w:t>T/C</w:t>
                  </w:r>
                </w:p>
              </w:tc>
              <w:tc>
                <w:tcPr>
                  <w:tcW w:w="843" w:type="dxa"/>
                  <w:vMerge w:val="restart"/>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default"/>
                      <w:color w:val="auto"/>
                      <w:sz w:val="18"/>
                    </w:rPr>
                    <w:t>暂存于危废暂存间，交由资质单位处理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420" w:type="dxa"/>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default"/>
                      <w:color w:val="auto"/>
                      <w:kern w:val="0"/>
                      <w:sz w:val="18"/>
                    </w:rPr>
                    <w:t>2</w:t>
                  </w:r>
                </w:p>
              </w:tc>
              <w:tc>
                <w:tcPr>
                  <w:tcW w:w="905" w:type="dxa"/>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sz w:val="18"/>
                    </w:rPr>
                  </w:pPr>
                  <w:r>
                    <w:rPr>
                      <w:rFonts w:hint="eastAsia"/>
                      <w:color w:val="auto"/>
                      <w:sz w:val="18"/>
                    </w:rPr>
                    <w:t>废机油</w:t>
                  </w:r>
                </w:p>
              </w:tc>
              <w:tc>
                <w:tcPr>
                  <w:tcW w:w="736" w:type="dxa"/>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default"/>
                      <w:color w:val="auto"/>
                      <w:kern w:val="0"/>
                      <w:sz w:val="18"/>
                    </w:rPr>
                    <w:t>HW08</w:t>
                  </w:r>
                </w:p>
              </w:tc>
              <w:tc>
                <w:tcPr>
                  <w:tcW w:w="853" w:type="dxa"/>
                  <w:vAlign w:val="center"/>
                </w:tcPr>
                <w:p>
                  <w:pPr>
                    <w:keepNext w:val="0"/>
                    <w:keepLines w:val="0"/>
                    <w:suppressLineNumbers w:val="0"/>
                    <w:spacing w:before="0" w:beforeAutospacing="0" w:after="0" w:afterAutospacing="0" w:line="260" w:lineRule="exact"/>
                    <w:ind w:left="-105" w:leftChars="-50" w:right="-105" w:rightChars="-50"/>
                    <w:jc w:val="center"/>
                    <w:rPr>
                      <w:rFonts w:hint="default"/>
                      <w:color w:val="auto"/>
                      <w:kern w:val="0"/>
                      <w:sz w:val="18"/>
                    </w:rPr>
                  </w:pPr>
                  <w:r>
                    <w:rPr>
                      <w:rFonts w:hint="default"/>
                      <w:color w:val="auto"/>
                      <w:kern w:val="0"/>
                      <w:sz w:val="18"/>
                    </w:rPr>
                    <w:t>900-2</w:t>
                  </w:r>
                  <w:r>
                    <w:rPr>
                      <w:rFonts w:hint="eastAsia"/>
                      <w:color w:val="auto"/>
                      <w:kern w:val="0"/>
                      <w:sz w:val="18"/>
                    </w:rPr>
                    <w:t>14</w:t>
                  </w:r>
                  <w:r>
                    <w:rPr>
                      <w:rFonts w:hint="default"/>
                      <w:color w:val="auto"/>
                      <w:kern w:val="0"/>
                      <w:sz w:val="18"/>
                    </w:rPr>
                    <w:t>-08</w:t>
                  </w:r>
                </w:p>
              </w:tc>
              <w:tc>
                <w:tcPr>
                  <w:tcW w:w="874" w:type="dxa"/>
                  <w:vAlign w:val="center"/>
                </w:tcPr>
                <w:p>
                  <w:pPr>
                    <w:keepNext w:val="0"/>
                    <w:keepLines w:val="0"/>
                    <w:suppressLineNumbers w:val="0"/>
                    <w:spacing w:before="0" w:beforeAutospacing="0" w:after="0" w:afterAutospacing="0" w:line="260" w:lineRule="exact"/>
                    <w:ind w:left="-105" w:leftChars="-50" w:right="-105" w:rightChars="-50"/>
                    <w:jc w:val="center"/>
                    <w:rPr>
                      <w:rFonts w:hint="default"/>
                      <w:color w:val="auto"/>
                      <w:kern w:val="0"/>
                      <w:sz w:val="18"/>
                    </w:rPr>
                  </w:pPr>
                  <w:r>
                    <w:rPr>
                      <w:rFonts w:hint="default"/>
                      <w:color w:val="auto"/>
                      <w:kern w:val="0"/>
                      <w:sz w:val="18"/>
                    </w:rPr>
                    <w:t>0.0</w:t>
                  </w:r>
                  <w:r>
                    <w:rPr>
                      <w:rFonts w:hint="eastAsia"/>
                      <w:color w:val="auto"/>
                      <w:kern w:val="0"/>
                      <w:sz w:val="18"/>
                    </w:rPr>
                    <w:t>5</w:t>
                  </w:r>
                </w:p>
              </w:tc>
              <w:tc>
                <w:tcPr>
                  <w:tcW w:w="702" w:type="dxa"/>
                  <w:vMerge w:val="continue"/>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p>
              </w:tc>
              <w:tc>
                <w:tcPr>
                  <w:tcW w:w="588" w:type="dxa"/>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default"/>
                      <w:color w:val="auto"/>
                      <w:kern w:val="0"/>
                      <w:sz w:val="18"/>
                    </w:rPr>
                    <w:t>液态</w:t>
                  </w:r>
                </w:p>
              </w:tc>
              <w:tc>
                <w:tcPr>
                  <w:tcW w:w="654" w:type="dxa"/>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eastAsia"/>
                      <w:color w:val="auto"/>
                      <w:sz w:val="18"/>
                    </w:rPr>
                    <w:t>矿物油</w:t>
                  </w:r>
                </w:p>
              </w:tc>
              <w:tc>
                <w:tcPr>
                  <w:tcW w:w="437" w:type="dxa"/>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eastAsia"/>
                      <w:color w:val="auto"/>
                      <w:kern w:val="0"/>
                      <w:sz w:val="18"/>
                    </w:rPr>
                    <w:t>矿物油</w:t>
                  </w:r>
                </w:p>
              </w:tc>
              <w:tc>
                <w:tcPr>
                  <w:tcW w:w="436" w:type="dxa"/>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default"/>
                      <w:color w:val="auto"/>
                      <w:sz w:val="18"/>
                    </w:rPr>
                    <w:t>每月</w:t>
                  </w:r>
                </w:p>
              </w:tc>
              <w:tc>
                <w:tcPr>
                  <w:tcW w:w="506" w:type="dxa"/>
                  <w:vAlign w:val="center"/>
                </w:tcPr>
                <w:p>
                  <w:pPr>
                    <w:keepNext w:val="0"/>
                    <w:keepLines w:val="0"/>
                    <w:widowControl/>
                    <w:suppressLineNumbers w:val="0"/>
                    <w:adjustRightInd w:val="0"/>
                    <w:snapToGrid w:val="0"/>
                    <w:spacing w:before="0" w:beforeAutospacing="0" w:after="0" w:afterAutospacing="0" w:line="260" w:lineRule="exact"/>
                    <w:ind w:left="-105" w:leftChars="-50" w:right="-105" w:rightChars="-50"/>
                    <w:jc w:val="center"/>
                    <w:rPr>
                      <w:rFonts w:hint="default"/>
                      <w:color w:val="auto"/>
                      <w:kern w:val="0"/>
                      <w:sz w:val="18"/>
                    </w:rPr>
                  </w:pPr>
                  <w:r>
                    <w:rPr>
                      <w:rFonts w:hint="default"/>
                      <w:color w:val="auto"/>
                      <w:sz w:val="18"/>
                    </w:rPr>
                    <w:t>T/C</w:t>
                  </w:r>
                </w:p>
              </w:tc>
              <w:tc>
                <w:tcPr>
                  <w:tcW w:w="843" w:type="dxa"/>
                  <w:vMerge w:val="continue"/>
                  <w:vAlign w:val="center"/>
                </w:tcPr>
                <w:p>
                  <w:pPr>
                    <w:keepNext w:val="0"/>
                    <w:keepLines w:val="0"/>
                    <w:suppressLineNumbers w:val="0"/>
                    <w:topLinePunct/>
                    <w:adjustRightInd w:val="0"/>
                    <w:snapToGrid w:val="0"/>
                    <w:spacing w:before="0" w:beforeAutospacing="0" w:after="0" w:afterAutospacing="0" w:line="260" w:lineRule="exact"/>
                    <w:ind w:left="-105" w:leftChars="-50" w:right="-105" w:rightChars="-50"/>
                    <w:jc w:val="center"/>
                    <w:rPr>
                      <w:rFonts w:hint="default"/>
                      <w:color w:val="auto"/>
                      <w:sz w:val="18"/>
                    </w:rPr>
                  </w:pPr>
                </w:p>
              </w:tc>
            </w:tr>
          </w:tbl>
          <w:p>
            <w:pPr>
              <w:keepNext w:val="0"/>
              <w:keepLines w:val="0"/>
              <w:suppressLineNumbers w:val="0"/>
              <w:spacing w:before="0" w:beforeAutospacing="0" w:after="0" w:afterAutospacing="0" w:line="400" w:lineRule="exact"/>
              <w:ind w:left="0" w:right="0" w:firstLine="482"/>
              <w:jc w:val="left"/>
              <w:rPr>
                <w:rFonts w:hint="default"/>
                <w:color w:val="auto"/>
                <w:kern w:val="0"/>
              </w:rPr>
            </w:pPr>
            <w:r>
              <w:rPr>
                <w:rFonts w:hint="default"/>
                <w:color w:val="auto"/>
                <w:kern w:val="0"/>
              </w:rPr>
              <w:t>项目</w:t>
            </w:r>
            <w:r>
              <w:rPr>
                <w:rFonts w:hint="eastAsia"/>
                <w:color w:val="auto"/>
                <w:kern w:val="0"/>
              </w:rPr>
              <w:t>危险废物贮存设施</w:t>
            </w:r>
            <w:r>
              <w:rPr>
                <w:rFonts w:hint="default"/>
                <w:color w:val="auto"/>
                <w:kern w:val="0"/>
              </w:rPr>
              <w:t>情况见下表。</w:t>
            </w:r>
          </w:p>
          <w:p>
            <w:pPr>
              <w:keepNext w:val="0"/>
              <w:keepLines w:val="0"/>
              <w:pageBreakBefore w:val="0"/>
              <w:widowControl w:val="0"/>
              <w:suppressLineNumbers w:val="0"/>
              <w:tabs>
                <w:tab w:val="left" w:pos="1260"/>
              </w:tabs>
              <w:kinsoku/>
              <w:wordWrap/>
              <w:overflowPunct/>
              <w:topLinePunct w:val="0"/>
              <w:autoSpaceDE/>
              <w:autoSpaceDN/>
              <w:bidi w:val="0"/>
              <w:adjustRightInd w:val="0"/>
              <w:snapToGrid w:val="0"/>
              <w:spacing w:before="0" w:beforeAutospacing="0" w:after="0" w:afterAutospacing="0" w:line="360" w:lineRule="exact"/>
              <w:ind w:left="0" w:right="0" w:firstLine="0"/>
              <w:jc w:val="center"/>
              <w:textAlignment w:val="auto"/>
              <w:rPr>
                <w:rFonts w:hint="default"/>
                <w:b/>
                <w:bCs/>
                <w:color w:val="auto"/>
                <w:sz w:val="18"/>
              </w:rPr>
            </w:pPr>
            <w:r>
              <w:rPr>
                <w:rFonts w:hint="default"/>
                <w:b/>
                <w:bCs/>
                <w:color w:val="auto"/>
                <w:sz w:val="18"/>
              </w:rPr>
              <w:t>表4-</w:t>
            </w:r>
            <w:r>
              <w:rPr>
                <w:rFonts w:hint="eastAsia"/>
                <w:b/>
                <w:bCs/>
                <w:color w:val="auto"/>
                <w:sz w:val="18"/>
              </w:rPr>
              <w:t>1</w:t>
            </w:r>
            <w:r>
              <w:rPr>
                <w:rFonts w:hint="default"/>
                <w:b/>
                <w:bCs/>
                <w:color w:val="auto"/>
                <w:sz w:val="18"/>
              </w:rPr>
              <w:t>5</w:t>
            </w:r>
            <w:r>
              <w:rPr>
                <w:rFonts w:hint="eastAsia"/>
                <w:b/>
                <w:bCs/>
                <w:color w:val="auto"/>
                <w:sz w:val="18"/>
              </w:rPr>
              <w:t xml:space="preserve"> </w:t>
            </w:r>
            <w:r>
              <w:rPr>
                <w:rFonts w:hint="default"/>
                <w:b/>
                <w:bCs/>
                <w:color w:val="auto"/>
                <w:sz w:val="18"/>
              </w:rPr>
              <w:t xml:space="preserve">  建设项目危险废物贮存场所（设施）基本情况表</w:t>
            </w:r>
          </w:p>
          <w:tbl>
            <w:tblPr>
              <w:tblStyle w:val="14"/>
              <w:tblW w:w="7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976"/>
              <w:gridCol w:w="997"/>
              <w:gridCol w:w="853"/>
              <w:gridCol w:w="1139"/>
              <w:gridCol w:w="719"/>
              <w:gridCol w:w="627"/>
              <w:gridCol w:w="853"/>
              <w:gridCol w:w="718"/>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43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b/>
                      <w:color w:val="auto"/>
                      <w:kern w:val="0"/>
                      <w:sz w:val="18"/>
                    </w:rPr>
                  </w:pPr>
                  <w:r>
                    <w:rPr>
                      <w:rFonts w:hint="default"/>
                      <w:b/>
                      <w:color w:val="auto"/>
                      <w:kern w:val="0"/>
                      <w:sz w:val="18"/>
                    </w:rPr>
                    <w:t>序号</w:t>
                  </w:r>
                </w:p>
              </w:tc>
              <w:tc>
                <w:tcPr>
                  <w:tcW w:w="976"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b/>
                      <w:color w:val="auto"/>
                      <w:kern w:val="0"/>
                      <w:sz w:val="18"/>
                    </w:rPr>
                  </w:pPr>
                  <w:r>
                    <w:rPr>
                      <w:rFonts w:hint="default"/>
                      <w:b/>
                      <w:color w:val="auto"/>
                      <w:kern w:val="0"/>
                      <w:sz w:val="18"/>
                    </w:rPr>
                    <w:t>贮存场所名称</w:t>
                  </w:r>
                </w:p>
              </w:tc>
              <w:tc>
                <w:tcPr>
                  <w:tcW w:w="997"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b/>
                      <w:color w:val="auto"/>
                      <w:kern w:val="0"/>
                      <w:sz w:val="18"/>
                    </w:rPr>
                  </w:pPr>
                  <w:r>
                    <w:rPr>
                      <w:rFonts w:hint="default"/>
                      <w:b/>
                      <w:color w:val="auto"/>
                      <w:kern w:val="0"/>
                      <w:sz w:val="18"/>
                    </w:rPr>
                    <w:t>危险废物名称</w:t>
                  </w:r>
                </w:p>
              </w:tc>
              <w:tc>
                <w:tcPr>
                  <w:tcW w:w="853"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b/>
                      <w:color w:val="auto"/>
                      <w:kern w:val="0"/>
                      <w:sz w:val="18"/>
                    </w:rPr>
                  </w:pPr>
                  <w:r>
                    <w:rPr>
                      <w:rFonts w:hint="default"/>
                      <w:b/>
                      <w:color w:val="auto"/>
                      <w:kern w:val="0"/>
                      <w:sz w:val="18"/>
                    </w:rPr>
                    <w:t>危险废物类别</w:t>
                  </w:r>
                </w:p>
              </w:tc>
              <w:tc>
                <w:tcPr>
                  <w:tcW w:w="113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b/>
                      <w:color w:val="auto"/>
                      <w:kern w:val="0"/>
                      <w:sz w:val="18"/>
                    </w:rPr>
                  </w:pPr>
                  <w:r>
                    <w:rPr>
                      <w:rFonts w:hint="default"/>
                      <w:b/>
                      <w:color w:val="auto"/>
                      <w:kern w:val="0"/>
                      <w:sz w:val="18"/>
                    </w:rPr>
                    <w:t>危险废物代码</w:t>
                  </w:r>
                </w:p>
              </w:tc>
              <w:tc>
                <w:tcPr>
                  <w:tcW w:w="71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b/>
                      <w:color w:val="auto"/>
                      <w:kern w:val="0"/>
                      <w:sz w:val="18"/>
                    </w:rPr>
                  </w:pPr>
                  <w:r>
                    <w:rPr>
                      <w:rFonts w:hint="default"/>
                      <w:b/>
                      <w:color w:val="auto"/>
                      <w:kern w:val="0"/>
                      <w:sz w:val="18"/>
                    </w:rPr>
                    <w:t>位置</w:t>
                  </w:r>
                </w:p>
              </w:tc>
              <w:tc>
                <w:tcPr>
                  <w:tcW w:w="627"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b/>
                      <w:color w:val="auto"/>
                      <w:kern w:val="0"/>
                      <w:sz w:val="18"/>
                    </w:rPr>
                  </w:pPr>
                  <w:r>
                    <w:rPr>
                      <w:rFonts w:hint="default"/>
                      <w:b/>
                      <w:color w:val="auto"/>
                      <w:kern w:val="0"/>
                      <w:sz w:val="18"/>
                    </w:rPr>
                    <w:t>占地面积</w:t>
                  </w:r>
                </w:p>
              </w:tc>
              <w:tc>
                <w:tcPr>
                  <w:tcW w:w="853"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b/>
                      <w:color w:val="auto"/>
                      <w:kern w:val="0"/>
                      <w:sz w:val="18"/>
                    </w:rPr>
                  </w:pPr>
                  <w:r>
                    <w:rPr>
                      <w:rFonts w:hint="default"/>
                      <w:b/>
                      <w:color w:val="auto"/>
                      <w:kern w:val="0"/>
                      <w:sz w:val="18"/>
                    </w:rPr>
                    <w:t>贮存方式</w:t>
                  </w:r>
                </w:p>
              </w:tc>
              <w:tc>
                <w:tcPr>
                  <w:tcW w:w="718"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b/>
                      <w:color w:val="auto"/>
                      <w:kern w:val="0"/>
                      <w:sz w:val="18"/>
                    </w:rPr>
                  </w:pPr>
                  <w:r>
                    <w:rPr>
                      <w:rFonts w:hint="default"/>
                      <w:b/>
                      <w:color w:val="auto"/>
                      <w:kern w:val="0"/>
                      <w:sz w:val="18"/>
                    </w:rPr>
                    <w:t>贮存</w:t>
                  </w:r>
                </w:p>
                <w:p>
                  <w:pPr>
                    <w:keepNext w:val="0"/>
                    <w:keepLines w:val="0"/>
                    <w:suppressLineNumbers w:val="0"/>
                    <w:topLinePunct/>
                    <w:adjustRightInd w:val="0"/>
                    <w:snapToGrid w:val="0"/>
                    <w:spacing w:before="0" w:beforeAutospacing="0" w:after="0" w:afterAutospacing="0"/>
                    <w:ind w:left="0" w:right="0"/>
                    <w:jc w:val="center"/>
                    <w:rPr>
                      <w:rFonts w:hint="default"/>
                      <w:b/>
                      <w:color w:val="auto"/>
                      <w:kern w:val="0"/>
                      <w:sz w:val="18"/>
                    </w:rPr>
                  </w:pPr>
                  <w:r>
                    <w:rPr>
                      <w:rFonts w:hint="default"/>
                      <w:b/>
                      <w:color w:val="auto"/>
                      <w:kern w:val="0"/>
                      <w:sz w:val="18"/>
                    </w:rPr>
                    <w:t>能力</w:t>
                  </w:r>
                </w:p>
              </w:tc>
              <w:tc>
                <w:tcPr>
                  <w:tcW w:w="614"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b/>
                      <w:color w:val="auto"/>
                      <w:kern w:val="0"/>
                      <w:sz w:val="18"/>
                    </w:rPr>
                  </w:pPr>
                  <w:r>
                    <w:rPr>
                      <w:rFonts w:hint="default"/>
                      <w:b/>
                      <w:color w:val="auto"/>
                      <w:kern w:val="0"/>
                      <w:sz w:val="18"/>
                    </w:rPr>
                    <w:t>贮存</w:t>
                  </w:r>
                </w:p>
                <w:p>
                  <w:pPr>
                    <w:keepNext w:val="0"/>
                    <w:keepLines w:val="0"/>
                    <w:suppressLineNumbers w:val="0"/>
                    <w:topLinePunct/>
                    <w:adjustRightInd w:val="0"/>
                    <w:snapToGrid w:val="0"/>
                    <w:spacing w:before="0" w:beforeAutospacing="0" w:after="0" w:afterAutospacing="0"/>
                    <w:ind w:left="0" w:right="0"/>
                    <w:jc w:val="center"/>
                    <w:rPr>
                      <w:rFonts w:hint="default"/>
                      <w:b/>
                      <w:color w:val="auto"/>
                      <w:kern w:val="0"/>
                      <w:sz w:val="18"/>
                    </w:rPr>
                  </w:pPr>
                  <w:r>
                    <w:rPr>
                      <w:rFonts w:hint="default"/>
                      <w:b/>
                      <w:color w:val="auto"/>
                      <w:kern w:val="0"/>
                      <w:sz w:val="18"/>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43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r>
                    <w:rPr>
                      <w:rFonts w:hint="default"/>
                      <w:color w:val="auto"/>
                      <w:kern w:val="0"/>
                      <w:sz w:val="18"/>
                    </w:rPr>
                    <w:t>1</w:t>
                  </w:r>
                </w:p>
              </w:tc>
              <w:tc>
                <w:tcPr>
                  <w:tcW w:w="976" w:type="dxa"/>
                  <w:vMerge w:val="restart"/>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r>
                    <w:rPr>
                      <w:rFonts w:hint="eastAsia"/>
                      <w:color w:val="auto"/>
                      <w:kern w:val="0"/>
                      <w:sz w:val="18"/>
                    </w:rPr>
                    <w:t>危险废物贮存设施</w:t>
                  </w:r>
                </w:p>
              </w:tc>
              <w:tc>
                <w:tcPr>
                  <w:tcW w:w="997"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auto"/>
                      <w:sz w:val="18"/>
                    </w:rPr>
                  </w:pPr>
                  <w:r>
                    <w:rPr>
                      <w:rFonts w:hint="default"/>
                      <w:color w:val="auto"/>
                      <w:sz w:val="18"/>
                    </w:rPr>
                    <w:t>废</w:t>
                  </w:r>
                  <w:r>
                    <w:rPr>
                      <w:rFonts w:hint="eastAsia"/>
                      <w:color w:val="auto"/>
                      <w:sz w:val="18"/>
                    </w:rPr>
                    <w:t>机油桶</w:t>
                  </w:r>
                </w:p>
              </w:tc>
              <w:tc>
                <w:tcPr>
                  <w:tcW w:w="853"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kern w:val="0"/>
                      <w:sz w:val="18"/>
                    </w:rPr>
                  </w:pPr>
                  <w:r>
                    <w:rPr>
                      <w:rFonts w:hint="default"/>
                      <w:color w:val="auto"/>
                      <w:sz w:val="18"/>
                    </w:rPr>
                    <w:t>HW</w:t>
                  </w:r>
                  <w:r>
                    <w:rPr>
                      <w:rFonts w:hint="eastAsia"/>
                      <w:color w:val="auto"/>
                      <w:sz w:val="18"/>
                    </w:rPr>
                    <w:t>08</w:t>
                  </w:r>
                </w:p>
              </w:tc>
              <w:tc>
                <w:tcPr>
                  <w:tcW w:w="113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r>
                    <w:rPr>
                      <w:rFonts w:hint="default"/>
                      <w:color w:val="auto"/>
                      <w:sz w:val="18"/>
                    </w:rPr>
                    <w:t>900-</w:t>
                  </w:r>
                  <w:r>
                    <w:rPr>
                      <w:rFonts w:hint="eastAsia"/>
                      <w:color w:val="auto"/>
                      <w:sz w:val="18"/>
                    </w:rPr>
                    <w:t>249-08</w:t>
                  </w:r>
                </w:p>
              </w:tc>
              <w:tc>
                <w:tcPr>
                  <w:tcW w:w="719" w:type="dxa"/>
                  <w:vMerge w:val="restart"/>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r>
                    <w:rPr>
                      <w:rFonts w:hint="eastAsia"/>
                      <w:color w:val="auto"/>
                      <w:kern w:val="0"/>
                      <w:sz w:val="18"/>
                    </w:rPr>
                    <w:t>危废暂存间</w:t>
                  </w:r>
                </w:p>
              </w:tc>
              <w:tc>
                <w:tcPr>
                  <w:tcW w:w="627" w:type="dxa"/>
                  <w:vMerge w:val="restart"/>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r>
                    <w:rPr>
                      <w:rFonts w:hint="default"/>
                      <w:color w:val="auto"/>
                      <w:kern w:val="0"/>
                      <w:sz w:val="18"/>
                    </w:rPr>
                    <w:t>5m</w:t>
                  </w:r>
                  <w:r>
                    <w:rPr>
                      <w:rFonts w:hint="default"/>
                      <w:color w:val="auto"/>
                      <w:kern w:val="0"/>
                      <w:sz w:val="18"/>
                      <w:vertAlign w:val="superscript"/>
                    </w:rPr>
                    <w:t>2</w:t>
                  </w:r>
                </w:p>
              </w:tc>
              <w:tc>
                <w:tcPr>
                  <w:tcW w:w="853" w:type="dxa"/>
                  <w:vMerge w:val="restart"/>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r>
                    <w:rPr>
                      <w:rFonts w:hint="default"/>
                      <w:color w:val="auto"/>
                      <w:kern w:val="0"/>
                      <w:sz w:val="18"/>
                    </w:rPr>
                    <w:t>分类存放，密闭暂存</w:t>
                  </w:r>
                </w:p>
              </w:tc>
              <w:tc>
                <w:tcPr>
                  <w:tcW w:w="718" w:type="dxa"/>
                  <w:vMerge w:val="restart"/>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r>
                    <w:rPr>
                      <w:rFonts w:hint="default"/>
                      <w:color w:val="auto"/>
                      <w:kern w:val="0"/>
                      <w:sz w:val="18"/>
                    </w:rPr>
                    <w:t>500kg</w:t>
                  </w:r>
                </w:p>
              </w:tc>
              <w:tc>
                <w:tcPr>
                  <w:tcW w:w="614" w:type="dxa"/>
                  <w:vMerge w:val="restart"/>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r>
                    <w:rPr>
                      <w:rFonts w:hint="default"/>
                      <w:color w:val="auto"/>
                      <w:kern w:val="0"/>
                      <w:sz w:val="18"/>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43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r>
                    <w:rPr>
                      <w:rFonts w:hint="default"/>
                      <w:color w:val="auto"/>
                      <w:kern w:val="0"/>
                      <w:sz w:val="18"/>
                    </w:rPr>
                    <w:t>2</w:t>
                  </w:r>
                </w:p>
              </w:tc>
              <w:tc>
                <w:tcPr>
                  <w:tcW w:w="976" w:type="dxa"/>
                  <w:vMerge w:val="continue"/>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p>
              </w:tc>
              <w:tc>
                <w:tcPr>
                  <w:tcW w:w="997"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auto"/>
                      <w:sz w:val="18"/>
                    </w:rPr>
                  </w:pPr>
                  <w:r>
                    <w:rPr>
                      <w:rFonts w:hint="eastAsia"/>
                      <w:color w:val="auto"/>
                      <w:sz w:val="18"/>
                    </w:rPr>
                    <w:t>废机油</w:t>
                  </w:r>
                </w:p>
              </w:tc>
              <w:tc>
                <w:tcPr>
                  <w:tcW w:w="853"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color w:val="auto"/>
                      <w:kern w:val="0"/>
                      <w:sz w:val="18"/>
                    </w:rPr>
                  </w:pPr>
                  <w:r>
                    <w:rPr>
                      <w:rFonts w:hint="default"/>
                      <w:color w:val="auto"/>
                      <w:kern w:val="0"/>
                      <w:sz w:val="18"/>
                    </w:rPr>
                    <w:t>HW08</w:t>
                  </w:r>
                </w:p>
              </w:tc>
              <w:tc>
                <w:tcPr>
                  <w:tcW w:w="1139" w:type="dxa"/>
                  <w:vAlign w:val="center"/>
                </w:tcPr>
                <w:p>
                  <w:pPr>
                    <w:keepNext w:val="0"/>
                    <w:keepLines w:val="0"/>
                    <w:suppressLineNumbers w:val="0"/>
                    <w:spacing w:before="0" w:beforeAutospacing="0" w:after="0" w:afterAutospacing="0"/>
                    <w:ind w:left="0" w:right="0"/>
                    <w:jc w:val="center"/>
                    <w:rPr>
                      <w:rFonts w:hint="default"/>
                      <w:color w:val="auto"/>
                      <w:kern w:val="0"/>
                      <w:sz w:val="18"/>
                    </w:rPr>
                  </w:pPr>
                  <w:r>
                    <w:rPr>
                      <w:rFonts w:hint="default"/>
                      <w:color w:val="auto"/>
                      <w:kern w:val="0"/>
                      <w:sz w:val="18"/>
                    </w:rPr>
                    <w:t>900-2</w:t>
                  </w:r>
                  <w:r>
                    <w:rPr>
                      <w:rFonts w:hint="eastAsia"/>
                      <w:color w:val="auto"/>
                      <w:kern w:val="0"/>
                      <w:sz w:val="18"/>
                    </w:rPr>
                    <w:t>14</w:t>
                  </w:r>
                  <w:r>
                    <w:rPr>
                      <w:rFonts w:hint="default"/>
                      <w:color w:val="auto"/>
                      <w:kern w:val="0"/>
                      <w:sz w:val="18"/>
                    </w:rPr>
                    <w:t>-08</w:t>
                  </w:r>
                </w:p>
              </w:tc>
              <w:tc>
                <w:tcPr>
                  <w:tcW w:w="719" w:type="dxa"/>
                  <w:vMerge w:val="continue"/>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p>
              </w:tc>
              <w:tc>
                <w:tcPr>
                  <w:tcW w:w="627" w:type="dxa"/>
                  <w:vMerge w:val="continue"/>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p>
              </w:tc>
              <w:tc>
                <w:tcPr>
                  <w:tcW w:w="853" w:type="dxa"/>
                  <w:vMerge w:val="continue"/>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p>
              </w:tc>
              <w:tc>
                <w:tcPr>
                  <w:tcW w:w="718" w:type="dxa"/>
                  <w:vMerge w:val="continue"/>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p>
              </w:tc>
              <w:tc>
                <w:tcPr>
                  <w:tcW w:w="614" w:type="dxa"/>
                  <w:vMerge w:val="continue"/>
                  <w:vAlign w:val="center"/>
                </w:tcPr>
                <w:p>
                  <w:pPr>
                    <w:keepNext w:val="0"/>
                    <w:keepLines w:val="0"/>
                    <w:suppressLineNumbers w:val="0"/>
                    <w:topLinePunct/>
                    <w:adjustRightInd w:val="0"/>
                    <w:snapToGrid w:val="0"/>
                    <w:spacing w:before="0" w:beforeAutospacing="0" w:after="0" w:afterAutospacing="0"/>
                    <w:ind w:left="0" w:right="0"/>
                    <w:jc w:val="center"/>
                    <w:rPr>
                      <w:rFonts w:hint="default"/>
                      <w:color w:val="auto"/>
                      <w:kern w:val="0"/>
                      <w:sz w:val="18"/>
                    </w:rPr>
                  </w:pPr>
                </w:p>
              </w:tc>
            </w:tr>
          </w:tbl>
          <w:p>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b/>
                <w:color w:val="auto"/>
                <w:kern w:val="0"/>
              </w:rPr>
            </w:pPr>
            <w:r>
              <w:rPr>
                <w:rFonts w:hint="eastAsia"/>
                <w:b/>
                <w:color w:val="auto"/>
                <w:kern w:val="0"/>
              </w:rPr>
              <w:t>4.3</w:t>
            </w:r>
            <w:r>
              <w:rPr>
                <w:rFonts w:hint="default" w:ascii="宋体" w:hAnsi="宋体"/>
                <w:b/>
                <w:color w:val="auto"/>
                <w:kern w:val="0"/>
              </w:rPr>
              <w:t>危险废物的处置措施</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default"/>
                <w:color w:val="auto"/>
              </w:rPr>
            </w:pPr>
            <w:r>
              <w:rPr>
                <w:rFonts w:hint="eastAsia"/>
                <w:color w:val="auto"/>
              </w:rPr>
              <w:t>评价要求建设单位应</w:t>
            </w:r>
            <w:r>
              <w:rPr>
                <w:rFonts w:hint="eastAsia"/>
                <w:color w:val="auto"/>
                <w:kern w:val="0"/>
              </w:rPr>
              <w:t>严格按照《危险废物贮存污染控制标准》（GB18597-2023）中的污染控制要求，进行危险废物的收集、贮存管理；并按照《危险废物识别标志设置技术规范》(HJ 1276-2022)的相应要求设置规范的标识标牌。</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default"/>
                <w:color w:val="auto"/>
              </w:rPr>
            </w:pPr>
            <w:r>
              <w:rPr>
                <w:rFonts w:hint="eastAsia" w:ascii="宋体" w:hAnsi="宋体"/>
                <w:color w:val="auto"/>
              </w:rPr>
              <w:t>项目拟在</w:t>
            </w:r>
            <w:r>
              <w:rPr>
                <w:rFonts w:hint="eastAsia" w:ascii="宋体" w:hAnsi="宋体"/>
                <w:color w:val="auto"/>
                <w:lang w:val="en-US" w:eastAsia="zh-CN"/>
              </w:rPr>
              <w:t>生产车间的操作室旁边</w:t>
            </w:r>
            <w:r>
              <w:rPr>
                <w:rFonts w:hint="eastAsia" w:ascii="宋体" w:hAnsi="宋体"/>
                <w:color w:val="auto"/>
              </w:rPr>
              <w:t>设置一个规范的危废暂存间（建筑面积约</w:t>
            </w:r>
            <w:r>
              <w:rPr>
                <w:rFonts w:hint="default" w:ascii="宋体" w:hAnsi="宋体"/>
                <w:color w:val="auto"/>
              </w:rPr>
              <w:t>5</w:t>
            </w:r>
            <w:r>
              <w:rPr>
                <w:rFonts w:hint="eastAsia"/>
                <w:color w:val="auto"/>
              </w:rPr>
              <w:t>m</w:t>
            </w:r>
            <w:r>
              <w:rPr>
                <w:rFonts w:hint="eastAsia"/>
                <w:color w:val="auto"/>
                <w:vertAlign w:val="superscript"/>
              </w:rPr>
              <w:t>2</w:t>
            </w:r>
            <w:r>
              <w:rPr>
                <w:rFonts w:hint="eastAsia" w:ascii="宋体" w:hAnsi="宋体"/>
                <w:color w:val="auto"/>
              </w:rPr>
              <w:t>），危废间采取防风、防雨、防渗、防漏、防晒及防腐等环境污染防治措施。设专用容器收集暂存，</w:t>
            </w:r>
            <w:r>
              <w:rPr>
                <w:rFonts w:hint="default" w:ascii="宋体" w:hAnsi="宋体"/>
                <w:color w:val="auto"/>
              </w:rPr>
              <w:t>悬挂危险废物</w:t>
            </w:r>
            <w:r>
              <w:rPr>
                <w:rFonts w:hint="eastAsia" w:ascii="宋体" w:hAnsi="宋体"/>
                <w:color w:val="auto"/>
              </w:rPr>
              <w:t>标识牌，建设危废台账并交由有资质的单位回收处置。</w:t>
            </w:r>
          </w:p>
          <w:p>
            <w:pPr>
              <w:keepNext w:val="0"/>
              <w:keepLines w:val="0"/>
              <w:suppressLineNumbers w:val="0"/>
              <w:autoSpaceDE w:val="0"/>
              <w:autoSpaceDN w:val="0"/>
              <w:adjustRightInd w:val="0"/>
              <w:snapToGrid w:val="0"/>
              <w:spacing w:before="0" w:beforeAutospacing="0" w:after="0" w:afterAutospacing="0" w:line="404" w:lineRule="exact"/>
              <w:ind w:left="0" w:right="0" w:firstLine="422" w:firstLineChars="200"/>
              <w:jc w:val="left"/>
              <w:rPr>
                <w:rFonts w:hint="default" w:cs="宋体"/>
                <w:color w:val="auto"/>
                <w:kern w:val="0"/>
              </w:rPr>
            </w:pPr>
            <w:r>
              <w:rPr>
                <w:rFonts w:hint="eastAsia" w:ascii="宋体" w:hAnsi="宋体"/>
                <w:b/>
                <w:color w:val="auto"/>
                <w:kern w:val="0"/>
              </w:rPr>
              <w:t>管理要求：</w:t>
            </w:r>
            <w:r>
              <w:rPr>
                <w:rFonts w:hint="eastAsia"/>
                <w:color w:val="auto"/>
                <w:kern w:val="0"/>
              </w:rPr>
              <w:t>6.1.1</w:t>
            </w:r>
            <w:r>
              <w:rPr>
                <w:rFonts w:hint="eastAsia" w:ascii="宋体" w:hAnsi="宋体"/>
                <w:color w:val="auto"/>
                <w:kern w:val="0"/>
              </w:rPr>
              <w:t>贮存设施应根据危险废物的形态、物理化学性质、包装形式和污染物迁移途径，采取必要的防风、防晒、防雨、防漏、防渗、防腐以及其他环境污染防治措施，不应露天堆放危险废物。</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default" w:cs="宋体"/>
                <w:color w:val="auto"/>
                <w:kern w:val="0"/>
              </w:rPr>
            </w:pPr>
            <w:r>
              <w:rPr>
                <w:rFonts w:hint="eastAsia"/>
                <w:color w:val="auto"/>
                <w:kern w:val="0"/>
              </w:rPr>
              <w:t>6.1.2</w:t>
            </w:r>
            <w:r>
              <w:rPr>
                <w:rFonts w:hint="eastAsia" w:ascii="宋体" w:hAnsi="宋体"/>
                <w:color w:val="auto"/>
                <w:kern w:val="0"/>
              </w:rPr>
              <w:t>贮存设施应根据危险废物的类别、数量、形态、物理化学性质和污染防治等要求设置必要的贮存分区，避免不相容的危险废物接触、混合。</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default" w:cs="宋体"/>
                <w:color w:val="auto"/>
                <w:kern w:val="0"/>
              </w:rPr>
            </w:pPr>
            <w:r>
              <w:rPr>
                <w:rFonts w:hint="eastAsia"/>
                <w:color w:val="auto"/>
                <w:kern w:val="0"/>
              </w:rPr>
              <w:t>6.1.3</w:t>
            </w:r>
            <w:r>
              <w:rPr>
                <w:rFonts w:hint="eastAsia" w:ascii="宋体" w:hAnsi="宋体"/>
                <w:color w:val="auto"/>
                <w:kern w:val="0"/>
              </w:rPr>
              <w:t>贮存设施或贮存分区内地面、墙面裙脚、堵截泄漏的围堰、接触危险废物的隔板和墙体等应采用坚固的材料建造，表面无裂缝。</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default" w:cs="宋体"/>
                <w:color w:val="auto"/>
                <w:kern w:val="0"/>
              </w:rPr>
            </w:pPr>
            <w:r>
              <w:rPr>
                <w:rFonts w:hint="eastAsia"/>
                <w:color w:val="auto"/>
                <w:kern w:val="0"/>
              </w:rPr>
              <w:t>6.1.4</w:t>
            </w:r>
            <w:r>
              <w:rPr>
                <w:rFonts w:hint="eastAsia" w:ascii="宋体" w:hAnsi="宋体"/>
                <w:color w:val="auto"/>
                <w:kern w:val="0"/>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eastAsia"/>
                <w:color w:val="auto"/>
                <w:kern w:val="0"/>
              </w:rPr>
              <w:t>1m</w:t>
            </w:r>
            <w:r>
              <w:rPr>
                <w:rFonts w:hint="eastAsia" w:ascii="宋体" w:hAnsi="宋体"/>
                <w:color w:val="auto"/>
                <w:kern w:val="0"/>
              </w:rPr>
              <w:t>厚黏土层（渗透系数不大于</w:t>
            </w:r>
            <w:r>
              <w:rPr>
                <w:rFonts w:hint="eastAsia"/>
                <w:color w:val="auto"/>
                <w:kern w:val="0"/>
              </w:rPr>
              <w:t>10</w:t>
            </w:r>
            <w:r>
              <w:rPr>
                <w:rFonts w:hint="eastAsia"/>
                <w:color w:val="auto"/>
                <w:kern w:val="0"/>
                <w:vertAlign w:val="superscript"/>
              </w:rPr>
              <w:t>-7</w:t>
            </w:r>
            <w:r>
              <w:rPr>
                <w:rFonts w:hint="eastAsia"/>
                <w:color w:val="auto"/>
                <w:kern w:val="0"/>
              </w:rPr>
              <w:t>cm/s</w:t>
            </w:r>
            <w:r>
              <w:rPr>
                <w:rFonts w:hint="eastAsia" w:ascii="宋体" w:hAnsi="宋体"/>
                <w:color w:val="auto"/>
                <w:kern w:val="0"/>
              </w:rPr>
              <w:t>），或至少2</w:t>
            </w:r>
            <w:r>
              <w:rPr>
                <w:rFonts w:hint="eastAsia"/>
                <w:color w:val="auto"/>
                <w:kern w:val="0"/>
              </w:rPr>
              <w:t>mm</w:t>
            </w:r>
            <w:r>
              <w:rPr>
                <w:rFonts w:hint="eastAsia" w:ascii="宋体" w:hAnsi="宋体"/>
                <w:color w:val="auto"/>
                <w:kern w:val="0"/>
              </w:rPr>
              <w:t>厚高密度聚乙烯膜等人工防渗材料（渗透系数不大于</w:t>
            </w:r>
            <w:r>
              <w:rPr>
                <w:rFonts w:hint="eastAsia"/>
                <w:color w:val="auto"/>
                <w:kern w:val="0"/>
              </w:rPr>
              <w:t>10</w:t>
            </w:r>
            <w:r>
              <w:rPr>
                <w:rFonts w:hint="eastAsia"/>
                <w:color w:val="auto"/>
                <w:kern w:val="0"/>
                <w:vertAlign w:val="superscript"/>
              </w:rPr>
              <w:t>-10</w:t>
            </w:r>
            <w:r>
              <w:rPr>
                <w:rFonts w:hint="eastAsia"/>
                <w:color w:val="auto"/>
                <w:kern w:val="0"/>
              </w:rPr>
              <w:t>cm/s</w:t>
            </w:r>
            <w:r>
              <w:rPr>
                <w:rFonts w:hint="eastAsia" w:ascii="宋体" w:hAnsi="宋体"/>
                <w:color w:val="auto"/>
                <w:kern w:val="0"/>
              </w:rPr>
              <w:t>），或其他防渗性能等效的材料。</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default" w:cs="宋体"/>
                <w:color w:val="auto"/>
                <w:kern w:val="0"/>
              </w:rPr>
            </w:pPr>
            <w:r>
              <w:rPr>
                <w:rFonts w:hint="eastAsia"/>
                <w:color w:val="auto"/>
                <w:kern w:val="0"/>
              </w:rPr>
              <w:t>6.1.5</w:t>
            </w:r>
            <w:r>
              <w:rPr>
                <w:rFonts w:hint="eastAsia" w:ascii="宋体" w:hAnsi="宋体"/>
                <w:color w:val="auto"/>
                <w:kern w:val="0"/>
              </w:rPr>
              <w:t>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suppressLineNumbers w:val="0"/>
              <w:autoSpaceDE w:val="0"/>
              <w:autoSpaceDN w:val="0"/>
              <w:adjustRightInd w:val="0"/>
              <w:snapToGrid w:val="0"/>
              <w:spacing w:before="0" w:beforeAutospacing="0" w:after="0" w:afterAutospacing="0" w:line="404" w:lineRule="exact"/>
              <w:ind w:left="0" w:right="0" w:firstLine="420" w:firstLineChars="200"/>
              <w:jc w:val="left"/>
              <w:rPr>
                <w:rFonts w:hint="default" w:cs="宋体"/>
                <w:color w:val="auto"/>
                <w:kern w:val="0"/>
              </w:rPr>
            </w:pPr>
            <w:r>
              <w:rPr>
                <w:rFonts w:hint="eastAsia"/>
                <w:color w:val="auto"/>
                <w:kern w:val="0"/>
              </w:rPr>
              <w:t>6.1.6</w:t>
            </w:r>
            <w:r>
              <w:rPr>
                <w:rFonts w:hint="eastAsia" w:ascii="宋体" w:hAnsi="宋体"/>
                <w:color w:val="auto"/>
                <w:kern w:val="0"/>
              </w:rPr>
              <w:t>贮存设施应采取技术和管理措施防止无关人员进入。</w:t>
            </w:r>
          </w:p>
          <w:p>
            <w:pPr>
              <w:keepNext w:val="0"/>
              <w:keepLines w:val="0"/>
              <w:suppressLineNumbers w:val="0"/>
              <w:adjustRightInd w:val="0"/>
              <w:snapToGrid w:val="0"/>
              <w:spacing w:before="0" w:beforeAutospacing="0" w:after="0" w:afterAutospacing="0" w:line="404" w:lineRule="exact"/>
              <w:ind w:left="-53" w:leftChars="-25" w:right="-53" w:rightChars="-25" w:firstLine="420" w:firstLineChars="200"/>
              <w:jc w:val="left"/>
              <w:rPr>
                <w:rFonts w:hint="default" w:eastAsia="黑体"/>
                <w:color w:val="auto"/>
                <w:kern w:val="0"/>
                <w:sz w:val="22"/>
                <w:szCs w:val="22"/>
              </w:rPr>
            </w:pPr>
            <w:r>
              <w:rPr>
                <w:rFonts w:hint="eastAsia" w:ascii="宋体" w:hAnsi="宋体"/>
                <w:color w:val="auto"/>
                <w:kern w:val="0"/>
              </w:rPr>
              <w:t>综上所述，在采取上述固废处置措施后，本项目固体废物能够做到去向明确，能够得到妥善处置，不会产生二次污染</w:t>
            </w:r>
            <w:r>
              <w:rPr>
                <w:rFonts w:hint="default"/>
                <w:color w:val="auto"/>
                <w:szCs w:val="21"/>
              </w:rPr>
              <w:t xml:space="preserve">，对周围环境造成的影响很小，其处理措施技术可行、经济合理。 </w:t>
            </w:r>
          </w:p>
          <w:p>
            <w:pPr>
              <w:keepNext w:val="0"/>
              <w:keepLines w:val="0"/>
              <w:suppressLineNumbers w:val="0"/>
              <w:spacing w:before="0" w:beforeAutospacing="0" w:after="0" w:afterAutospacing="0" w:line="404" w:lineRule="exact"/>
              <w:ind w:left="0" w:right="0"/>
              <w:rPr>
                <w:rFonts w:hint="default" w:eastAsiaTheme="minorEastAsia"/>
                <w:b/>
                <w:bCs/>
                <w:color w:val="auto"/>
                <w:kern w:val="0"/>
              </w:rPr>
            </w:pPr>
            <w:r>
              <w:rPr>
                <w:rFonts w:hint="default" w:eastAsiaTheme="minorEastAsia"/>
                <w:b/>
                <w:color w:val="auto"/>
                <w:kern w:val="0"/>
              </w:rPr>
              <w:t>5、</w:t>
            </w:r>
            <w:r>
              <w:rPr>
                <w:rFonts w:hint="eastAsia" w:eastAsiaTheme="minorEastAsia"/>
                <w:b/>
                <w:bCs/>
                <w:color w:val="auto"/>
                <w:kern w:val="0"/>
              </w:rPr>
              <w:t>地下水、土壤污染防治措施及影响分析</w:t>
            </w:r>
          </w:p>
          <w:p>
            <w:pPr>
              <w:keepNext w:val="0"/>
              <w:keepLines w:val="0"/>
              <w:suppressLineNumbers w:val="0"/>
              <w:topLinePunct/>
              <w:snapToGrid w:val="0"/>
              <w:spacing w:before="0" w:beforeAutospacing="0" w:after="0" w:afterAutospacing="0" w:line="404" w:lineRule="exact"/>
              <w:ind w:left="0" w:right="0"/>
              <w:rPr>
                <w:rFonts w:hint="default"/>
                <w:b/>
                <w:color w:val="auto"/>
                <w:szCs w:val="21"/>
              </w:rPr>
            </w:pPr>
            <w:r>
              <w:rPr>
                <w:rFonts w:hint="eastAsia"/>
                <w:b/>
                <w:color w:val="auto"/>
                <w:szCs w:val="21"/>
              </w:rPr>
              <w:t>5</w:t>
            </w:r>
            <w:r>
              <w:rPr>
                <w:rFonts w:hint="default"/>
                <w:b/>
                <w:color w:val="auto"/>
                <w:szCs w:val="21"/>
              </w:rPr>
              <w:t>.1</w:t>
            </w:r>
            <w:r>
              <w:rPr>
                <w:rFonts w:hint="eastAsia"/>
                <w:b/>
                <w:color w:val="auto"/>
                <w:szCs w:val="21"/>
              </w:rPr>
              <w:t>污染途径</w:t>
            </w:r>
          </w:p>
          <w:p>
            <w:pPr>
              <w:keepNext w:val="0"/>
              <w:keepLines w:val="0"/>
              <w:suppressLineNumbers w:val="0"/>
              <w:topLinePunct/>
              <w:snapToGrid w:val="0"/>
              <w:spacing w:before="0" w:beforeAutospacing="0" w:after="0" w:afterAutospacing="0" w:line="404" w:lineRule="exact"/>
              <w:ind w:left="0" w:right="0" w:firstLine="420" w:firstLineChars="200"/>
              <w:rPr>
                <w:rFonts w:hint="default" w:eastAsiaTheme="minorEastAsia"/>
                <w:color w:val="auto"/>
                <w:szCs w:val="21"/>
              </w:rPr>
            </w:pPr>
            <w:r>
              <w:rPr>
                <w:rFonts w:hint="eastAsia" w:asciiTheme="minorEastAsia" w:hAnsiTheme="minorEastAsia" w:eastAsiaTheme="minorEastAsia"/>
                <w:color w:val="auto"/>
                <w:kern w:val="0"/>
                <w:szCs w:val="21"/>
              </w:rPr>
              <w:t>项目营运期对区域地下水和土壤环境的污染影响途径主要包括：废水处理设施发生</w:t>
            </w:r>
            <w:r>
              <w:rPr>
                <w:rFonts w:hint="eastAsia" w:eastAsiaTheme="minorEastAsia"/>
                <w:color w:val="auto"/>
                <w:kern w:val="0"/>
                <w:szCs w:val="21"/>
              </w:rPr>
              <w:t>废水渗漏，导致含泥废水垂直入渗污染地下水和土壤。废机油发生渗漏，油类物质垂直入渗污染地下水和土壤。</w:t>
            </w:r>
          </w:p>
          <w:p>
            <w:pPr>
              <w:keepNext w:val="0"/>
              <w:keepLines w:val="0"/>
              <w:suppressLineNumbers w:val="0"/>
              <w:topLinePunct/>
              <w:snapToGrid w:val="0"/>
              <w:spacing w:before="0" w:beforeAutospacing="0" w:after="0" w:afterAutospacing="0" w:line="404" w:lineRule="exact"/>
              <w:ind w:left="0" w:right="0"/>
              <w:rPr>
                <w:rFonts w:hint="default" w:eastAsiaTheme="minorEastAsia"/>
                <w:b/>
                <w:color w:val="auto"/>
                <w:szCs w:val="21"/>
              </w:rPr>
            </w:pPr>
            <w:r>
              <w:rPr>
                <w:rFonts w:hint="eastAsia" w:eastAsiaTheme="minorEastAsia"/>
                <w:b/>
                <w:color w:val="auto"/>
                <w:szCs w:val="21"/>
              </w:rPr>
              <w:t>5</w:t>
            </w:r>
            <w:r>
              <w:rPr>
                <w:rFonts w:hint="default" w:eastAsiaTheme="minorEastAsia"/>
                <w:b/>
                <w:color w:val="auto"/>
                <w:szCs w:val="21"/>
              </w:rPr>
              <w:t>.2</w:t>
            </w:r>
            <w:r>
              <w:rPr>
                <w:rFonts w:hint="eastAsia" w:eastAsiaTheme="minorEastAsia"/>
                <w:b/>
                <w:color w:val="auto"/>
                <w:szCs w:val="21"/>
              </w:rPr>
              <w:t>防治措施</w:t>
            </w:r>
          </w:p>
          <w:p>
            <w:pPr>
              <w:keepNext w:val="0"/>
              <w:keepLines w:val="0"/>
              <w:suppressLineNumbers w:val="0"/>
              <w:adjustRightInd w:val="0"/>
              <w:snapToGrid w:val="0"/>
              <w:spacing w:before="0" w:beforeAutospacing="0" w:after="0" w:afterAutospacing="0" w:line="404" w:lineRule="exact"/>
              <w:ind w:left="0" w:right="0" w:firstLine="420" w:firstLineChars="200"/>
              <w:rPr>
                <w:rFonts w:hint="default" w:eastAsiaTheme="minorEastAsia"/>
                <w:color w:val="auto"/>
                <w:szCs w:val="21"/>
              </w:rPr>
            </w:pPr>
            <w:r>
              <w:rPr>
                <w:rFonts w:hint="eastAsia" w:cs="宋体" w:eastAsiaTheme="minorEastAsia"/>
                <w:color w:val="auto"/>
                <w:szCs w:val="21"/>
              </w:rPr>
              <w:t>①</w:t>
            </w:r>
            <w:r>
              <w:rPr>
                <w:rFonts w:hint="eastAsia" w:eastAsiaTheme="minorEastAsia"/>
                <w:color w:val="auto"/>
                <w:szCs w:val="21"/>
              </w:rPr>
              <w:t>源头控制措施</w:t>
            </w:r>
          </w:p>
          <w:p>
            <w:pPr>
              <w:keepNext w:val="0"/>
              <w:keepLines w:val="0"/>
              <w:suppressLineNumbers w:val="0"/>
              <w:adjustRightInd w:val="0"/>
              <w:snapToGrid w:val="0"/>
              <w:spacing w:before="0" w:beforeAutospacing="0" w:after="0" w:afterAutospacing="0" w:line="404" w:lineRule="exact"/>
              <w:ind w:left="0" w:right="0" w:firstLine="420" w:firstLineChars="200"/>
              <w:rPr>
                <w:rFonts w:hint="default" w:eastAsiaTheme="minorEastAsia"/>
                <w:color w:val="auto"/>
                <w:szCs w:val="21"/>
              </w:rPr>
            </w:pPr>
            <w:r>
              <w:rPr>
                <w:rFonts w:hint="eastAsia" w:eastAsiaTheme="minorEastAsia"/>
                <w:color w:val="auto"/>
                <w:szCs w:val="21"/>
              </w:rPr>
              <w:t>项目应根据国家现行相关规范加强环境管理，采取防止和降低污染物跑、冒、滴、漏的措施。正常生产过程中应加强巡检及时处理污染物跑、冒、滴、漏。同时应加强对防渗工程的检查，若发现防渗密封材料老化或损坏，应及时维修更换；对工艺、设备、危废暂存间采取控制措施，防止污染物的跑、冒、滴、漏，将污染物泄漏的环境风险事故降到最低限度。</w:t>
            </w:r>
          </w:p>
          <w:p>
            <w:pPr>
              <w:keepNext w:val="0"/>
              <w:keepLines w:val="0"/>
              <w:suppressLineNumbers w:val="0"/>
              <w:adjustRightInd w:val="0"/>
              <w:snapToGrid w:val="0"/>
              <w:spacing w:before="0" w:beforeAutospacing="0" w:after="0" w:afterAutospacing="0" w:line="400" w:lineRule="exact"/>
              <w:ind w:left="420" w:right="0" w:firstLine="0" w:firstLineChars="0"/>
              <w:rPr>
                <w:rFonts w:hint="default" w:eastAsiaTheme="minorEastAsia"/>
                <w:color w:val="auto"/>
                <w:szCs w:val="21"/>
              </w:rPr>
            </w:pPr>
            <w:r>
              <w:rPr>
                <w:rFonts w:hint="default" w:eastAsiaTheme="minorEastAsia"/>
                <w:color w:val="auto"/>
                <w:szCs w:val="21"/>
              </w:rPr>
              <w:t>②</w:t>
            </w:r>
            <w:r>
              <w:rPr>
                <w:rFonts w:hint="eastAsia" w:eastAsiaTheme="minorEastAsia"/>
                <w:color w:val="auto"/>
                <w:szCs w:val="21"/>
              </w:rPr>
              <w:t>分区防治措施</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rPr>
                <w:rFonts w:hint="default" w:eastAsiaTheme="minorEastAsia"/>
                <w:color w:val="auto"/>
                <w:kern w:val="0"/>
                <w:szCs w:val="21"/>
              </w:rPr>
            </w:pPr>
            <w:r>
              <w:rPr>
                <w:rFonts w:hint="default" w:eastAsiaTheme="minorEastAsia"/>
                <w:color w:val="auto"/>
                <w:kern w:val="0"/>
                <w:szCs w:val="21"/>
              </w:rPr>
              <w:t>根据各生产单元可能泄漏至地面区域的污染物性质和生产单元的构筑方式，将厂区划分为重点防渗区、一般防渗区</w:t>
            </w:r>
            <w:r>
              <w:rPr>
                <w:rFonts w:hint="eastAsia" w:eastAsiaTheme="minorEastAsia"/>
                <w:color w:val="auto"/>
                <w:kern w:val="0"/>
                <w:szCs w:val="21"/>
              </w:rPr>
              <w:t>、</w:t>
            </w:r>
            <w:r>
              <w:rPr>
                <w:rFonts w:hint="default" w:eastAsiaTheme="minorEastAsia"/>
                <w:color w:val="auto"/>
                <w:kern w:val="0"/>
                <w:szCs w:val="21"/>
              </w:rPr>
              <w:t>简单防渗区，并采取对应的措施，详见下表：</w:t>
            </w:r>
          </w:p>
          <w:p>
            <w:pPr>
              <w:keepNext w:val="0"/>
              <w:keepLines w:val="0"/>
              <w:suppressLineNumbers w:val="0"/>
              <w:adjustRightInd w:val="0"/>
              <w:snapToGrid w:val="0"/>
              <w:spacing w:before="0" w:beforeAutospacing="0" w:after="0" w:afterAutospacing="0" w:line="400" w:lineRule="exact"/>
              <w:ind w:left="0" w:right="0"/>
              <w:jc w:val="center"/>
              <w:rPr>
                <w:rFonts w:hint="default"/>
                <w:b/>
                <w:bCs/>
                <w:color w:val="auto"/>
                <w:sz w:val="18"/>
              </w:rPr>
            </w:pPr>
            <w:r>
              <w:rPr>
                <w:rFonts w:hint="eastAsia"/>
                <w:b/>
                <w:bCs/>
                <w:color w:val="auto"/>
                <w:sz w:val="18"/>
              </w:rPr>
              <w:t>表4-1</w:t>
            </w:r>
            <w:r>
              <w:rPr>
                <w:rFonts w:hint="default"/>
                <w:b/>
                <w:bCs/>
                <w:color w:val="auto"/>
                <w:sz w:val="18"/>
              </w:rPr>
              <w:t>6</w:t>
            </w:r>
            <w:r>
              <w:rPr>
                <w:rFonts w:hint="eastAsia"/>
                <w:b/>
                <w:bCs/>
                <w:color w:val="auto"/>
                <w:sz w:val="18"/>
              </w:rPr>
              <w:t xml:space="preserve">    </w:t>
            </w:r>
            <w:r>
              <w:rPr>
                <w:rFonts w:hint="default"/>
                <w:b/>
                <w:bCs/>
                <w:color w:val="auto"/>
                <w:sz w:val="18"/>
              </w:rPr>
              <w:t xml:space="preserve"> 项目分区防渗一览表</w:t>
            </w:r>
          </w:p>
          <w:tbl>
            <w:tblPr>
              <w:tblStyle w:val="14"/>
              <w:tblW w:w="78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3"/>
              <w:gridCol w:w="1240"/>
              <w:gridCol w:w="2409"/>
              <w:gridCol w:w="3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7" w:hRule="atLeast"/>
                <w:jc w:val="center"/>
              </w:trPr>
              <w:tc>
                <w:tcPr>
                  <w:tcW w:w="563"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b/>
                      <w:color w:val="auto"/>
                      <w:szCs w:val="21"/>
                    </w:rPr>
                  </w:pPr>
                  <w:r>
                    <w:rPr>
                      <w:rFonts w:hint="default" w:ascii="Times New Roman" w:hAnsi="Times New Roman"/>
                      <w:b/>
                      <w:color w:val="auto"/>
                      <w:szCs w:val="21"/>
                    </w:rPr>
                    <w:t>序号</w:t>
                  </w:r>
                </w:p>
              </w:tc>
              <w:tc>
                <w:tcPr>
                  <w:tcW w:w="1240"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b/>
                      <w:color w:val="auto"/>
                      <w:szCs w:val="21"/>
                    </w:rPr>
                  </w:pPr>
                  <w:r>
                    <w:rPr>
                      <w:rFonts w:hint="default" w:ascii="Times New Roman" w:hAnsi="Times New Roman"/>
                      <w:b/>
                      <w:color w:val="auto"/>
                      <w:szCs w:val="21"/>
                    </w:rPr>
                    <w:t>防渗分区</w:t>
                  </w:r>
                </w:p>
              </w:tc>
              <w:tc>
                <w:tcPr>
                  <w:tcW w:w="2409"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b/>
                      <w:color w:val="auto"/>
                      <w:szCs w:val="21"/>
                    </w:rPr>
                  </w:pPr>
                  <w:r>
                    <w:rPr>
                      <w:rFonts w:hint="default" w:ascii="Times New Roman" w:hAnsi="Times New Roman"/>
                      <w:b/>
                      <w:color w:val="auto"/>
                      <w:szCs w:val="21"/>
                    </w:rPr>
                    <w:t>具体范围</w:t>
                  </w:r>
                </w:p>
              </w:tc>
              <w:tc>
                <w:tcPr>
                  <w:tcW w:w="3626"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b/>
                      <w:color w:val="auto"/>
                      <w:szCs w:val="21"/>
                    </w:rPr>
                  </w:pPr>
                  <w:r>
                    <w:rPr>
                      <w:rFonts w:hint="default" w:ascii="Times New Roman" w:hAnsi="Times New Roman"/>
                      <w:b/>
                      <w:color w:val="auto"/>
                      <w:szCs w:val="21"/>
                    </w:rPr>
                    <w:t>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3" w:hRule="atLeast"/>
                <w:jc w:val="center"/>
              </w:trPr>
              <w:tc>
                <w:tcPr>
                  <w:tcW w:w="563"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olor w:val="auto"/>
                      <w:szCs w:val="21"/>
                    </w:rPr>
                  </w:pPr>
                  <w:r>
                    <w:rPr>
                      <w:rFonts w:hint="eastAsia" w:ascii="Times New Roman" w:hAnsi="Times New Roman"/>
                      <w:color w:val="auto"/>
                      <w:szCs w:val="21"/>
                    </w:rPr>
                    <w:t>1</w:t>
                  </w:r>
                </w:p>
              </w:tc>
              <w:tc>
                <w:tcPr>
                  <w:tcW w:w="1240"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olor w:val="auto"/>
                      <w:szCs w:val="21"/>
                    </w:rPr>
                  </w:pPr>
                  <w:r>
                    <w:rPr>
                      <w:rFonts w:hint="eastAsia" w:ascii="Times New Roman" w:hAnsi="Times New Roman"/>
                      <w:color w:val="auto"/>
                      <w:szCs w:val="21"/>
                    </w:rPr>
                    <w:t>重点防渗</w:t>
                  </w:r>
                </w:p>
              </w:tc>
              <w:tc>
                <w:tcPr>
                  <w:tcW w:w="2409" w:type="dxa"/>
                  <w:vAlign w:val="center"/>
                </w:tcPr>
                <w:p>
                  <w:pPr>
                    <w:keepNext w:val="0"/>
                    <w:keepLines w:val="0"/>
                    <w:suppressLineNumbers w:val="0"/>
                    <w:spacing w:before="0" w:beforeAutospacing="0" w:after="0" w:afterAutospacing="0" w:line="300" w:lineRule="exact"/>
                    <w:ind w:left="0" w:right="0" w:firstLine="36"/>
                    <w:jc w:val="center"/>
                    <w:rPr>
                      <w:rFonts w:hint="default" w:ascii="Times New Roman" w:hAnsi="Times New Roman" w:cs="Times New Roman"/>
                      <w:color w:val="auto"/>
                      <w:kern w:val="10"/>
                      <w:sz w:val="21"/>
                      <w:szCs w:val="21"/>
                    </w:rPr>
                  </w:pPr>
                  <w:r>
                    <w:rPr>
                      <w:rFonts w:hint="eastAsia" w:hAnsi="宋体" w:cs="Times New Roman"/>
                      <w:color w:val="auto"/>
                    </w:rPr>
                    <w:t>危废暂存间</w:t>
                  </w:r>
                </w:p>
              </w:tc>
              <w:tc>
                <w:tcPr>
                  <w:tcW w:w="3626" w:type="dxa"/>
                  <w:vAlign w:val="center"/>
                </w:tcPr>
                <w:p>
                  <w:pPr>
                    <w:keepNext w:val="0"/>
                    <w:keepLines w:val="0"/>
                    <w:suppressLineNumbers w:val="0"/>
                    <w:spacing w:before="0" w:beforeAutospacing="0" w:after="0" w:afterAutospacing="0" w:line="300" w:lineRule="exact"/>
                    <w:ind w:left="0" w:right="0" w:firstLine="0" w:firstLineChars="0"/>
                    <w:jc w:val="left"/>
                    <w:rPr>
                      <w:rFonts w:hint="default" w:ascii="Times New Roman" w:hAnsi="Times New Roman"/>
                      <w:color w:val="auto"/>
                      <w:szCs w:val="21"/>
                    </w:rPr>
                  </w:pPr>
                  <w:r>
                    <w:rPr>
                      <w:rFonts w:hint="default" w:ascii="Times New Roman" w:hAnsi="Times New Roman"/>
                      <w:color w:val="auto"/>
                    </w:rPr>
                    <w:t>铺设2mm厚高密度聚乙烯，</w:t>
                  </w:r>
                  <w:r>
                    <w:rPr>
                      <w:rFonts w:hint="default" w:ascii="Times New Roman" w:hAnsi="Times New Roman"/>
                      <w:bCs/>
                      <w:color w:val="auto"/>
                    </w:rPr>
                    <w:t>渗透系数≤10</w:t>
                  </w:r>
                  <w:r>
                    <w:rPr>
                      <w:rFonts w:hint="default" w:ascii="Times New Roman" w:hAnsi="Times New Roman"/>
                      <w:bCs/>
                      <w:color w:val="auto"/>
                      <w:vertAlign w:val="superscript"/>
                    </w:rPr>
                    <w:t>-10</w:t>
                  </w:r>
                  <w:r>
                    <w:rPr>
                      <w:rFonts w:hint="default" w:ascii="Times New Roman" w:hAnsi="Times New Roman"/>
                      <w:bCs/>
                      <w:color w:val="auto"/>
                    </w:rPr>
                    <w:t>cm/s，</w:t>
                  </w:r>
                  <w:r>
                    <w:rPr>
                      <w:rFonts w:hint="default" w:ascii="Times New Roman" w:hAnsi="Times New Roman"/>
                      <w:color w:val="auto"/>
                    </w:rPr>
                    <w:t>地面以混凝土铺设，采用环氧漆做防腐防渗处理，</w:t>
                  </w:r>
                  <w:r>
                    <w:rPr>
                      <w:rFonts w:hint="default" w:ascii="Times New Roman" w:hAnsi="Times New Roman"/>
                      <w:bCs/>
                      <w:color w:val="auto"/>
                    </w:rPr>
                    <w:t>危废暂存间设置10cm高围堰</w:t>
                  </w:r>
                  <w:r>
                    <w:rPr>
                      <w:rFonts w:hint="default"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3" w:hRule="atLeast"/>
                <w:jc w:val="center"/>
              </w:trPr>
              <w:tc>
                <w:tcPr>
                  <w:tcW w:w="563"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olor w:val="auto"/>
                      <w:szCs w:val="21"/>
                    </w:rPr>
                  </w:pPr>
                  <w:r>
                    <w:rPr>
                      <w:rFonts w:hint="default" w:ascii="Times New Roman" w:hAnsi="Times New Roman"/>
                      <w:color w:val="auto"/>
                      <w:szCs w:val="21"/>
                    </w:rPr>
                    <w:t>2</w:t>
                  </w:r>
                </w:p>
              </w:tc>
              <w:tc>
                <w:tcPr>
                  <w:tcW w:w="1240"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olor w:val="auto"/>
                      <w:szCs w:val="21"/>
                    </w:rPr>
                  </w:pPr>
                  <w:r>
                    <w:rPr>
                      <w:rFonts w:hint="default" w:ascii="Times New Roman" w:hAnsi="Times New Roman"/>
                      <w:color w:val="auto"/>
                      <w:szCs w:val="21"/>
                    </w:rPr>
                    <w:t>一般防渗区</w:t>
                  </w:r>
                </w:p>
              </w:tc>
              <w:tc>
                <w:tcPr>
                  <w:tcW w:w="2409" w:type="dxa"/>
                  <w:vAlign w:val="center"/>
                </w:tcPr>
                <w:p>
                  <w:pPr>
                    <w:keepNext w:val="0"/>
                    <w:keepLines w:val="0"/>
                    <w:suppressLineNumbers w:val="0"/>
                    <w:spacing w:before="0" w:beforeAutospacing="0" w:after="0" w:afterAutospacing="0" w:line="300" w:lineRule="exact"/>
                    <w:ind w:left="0" w:right="0" w:firstLine="36"/>
                    <w:jc w:val="center"/>
                    <w:rPr>
                      <w:rFonts w:hint="default" w:ascii="Times New Roman" w:hAnsi="Times New Roman" w:cs="Times New Roman"/>
                      <w:color w:val="auto"/>
                    </w:rPr>
                  </w:pPr>
                  <w:r>
                    <w:rPr>
                      <w:rFonts w:hint="eastAsia" w:hAnsi="宋体" w:cs="Times New Roman"/>
                      <w:color w:val="auto"/>
                    </w:rPr>
                    <w:t>洗砂废水处理区及池体、车辆轮胎冲洗废水沉淀池、化粪池</w:t>
                  </w:r>
                </w:p>
              </w:tc>
              <w:tc>
                <w:tcPr>
                  <w:tcW w:w="3626" w:type="dxa"/>
                  <w:vAlign w:val="center"/>
                </w:tcPr>
                <w:p>
                  <w:pPr>
                    <w:keepNext w:val="0"/>
                    <w:keepLines w:val="0"/>
                    <w:suppressLineNumbers w:val="0"/>
                    <w:spacing w:before="0" w:beforeAutospacing="0" w:after="0" w:afterAutospacing="0" w:line="300" w:lineRule="exact"/>
                    <w:ind w:left="0" w:right="0" w:firstLine="0" w:firstLineChars="0"/>
                    <w:jc w:val="left"/>
                    <w:rPr>
                      <w:rFonts w:hint="default" w:ascii="Times New Roman" w:hAnsi="Times New Roman"/>
                      <w:color w:val="auto"/>
                      <w:szCs w:val="21"/>
                    </w:rPr>
                  </w:pPr>
                  <w:r>
                    <w:rPr>
                      <w:rFonts w:hint="eastAsia" w:ascii="Times New Roman" w:hAnsi="Times New Roman"/>
                      <w:color w:val="auto"/>
                      <w:szCs w:val="21"/>
                    </w:rPr>
                    <w:t>沉淀池池壁以及</w:t>
                  </w:r>
                  <w:r>
                    <w:rPr>
                      <w:rFonts w:hint="eastAsia" w:ascii="Times New Roman" w:hAnsi="Times New Roman"/>
                      <w:color w:val="auto"/>
                      <w:kern w:val="0"/>
                      <w:szCs w:val="21"/>
                    </w:rPr>
                    <w:t>地面</w:t>
                  </w:r>
                  <w:r>
                    <w:rPr>
                      <w:rFonts w:hint="default" w:ascii="Times New Roman" w:hAnsi="Times New Roman"/>
                      <w:bCs/>
                      <w:color w:val="auto"/>
                      <w:szCs w:val="21"/>
                    </w:rPr>
                    <w:t>采用C25，P6防渗等级混凝土结构处理，渗透系数不小1.0×10</w:t>
                  </w:r>
                  <w:r>
                    <w:rPr>
                      <w:rFonts w:hint="default" w:ascii="Times New Roman" w:hAnsi="Times New Roman"/>
                      <w:bCs/>
                      <w:color w:val="auto"/>
                      <w:szCs w:val="21"/>
                      <w:vertAlign w:val="superscript"/>
                    </w:rPr>
                    <w:t>-7</w:t>
                  </w:r>
                  <w:r>
                    <w:rPr>
                      <w:rFonts w:hint="default" w:ascii="Times New Roman" w:hAnsi="Times New Roman"/>
                      <w:bCs/>
                      <w:color w:val="auto"/>
                      <w:szCs w:val="21"/>
                    </w:rPr>
                    <w:t>cm/s</w:t>
                  </w:r>
                  <w:r>
                    <w:rPr>
                      <w:rFonts w:hint="default" w:ascii="Times New Roman" w:hAnsi="Times New Roman"/>
                      <w:color w:val="auto"/>
                      <w:szCs w:val="21"/>
                    </w:rPr>
                    <w:t>；或参照GB16889执行。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43" w:hRule="atLeast"/>
                <w:jc w:val="center"/>
              </w:trPr>
              <w:tc>
                <w:tcPr>
                  <w:tcW w:w="563"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olor w:val="auto"/>
                      <w:szCs w:val="21"/>
                    </w:rPr>
                  </w:pPr>
                  <w:r>
                    <w:rPr>
                      <w:rFonts w:hint="default" w:ascii="Times New Roman" w:hAnsi="Times New Roman"/>
                      <w:color w:val="auto"/>
                      <w:szCs w:val="21"/>
                    </w:rPr>
                    <w:t>3</w:t>
                  </w:r>
                </w:p>
              </w:tc>
              <w:tc>
                <w:tcPr>
                  <w:tcW w:w="1240"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olor w:val="auto"/>
                      <w:szCs w:val="21"/>
                    </w:rPr>
                  </w:pPr>
                  <w:r>
                    <w:rPr>
                      <w:rFonts w:hint="eastAsia" w:ascii="Times New Roman" w:hAnsi="Times New Roman"/>
                      <w:color w:val="auto"/>
                      <w:szCs w:val="21"/>
                    </w:rPr>
                    <w:t>简单防渗区</w:t>
                  </w:r>
                </w:p>
              </w:tc>
              <w:tc>
                <w:tcPr>
                  <w:tcW w:w="2409"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olor w:val="auto"/>
                      <w:szCs w:val="21"/>
                    </w:rPr>
                  </w:pPr>
                  <w:r>
                    <w:rPr>
                      <w:rFonts w:hint="eastAsia" w:ascii="Times New Roman" w:hAnsi="Times New Roman"/>
                      <w:color w:val="auto"/>
                      <w:szCs w:val="21"/>
                    </w:rPr>
                    <w:t>生产车间、厂区露天区域</w:t>
                  </w:r>
                </w:p>
              </w:tc>
              <w:tc>
                <w:tcPr>
                  <w:tcW w:w="3626" w:type="dxa"/>
                  <w:vAlign w:val="center"/>
                </w:tcPr>
                <w:p>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color w:val="auto"/>
                      <w:szCs w:val="21"/>
                    </w:rPr>
                  </w:pPr>
                  <w:r>
                    <w:rPr>
                      <w:rFonts w:hint="eastAsia" w:ascii="Times New Roman" w:hAnsi="Times New Roman"/>
                      <w:color w:val="auto"/>
                      <w:szCs w:val="21"/>
                    </w:rPr>
                    <w:t>一般地面硬化</w:t>
                  </w:r>
                </w:p>
              </w:tc>
            </w:tr>
          </w:tbl>
          <w:p>
            <w:pPr>
              <w:keepNext w:val="0"/>
              <w:keepLines w:val="0"/>
              <w:suppressLineNumbers w:val="0"/>
              <w:adjustRightInd w:val="0"/>
              <w:snapToGrid w:val="0"/>
              <w:spacing w:before="0" w:beforeAutospacing="0" w:after="0" w:afterAutospacing="0" w:line="400" w:lineRule="exact"/>
              <w:ind w:left="0" w:right="0"/>
              <w:jc w:val="left"/>
              <w:rPr>
                <w:rFonts w:hint="default"/>
                <w:b/>
                <w:color w:val="auto"/>
                <w:szCs w:val="21"/>
              </w:rPr>
            </w:pPr>
            <w:r>
              <w:rPr>
                <w:rFonts w:hint="eastAsia" w:eastAsia="黑体"/>
                <w:b/>
                <w:color w:val="auto"/>
                <w:kern w:val="0"/>
                <w:sz w:val="22"/>
                <w:szCs w:val="22"/>
              </w:rPr>
              <w:t>6、</w:t>
            </w:r>
            <w:r>
              <w:rPr>
                <w:rFonts w:hint="default"/>
                <w:b/>
                <w:color w:val="auto"/>
                <w:szCs w:val="21"/>
              </w:rPr>
              <w:t>环境风险评价</w:t>
            </w:r>
          </w:p>
          <w:p>
            <w:pPr>
              <w:keepNext w:val="0"/>
              <w:keepLines w:val="0"/>
              <w:suppressLineNumbers w:val="0"/>
              <w:autoSpaceDE w:val="0"/>
              <w:autoSpaceDN w:val="0"/>
              <w:adjustRightInd w:val="0"/>
              <w:spacing w:before="0" w:beforeAutospacing="0" w:after="0" w:afterAutospacing="0" w:line="400" w:lineRule="exact"/>
              <w:ind w:left="0" w:right="0"/>
              <w:rPr>
                <w:rFonts w:hint="default" w:eastAsia="黑体"/>
                <w:color w:val="auto"/>
                <w:kern w:val="0"/>
              </w:rPr>
            </w:pPr>
            <w:r>
              <w:rPr>
                <w:rFonts w:hint="eastAsia" w:eastAsia="黑体"/>
                <w:color w:val="auto"/>
                <w:kern w:val="0"/>
              </w:rPr>
              <w:t>6.1</w:t>
            </w:r>
            <w:r>
              <w:rPr>
                <w:rFonts w:hint="default" w:ascii="黑体" w:hAnsi="黑体" w:eastAsia="黑体"/>
                <w:color w:val="auto"/>
                <w:kern w:val="0"/>
              </w:rPr>
              <w:t>危险物质</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kern w:val="0"/>
                <w:sz w:val="24"/>
              </w:rPr>
            </w:pPr>
            <w:r>
              <w:rPr>
                <w:rFonts w:hint="eastAsia"/>
                <w:color w:val="auto"/>
                <w:kern w:val="0"/>
              </w:rPr>
              <w:t>对照《建设项目环境风险评价技术导则》(HJ169-2018）附录中B，项目涉及的危险物质主要有废机油。</w:t>
            </w:r>
            <w:r>
              <w:rPr>
                <w:rFonts w:hint="eastAsia"/>
                <w:color w:val="auto"/>
                <w:kern w:val="0"/>
                <w:sz w:val="24"/>
              </w:rPr>
              <w:t xml:space="preserve"> </w:t>
            </w:r>
          </w:p>
          <w:p>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eastAsia="黑体"/>
                <w:color w:val="auto"/>
                <w:kern w:val="0"/>
                <w:sz w:val="18"/>
                <w:szCs w:val="21"/>
              </w:rPr>
            </w:pPr>
            <w:r>
              <w:rPr>
                <w:rFonts w:hint="eastAsia" w:ascii="黑体" w:hAnsi="黑体" w:eastAsia="黑体"/>
                <w:color w:val="auto"/>
                <w:kern w:val="0"/>
                <w:sz w:val="18"/>
              </w:rPr>
              <w:t>表</w:t>
            </w:r>
            <w:r>
              <w:rPr>
                <w:rFonts w:hint="default" w:eastAsia="黑体"/>
                <w:color w:val="auto"/>
                <w:kern w:val="0"/>
                <w:sz w:val="18"/>
              </w:rPr>
              <w:t>4-17</w:t>
            </w:r>
            <w:r>
              <w:rPr>
                <w:rFonts w:hint="eastAsia" w:eastAsia="黑体"/>
                <w:color w:val="auto"/>
                <w:kern w:val="0"/>
                <w:sz w:val="18"/>
              </w:rPr>
              <w:t xml:space="preserve">  </w:t>
            </w:r>
            <w:r>
              <w:rPr>
                <w:rFonts w:hint="default" w:eastAsia="黑体"/>
                <w:color w:val="auto"/>
                <w:kern w:val="0"/>
                <w:sz w:val="18"/>
              </w:rPr>
              <w:t xml:space="preserve">  </w:t>
            </w:r>
            <w:r>
              <w:rPr>
                <w:rFonts w:hint="eastAsia" w:ascii="黑体" w:hAnsi="黑体" w:eastAsia="黑体"/>
                <w:color w:val="auto"/>
                <w:kern w:val="0"/>
                <w:sz w:val="18"/>
              </w:rPr>
              <w:t>危险废物产生情况表</w:t>
            </w:r>
          </w:p>
          <w:tbl>
            <w:tblPr>
              <w:tblStyle w:val="14"/>
              <w:tblW w:w="77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803"/>
              <w:gridCol w:w="1226"/>
              <w:gridCol w:w="998"/>
              <w:gridCol w:w="1303"/>
              <w:gridCol w:w="714"/>
              <w:gridCol w:w="999"/>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609" w:type="dxa"/>
                  <w:vAlign w:val="center"/>
                </w:tcPr>
                <w:p>
                  <w:pPr>
                    <w:keepNext w:val="0"/>
                    <w:keepLines w:val="0"/>
                    <w:suppressLineNumbers w:val="0"/>
                    <w:autoSpaceDE w:val="0"/>
                    <w:autoSpaceDN w:val="0"/>
                    <w:adjustRightInd w:val="0"/>
                    <w:spacing w:before="0" w:beforeAutospacing="0" w:after="0" w:afterAutospacing="0" w:line="300" w:lineRule="exact"/>
                    <w:ind w:left="-71" w:leftChars="-34" w:right="-71" w:rightChars="-34"/>
                    <w:jc w:val="center"/>
                    <w:rPr>
                      <w:rFonts w:hint="default"/>
                      <w:b/>
                      <w:color w:val="auto"/>
                      <w:sz w:val="18"/>
                    </w:rPr>
                  </w:pPr>
                  <w:r>
                    <w:rPr>
                      <w:rFonts w:hint="eastAsia" w:ascii="宋体" w:hAnsi="宋体"/>
                      <w:b/>
                      <w:color w:val="auto"/>
                      <w:sz w:val="18"/>
                    </w:rPr>
                    <w:t>序号</w:t>
                  </w:r>
                </w:p>
              </w:tc>
              <w:tc>
                <w:tcPr>
                  <w:tcW w:w="803" w:type="dxa"/>
                  <w:vAlign w:val="center"/>
                </w:tcPr>
                <w:p>
                  <w:pPr>
                    <w:keepNext w:val="0"/>
                    <w:keepLines w:val="0"/>
                    <w:suppressLineNumbers w:val="0"/>
                    <w:autoSpaceDE w:val="0"/>
                    <w:autoSpaceDN w:val="0"/>
                    <w:adjustRightInd w:val="0"/>
                    <w:spacing w:before="0" w:beforeAutospacing="0" w:after="0" w:afterAutospacing="0" w:line="300" w:lineRule="exact"/>
                    <w:ind w:left="-71" w:leftChars="-34" w:right="-71" w:rightChars="-34"/>
                    <w:jc w:val="center"/>
                    <w:rPr>
                      <w:rFonts w:hint="default"/>
                      <w:b/>
                      <w:color w:val="auto"/>
                      <w:sz w:val="18"/>
                    </w:rPr>
                  </w:pPr>
                  <w:r>
                    <w:rPr>
                      <w:rFonts w:hint="eastAsia" w:ascii="宋体" w:hAnsi="宋体"/>
                      <w:b/>
                      <w:color w:val="auto"/>
                      <w:sz w:val="18"/>
                    </w:rPr>
                    <w:t>名称</w:t>
                  </w:r>
                </w:p>
              </w:tc>
              <w:tc>
                <w:tcPr>
                  <w:tcW w:w="1226" w:type="dxa"/>
                  <w:vAlign w:val="center"/>
                </w:tcPr>
                <w:p>
                  <w:pPr>
                    <w:keepNext w:val="0"/>
                    <w:keepLines w:val="0"/>
                    <w:suppressLineNumbers w:val="0"/>
                    <w:autoSpaceDE w:val="0"/>
                    <w:autoSpaceDN w:val="0"/>
                    <w:adjustRightInd w:val="0"/>
                    <w:spacing w:before="0" w:beforeAutospacing="0" w:after="0" w:afterAutospacing="0" w:line="300" w:lineRule="exact"/>
                    <w:ind w:left="-71" w:leftChars="-34" w:right="-71" w:rightChars="-34"/>
                    <w:jc w:val="center"/>
                    <w:rPr>
                      <w:rFonts w:hint="default"/>
                      <w:b/>
                      <w:color w:val="auto"/>
                      <w:sz w:val="18"/>
                    </w:rPr>
                  </w:pPr>
                  <w:r>
                    <w:rPr>
                      <w:rFonts w:hint="eastAsia" w:ascii="宋体" w:hAnsi="宋体"/>
                      <w:b/>
                      <w:color w:val="auto"/>
                      <w:sz w:val="18"/>
                    </w:rPr>
                    <w:t>最大储存量（</w:t>
                  </w:r>
                  <w:r>
                    <w:rPr>
                      <w:rFonts w:hint="default"/>
                      <w:b/>
                      <w:color w:val="auto"/>
                      <w:sz w:val="18"/>
                    </w:rPr>
                    <w:t>t</w:t>
                  </w:r>
                  <w:r>
                    <w:rPr>
                      <w:rFonts w:hint="eastAsia" w:ascii="宋体" w:hAnsi="宋体"/>
                      <w:b/>
                      <w:color w:val="auto"/>
                      <w:sz w:val="18"/>
                    </w:rPr>
                    <w:t>）</w:t>
                  </w:r>
                </w:p>
              </w:tc>
              <w:tc>
                <w:tcPr>
                  <w:tcW w:w="998" w:type="dxa"/>
                  <w:vAlign w:val="center"/>
                </w:tcPr>
                <w:p>
                  <w:pPr>
                    <w:keepNext w:val="0"/>
                    <w:keepLines w:val="0"/>
                    <w:suppressLineNumbers w:val="0"/>
                    <w:autoSpaceDE w:val="0"/>
                    <w:autoSpaceDN w:val="0"/>
                    <w:adjustRightInd w:val="0"/>
                    <w:spacing w:before="0" w:beforeAutospacing="0" w:after="0" w:afterAutospacing="0" w:line="300" w:lineRule="exact"/>
                    <w:ind w:left="-71" w:leftChars="-34" w:right="-71" w:rightChars="-34"/>
                    <w:jc w:val="center"/>
                    <w:rPr>
                      <w:rFonts w:hint="default"/>
                      <w:b/>
                      <w:color w:val="auto"/>
                      <w:sz w:val="18"/>
                    </w:rPr>
                  </w:pPr>
                  <w:r>
                    <w:rPr>
                      <w:rFonts w:hint="eastAsia" w:ascii="宋体" w:hAnsi="宋体"/>
                      <w:b/>
                      <w:color w:val="auto"/>
                      <w:sz w:val="18"/>
                    </w:rPr>
                    <w:t>产生量（</w:t>
                  </w:r>
                  <w:r>
                    <w:rPr>
                      <w:rFonts w:hint="default"/>
                      <w:b/>
                      <w:color w:val="auto"/>
                      <w:sz w:val="18"/>
                    </w:rPr>
                    <w:t>t/a</w:t>
                  </w:r>
                  <w:r>
                    <w:rPr>
                      <w:rFonts w:hint="eastAsia" w:ascii="宋体" w:hAnsi="宋体"/>
                      <w:b/>
                      <w:color w:val="auto"/>
                      <w:sz w:val="18"/>
                    </w:rPr>
                    <w:t>）</w:t>
                  </w:r>
                </w:p>
              </w:tc>
              <w:tc>
                <w:tcPr>
                  <w:tcW w:w="1303" w:type="dxa"/>
                  <w:vAlign w:val="center"/>
                </w:tcPr>
                <w:p>
                  <w:pPr>
                    <w:keepNext w:val="0"/>
                    <w:keepLines w:val="0"/>
                    <w:suppressLineNumbers w:val="0"/>
                    <w:autoSpaceDE w:val="0"/>
                    <w:autoSpaceDN w:val="0"/>
                    <w:adjustRightInd w:val="0"/>
                    <w:spacing w:before="0" w:beforeAutospacing="0" w:after="0" w:afterAutospacing="0" w:line="300" w:lineRule="exact"/>
                    <w:ind w:left="-71" w:leftChars="-34" w:right="-71" w:rightChars="-34"/>
                    <w:jc w:val="center"/>
                    <w:rPr>
                      <w:rFonts w:hint="default"/>
                      <w:b/>
                      <w:color w:val="auto"/>
                      <w:sz w:val="18"/>
                    </w:rPr>
                  </w:pPr>
                  <w:r>
                    <w:rPr>
                      <w:rFonts w:hint="eastAsia" w:ascii="宋体" w:hAnsi="宋体"/>
                      <w:b/>
                      <w:color w:val="auto"/>
                      <w:sz w:val="18"/>
                    </w:rPr>
                    <w:t>贮存方式</w:t>
                  </w:r>
                </w:p>
              </w:tc>
              <w:tc>
                <w:tcPr>
                  <w:tcW w:w="714" w:type="dxa"/>
                  <w:vAlign w:val="center"/>
                </w:tcPr>
                <w:p>
                  <w:pPr>
                    <w:keepNext w:val="0"/>
                    <w:keepLines w:val="0"/>
                    <w:suppressLineNumbers w:val="0"/>
                    <w:autoSpaceDE w:val="0"/>
                    <w:autoSpaceDN w:val="0"/>
                    <w:adjustRightInd w:val="0"/>
                    <w:spacing w:before="0" w:beforeAutospacing="0" w:after="0" w:afterAutospacing="0" w:line="300" w:lineRule="exact"/>
                    <w:ind w:left="-71" w:leftChars="-34" w:right="-71" w:rightChars="-34"/>
                    <w:jc w:val="center"/>
                    <w:rPr>
                      <w:rFonts w:hint="default"/>
                      <w:b/>
                      <w:color w:val="auto"/>
                      <w:sz w:val="18"/>
                    </w:rPr>
                  </w:pPr>
                  <w:r>
                    <w:rPr>
                      <w:rFonts w:hint="eastAsia" w:ascii="宋体" w:hAnsi="宋体"/>
                      <w:b/>
                      <w:color w:val="auto"/>
                      <w:sz w:val="18"/>
                    </w:rPr>
                    <w:t>临界量</w:t>
                  </w:r>
                </w:p>
              </w:tc>
              <w:tc>
                <w:tcPr>
                  <w:tcW w:w="999" w:type="dxa"/>
                  <w:vAlign w:val="center"/>
                </w:tcPr>
                <w:p>
                  <w:pPr>
                    <w:keepNext w:val="0"/>
                    <w:keepLines w:val="0"/>
                    <w:suppressLineNumbers w:val="0"/>
                    <w:autoSpaceDE w:val="0"/>
                    <w:autoSpaceDN w:val="0"/>
                    <w:adjustRightInd w:val="0"/>
                    <w:spacing w:before="0" w:beforeAutospacing="0" w:after="0" w:afterAutospacing="0" w:line="300" w:lineRule="exact"/>
                    <w:ind w:left="-71" w:leftChars="-34" w:right="-71" w:rightChars="-34"/>
                    <w:jc w:val="center"/>
                    <w:rPr>
                      <w:rFonts w:hint="default"/>
                      <w:b/>
                      <w:color w:val="auto"/>
                      <w:sz w:val="18"/>
                    </w:rPr>
                  </w:pPr>
                  <w:r>
                    <w:rPr>
                      <w:rFonts w:hint="eastAsia" w:ascii="宋体" w:hAnsi="宋体"/>
                      <w:b/>
                      <w:color w:val="auto"/>
                      <w:sz w:val="18"/>
                    </w:rPr>
                    <w:t>储存位置</w:t>
                  </w:r>
                </w:p>
              </w:tc>
              <w:tc>
                <w:tcPr>
                  <w:tcW w:w="1143" w:type="dxa"/>
                  <w:vAlign w:val="center"/>
                </w:tcPr>
                <w:p>
                  <w:pPr>
                    <w:keepNext w:val="0"/>
                    <w:keepLines w:val="0"/>
                    <w:suppressLineNumbers w:val="0"/>
                    <w:autoSpaceDE w:val="0"/>
                    <w:autoSpaceDN w:val="0"/>
                    <w:adjustRightInd w:val="0"/>
                    <w:spacing w:before="0" w:beforeAutospacing="0" w:after="0" w:afterAutospacing="0" w:line="300" w:lineRule="exact"/>
                    <w:ind w:left="-71" w:leftChars="-34" w:right="-71" w:rightChars="-34"/>
                    <w:jc w:val="center"/>
                    <w:rPr>
                      <w:rFonts w:hint="default"/>
                      <w:b/>
                      <w:color w:val="auto"/>
                      <w:sz w:val="18"/>
                    </w:rPr>
                  </w:pPr>
                  <w:r>
                    <w:rPr>
                      <w:rFonts w:hint="eastAsia" w:ascii="宋体" w:hAnsi="宋体"/>
                      <w:b/>
                      <w:color w:val="auto"/>
                      <w:sz w:val="18"/>
                    </w:rPr>
                    <w:t>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609" w:type="dxa"/>
                </w:tcPr>
                <w:p>
                  <w:pPr>
                    <w:keepNext w:val="0"/>
                    <w:keepLines w:val="0"/>
                    <w:suppressLineNumbers w:val="0"/>
                    <w:autoSpaceDE w:val="0"/>
                    <w:autoSpaceDN w:val="0"/>
                    <w:adjustRightInd w:val="0"/>
                    <w:spacing w:before="0" w:beforeAutospacing="0" w:after="0" w:afterAutospacing="0" w:line="300" w:lineRule="exact"/>
                    <w:ind w:left="-71" w:leftChars="-34" w:right="-71" w:rightChars="-34"/>
                    <w:jc w:val="center"/>
                    <w:rPr>
                      <w:rFonts w:hint="default"/>
                      <w:bCs/>
                      <w:color w:val="auto"/>
                      <w:sz w:val="18"/>
                    </w:rPr>
                  </w:pPr>
                  <w:r>
                    <w:rPr>
                      <w:rFonts w:hint="eastAsia"/>
                      <w:bCs/>
                      <w:color w:val="auto"/>
                      <w:sz w:val="18"/>
                    </w:rPr>
                    <w:t>1</w:t>
                  </w:r>
                </w:p>
              </w:tc>
              <w:tc>
                <w:tcPr>
                  <w:tcW w:w="803" w:type="dxa"/>
                  <w:vAlign w:val="center"/>
                </w:tcPr>
                <w:p>
                  <w:pPr>
                    <w:keepNext w:val="0"/>
                    <w:keepLines w:val="0"/>
                    <w:suppressLineNumbers w:val="0"/>
                    <w:spacing w:before="0" w:beforeAutospacing="0" w:after="0" w:afterAutospacing="0" w:line="300" w:lineRule="exact"/>
                    <w:ind w:left="-71" w:leftChars="-34" w:right="-71" w:rightChars="-34"/>
                    <w:jc w:val="center"/>
                    <w:rPr>
                      <w:rFonts w:hint="default"/>
                      <w:color w:val="auto"/>
                      <w:kern w:val="0"/>
                      <w:sz w:val="18"/>
                    </w:rPr>
                  </w:pPr>
                  <w:r>
                    <w:rPr>
                      <w:rFonts w:hint="eastAsia" w:ascii="宋体" w:hAnsi="宋体"/>
                      <w:color w:val="auto"/>
                      <w:kern w:val="0"/>
                      <w:sz w:val="18"/>
                    </w:rPr>
                    <w:t>废机油</w:t>
                  </w:r>
                </w:p>
              </w:tc>
              <w:tc>
                <w:tcPr>
                  <w:tcW w:w="1226" w:type="dxa"/>
                  <w:vAlign w:val="center"/>
                </w:tcPr>
                <w:p>
                  <w:pPr>
                    <w:keepNext w:val="0"/>
                    <w:keepLines w:val="0"/>
                    <w:suppressLineNumbers w:val="0"/>
                    <w:autoSpaceDE w:val="0"/>
                    <w:autoSpaceDN w:val="0"/>
                    <w:adjustRightInd w:val="0"/>
                    <w:spacing w:before="0" w:beforeAutospacing="0" w:after="0" w:afterAutospacing="0" w:line="300" w:lineRule="exact"/>
                    <w:ind w:left="-53" w:leftChars="-25" w:right="-53" w:rightChars="-25"/>
                    <w:jc w:val="center"/>
                    <w:rPr>
                      <w:rFonts w:hint="default"/>
                      <w:bCs/>
                      <w:color w:val="auto"/>
                      <w:sz w:val="18"/>
                    </w:rPr>
                  </w:pPr>
                  <w:r>
                    <w:rPr>
                      <w:rFonts w:hint="default"/>
                      <w:bCs/>
                      <w:color w:val="auto"/>
                      <w:sz w:val="18"/>
                    </w:rPr>
                    <w:t>0.</w:t>
                  </w:r>
                  <w:r>
                    <w:rPr>
                      <w:rFonts w:hint="eastAsia"/>
                      <w:bCs/>
                      <w:color w:val="auto"/>
                      <w:sz w:val="18"/>
                    </w:rPr>
                    <w:t>05</w:t>
                  </w:r>
                </w:p>
              </w:tc>
              <w:tc>
                <w:tcPr>
                  <w:tcW w:w="998" w:type="dxa"/>
                  <w:vAlign w:val="center"/>
                </w:tcPr>
                <w:p>
                  <w:pPr>
                    <w:keepNext w:val="0"/>
                    <w:keepLines w:val="0"/>
                    <w:suppressLineNumbers w:val="0"/>
                    <w:autoSpaceDE w:val="0"/>
                    <w:autoSpaceDN w:val="0"/>
                    <w:adjustRightInd w:val="0"/>
                    <w:spacing w:before="0" w:beforeAutospacing="0" w:after="0" w:afterAutospacing="0" w:line="300" w:lineRule="exact"/>
                    <w:ind w:left="-53" w:leftChars="-25" w:right="-53" w:rightChars="-25"/>
                    <w:jc w:val="center"/>
                    <w:rPr>
                      <w:rFonts w:hint="default"/>
                      <w:bCs/>
                      <w:color w:val="auto"/>
                      <w:sz w:val="18"/>
                    </w:rPr>
                  </w:pPr>
                  <w:r>
                    <w:rPr>
                      <w:rFonts w:hint="default"/>
                      <w:bCs/>
                      <w:color w:val="auto"/>
                      <w:sz w:val="18"/>
                    </w:rPr>
                    <w:t>0.</w:t>
                  </w:r>
                  <w:r>
                    <w:rPr>
                      <w:rFonts w:hint="eastAsia"/>
                      <w:bCs/>
                      <w:color w:val="auto"/>
                      <w:sz w:val="18"/>
                    </w:rPr>
                    <w:t>05</w:t>
                  </w:r>
                </w:p>
              </w:tc>
              <w:tc>
                <w:tcPr>
                  <w:tcW w:w="1303" w:type="dxa"/>
                  <w:vAlign w:val="center"/>
                </w:tcPr>
                <w:p>
                  <w:pPr>
                    <w:keepNext w:val="0"/>
                    <w:keepLines w:val="0"/>
                    <w:suppressLineNumbers w:val="0"/>
                    <w:spacing w:before="0" w:beforeAutospacing="0" w:after="0" w:afterAutospacing="0" w:line="300" w:lineRule="exact"/>
                    <w:ind w:left="-71" w:leftChars="-34" w:right="-71" w:rightChars="-34"/>
                    <w:jc w:val="center"/>
                    <w:rPr>
                      <w:rFonts w:hint="default"/>
                      <w:color w:val="auto"/>
                      <w:kern w:val="0"/>
                      <w:sz w:val="18"/>
                    </w:rPr>
                  </w:pPr>
                  <w:r>
                    <w:rPr>
                      <w:rFonts w:hint="eastAsia" w:ascii="宋体" w:hAnsi="宋体"/>
                      <w:color w:val="auto"/>
                      <w:kern w:val="0"/>
                      <w:sz w:val="18"/>
                    </w:rPr>
                    <w:t>危废间暂存</w:t>
                  </w:r>
                </w:p>
              </w:tc>
              <w:tc>
                <w:tcPr>
                  <w:tcW w:w="714" w:type="dxa"/>
                </w:tcPr>
                <w:p>
                  <w:pPr>
                    <w:keepNext w:val="0"/>
                    <w:keepLines w:val="0"/>
                    <w:suppressLineNumbers w:val="0"/>
                    <w:spacing w:before="0" w:beforeAutospacing="0" w:after="0" w:afterAutospacing="0" w:line="300" w:lineRule="exact"/>
                    <w:ind w:left="-71" w:leftChars="-34" w:right="-71" w:rightChars="-34"/>
                    <w:jc w:val="center"/>
                    <w:rPr>
                      <w:rFonts w:hint="default"/>
                      <w:color w:val="auto"/>
                      <w:kern w:val="0"/>
                      <w:sz w:val="18"/>
                    </w:rPr>
                  </w:pPr>
                  <w:r>
                    <w:rPr>
                      <w:rFonts w:hint="default"/>
                      <w:color w:val="auto"/>
                      <w:kern w:val="0"/>
                      <w:sz w:val="18"/>
                    </w:rPr>
                    <w:t>2500</w:t>
                  </w:r>
                </w:p>
              </w:tc>
              <w:tc>
                <w:tcPr>
                  <w:tcW w:w="999" w:type="dxa"/>
                </w:tcPr>
                <w:p>
                  <w:pPr>
                    <w:keepNext w:val="0"/>
                    <w:keepLines w:val="0"/>
                    <w:suppressLineNumbers w:val="0"/>
                    <w:spacing w:before="0" w:beforeAutospacing="0" w:after="0" w:afterAutospacing="0" w:line="300" w:lineRule="exact"/>
                    <w:ind w:left="-71" w:leftChars="-34" w:right="-71" w:rightChars="-34"/>
                    <w:jc w:val="center"/>
                    <w:rPr>
                      <w:rFonts w:hint="default"/>
                      <w:color w:val="auto"/>
                      <w:kern w:val="0"/>
                      <w:sz w:val="18"/>
                    </w:rPr>
                  </w:pPr>
                  <w:r>
                    <w:rPr>
                      <w:rFonts w:hint="eastAsia" w:ascii="宋体" w:hAnsi="宋体"/>
                      <w:color w:val="auto"/>
                      <w:kern w:val="0"/>
                      <w:sz w:val="18"/>
                    </w:rPr>
                    <w:t>危废间</w:t>
                  </w:r>
                </w:p>
              </w:tc>
              <w:tc>
                <w:tcPr>
                  <w:tcW w:w="1143" w:type="dxa"/>
                </w:tcPr>
                <w:p>
                  <w:pPr>
                    <w:keepNext w:val="0"/>
                    <w:keepLines w:val="0"/>
                    <w:suppressLineNumbers w:val="0"/>
                    <w:spacing w:before="0" w:beforeAutospacing="0" w:after="0" w:afterAutospacing="0" w:line="300" w:lineRule="exact"/>
                    <w:ind w:left="-71" w:leftChars="-34" w:right="-71" w:rightChars="-34"/>
                    <w:jc w:val="center"/>
                    <w:rPr>
                      <w:rFonts w:hint="default"/>
                      <w:color w:val="auto"/>
                      <w:kern w:val="0"/>
                      <w:sz w:val="18"/>
                    </w:rPr>
                  </w:pPr>
                  <w:r>
                    <w:rPr>
                      <w:rFonts w:hint="eastAsia" w:ascii="宋体" w:hAnsi="宋体"/>
                      <w:color w:val="auto"/>
                      <w:kern w:val="0"/>
                      <w:sz w:val="18"/>
                    </w:rPr>
                    <w:t>否</w:t>
                  </w:r>
                </w:p>
              </w:tc>
            </w:tr>
          </w:tbl>
          <w:p>
            <w:pPr>
              <w:keepNext w:val="0"/>
              <w:keepLines w:val="0"/>
              <w:suppressLineNumbers w:val="0"/>
              <w:autoSpaceDE w:val="0"/>
              <w:autoSpaceDN w:val="0"/>
              <w:adjustRightInd w:val="0"/>
              <w:spacing w:before="0" w:beforeAutospacing="0" w:after="0" w:afterAutospacing="0" w:line="400" w:lineRule="exact"/>
              <w:ind w:left="0" w:right="0"/>
              <w:rPr>
                <w:rFonts w:hint="default" w:eastAsia="黑体"/>
                <w:color w:val="auto"/>
                <w:kern w:val="0"/>
                <w:szCs w:val="21"/>
              </w:rPr>
            </w:pPr>
            <w:r>
              <w:rPr>
                <w:rFonts w:hint="eastAsia" w:eastAsia="黑体"/>
                <w:color w:val="auto"/>
                <w:kern w:val="0"/>
                <w:szCs w:val="21"/>
              </w:rPr>
              <w:t>6.2</w:t>
            </w:r>
            <w:r>
              <w:rPr>
                <w:rFonts w:hint="eastAsia" w:ascii="黑体" w:hAnsi="黑体" w:eastAsia="黑体"/>
                <w:color w:val="auto"/>
                <w:kern w:val="0"/>
                <w:szCs w:val="21"/>
              </w:rPr>
              <w:t>风险源识别及影响途径</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kern w:val="0"/>
                <w:szCs w:val="21"/>
              </w:rPr>
            </w:pPr>
            <w:r>
              <w:rPr>
                <w:rFonts w:hint="eastAsia" w:ascii="宋体" w:hAnsi="宋体"/>
                <w:color w:val="auto"/>
                <w:kern w:val="0"/>
                <w:szCs w:val="21"/>
              </w:rPr>
              <w:t>风险识别范围包括物质危险性识别和生产系统危险性识别。物质风险性识别包括主要原辅材料、燃料、中间产品、副产品、最终产品、污染物和爆炸伴生</w:t>
            </w:r>
            <w:r>
              <w:rPr>
                <w:rFonts w:hint="default"/>
                <w:color w:val="auto"/>
                <w:kern w:val="0"/>
                <w:szCs w:val="21"/>
              </w:rPr>
              <w:t>/</w:t>
            </w:r>
            <w:r>
              <w:rPr>
                <w:rFonts w:hint="eastAsia" w:ascii="宋体" w:hAnsi="宋体"/>
                <w:color w:val="auto"/>
                <w:kern w:val="0"/>
                <w:szCs w:val="21"/>
              </w:rPr>
              <w:t>次生物等。生产系统危险性识别包括主要生产装置、储运设施、公用工程和辅助生产设施，以及环境保护设施等。</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kern w:val="0"/>
                <w:szCs w:val="21"/>
              </w:rPr>
            </w:pPr>
            <w:r>
              <w:rPr>
                <w:rFonts w:hint="eastAsia" w:ascii="宋体" w:hAnsi="宋体"/>
                <w:color w:val="auto"/>
                <w:kern w:val="0"/>
                <w:szCs w:val="21"/>
              </w:rPr>
              <w:t>①物质风险性识别</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kern w:val="0"/>
                <w:szCs w:val="21"/>
              </w:rPr>
            </w:pPr>
            <w:r>
              <w:rPr>
                <w:rFonts w:hint="eastAsia" w:ascii="宋体" w:hAnsi="宋体"/>
                <w:color w:val="auto"/>
                <w:kern w:val="0"/>
                <w:szCs w:val="21"/>
              </w:rPr>
              <w:t>废机油均属于易燃物质，在接触明火时较易点燃，引起火灾事故。油类物质泄露会对区域土壤、地下水和地表水造成污染影响。其临界量为</w:t>
            </w:r>
            <w:r>
              <w:rPr>
                <w:rFonts w:hint="eastAsia"/>
                <w:color w:val="auto"/>
                <w:kern w:val="0"/>
                <w:szCs w:val="21"/>
              </w:rPr>
              <w:t>2500t</w:t>
            </w:r>
            <w:r>
              <w:rPr>
                <w:rFonts w:hint="eastAsia" w:ascii="宋体" w:hAnsi="宋体"/>
                <w:color w:val="auto"/>
                <w:kern w:val="0"/>
                <w:szCs w:val="21"/>
              </w:rPr>
              <w:t>，项目最大储存量分别为</w:t>
            </w:r>
            <w:r>
              <w:rPr>
                <w:rFonts w:hint="eastAsia"/>
                <w:color w:val="auto"/>
                <w:kern w:val="0"/>
                <w:szCs w:val="21"/>
              </w:rPr>
              <w:t>0.05t</w:t>
            </w:r>
            <w:r>
              <w:rPr>
                <w:rFonts w:hint="eastAsia" w:ascii="宋体" w:hAnsi="宋体"/>
                <w:color w:val="auto"/>
                <w:kern w:val="0"/>
                <w:szCs w:val="21"/>
              </w:rPr>
              <w:t>，危险物质数量与临界量的比值</w:t>
            </w:r>
            <w:r>
              <w:rPr>
                <w:rFonts w:hint="eastAsia"/>
                <w:color w:val="auto"/>
                <w:kern w:val="0"/>
                <w:szCs w:val="21"/>
              </w:rPr>
              <w:t>Q=0.00002&lt;1</w:t>
            </w:r>
            <w:r>
              <w:rPr>
                <w:rFonts w:hint="eastAsia" w:ascii="宋体" w:hAnsi="宋体"/>
                <w:color w:val="auto"/>
                <w:kern w:val="0"/>
                <w:szCs w:val="21"/>
              </w:rPr>
              <w:t>，则项目环境风险潜势判定为Ⅰ，环境风险为简单分析。</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kern w:val="0"/>
                <w:szCs w:val="21"/>
              </w:rPr>
            </w:pPr>
            <w:r>
              <w:rPr>
                <w:rFonts w:hint="eastAsia" w:ascii="宋体" w:hAnsi="宋体"/>
                <w:color w:val="auto"/>
                <w:kern w:val="0"/>
                <w:szCs w:val="21"/>
              </w:rPr>
              <w:t>②运输过程风险识别</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宋体" w:hAnsi="宋体"/>
                <w:color w:val="auto"/>
                <w:kern w:val="0"/>
                <w:szCs w:val="21"/>
              </w:rPr>
            </w:pPr>
            <w:r>
              <w:rPr>
                <w:rFonts w:hint="eastAsia" w:ascii="宋体" w:hAnsi="宋体"/>
                <w:color w:val="auto"/>
                <w:kern w:val="0"/>
                <w:szCs w:val="21"/>
              </w:rPr>
              <w:t>项目主要开展一般物品的运输作业。运输过程中注意行车安全，防止物品遗撒。</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kern w:val="0"/>
                <w:szCs w:val="21"/>
              </w:rPr>
            </w:pPr>
            <w:r>
              <w:rPr>
                <w:rFonts w:hint="eastAsia" w:ascii="宋体" w:hAnsi="宋体"/>
                <w:color w:val="auto"/>
                <w:kern w:val="0"/>
                <w:szCs w:val="21"/>
              </w:rPr>
              <w:t>③存储风险识别</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kern w:val="0"/>
                <w:szCs w:val="21"/>
              </w:rPr>
            </w:pPr>
            <w:r>
              <w:rPr>
                <w:rFonts w:hint="eastAsia" w:ascii="宋体" w:hAnsi="宋体"/>
                <w:color w:val="auto"/>
                <w:kern w:val="0"/>
                <w:szCs w:val="21"/>
              </w:rPr>
              <w:t>项目生产过程中若因废机油贮存不当，可能有泄漏、火灾等风险的发生。油类物质泄露会对区域土壤、地下水和地表水造成污染影响。</w:t>
            </w:r>
          </w:p>
          <w:p>
            <w:pPr>
              <w:keepNext w:val="0"/>
              <w:keepLines w:val="0"/>
              <w:suppressLineNumbers w:val="0"/>
              <w:autoSpaceDE w:val="0"/>
              <w:autoSpaceDN w:val="0"/>
              <w:adjustRightInd w:val="0"/>
              <w:spacing w:before="0" w:beforeAutospacing="0" w:after="0" w:afterAutospacing="0" w:line="406" w:lineRule="exact"/>
              <w:ind w:left="0" w:right="0" w:firstLine="420" w:firstLineChars="200"/>
              <w:rPr>
                <w:rFonts w:hint="default"/>
                <w:color w:val="auto"/>
                <w:kern w:val="0"/>
                <w:szCs w:val="21"/>
              </w:rPr>
            </w:pPr>
            <w:r>
              <w:rPr>
                <w:rFonts w:hint="eastAsia" w:ascii="宋体" w:hAnsi="宋体"/>
                <w:color w:val="auto"/>
                <w:kern w:val="0"/>
                <w:szCs w:val="21"/>
              </w:rPr>
              <w:t>④生产装置风险识别</w:t>
            </w:r>
          </w:p>
          <w:p>
            <w:pPr>
              <w:keepNext w:val="0"/>
              <w:keepLines w:val="0"/>
              <w:suppressLineNumbers w:val="0"/>
              <w:autoSpaceDE w:val="0"/>
              <w:autoSpaceDN w:val="0"/>
              <w:adjustRightInd w:val="0"/>
              <w:spacing w:before="0" w:beforeAutospacing="0" w:after="0" w:afterAutospacing="0" w:line="406" w:lineRule="exact"/>
              <w:ind w:left="0" w:right="0" w:firstLine="420" w:firstLineChars="200"/>
              <w:rPr>
                <w:rFonts w:hint="default"/>
                <w:color w:val="auto"/>
                <w:kern w:val="0"/>
                <w:szCs w:val="21"/>
              </w:rPr>
            </w:pPr>
            <w:r>
              <w:rPr>
                <w:rFonts w:hint="eastAsia" w:ascii="宋体" w:hAnsi="宋体"/>
                <w:color w:val="auto"/>
                <w:kern w:val="0"/>
                <w:szCs w:val="21"/>
              </w:rPr>
              <w:t>项目废水沉淀池是</w:t>
            </w:r>
            <w:r>
              <w:rPr>
                <w:rFonts w:hint="eastAsia" w:ascii="宋体" w:hAnsi="宋体"/>
                <w:color w:val="auto"/>
                <w:szCs w:val="21"/>
              </w:rPr>
              <w:t>属于生产装置风险源，应重点防范废水收集池破裂、泄漏。</w:t>
            </w:r>
          </w:p>
          <w:p>
            <w:pPr>
              <w:keepNext w:val="0"/>
              <w:keepLines w:val="0"/>
              <w:suppressLineNumbers w:val="0"/>
              <w:autoSpaceDE w:val="0"/>
              <w:autoSpaceDN w:val="0"/>
              <w:adjustRightInd w:val="0"/>
              <w:spacing w:before="0" w:beforeAutospacing="0" w:after="0" w:afterAutospacing="0" w:line="406" w:lineRule="exact"/>
              <w:ind w:left="0" w:right="0" w:firstLine="420" w:firstLineChars="200"/>
              <w:rPr>
                <w:rFonts w:hint="default"/>
                <w:color w:val="auto"/>
                <w:kern w:val="0"/>
                <w:szCs w:val="21"/>
              </w:rPr>
            </w:pPr>
            <w:r>
              <w:rPr>
                <w:rFonts w:hint="eastAsia" w:ascii="宋体" w:hAnsi="宋体"/>
                <w:color w:val="auto"/>
                <w:kern w:val="0"/>
                <w:szCs w:val="21"/>
              </w:rPr>
              <w:t>综上，本项目风险源主要存在于废机油的贮存过程，废水沉淀池的水池等，一旦发生泄漏将对区域土壤、地下水和地表水造成污染影响。若发生火灾等风险事故，将对周边大气环境造成污染影响。</w:t>
            </w:r>
          </w:p>
          <w:p>
            <w:pPr>
              <w:keepNext w:val="0"/>
              <w:keepLines w:val="0"/>
              <w:suppressLineNumbers w:val="0"/>
              <w:autoSpaceDE w:val="0"/>
              <w:autoSpaceDN w:val="0"/>
              <w:adjustRightInd w:val="0"/>
              <w:spacing w:before="0" w:beforeAutospacing="0" w:after="0" w:afterAutospacing="0" w:line="406" w:lineRule="exact"/>
              <w:ind w:left="0" w:right="0"/>
              <w:rPr>
                <w:rFonts w:hint="default" w:eastAsia="黑体"/>
                <w:color w:val="auto"/>
                <w:kern w:val="0"/>
                <w:szCs w:val="21"/>
              </w:rPr>
            </w:pPr>
            <w:r>
              <w:rPr>
                <w:rFonts w:hint="eastAsia" w:eastAsia="黑体"/>
                <w:color w:val="auto"/>
                <w:kern w:val="0"/>
                <w:szCs w:val="21"/>
              </w:rPr>
              <w:t>6.3</w:t>
            </w:r>
            <w:r>
              <w:rPr>
                <w:rFonts w:hint="eastAsia" w:ascii="黑体" w:hAnsi="黑体" w:eastAsia="黑体"/>
                <w:color w:val="auto"/>
                <w:kern w:val="0"/>
                <w:szCs w:val="21"/>
              </w:rPr>
              <w:t>风险防范措施</w:t>
            </w:r>
          </w:p>
          <w:p>
            <w:pPr>
              <w:keepNext w:val="0"/>
              <w:keepLines w:val="0"/>
              <w:suppressLineNumbers w:val="0"/>
              <w:adjustRightInd w:val="0"/>
              <w:snapToGrid w:val="0"/>
              <w:spacing w:before="0" w:beforeAutospacing="0" w:after="0" w:afterAutospacing="0" w:line="406" w:lineRule="exact"/>
              <w:ind w:left="0" w:right="0" w:firstLine="420" w:firstLineChars="200"/>
              <w:jc w:val="left"/>
              <w:rPr>
                <w:rFonts w:hint="default"/>
                <w:color w:val="auto"/>
                <w:szCs w:val="21"/>
              </w:rPr>
            </w:pPr>
            <w:r>
              <w:rPr>
                <w:rFonts w:hint="eastAsia"/>
                <w:color w:val="auto"/>
                <w:szCs w:val="21"/>
              </w:rPr>
              <w:t>①对危废暂存间进行规范建设，采取防风、防雨、防渗、防漏、防晒及防腐等环境污染防治措施，废机油容器周围应设防渗围堰，围堰高度约0.3m。暂存间地面防渗层为至少</w:t>
            </w:r>
            <w:r>
              <w:rPr>
                <w:rFonts w:hint="default"/>
                <w:color w:val="auto"/>
                <w:szCs w:val="21"/>
              </w:rPr>
              <w:t>1</w:t>
            </w:r>
            <w:r>
              <w:rPr>
                <w:rFonts w:hint="eastAsia"/>
                <w:color w:val="auto"/>
                <w:szCs w:val="21"/>
              </w:rPr>
              <w:t>米厚粘土层</w:t>
            </w:r>
            <w:r>
              <w:rPr>
                <w:rFonts w:hint="default"/>
                <w:color w:val="auto"/>
                <w:szCs w:val="21"/>
              </w:rPr>
              <w:t>(</w:t>
            </w:r>
            <w:r>
              <w:rPr>
                <w:rFonts w:hint="eastAsia"/>
                <w:color w:val="auto"/>
                <w:szCs w:val="21"/>
              </w:rPr>
              <w:t>渗透系数</w:t>
            </w:r>
            <w:r>
              <w:rPr>
                <w:rFonts w:hint="default"/>
                <w:color w:val="auto"/>
                <w:szCs w:val="21"/>
              </w:rPr>
              <w:t>≤10</w:t>
            </w:r>
            <w:r>
              <w:rPr>
                <w:rFonts w:hint="default"/>
                <w:color w:val="auto"/>
                <w:szCs w:val="21"/>
                <w:vertAlign w:val="superscript"/>
              </w:rPr>
              <w:t>-7</w:t>
            </w:r>
            <w:r>
              <w:rPr>
                <w:rFonts w:hint="eastAsia"/>
                <w:color w:val="auto"/>
                <w:szCs w:val="21"/>
              </w:rPr>
              <w:t>厘米</w:t>
            </w:r>
            <w:r>
              <w:rPr>
                <w:rFonts w:hint="default"/>
                <w:color w:val="auto"/>
                <w:szCs w:val="21"/>
              </w:rPr>
              <w:t>/</w:t>
            </w:r>
            <w:r>
              <w:rPr>
                <w:rFonts w:hint="eastAsia"/>
                <w:color w:val="auto"/>
                <w:szCs w:val="21"/>
              </w:rPr>
              <w:t>秒</w:t>
            </w:r>
            <w:r>
              <w:rPr>
                <w:rFonts w:hint="default"/>
                <w:color w:val="auto"/>
                <w:szCs w:val="21"/>
              </w:rPr>
              <w:t>)</w:t>
            </w:r>
            <w:r>
              <w:rPr>
                <w:rFonts w:hint="eastAsia"/>
                <w:color w:val="auto"/>
                <w:szCs w:val="21"/>
              </w:rPr>
              <w:t>，或</w:t>
            </w:r>
            <w:r>
              <w:rPr>
                <w:rFonts w:hint="default"/>
                <w:color w:val="auto"/>
                <w:szCs w:val="21"/>
              </w:rPr>
              <w:t>2</w:t>
            </w:r>
            <w:r>
              <w:rPr>
                <w:rFonts w:hint="eastAsia"/>
                <w:color w:val="auto"/>
                <w:szCs w:val="21"/>
              </w:rPr>
              <w:t>毫米厚</w:t>
            </w:r>
            <w:r>
              <w:rPr>
                <w:rFonts w:hint="default"/>
                <w:color w:val="auto"/>
              </w:rPr>
              <w:fldChar w:fldCharType="begin"/>
            </w:r>
            <w:r>
              <w:rPr>
                <w:rFonts w:hint="default"/>
                <w:color w:val="auto"/>
              </w:rPr>
              <w:instrText xml:space="preserve"> HYPERLINK "https://baike.so.com/doc/6184927-6398177.html" </w:instrText>
            </w:r>
            <w:r>
              <w:rPr>
                <w:rFonts w:hint="default"/>
                <w:color w:val="auto"/>
              </w:rPr>
              <w:fldChar w:fldCharType="separate"/>
            </w:r>
            <w:r>
              <w:rPr>
                <w:rFonts w:hint="eastAsia"/>
                <w:color w:val="auto"/>
              </w:rPr>
              <w:t>高密度聚乙烯</w:t>
            </w:r>
            <w:r>
              <w:rPr>
                <w:rFonts w:hint="eastAsia"/>
                <w:color w:val="auto"/>
              </w:rPr>
              <w:fldChar w:fldCharType="end"/>
            </w:r>
            <w:r>
              <w:rPr>
                <w:rFonts w:hint="eastAsia"/>
                <w:color w:val="auto"/>
                <w:szCs w:val="21"/>
              </w:rPr>
              <w:t>，或至少</w:t>
            </w:r>
            <w:r>
              <w:rPr>
                <w:rFonts w:hint="default"/>
                <w:color w:val="auto"/>
                <w:szCs w:val="21"/>
              </w:rPr>
              <w:t>2</w:t>
            </w:r>
            <w:r>
              <w:rPr>
                <w:rFonts w:hint="eastAsia"/>
                <w:color w:val="auto"/>
                <w:szCs w:val="21"/>
              </w:rPr>
              <w:t>毫米厚的其它人工材料，渗透系数</w:t>
            </w:r>
            <w:r>
              <w:rPr>
                <w:rFonts w:hint="default"/>
                <w:color w:val="auto"/>
                <w:szCs w:val="21"/>
              </w:rPr>
              <w:t>≤10</w:t>
            </w:r>
            <w:r>
              <w:rPr>
                <w:rFonts w:hint="default"/>
                <w:color w:val="auto"/>
                <w:szCs w:val="21"/>
                <w:vertAlign w:val="superscript"/>
              </w:rPr>
              <w:t>-10</w:t>
            </w:r>
            <w:r>
              <w:rPr>
                <w:rFonts w:hint="eastAsia"/>
                <w:color w:val="auto"/>
                <w:szCs w:val="21"/>
              </w:rPr>
              <w:t>厘米</w:t>
            </w:r>
            <w:r>
              <w:rPr>
                <w:rFonts w:hint="default"/>
                <w:color w:val="auto"/>
                <w:szCs w:val="21"/>
              </w:rPr>
              <w:t>/</w:t>
            </w:r>
            <w:r>
              <w:rPr>
                <w:rFonts w:hint="eastAsia"/>
                <w:color w:val="auto"/>
                <w:szCs w:val="21"/>
              </w:rPr>
              <w:t>秒。废机油等危险废物采用专用油桶暂存，储存间设置在密闭的房间内，储存容器下方配置防流失托盘。</w:t>
            </w:r>
          </w:p>
          <w:p>
            <w:pPr>
              <w:keepNext w:val="0"/>
              <w:keepLines w:val="0"/>
              <w:suppressLineNumbers w:val="0"/>
              <w:adjustRightInd w:val="0"/>
              <w:snapToGrid w:val="0"/>
              <w:spacing w:before="0" w:beforeAutospacing="0" w:after="0" w:afterAutospacing="0" w:line="406" w:lineRule="exact"/>
              <w:ind w:left="0" w:right="0" w:firstLine="420" w:firstLineChars="200"/>
              <w:jc w:val="left"/>
              <w:rPr>
                <w:rFonts w:hint="default"/>
                <w:color w:val="auto"/>
                <w:szCs w:val="21"/>
              </w:rPr>
            </w:pPr>
            <w:r>
              <w:rPr>
                <w:rFonts w:hint="eastAsia"/>
                <w:color w:val="auto"/>
                <w:szCs w:val="21"/>
              </w:rPr>
              <w:t>②危废暂存间等易燃物质区域配备一定数量的消防器材，预防火灾事故发生。认真贯彻</w:t>
            </w:r>
            <w:r>
              <w:rPr>
                <w:rFonts w:hint="default"/>
                <w:color w:val="auto"/>
                <w:szCs w:val="21"/>
              </w:rPr>
              <w:t>“</w:t>
            </w:r>
            <w:r>
              <w:rPr>
                <w:rFonts w:hint="eastAsia"/>
                <w:color w:val="auto"/>
                <w:szCs w:val="21"/>
              </w:rPr>
              <w:t>安全第一，预防为主</w:t>
            </w:r>
            <w:r>
              <w:rPr>
                <w:rFonts w:hint="default"/>
                <w:color w:val="auto"/>
                <w:szCs w:val="21"/>
              </w:rPr>
              <w:t>”</w:t>
            </w:r>
            <w:r>
              <w:rPr>
                <w:rFonts w:hint="eastAsia"/>
                <w:color w:val="auto"/>
                <w:szCs w:val="21"/>
              </w:rPr>
              <w:t>的方针，安排专门的人员定期负责检查。</w:t>
            </w:r>
          </w:p>
          <w:p>
            <w:pPr>
              <w:keepNext w:val="0"/>
              <w:keepLines w:val="0"/>
              <w:suppressLineNumbers w:val="0"/>
              <w:adjustRightInd w:val="0"/>
              <w:snapToGrid w:val="0"/>
              <w:spacing w:before="0" w:beforeAutospacing="0" w:after="0" w:afterAutospacing="0" w:line="406" w:lineRule="exact"/>
              <w:ind w:left="0" w:right="0" w:firstLine="420" w:firstLineChars="200"/>
              <w:jc w:val="left"/>
              <w:rPr>
                <w:rFonts w:hint="default"/>
                <w:color w:val="auto"/>
                <w:szCs w:val="21"/>
              </w:rPr>
            </w:pPr>
            <w:r>
              <w:rPr>
                <w:rFonts w:hint="eastAsia"/>
                <w:color w:val="auto"/>
                <w:szCs w:val="21"/>
              </w:rPr>
              <w:t>③设置专人看管，防止危废流失进入外环境。暂存间设置警示标志，无关人员不得入内，建立危废台账，加强危险废物管理。严格控制厂区内废油液等危险废物的储存量，达到一定量时立即通知资质单位转移处置，尽量避免长时间暂存。定期对厂区内的危废暂存间等进行检查、保养。</w:t>
            </w:r>
          </w:p>
          <w:p>
            <w:pPr>
              <w:keepNext w:val="0"/>
              <w:keepLines w:val="0"/>
              <w:suppressLineNumbers w:val="0"/>
              <w:adjustRightInd w:val="0"/>
              <w:snapToGrid w:val="0"/>
              <w:spacing w:before="0" w:beforeAutospacing="0" w:after="0" w:afterAutospacing="0" w:line="406" w:lineRule="exact"/>
              <w:ind w:left="0" w:right="0" w:firstLine="420" w:firstLineChars="200"/>
              <w:jc w:val="left"/>
              <w:rPr>
                <w:rFonts w:hint="default"/>
                <w:color w:val="auto"/>
                <w:szCs w:val="21"/>
              </w:rPr>
            </w:pPr>
            <w:r>
              <w:rPr>
                <w:rFonts w:hint="eastAsia" w:ascii="宋体" w:hAnsi="宋体"/>
                <w:color w:val="auto"/>
                <w:szCs w:val="21"/>
              </w:rPr>
              <w:t>④危废暂存间外设置明显的标识、标牌，严禁烟火等。暂存间内分类设置各类危废的储存区域，并设置明显标识。</w:t>
            </w:r>
          </w:p>
          <w:p>
            <w:pPr>
              <w:keepNext w:val="0"/>
              <w:keepLines w:val="0"/>
              <w:suppressLineNumbers w:val="0"/>
              <w:autoSpaceDE w:val="0"/>
              <w:autoSpaceDN w:val="0"/>
              <w:adjustRightInd w:val="0"/>
              <w:spacing w:before="0" w:beforeAutospacing="0" w:after="0" w:afterAutospacing="0" w:line="406" w:lineRule="exact"/>
              <w:ind w:left="0" w:right="0" w:firstLine="420" w:firstLineChars="200"/>
              <w:rPr>
                <w:rFonts w:hint="default"/>
                <w:color w:val="auto"/>
                <w:szCs w:val="21"/>
              </w:rPr>
            </w:pPr>
            <w:r>
              <w:rPr>
                <w:rFonts w:hint="eastAsia" w:ascii="宋体" w:hAnsi="宋体"/>
                <w:color w:val="auto"/>
                <w:szCs w:val="21"/>
              </w:rPr>
              <w:t>⑤根据《</w:t>
            </w:r>
            <w:r>
              <w:rPr>
                <w:rFonts w:hint="eastAsia" w:ascii="宋体" w:hAnsi="宋体"/>
                <w:color w:val="auto"/>
                <w:szCs w:val="21"/>
                <w:lang w:eastAsia="zh-CN"/>
              </w:rPr>
              <w:t>中华人民共和国固体废物污染环境防治法</w:t>
            </w:r>
            <w:r>
              <w:rPr>
                <w:rFonts w:hint="eastAsia" w:ascii="宋体" w:hAnsi="宋体"/>
                <w:color w:val="auto"/>
                <w:szCs w:val="21"/>
              </w:rPr>
              <w:t>》规定要求，产生的危险废物应严格按照《四川省环境保护厅关于进一步规范危险废物省内转移工作的通知》（川环函〔</w:t>
            </w:r>
            <w:r>
              <w:rPr>
                <w:rFonts w:hint="default"/>
                <w:color w:val="auto"/>
                <w:szCs w:val="21"/>
              </w:rPr>
              <w:t>2017</w:t>
            </w:r>
            <w:r>
              <w:rPr>
                <w:rFonts w:hint="eastAsia" w:ascii="宋体" w:hAnsi="宋体"/>
                <w:color w:val="auto"/>
                <w:szCs w:val="21"/>
              </w:rPr>
              <w:t>〕</w:t>
            </w:r>
            <w:r>
              <w:rPr>
                <w:rFonts w:hint="default"/>
                <w:color w:val="auto"/>
                <w:szCs w:val="21"/>
              </w:rPr>
              <w:t xml:space="preserve">710 </w:t>
            </w:r>
            <w:r>
              <w:rPr>
                <w:rFonts w:hint="eastAsia" w:ascii="宋体" w:hAnsi="宋体"/>
                <w:color w:val="auto"/>
                <w:szCs w:val="21"/>
              </w:rPr>
              <w:t>号）危险废物处置之前，厂内临时储存和运输也应按照危险废物管理和处置相关要求进行。</w:t>
            </w:r>
          </w:p>
          <w:p>
            <w:pPr>
              <w:keepNext w:val="0"/>
              <w:keepLines w:val="0"/>
              <w:suppressLineNumbers w:val="0"/>
              <w:spacing w:before="0" w:beforeAutospacing="0" w:after="0" w:afterAutospacing="0" w:line="406" w:lineRule="exact"/>
              <w:ind w:left="0" w:right="0" w:firstLine="420" w:firstLineChars="200"/>
              <w:rPr>
                <w:rFonts w:hint="default"/>
                <w:color w:val="auto"/>
                <w:szCs w:val="21"/>
              </w:rPr>
            </w:pPr>
            <w:r>
              <w:rPr>
                <w:rFonts w:hint="eastAsia"/>
                <w:color w:val="auto"/>
                <w:szCs w:val="21"/>
              </w:rPr>
              <w:t>⑥</w:t>
            </w:r>
            <w:r>
              <w:rPr>
                <w:rFonts w:hint="eastAsia"/>
                <w:color w:val="auto"/>
                <w:kern w:val="0"/>
                <w:szCs w:val="21"/>
              </w:rPr>
              <w:t>废水处理设施应按要求建设，地面采取相应防渗措施，避免废水处理设施发生破裂、渗漏。废水处理沉淀罐基底四周设置0.5m高的防渗围堰，可临时收集事故排水。</w:t>
            </w:r>
          </w:p>
          <w:p>
            <w:pPr>
              <w:keepNext w:val="0"/>
              <w:keepLines w:val="0"/>
              <w:suppressLineNumbers w:val="0"/>
              <w:spacing w:before="0" w:beforeAutospacing="0" w:after="0" w:afterAutospacing="0" w:line="406" w:lineRule="exact"/>
              <w:ind w:left="0" w:right="0" w:firstLine="420" w:firstLineChars="200"/>
              <w:rPr>
                <w:rFonts w:hint="default" w:ascii="宋体" w:hAnsi="宋体"/>
                <w:color w:val="auto"/>
                <w:szCs w:val="21"/>
              </w:rPr>
            </w:pPr>
            <w:r>
              <w:rPr>
                <w:rFonts w:hint="eastAsia"/>
                <w:color w:val="auto"/>
                <w:szCs w:val="21"/>
              </w:rPr>
              <w:t>⑦按照《国家突发环境事件应急预案》（国办函〔</w:t>
            </w:r>
            <w:r>
              <w:rPr>
                <w:rFonts w:hint="default"/>
                <w:color w:val="auto"/>
                <w:szCs w:val="21"/>
              </w:rPr>
              <w:t>2014</w:t>
            </w:r>
            <w:r>
              <w:rPr>
                <w:rFonts w:hint="eastAsia"/>
                <w:color w:val="auto"/>
                <w:szCs w:val="21"/>
              </w:rPr>
              <w:t>〕</w:t>
            </w:r>
            <w:r>
              <w:rPr>
                <w:rFonts w:hint="default"/>
                <w:color w:val="auto"/>
                <w:szCs w:val="21"/>
              </w:rPr>
              <w:t>119</w:t>
            </w:r>
            <w:r>
              <w:rPr>
                <w:rFonts w:hint="eastAsia"/>
                <w:color w:val="auto"/>
                <w:szCs w:val="21"/>
              </w:rPr>
              <w:t>号）、地方和相关部</w:t>
            </w:r>
            <w:r>
              <w:rPr>
                <w:rFonts w:hint="eastAsia" w:ascii="宋体" w:hAnsi="宋体"/>
                <w:color w:val="auto"/>
                <w:szCs w:val="21"/>
              </w:rPr>
              <w:t>门的要求，制定符合项目实际需要的应急预案，并定期组织演练，一旦发生事故，迅速采取有效处理措施进行抢险修复，最大限度降低对周围环境和人民生命财产的危害。</w:t>
            </w:r>
          </w:p>
          <w:p>
            <w:pPr>
              <w:keepNext w:val="0"/>
              <w:keepLines w:val="0"/>
              <w:suppressLineNumbers w:val="0"/>
              <w:autoSpaceDE w:val="0"/>
              <w:autoSpaceDN w:val="0"/>
              <w:adjustRightInd w:val="0"/>
              <w:spacing w:before="0" w:beforeAutospacing="0" w:after="0" w:afterAutospacing="0" w:line="406" w:lineRule="exact"/>
              <w:ind w:left="0" w:right="0"/>
              <w:rPr>
                <w:rFonts w:hint="default" w:eastAsia="黑体"/>
                <w:color w:val="auto"/>
                <w:kern w:val="0"/>
                <w:szCs w:val="21"/>
              </w:rPr>
            </w:pPr>
            <w:r>
              <w:rPr>
                <w:rFonts w:hint="eastAsia" w:eastAsia="黑体"/>
                <w:color w:val="auto"/>
                <w:kern w:val="0"/>
                <w:szCs w:val="21"/>
              </w:rPr>
              <w:t>6.4</w:t>
            </w:r>
            <w:r>
              <w:rPr>
                <w:rFonts w:hint="eastAsia" w:ascii="黑体" w:hAnsi="黑体" w:eastAsia="黑体"/>
                <w:color w:val="auto"/>
                <w:kern w:val="0"/>
                <w:szCs w:val="21"/>
              </w:rPr>
              <w:t>环境风险评价结论</w:t>
            </w:r>
          </w:p>
          <w:p>
            <w:pPr>
              <w:keepNext w:val="0"/>
              <w:keepLines w:val="0"/>
              <w:suppressLineNumbers w:val="0"/>
              <w:spacing w:before="0" w:beforeAutospacing="0" w:after="0" w:afterAutospacing="0" w:line="406" w:lineRule="exact"/>
              <w:ind w:left="0" w:right="0" w:firstLine="420" w:firstLineChars="200"/>
              <w:rPr>
                <w:rFonts w:hint="default"/>
                <w:color w:val="auto"/>
                <w:szCs w:val="21"/>
              </w:rPr>
            </w:pPr>
            <w:r>
              <w:rPr>
                <w:rFonts w:hint="eastAsia" w:ascii="宋体" w:hAnsi="宋体"/>
                <w:color w:val="auto"/>
                <w:kern w:val="0"/>
                <w:szCs w:val="21"/>
              </w:rPr>
              <w:t>本项目风险源主要为废机油和废水处理设施。通过采取上述风险防范措施，环境风险是可控的。因此，从环境风险角度分析本项目建设可行。</w:t>
            </w:r>
          </w:p>
          <w:p>
            <w:pPr>
              <w:keepNext w:val="0"/>
              <w:keepLines w:val="0"/>
              <w:suppressLineNumbers w:val="0"/>
              <w:autoSpaceDE w:val="0"/>
              <w:autoSpaceDN w:val="0"/>
              <w:adjustRightInd w:val="0"/>
              <w:snapToGrid w:val="0"/>
              <w:spacing w:before="0" w:beforeAutospacing="0" w:after="0" w:afterAutospacing="0" w:line="406" w:lineRule="exact"/>
              <w:ind w:left="0" w:right="0"/>
              <w:rPr>
                <w:rFonts w:hint="default" w:eastAsia="黑体"/>
                <w:color w:val="auto"/>
                <w:kern w:val="0"/>
                <w:sz w:val="22"/>
                <w:szCs w:val="22"/>
              </w:rPr>
            </w:pPr>
            <w:r>
              <w:rPr>
                <w:rFonts w:hint="eastAsia" w:eastAsia="黑体"/>
                <w:color w:val="auto"/>
                <w:kern w:val="0"/>
                <w:sz w:val="22"/>
                <w:szCs w:val="22"/>
                <w:lang w:val="en-US" w:eastAsia="zh-CN"/>
              </w:rPr>
              <w:t>7</w:t>
            </w:r>
            <w:r>
              <w:rPr>
                <w:rFonts w:hint="default" w:eastAsia="黑体"/>
                <w:color w:val="auto"/>
                <w:kern w:val="0"/>
                <w:sz w:val="22"/>
                <w:szCs w:val="22"/>
              </w:rPr>
              <w:t>、环保投资一览表</w:t>
            </w:r>
          </w:p>
          <w:p>
            <w:pPr>
              <w:keepNext w:val="0"/>
              <w:keepLines w:val="0"/>
              <w:suppressLineNumbers w:val="0"/>
              <w:autoSpaceDE w:val="0"/>
              <w:autoSpaceDN w:val="0"/>
              <w:adjustRightInd w:val="0"/>
              <w:snapToGrid w:val="0"/>
              <w:spacing w:before="0" w:beforeAutospacing="0" w:after="0" w:afterAutospacing="0" w:line="406" w:lineRule="exact"/>
              <w:ind w:left="0" w:right="0" w:firstLine="420"/>
              <w:jc w:val="left"/>
              <w:rPr>
                <w:rFonts w:hint="default" w:asciiTheme="minorEastAsia" w:hAnsiTheme="minorEastAsia" w:eastAsiaTheme="minorEastAsia"/>
                <w:color w:val="auto"/>
                <w:kern w:val="0"/>
                <w:szCs w:val="21"/>
              </w:rPr>
            </w:pPr>
            <w:r>
              <w:rPr>
                <w:rFonts w:hint="eastAsia" w:eastAsiaTheme="minorEastAsia"/>
                <w:color w:val="auto"/>
                <w:kern w:val="0"/>
                <w:szCs w:val="21"/>
              </w:rPr>
              <w:t>本项目总投资1</w:t>
            </w:r>
            <w:r>
              <w:rPr>
                <w:rFonts w:hint="eastAsia" w:eastAsiaTheme="minorEastAsia"/>
                <w:color w:val="auto"/>
                <w:kern w:val="0"/>
                <w:szCs w:val="21"/>
                <w:lang w:val="en-US" w:eastAsia="zh-CN"/>
              </w:rPr>
              <w:t>5</w:t>
            </w:r>
            <w:r>
              <w:rPr>
                <w:rFonts w:hint="default" w:eastAsiaTheme="minorEastAsia"/>
                <w:color w:val="auto"/>
                <w:kern w:val="0"/>
                <w:szCs w:val="21"/>
              </w:rPr>
              <w:t>0</w:t>
            </w:r>
            <w:r>
              <w:rPr>
                <w:rFonts w:hint="eastAsia" w:eastAsiaTheme="minorEastAsia"/>
                <w:color w:val="auto"/>
                <w:kern w:val="0"/>
                <w:szCs w:val="21"/>
              </w:rPr>
              <w:t>万元，其中环保投资</w:t>
            </w:r>
            <w:r>
              <w:rPr>
                <w:rFonts w:hint="eastAsia" w:eastAsiaTheme="minorEastAsia"/>
                <w:color w:val="auto"/>
                <w:kern w:val="0"/>
                <w:szCs w:val="21"/>
                <w:lang w:val="en-US" w:eastAsia="zh-CN"/>
              </w:rPr>
              <w:t>56.0</w:t>
            </w:r>
            <w:r>
              <w:rPr>
                <w:rFonts w:hint="eastAsia" w:eastAsiaTheme="minorEastAsia"/>
                <w:color w:val="auto"/>
                <w:kern w:val="0"/>
                <w:szCs w:val="21"/>
              </w:rPr>
              <w:t>万元，占总投资的</w:t>
            </w:r>
            <w:r>
              <w:rPr>
                <w:rFonts w:hint="eastAsia" w:eastAsiaTheme="minorEastAsia"/>
                <w:color w:val="auto"/>
                <w:kern w:val="0"/>
                <w:szCs w:val="21"/>
                <w:lang w:val="en-US" w:eastAsia="zh-CN"/>
              </w:rPr>
              <w:t>37.33</w:t>
            </w:r>
            <w:r>
              <w:rPr>
                <w:rFonts w:hint="eastAsia" w:eastAsiaTheme="minorEastAsia"/>
                <w:color w:val="auto"/>
                <w:kern w:val="0"/>
                <w:szCs w:val="21"/>
              </w:rPr>
              <w:t>%。</w:t>
            </w:r>
            <w:r>
              <w:rPr>
                <w:rFonts w:hint="default" w:eastAsiaTheme="minorEastAsia"/>
                <w:bCs/>
                <w:color w:val="auto"/>
                <w:kern w:val="0"/>
                <w:szCs w:val="21"/>
              </w:rPr>
              <w:t>处理措施和处理效果从总体上看，能满足环保要求，可有效降低由于工程的建设所带来的环境污染和生态影响，经济合理、技术可行。本项目的环保投资估算见下表。</w:t>
            </w:r>
          </w:p>
          <w:p>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default" w:eastAsia="黑体"/>
                <w:color w:val="auto"/>
                <w:kern w:val="0"/>
                <w:sz w:val="18"/>
                <w:szCs w:val="20"/>
              </w:rPr>
            </w:pPr>
            <w:r>
              <w:rPr>
                <w:rFonts w:hint="default" w:eastAsia="黑体"/>
                <w:color w:val="auto"/>
                <w:kern w:val="0"/>
                <w:sz w:val="18"/>
                <w:szCs w:val="20"/>
              </w:rPr>
              <w:t>表</w:t>
            </w:r>
            <w:r>
              <w:rPr>
                <w:rFonts w:hint="eastAsia" w:eastAsia="黑体"/>
                <w:color w:val="auto"/>
                <w:kern w:val="0"/>
                <w:sz w:val="18"/>
                <w:szCs w:val="20"/>
              </w:rPr>
              <w:t>4-1</w:t>
            </w:r>
            <w:r>
              <w:rPr>
                <w:rFonts w:hint="eastAsia" w:eastAsia="黑体"/>
                <w:color w:val="auto"/>
                <w:kern w:val="0"/>
                <w:sz w:val="18"/>
                <w:szCs w:val="20"/>
                <w:lang w:val="en-US" w:eastAsia="zh-CN"/>
              </w:rPr>
              <w:t>9</w:t>
            </w:r>
            <w:r>
              <w:rPr>
                <w:rFonts w:hint="eastAsia" w:eastAsia="黑体"/>
                <w:color w:val="auto"/>
                <w:kern w:val="0"/>
                <w:sz w:val="18"/>
                <w:szCs w:val="20"/>
              </w:rPr>
              <w:t xml:space="preserve"> </w:t>
            </w:r>
            <w:r>
              <w:rPr>
                <w:rFonts w:hint="default" w:eastAsia="黑体"/>
                <w:color w:val="auto"/>
                <w:kern w:val="0"/>
                <w:sz w:val="18"/>
                <w:szCs w:val="20"/>
              </w:rPr>
              <w:t xml:space="preserve">   环保投资估算一览表</w:t>
            </w:r>
          </w:p>
          <w:tbl>
            <w:tblPr>
              <w:tblStyle w:val="15"/>
              <w:tblW w:w="79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5578"/>
              <w:gridCol w:w="850"/>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682"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b/>
                      <w:color w:val="auto"/>
                      <w:spacing w:val="-6"/>
                      <w:sz w:val="18"/>
                      <w:szCs w:val="18"/>
                    </w:rPr>
                  </w:pPr>
                  <w:r>
                    <w:rPr>
                      <w:rFonts w:hint="default" w:ascii="Times New Roman" w:hAnsi="Times New Roman" w:cs="Times New Roman"/>
                      <w:b/>
                      <w:color w:val="auto"/>
                      <w:spacing w:val="-6"/>
                      <w:sz w:val="18"/>
                      <w:szCs w:val="18"/>
                    </w:rPr>
                    <w:t>项目</w:t>
                  </w:r>
                </w:p>
              </w:tc>
              <w:tc>
                <w:tcPr>
                  <w:tcW w:w="557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b/>
                      <w:color w:val="auto"/>
                      <w:spacing w:val="-6"/>
                      <w:sz w:val="18"/>
                      <w:szCs w:val="18"/>
                    </w:rPr>
                  </w:pPr>
                  <w:r>
                    <w:rPr>
                      <w:rFonts w:hint="default" w:ascii="Times New Roman" w:hAnsi="Times New Roman" w:cs="Times New Roman"/>
                      <w:b/>
                      <w:color w:val="auto"/>
                      <w:spacing w:val="-6"/>
                      <w:sz w:val="18"/>
                      <w:szCs w:val="18"/>
                    </w:rPr>
                    <w:t>内    容</w:t>
                  </w:r>
                </w:p>
              </w:tc>
              <w:tc>
                <w:tcPr>
                  <w:tcW w:w="850"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b/>
                      <w:color w:val="auto"/>
                      <w:spacing w:val="-6"/>
                      <w:sz w:val="18"/>
                      <w:szCs w:val="18"/>
                    </w:rPr>
                  </w:pPr>
                  <w:r>
                    <w:rPr>
                      <w:rFonts w:hint="default" w:ascii="Times New Roman" w:hAnsi="Times New Roman" w:cs="Times New Roman"/>
                      <w:b/>
                      <w:color w:val="auto"/>
                      <w:spacing w:val="-6"/>
                      <w:sz w:val="18"/>
                      <w:szCs w:val="18"/>
                    </w:rPr>
                    <w:t>投资额</w:t>
                  </w:r>
                </w:p>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b/>
                      <w:color w:val="auto"/>
                      <w:spacing w:val="-6"/>
                      <w:sz w:val="18"/>
                      <w:szCs w:val="18"/>
                    </w:rPr>
                  </w:pPr>
                  <w:r>
                    <w:rPr>
                      <w:rFonts w:hint="default" w:ascii="Times New Roman" w:hAnsi="Times New Roman" w:cs="Times New Roman"/>
                      <w:b/>
                      <w:color w:val="auto"/>
                      <w:spacing w:val="-6"/>
                      <w:sz w:val="18"/>
                      <w:szCs w:val="18"/>
                    </w:rPr>
                    <w:t>(万元)</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b/>
                      <w:color w:val="auto"/>
                      <w:spacing w:val="-6"/>
                      <w:sz w:val="18"/>
                      <w:szCs w:val="18"/>
                    </w:rPr>
                  </w:pPr>
                  <w:r>
                    <w:rPr>
                      <w:rFonts w:hint="default" w:ascii="Times New Roman" w:hAnsi="Times New Roman" w:cs="Times New Roman"/>
                      <w:b/>
                      <w:color w:val="auto"/>
                      <w:spacing w:val="-6"/>
                      <w:sz w:val="18"/>
                      <w:szCs w:val="1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682" w:type="dxa"/>
                  <w:vMerge w:val="restart"/>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废气</w:t>
                  </w:r>
                </w:p>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处理</w:t>
                  </w:r>
                </w:p>
              </w:tc>
              <w:tc>
                <w:tcPr>
                  <w:tcW w:w="5578" w:type="dxa"/>
                  <w:vAlign w:val="center"/>
                </w:tcPr>
                <w:p>
                  <w:pPr>
                    <w:keepNext w:val="0"/>
                    <w:keepLines w:val="0"/>
                    <w:suppressLineNumbers w:val="0"/>
                    <w:spacing w:before="0" w:beforeAutospacing="0" w:after="0" w:afterAutospacing="0" w:line="280" w:lineRule="exact"/>
                    <w:ind w:left="0" w:leftChars="0" w:right="0" w:rightChars="0"/>
                    <w:jc w:val="left"/>
                    <w:rPr>
                      <w:rFonts w:hint="default" w:ascii="Times New Roman" w:hAnsi="Times New Roman" w:cs="Times New Roman"/>
                      <w:color w:val="auto"/>
                      <w:kern w:val="0"/>
                      <w:sz w:val="18"/>
                      <w:szCs w:val="18"/>
                    </w:rPr>
                  </w:pPr>
                  <w:r>
                    <w:rPr>
                      <w:rFonts w:hint="eastAsia" w:ascii="宋体" w:hAnsi="宋体"/>
                      <w:color w:val="auto"/>
                      <w:kern w:val="0"/>
                      <w:sz w:val="18"/>
                      <w:szCs w:val="18"/>
                    </w:rPr>
                    <w:t>原料卸料粉尘：</w:t>
                  </w:r>
                  <w:r>
                    <w:rPr>
                      <w:rFonts w:hint="eastAsia" w:ascii="宋体" w:hAnsi="宋体"/>
                      <w:color w:val="auto"/>
                      <w:kern w:val="0"/>
                      <w:sz w:val="18"/>
                      <w:szCs w:val="18"/>
                      <w:lang w:val="en-US" w:eastAsia="zh-CN"/>
                    </w:rPr>
                    <w:t>块状矿石原料堆放区设置防流失围挡和防风抑尘网覆盖，堆体高度应低于围挡高度。针对卸料作业采用雾炮机进行定点喷雾降尘。原料卸料完毕后采用防风抑尘网进行覆盖，生产时按需揭开防尘网，避免全部物料均处于裸露状态</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682" w:type="dxa"/>
                  <w:vMerge w:val="continue"/>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p>
              </w:tc>
              <w:tc>
                <w:tcPr>
                  <w:tcW w:w="5578" w:type="dxa"/>
                  <w:vAlign w:val="center"/>
                </w:tcPr>
                <w:p>
                  <w:pPr>
                    <w:keepNext w:val="0"/>
                    <w:keepLines w:val="0"/>
                    <w:widowControl w:val="0"/>
                    <w:suppressLineNumbers w:val="0"/>
                    <w:spacing w:before="0" w:beforeAutospacing="0" w:after="0" w:afterAutospacing="0" w:line="280" w:lineRule="exact"/>
                    <w:ind w:left="0" w:leftChars="0" w:right="0" w:rightChars="0"/>
                    <w:jc w:val="left"/>
                    <w:rPr>
                      <w:rFonts w:hint="default" w:ascii="Times New Roman" w:hAnsi="Times New Roman" w:cs="Times New Roman"/>
                      <w:color w:val="auto"/>
                      <w:kern w:val="0"/>
                      <w:sz w:val="18"/>
                      <w:szCs w:val="18"/>
                    </w:rPr>
                  </w:pPr>
                  <w:r>
                    <w:rPr>
                      <w:rFonts w:hint="default" w:ascii="Times New Roman" w:hAnsi="Times New Roman" w:eastAsia="宋体" w:cs="Times New Roman"/>
                      <w:color w:val="auto"/>
                      <w:kern w:val="0"/>
                      <w:sz w:val="18"/>
                      <w:szCs w:val="18"/>
                      <w:lang w:val="en-US" w:eastAsia="zh-CN" w:bidi="ar"/>
                    </w:rPr>
                    <w:t>上料给料粉尘：设备布置在封闭式生产车间内，利用厂房阻隔粉尘外逸；在料斗落料处和振动给料过程均采取喷雾降尘措施</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.0</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682" w:type="dxa"/>
                  <w:vMerge w:val="continue"/>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p>
              </w:tc>
              <w:tc>
                <w:tcPr>
                  <w:tcW w:w="5578" w:type="dxa"/>
                  <w:vAlign w:val="center"/>
                </w:tcPr>
                <w:p>
                  <w:pPr>
                    <w:keepNext w:val="0"/>
                    <w:keepLines w:val="0"/>
                    <w:suppressLineNumbers w:val="0"/>
                    <w:spacing w:before="0" w:beforeAutospacing="0" w:after="0" w:afterAutospacing="0" w:line="280" w:lineRule="exact"/>
                    <w:ind w:left="0" w:leftChars="0" w:right="0" w:rightChars="0"/>
                    <w:jc w:val="left"/>
                    <w:rPr>
                      <w:rFonts w:hint="default" w:ascii="Times New Roman" w:hAnsi="Times New Roman" w:cs="Times New Roman"/>
                      <w:b/>
                      <w:color w:val="auto"/>
                      <w:kern w:val="0"/>
                      <w:sz w:val="18"/>
                      <w:szCs w:val="18"/>
                    </w:rPr>
                  </w:pPr>
                  <w:r>
                    <w:rPr>
                      <w:rFonts w:hint="eastAsia" w:ascii="宋体" w:hAnsi="宋体"/>
                      <w:color w:val="auto"/>
                      <w:kern w:val="0"/>
                      <w:sz w:val="18"/>
                      <w:szCs w:val="18"/>
                    </w:rPr>
                    <w:t>皮带</w:t>
                  </w:r>
                  <w:r>
                    <w:rPr>
                      <w:rFonts w:hint="eastAsia" w:ascii="宋体" w:hAnsi="宋体"/>
                      <w:color w:val="auto"/>
                      <w:kern w:val="0"/>
                      <w:sz w:val="18"/>
                      <w:szCs w:val="18"/>
                      <w:lang w:val="en-US" w:eastAsia="zh-CN"/>
                    </w:rPr>
                    <w:t>送料及缓冲料仓落料</w:t>
                  </w:r>
                  <w:r>
                    <w:rPr>
                      <w:rFonts w:hint="eastAsia" w:ascii="宋体" w:hAnsi="宋体"/>
                      <w:color w:val="auto"/>
                      <w:kern w:val="0"/>
                      <w:sz w:val="18"/>
                      <w:szCs w:val="18"/>
                    </w:rPr>
                    <w:t>粉尘：</w:t>
                  </w:r>
                  <w:r>
                    <w:rPr>
                      <w:rFonts w:hint="eastAsia" w:ascii="宋体" w:hAnsi="宋体"/>
                      <w:color w:val="auto"/>
                      <w:kern w:val="0"/>
                      <w:sz w:val="18"/>
                      <w:szCs w:val="18"/>
                      <w:lang w:val="en-US" w:eastAsia="zh-CN"/>
                    </w:rPr>
                    <w:t>生产线的输送皮带以及缓冲料仓均位于封闭式车间内，利用厂房阻隔粉尘外逸；在皮带两端缓冲料仓落料处，均采取喷雾降尘措施；加强皮带输送机维护保养，避免异常抖动起尘</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.0</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682" w:type="dxa"/>
                  <w:vMerge w:val="continue"/>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p>
              </w:tc>
              <w:tc>
                <w:tcPr>
                  <w:tcW w:w="5578" w:type="dxa"/>
                  <w:vAlign w:val="center"/>
                </w:tcPr>
                <w:p>
                  <w:pPr>
                    <w:keepNext w:val="0"/>
                    <w:keepLines w:val="0"/>
                    <w:suppressLineNumbers w:val="0"/>
                    <w:spacing w:before="0" w:beforeAutospacing="0" w:after="0" w:afterAutospacing="0" w:line="280" w:lineRule="exact"/>
                    <w:ind w:left="0" w:leftChars="0" w:right="0" w:rightChars="0"/>
                    <w:jc w:val="left"/>
                    <w:rPr>
                      <w:rFonts w:hint="default" w:ascii="Times New Roman" w:hAnsi="Times New Roman" w:cs="Times New Roman"/>
                      <w:color w:val="auto"/>
                      <w:kern w:val="0"/>
                      <w:sz w:val="18"/>
                      <w:szCs w:val="18"/>
                    </w:rPr>
                  </w:pPr>
                  <w:r>
                    <w:rPr>
                      <w:rFonts w:hint="eastAsia" w:ascii="宋体" w:hAnsi="宋体"/>
                      <w:color w:val="auto"/>
                      <w:kern w:val="0"/>
                      <w:sz w:val="18"/>
                      <w:szCs w:val="18"/>
                      <w:lang w:val="en-US" w:eastAsia="zh-CN"/>
                    </w:rPr>
                    <w:t>颚破和反击破</w:t>
                  </w:r>
                  <w:r>
                    <w:rPr>
                      <w:rFonts w:hint="eastAsia" w:ascii="宋体" w:hAnsi="宋体"/>
                      <w:color w:val="auto"/>
                      <w:kern w:val="0"/>
                      <w:sz w:val="18"/>
                      <w:szCs w:val="18"/>
                    </w:rPr>
                    <w:t>粉尘：采用密闭型</w:t>
                  </w:r>
                  <w:r>
                    <w:rPr>
                      <w:rFonts w:hint="eastAsia" w:ascii="宋体" w:hAnsi="宋体"/>
                      <w:color w:val="auto"/>
                      <w:kern w:val="0"/>
                      <w:sz w:val="18"/>
                      <w:szCs w:val="18"/>
                      <w:lang w:val="en-US" w:eastAsia="zh-CN"/>
                    </w:rPr>
                    <w:t>破碎</w:t>
                  </w:r>
                  <w:r>
                    <w:rPr>
                      <w:rFonts w:hint="eastAsia" w:ascii="宋体" w:hAnsi="宋体"/>
                      <w:color w:val="auto"/>
                      <w:kern w:val="0"/>
                      <w:sz w:val="18"/>
                      <w:szCs w:val="18"/>
                    </w:rPr>
                    <w:t>设备，</w:t>
                  </w:r>
                  <w:r>
                    <w:rPr>
                      <w:rFonts w:hint="eastAsia" w:ascii="宋体" w:hAnsi="宋体"/>
                      <w:color w:val="auto"/>
                      <w:kern w:val="0"/>
                      <w:sz w:val="18"/>
                      <w:szCs w:val="18"/>
                      <w:lang w:val="en-US" w:eastAsia="zh-CN"/>
                    </w:rPr>
                    <w:t>并</w:t>
                  </w:r>
                  <w:r>
                    <w:rPr>
                      <w:rFonts w:hint="eastAsia" w:ascii="宋体" w:hAnsi="宋体"/>
                      <w:color w:val="auto"/>
                      <w:kern w:val="0"/>
                      <w:sz w:val="18"/>
                      <w:szCs w:val="18"/>
                    </w:rPr>
                    <w:t>将设备布置在封闭式车间内</w:t>
                  </w:r>
                  <w:r>
                    <w:rPr>
                      <w:rFonts w:hint="eastAsia" w:ascii="宋体" w:hAnsi="宋体"/>
                      <w:color w:val="auto"/>
                      <w:kern w:val="0"/>
                      <w:sz w:val="18"/>
                      <w:szCs w:val="18"/>
                      <w:lang w:eastAsia="zh-CN"/>
                    </w:rPr>
                    <w:t>；</w:t>
                  </w:r>
                  <w:r>
                    <w:rPr>
                      <w:rFonts w:hint="eastAsia" w:ascii="宋体" w:hAnsi="宋体"/>
                      <w:color w:val="auto"/>
                      <w:kern w:val="0"/>
                      <w:sz w:val="18"/>
                      <w:szCs w:val="18"/>
                      <w:lang w:val="en-US" w:eastAsia="zh-CN"/>
                    </w:rPr>
                    <w:t>在设备进料口采取喷雾降尘的方式，降低粉尘产生</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bCs/>
                      <w:color w:val="auto"/>
                      <w:spacing w:val="-6"/>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682" w:type="dxa"/>
                  <w:vMerge w:val="continue"/>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p>
              </w:tc>
              <w:tc>
                <w:tcPr>
                  <w:tcW w:w="5578" w:type="dxa"/>
                  <w:vAlign w:val="center"/>
                </w:tcPr>
                <w:p>
                  <w:pPr>
                    <w:keepNext w:val="0"/>
                    <w:keepLines w:val="0"/>
                    <w:suppressLineNumbers w:val="0"/>
                    <w:spacing w:before="0" w:beforeAutospacing="0" w:after="0" w:afterAutospacing="0" w:line="280" w:lineRule="exact"/>
                    <w:ind w:left="0" w:leftChars="0" w:right="0" w:rightChars="0"/>
                    <w:jc w:val="left"/>
                    <w:rPr>
                      <w:rFonts w:hint="default" w:ascii="Times New Roman" w:hAnsi="Times New Roman" w:cs="Times New Roman"/>
                      <w:b/>
                      <w:color w:val="auto"/>
                      <w:kern w:val="0"/>
                      <w:sz w:val="18"/>
                      <w:szCs w:val="18"/>
                    </w:rPr>
                  </w:pPr>
                  <w:r>
                    <w:rPr>
                      <w:rFonts w:hint="eastAsia" w:ascii="宋体" w:hAnsi="宋体"/>
                      <w:color w:val="auto"/>
                      <w:kern w:val="0"/>
                      <w:sz w:val="18"/>
                      <w:szCs w:val="18"/>
                    </w:rPr>
                    <w:t>振动筛分</w:t>
                  </w:r>
                  <w:r>
                    <w:rPr>
                      <w:rFonts w:hint="eastAsia" w:ascii="宋体" w:hAnsi="宋体"/>
                      <w:color w:val="auto"/>
                      <w:kern w:val="0"/>
                      <w:sz w:val="18"/>
                      <w:szCs w:val="18"/>
                      <w:lang w:val="en-US" w:eastAsia="zh-CN"/>
                    </w:rPr>
                    <w:t>及制砂</w:t>
                  </w:r>
                  <w:r>
                    <w:rPr>
                      <w:rFonts w:hint="eastAsia" w:ascii="宋体" w:hAnsi="宋体"/>
                      <w:color w:val="auto"/>
                      <w:kern w:val="0"/>
                      <w:sz w:val="18"/>
                      <w:szCs w:val="18"/>
                    </w:rPr>
                    <w:t>粉尘：</w:t>
                  </w:r>
                  <w:r>
                    <w:rPr>
                      <w:rFonts w:hint="eastAsia" w:ascii="宋体" w:hAnsi="宋体"/>
                      <w:color w:val="auto"/>
                      <w:kern w:val="0"/>
                      <w:sz w:val="18"/>
                      <w:szCs w:val="18"/>
                      <w:lang w:val="en-US" w:eastAsia="zh-CN"/>
                    </w:rPr>
                    <w:t>采用密闭型制砂设备，并布置在封闭式车间内；在</w:t>
                  </w:r>
                  <w:r>
                    <w:rPr>
                      <w:rFonts w:hint="eastAsia" w:ascii="宋体" w:hAnsi="宋体"/>
                      <w:color w:val="auto"/>
                      <w:kern w:val="0"/>
                      <w:sz w:val="18"/>
                      <w:szCs w:val="18"/>
                    </w:rPr>
                    <w:t>振动筛分环节采取不间断冲水</w:t>
                  </w:r>
                  <w:r>
                    <w:rPr>
                      <w:rFonts w:hint="eastAsia" w:ascii="宋体" w:hAnsi="宋体"/>
                      <w:color w:val="auto"/>
                      <w:kern w:val="0"/>
                      <w:sz w:val="18"/>
                      <w:szCs w:val="18"/>
                      <w:lang w:val="en-US" w:eastAsia="zh-CN"/>
                    </w:rPr>
                    <w:t>的</w:t>
                  </w:r>
                  <w:r>
                    <w:rPr>
                      <w:rFonts w:hint="eastAsia" w:ascii="宋体" w:hAnsi="宋体"/>
                      <w:color w:val="auto"/>
                      <w:kern w:val="0"/>
                      <w:sz w:val="18"/>
                      <w:szCs w:val="18"/>
                    </w:rPr>
                    <w:t>湿法</w:t>
                  </w:r>
                  <w:r>
                    <w:rPr>
                      <w:rFonts w:hint="eastAsia" w:ascii="宋体" w:hAnsi="宋体"/>
                      <w:color w:val="auto"/>
                      <w:kern w:val="0"/>
                      <w:sz w:val="18"/>
                      <w:szCs w:val="18"/>
                      <w:lang w:val="en-US" w:eastAsia="zh-CN"/>
                    </w:rPr>
                    <w:t>生产</w:t>
                  </w:r>
                  <w:r>
                    <w:rPr>
                      <w:rFonts w:hint="eastAsia" w:ascii="宋体" w:hAnsi="宋体"/>
                      <w:color w:val="auto"/>
                      <w:kern w:val="0"/>
                      <w:sz w:val="18"/>
                      <w:szCs w:val="18"/>
                    </w:rPr>
                    <w:t>工艺</w:t>
                  </w:r>
                  <w:r>
                    <w:rPr>
                      <w:rFonts w:hint="eastAsia" w:ascii="宋体" w:hAnsi="宋体"/>
                      <w:color w:val="auto"/>
                      <w:kern w:val="0"/>
                      <w:sz w:val="18"/>
                      <w:szCs w:val="18"/>
                      <w:lang w:eastAsia="zh-CN"/>
                    </w:rPr>
                    <w:t>，</w:t>
                  </w:r>
                  <w:r>
                    <w:rPr>
                      <w:rFonts w:hint="eastAsia" w:ascii="宋体" w:hAnsi="宋体"/>
                      <w:color w:val="auto"/>
                      <w:kern w:val="0"/>
                      <w:sz w:val="18"/>
                      <w:szCs w:val="18"/>
                      <w:lang w:val="en-US" w:eastAsia="zh-CN"/>
                    </w:rPr>
                    <w:t>由于振动筛分水洗后物料含水率较高，因此在振动筛及制砂环节均无粉尘产生</w:t>
                  </w:r>
                </w:p>
              </w:tc>
              <w:tc>
                <w:tcPr>
                  <w:tcW w:w="850" w:type="dxa"/>
                  <w:vAlign w:val="center"/>
                </w:tcPr>
                <w:p>
                  <w:pPr>
                    <w:keepNext w:val="0"/>
                    <w:keepLines w:val="0"/>
                    <w:suppressLineNumbers w:val="0"/>
                    <w:spacing w:before="0" w:beforeAutospacing="0" w:after="0" w:afterAutospacing="0" w:line="260" w:lineRule="exact"/>
                    <w:ind w:left="0" w:right="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682" w:type="dxa"/>
                  <w:vMerge w:val="continue"/>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p>
              </w:tc>
              <w:tc>
                <w:tcPr>
                  <w:tcW w:w="5578" w:type="dxa"/>
                  <w:vAlign w:val="center"/>
                </w:tcPr>
                <w:p>
                  <w:pPr>
                    <w:keepNext w:val="0"/>
                    <w:keepLines w:val="0"/>
                    <w:widowControl w:val="0"/>
                    <w:suppressLineNumbers w:val="0"/>
                    <w:spacing w:before="0" w:beforeAutospacing="0" w:after="0" w:afterAutospacing="0" w:line="280" w:lineRule="exact"/>
                    <w:ind w:left="0" w:leftChars="0" w:right="0" w:rightChars="0"/>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产品库粉尘：产品库布置在封闭式生产车间内，并设置三面围挡；项目产品为湿法生产工艺的砂石产品，自身含水不易起尘</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3.0</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eastAsia" w:ascii="Times New Roman" w:hAnsi="Times New Roman" w:eastAsia="宋体" w:cs="Times New Roman"/>
                      <w:bCs/>
                      <w:color w:val="auto"/>
                      <w:spacing w:val="-6"/>
                      <w:sz w:val="18"/>
                      <w:szCs w:val="18"/>
                      <w:lang w:val="en-US" w:eastAsia="zh-CN"/>
                    </w:rPr>
                  </w:pPr>
                  <w:r>
                    <w:rPr>
                      <w:rFonts w:hint="eastAsia" w:ascii="Times New Roman" w:hAnsi="Times New Roman" w:cs="Times New Roman"/>
                      <w:bCs/>
                      <w:color w:val="auto"/>
                      <w:spacing w:val="-6"/>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682" w:type="dxa"/>
                  <w:vMerge w:val="continue"/>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p>
              </w:tc>
              <w:tc>
                <w:tcPr>
                  <w:tcW w:w="5578" w:type="dxa"/>
                  <w:vAlign w:val="center"/>
                </w:tcPr>
                <w:p>
                  <w:pPr>
                    <w:keepNext w:val="0"/>
                    <w:keepLines w:val="0"/>
                    <w:widowControl w:val="0"/>
                    <w:suppressLineNumbers w:val="0"/>
                    <w:autoSpaceDE w:val="0"/>
                    <w:autoSpaceDN/>
                    <w:spacing w:before="0" w:beforeAutospacing="0" w:after="0" w:afterAutospacing="0" w:line="280" w:lineRule="exact"/>
                    <w:ind w:left="0" w:leftChars="0" w:right="0" w:rightChars="0"/>
                    <w:jc w:val="left"/>
                    <w:rPr>
                      <w:rFonts w:hint="default" w:ascii="Times New Roman" w:hAnsi="Times New Roman" w:cs="Times New Roman"/>
                      <w:b/>
                      <w:color w:val="auto"/>
                      <w:spacing w:val="-4"/>
                      <w:kern w:val="0"/>
                      <w:sz w:val="18"/>
                      <w:szCs w:val="18"/>
                    </w:rPr>
                  </w:pPr>
                  <w:r>
                    <w:rPr>
                      <w:rFonts w:hint="default" w:ascii="Times New Roman" w:hAnsi="Times New Roman" w:eastAsia="宋体" w:cs="Times New Roman"/>
                      <w:color w:val="auto"/>
                      <w:kern w:val="0"/>
                      <w:sz w:val="18"/>
                      <w:szCs w:val="18"/>
                      <w:lang w:val="en-US" w:eastAsia="zh-CN" w:bidi="ar"/>
                    </w:rPr>
                    <w:t>运输扬尘：对厂区地面进行水泥硬化处理，厂区车辆运输进出口设置车辆冲洗设施，加强运输车辆防尘冲洗，车辆加盖篷布密闭运输</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rPr>
                    <w:t>.0</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bCs/>
                      <w:color w:val="auto"/>
                      <w:spacing w:val="-6"/>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682" w:type="dxa"/>
                  <w:vMerge w:val="restart"/>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废水</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处理</w:t>
                  </w:r>
                </w:p>
              </w:tc>
              <w:tc>
                <w:tcPr>
                  <w:tcW w:w="5578" w:type="dxa"/>
                  <w:vAlign w:val="center"/>
                </w:tcPr>
                <w:p>
                  <w:pPr>
                    <w:keepNext w:val="0"/>
                    <w:keepLines w:val="0"/>
                    <w:widowControl w:val="0"/>
                    <w:suppressLineNumbers w:val="0"/>
                    <w:spacing w:before="0" w:beforeAutospacing="0" w:after="0" w:afterAutospacing="0" w:line="280" w:lineRule="exact"/>
                    <w:ind w:left="-42" w:leftChars="0" w:right="0" w:rightChars="0"/>
                    <w:jc w:val="left"/>
                    <w:rPr>
                      <w:rFonts w:hint="default" w:ascii="Times New Roman" w:hAnsi="Times New Roman" w:cs="Times New Roman"/>
                      <w:color w:val="auto"/>
                      <w:sz w:val="18"/>
                      <w:szCs w:val="18"/>
                    </w:rPr>
                  </w:pPr>
                  <w:r>
                    <w:rPr>
                      <w:rFonts w:hint="eastAsia" w:ascii="宋体" w:hAnsi="宋体"/>
                      <w:color w:val="auto"/>
                      <w:sz w:val="18"/>
                      <w:szCs w:val="18"/>
                    </w:rPr>
                    <w:t>洗砂废水：设废水处理系统1套，包括污水</w:t>
                  </w:r>
                  <w:r>
                    <w:rPr>
                      <w:rFonts w:hint="eastAsia" w:ascii="宋体" w:hAnsi="宋体"/>
                      <w:color w:val="auto"/>
                      <w:sz w:val="18"/>
                      <w:szCs w:val="18"/>
                      <w:lang w:val="en-US" w:eastAsia="zh-CN"/>
                    </w:rPr>
                    <w:t>收集池（容积40m</w:t>
                  </w:r>
                  <w:r>
                    <w:rPr>
                      <w:rFonts w:hint="eastAsia" w:ascii="宋体" w:hAnsi="宋体"/>
                      <w:color w:val="auto"/>
                      <w:sz w:val="18"/>
                      <w:szCs w:val="18"/>
                      <w:vertAlign w:val="superscript"/>
                      <w:lang w:val="en-US" w:eastAsia="zh-CN"/>
                    </w:rPr>
                    <w:t>3</w:t>
                  </w:r>
                  <w:r>
                    <w:rPr>
                      <w:rFonts w:hint="eastAsia" w:ascii="宋体" w:hAnsi="宋体"/>
                      <w:color w:val="auto"/>
                      <w:sz w:val="18"/>
                      <w:szCs w:val="18"/>
                      <w:lang w:val="en-US" w:eastAsia="zh-CN"/>
                    </w:rPr>
                    <w:t>）</w:t>
                  </w:r>
                  <w:r>
                    <w:rPr>
                      <w:rFonts w:hint="eastAsia" w:ascii="宋体" w:hAnsi="宋体"/>
                      <w:color w:val="auto"/>
                      <w:sz w:val="18"/>
                      <w:szCs w:val="18"/>
                    </w:rPr>
                    <w:t>、</w:t>
                  </w:r>
                  <w:r>
                    <w:rPr>
                      <w:rFonts w:hint="eastAsia" w:ascii="宋体" w:hAnsi="宋体"/>
                      <w:color w:val="auto"/>
                      <w:sz w:val="18"/>
                      <w:szCs w:val="18"/>
                      <w:lang w:val="en-US" w:eastAsia="zh-CN"/>
                    </w:rPr>
                    <w:t>沉淀罐（容积300m</w:t>
                  </w:r>
                  <w:r>
                    <w:rPr>
                      <w:rFonts w:hint="eastAsia" w:ascii="宋体" w:hAnsi="宋体"/>
                      <w:color w:val="auto"/>
                      <w:sz w:val="18"/>
                      <w:szCs w:val="18"/>
                      <w:vertAlign w:val="superscript"/>
                      <w:lang w:val="en-US" w:eastAsia="zh-CN"/>
                    </w:rPr>
                    <w:t>3</w:t>
                  </w:r>
                  <w:r>
                    <w:rPr>
                      <w:rFonts w:hint="eastAsia" w:ascii="宋体" w:hAnsi="宋体"/>
                      <w:color w:val="auto"/>
                      <w:sz w:val="18"/>
                      <w:szCs w:val="18"/>
                      <w:lang w:val="en-US" w:eastAsia="zh-CN"/>
                    </w:rPr>
                    <w:t>）</w:t>
                  </w:r>
                  <w:r>
                    <w:rPr>
                      <w:rFonts w:hint="eastAsia" w:ascii="宋体" w:hAnsi="宋体"/>
                      <w:color w:val="auto"/>
                      <w:sz w:val="18"/>
                      <w:szCs w:val="18"/>
                    </w:rPr>
                    <w:t>和清水池</w:t>
                  </w:r>
                  <w:r>
                    <w:rPr>
                      <w:rFonts w:hint="eastAsia" w:ascii="宋体" w:hAnsi="宋体"/>
                      <w:color w:val="auto"/>
                      <w:sz w:val="18"/>
                      <w:szCs w:val="18"/>
                      <w:lang w:val="en-US" w:eastAsia="zh-CN"/>
                    </w:rPr>
                    <w:t>（容积350m</w:t>
                  </w:r>
                  <w:r>
                    <w:rPr>
                      <w:rFonts w:hint="eastAsia" w:ascii="宋体" w:hAnsi="宋体"/>
                      <w:color w:val="auto"/>
                      <w:sz w:val="18"/>
                      <w:szCs w:val="18"/>
                      <w:vertAlign w:val="superscript"/>
                      <w:lang w:val="en-US" w:eastAsia="zh-CN"/>
                    </w:rPr>
                    <w:t>3</w:t>
                  </w:r>
                  <w:r>
                    <w:rPr>
                      <w:rFonts w:hint="eastAsia" w:ascii="宋体" w:hAnsi="宋体"/>
                      <w:color w:val="auto"/>
                      <w:sz w:val="18"/>
                      <w:szCs w:val="18"/>
                      <w:lang w:val="en-US" w:eastAsia="zh-CN"/>
                    </w:rPr>
                    <w:t>）</w:t>
                  </w:r>
                  <w:r>
                    <w:rPr>
                      <w:rFonts w:hint="eastAsia" w:ascii="宋体" w:hAnsi="宋体"/>
                      <w:color w:val="auto"/>
                      <w:sz w:val="18"/>
                      <w:szCs w:val="18"/>
                    </w:rPr>
                    <w:t>，容积共</w:t>
                  </w:r>
                  <w:r>
                    <w:rPr>
                      <w:rFonts w:hint="eastAsia" w:ascii="宋体" w:hAnsi="宋体"/>
                      <w:color w:val="auto"/>
                      <w:sz w:val="18"/>
                      <w:szCs w:val="18"/>
                      <w:lang w:val="en-US" w:eastAsia="zh-CN"/>
                    </w:rPr>
                    <w:t>69</w:t>
                  </w:r>
                  <w:r>
                    <w:rPr>
                      <w:rFonts w:hint="default" w:ascii="宋体" w:hAnsi="宋体"/>
                      <w:color w:val="auto"/>
                      <w:sz w:val="18"/>
                      <w:szCs w:val="18"/>
                    </w:rPr>
                    <w:t>0m</w:t>
                  </w:r>
                  <w:r>
                    <w:rPr>
                      <w:rFonts w:hint="default" w:ascii="宋体" w:hAnsi="宋体"/>
                      <w:color w:val="auto"/>
                      <w:sz w:val="18"/>
                      <w:szCs w:val="18"/>
                      <w:vertAlign w:val="superscript"/>
                    </w:rPr>
                    <w:t>3</w:t>
                  </w:r>
                  <w:r>
                    <w:rPr>
                      <w:rFonts w:hint="default" w:ascii="宋体" w:hAnsi="宋体"/>
                      <w:color w:val="auto"/>
                      <w:sz w:val="18"/>
                      <w:szCs w:val="18"/>
                    </w:rPr>
                    <w:t>，配套</w:t>
                  </w:r>
                  <w:r>
                    <w:rPr>
                      <w:rFonts w:hint="eastAsia" w:ascii="宋体" w:hAnsi="宋体"/>
                      <w:color w:val="auto"/>
                      <w:sz w:val="18"/>
                      <w:szCs w:val="18"/>
                    </w:rPr>
                    <w:t>加药机、加药</w:t>
                  </w:r>
                  <w:r>
                    <w:rPr>
                      <w:rFonts w:hint="eastAsia" w:ascii="宋体" w:hAnsi="宋体"/>
                      <w:color w:val="auto"/>
                      <w:sz w:val="18"/>
                      <w:szCs w:val="18"/>
                      <w:lang w:val="en-US" w:eastAsia="zh-CN"/>
                    </w:rPr>
                    <w:t>罐</w:t>
                  </w:r>
                  <w:r>
                    <w:rPr>
                      <w:rFonts w:hint="eastAsia" w:ascii="宋体" w:hAnsi="宋体"/>
                      <w:color w:val="auto"/>
                      <w:sz w:val="18"/>
                      <w:szCs w:val="18"/>
                    </w:rPr>
                    <w:t>及水泵等，采用“絮凝沉淀</w:t>
                  </w:r>
                  <w:r>
                    <w:rPr>
                      <w:rFonts w:hint="eastAsia" w:ascii="宋体" w:hAnsi="宋体"/>
                      <w:color w:val="auto"/>
                      <w:sz w:val="18"/>
                      <w:szCs w:val="18"/>
                      <w:lang w:val="en-US" w:eastAsia="zh-CN"/>
                    </w:rPr>
                    <w:t>+板框压滤</w:t>
                  </w:r>
                  <w:r>
                    <w:rPr>
                      <w:rFonts w:hint="eastAsia" w:ascii="宋体" w:hAnsi="宋体"/>
                      <w:color w:val="auto"/>
                      <w:sz w:val="18"/>
                      <w:szCs w:val="18"/>
                    </w:rPr>
                    <w:t>”工艺，处理后全部回用不外排</w:t>
                  </w:r>
                  <w:r>
                    <w:rPr>
                      <w:rFonts w:hint="default" w:ascii="Times New Roman" w:hAnsi="Times New Roman" w:eastAsia="宋体" w:cs="Times New Roman"/>
                      <w:color w:val="auto"/>
                      <w:kern w:val="2"/>
                      <w:sz w:val="18"/>
                      <w:szCs w:val="18"/>
                      <w:lang w:val="en-US" w:eastAsia="zh-CN" w:bidi="ar"/>
                    </w:rPr>
                    <w:t xml:space="preserve"> </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15</w:t>
                  </w:r>
                  <w:r>
                    <w:rPr>
                      <w:rFonts w:hint="default" w:ascii="Times New Roman" w:hAnsi="Times New Roman" w:cs="Times New Roman"/>
                      <w:color w:val="auto"/>
                      <w:sz w:val="18"/>
                      <w:szCs w:val="18"/>
                    </w:rPr>
                    <w:t>.0</w:t>
                  </w:r>
                </w:p>
              </w:tc>
              <w:tc>
                <w:tcPr>
                  <w:tcW w:w="848"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Cs/>
                      <w:color w:val="auto"/>
                      <w:spacing w:val="-6"/>
                      <w:sz w:val="18"/>
                      <w:szCs w:val="18"/>
                    </w:rPr>
                  </w:pPr>
                  <w:r>
                    <w:rPr>
                      <w:rFonts w:hint="default" w:ascii="Times New Roman" w:hAnsi="Times New Roman" w:cs="Times New Roman"/>
                      <w:bCs/>
                      <w:color w:val="auto"/>
                      <w:spacing w:val="-6"/>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682"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p>
              </w:tc>
              <w:tc>
                <w:tcPr>
                  <w:tcW w:w="5578" w:type="dxa"/>
                  <w:vAlign w:val="center"/>
                </w:tcPr>
                <w:p>
                  <w:pPr>
                    <w:keepNext w:val="0"/>
                    <w:keepLines w:val="0"/>
                    <w:widowControl w:val="0"/>
                    <w:suppressLineNumbers w:val="0"/>
                    <w:spacing w:before="0" w:beforeAutospacing="0" w:after="0" w:afterAutospacing="0" w:line="280" w:lineRule="exact"/>
                    <w:ind w:left="-42" w:leftChars="0" w:right="0" w:rightChars="0"/>
                    <w:jc w:val="left"/>
                    <w:rPr>
                      <w:rFonts w:hint="default" w:ascii="Times New Roman" w:hAnsi="Times New Roman" w:cs="Times New Roman"/>
                      <w:b/>
                      <w:color w:val="auto"/>
                      <w:sz w:val="18"/>
                      <w:szCs w:val="18"/>
                    </w:rPr>
                  </w:pPr>
                  <w:r>
                    <w:rPr>
                      <w:rFonts w:hint="default" w:ascii="Times New Roman" w:hAnsi="Times New Roman" w:eastAsia="宋体" w:cs="Times New Roman"/>
                      <w:color w:val="auto"/>
                      <w:kern w:val="2"/>
                      <w:sz w:val="18"/>
                      <w:szCs w:val="18"/>
                      <w:lang w:val="en-US" w:eastAsia="zh-CN" w:bidi="ar"/>
                    </w:rPr>
                    <w:t>产品渗沥水：设导水沟接入厂区散水池（</w:t>
                  </w:r>
                  <w:r>
                    <w:rPr>
                      <w:rFonts w:hint="default" w:ascii="Times New Roman" w:hAnsi="Times New Roman" w:eastAsia="宋体" w:cs="Times New Roman"/>
                      <w:color w:val="auto"/>
                      <w:kern w:val="0"/>
                      <w:sz w:val="18"/>
                      <w:szCs w:val="18"/>
                      <w:lang w:val="en-US" w:eastAsia="zh-CN" w:bidi="ar"/>
                    </w:rPr>
                    <w:t>容积约50m</w:t>
                  </w:r>
                  <w:r>
                    <w:rPr>
                      <w:rFonts w:hint="default" w:ascii="Times New Roman" w:hAnsi="Times New Roman" w:eastAsia="宋体" w:cs="Times New Roman"/>
                      <w:color w:val="auto"/>
                      <w:kern w:val="0"/>
                      <w:sz w:val="18"/>
                      <w:szCs w:val="18"/>
                      <w:vertAlign w:val="superscript"/>
                      <w:lang w:val="en-US" w:eastAsia="zh-CN" w:bidi="ar"/>
                    </w:rPr>
                    <w:t>3</w:t>
                  </w:r>
                  <w:r>
                    <w:rPr>
                      <w:rFonts w:hint="default" w:ascii="Times New Roman" w:hAnsi="Times New Roman" w:eastAsia="宋体" w:cs="Times New Roman"/>
                      <w:color w:val="auto"/>
                      <w:kern w:val="0"/>
                      <w:sz w:val="18"/>
                      <w:szCs w:val="18"/>
                      <w:lang w:val="en-US" w:eastAsia="zh-CN" w:bidi="ar"/>
                    </w:rPr>
                    <w:t>），处理后回用不外排</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1.0</w:t>
                  </w:r>
                </w:p>
              </w:tc>
              <w:tc>
                <w:tcPr>
                  <w:tcW w:w="848"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Cs/>
                      <w:color w:val="auto"/>
                      <w:spacing w:val="-6"/>
                      <w:sz w:val="18"/>
                      <w:szCs w:val="18"/>
                    </w:rPr>
                  </w:pPr>
                  <w:r>
                    <w:rPr>
                      <w:rFonts w:hint="default" w:ascii="Times New Roman" w:hAnsi="Times New Roman" w:cs="Times New Roman"/>
                      <w:bCs/>
                      <w:color w:val="auto"/>
                      <w:spacing w:val="-6"/>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682"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p>
              </w:tc>
              <w:tc>
                <w:tcPr>
                  <w:tcW w:w="5578" w:type="dxa"/>
                  <w:vAlign w:val="center"/>
                </w:tcPr>
                <w:p>
                  <w:pPr>
                    <w:keepNext w:val="0"/>
                    <w:keepLines w:val="0"/>
                    <w:widowControl w:val="0"/>
                    <w:suppressLineNumbers w:val="0"/>
                    <w:spacing w:before="0" w:beforeAutospacing="0" w:after="0" w:afterAutospacing="0" w:line="280" w:lineRule="exact"/>
                    <w:ind w:left="-42" w:leftChars="0" w:right="0" w:rightChars="0"/>
                    <w:jc w:val="left"/>
                    <w:rPr>
                      <w:rFonts w:hint="default" w:ascii="Times New Roman" w:hAnsi="Times New Roman" w:cs="Times New Roman"/>
                      <w:color w:val="auto"/>
                      <w:sz w:val="18"/>
                      <w:szCs w:val="18"/>
                    </w:rPr>
                  </w:pPr>
                  <w:r>
                    <w:rPr>
                      <w:rFonts w:hint="default" w:ascii="Times New Roman" w:hAnsi="Times New Roman" w:eastAsia="宋体" w:cs="Times New Roman"/>
                      <w:color w:val="auto"/>
                      <w:kern w:val="2"/>
                      <w:sz w:val="18"/>
                      <w:szCs w:val="18"/>
                      <w:lang w:val="en-US" w:eastAsia="zh-CN" w:bidi="ar"/>
                    </w:rPr>
                    <w:t>车辆冲洗废水：建设废水沉淀池池1个（容积约20m</w:t>
                  </w:r>
                  <w:r>
                    <w:rPr>
                      <w:rFonts w:hint="default" w:ascii="Times New Roman" w:hAnsi="Times New Roman" w:eastAsia="宋体" w:cs="Times New Roman"/>
                      <w:color w:val="auto"/>
                      <w:kern w:val="2"/>
                      <w:sz w:val="18"/>
                      <w:szCs w:val="18"/>
                      <w:vertAlign w:val="superscript"/>
                      <w:lang w:val="en-US" w:eastAsia="zh-CN" w:bidi="ar"/>
                    </w:rPr>
                    <w:t>3</w:t>
                  </w:r>
                  <w:r>
                    <w:rPr>
                      <w:rFonts w:hint="default" w:ascii="Times New Roman" w:hAnsi="Times New Roman" w:eastAsia="宋体" w:cs="Times New Roman"/>
                      <w:color w:val="auto"/>
                      <w:kern w:val="2"/>
                      <w:sz w:val="18"/>
                      <w:szCs w:val="18"/>
                      <w:lang w:val="en-US" w:eastAsia="zh-CN" w:bidi="ar"/>
                    </w:rPr>
                    <w:t>），收集处理后回用不外排</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1.5</w:t>
                  </w:r>
                </w:p>
              </w:tc>
              <w:tc>
                <w:tcPr>
                  <w:tcW w:w="848"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Cs/>
                      <w:color w:val="auto"/>
                      <w:spacing w:val="-6"/>
                      <w:sz w:val="18"/>
                      <w:szCs w:val="18"/>
                    </w:rPr>
                  </w:pPr>
                  <w:r>
                    <w:rPr>
                      <w:rFonts w:hint="default" w:ascii="Times New Roman" w:hAnsi="Times New Roman" w:cs="Times New Roman"/>
                      <w:bCs/>
                      <w:color w:val="auto"/>
                      <w:spacing w:val="-6"/>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682"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p>
              </w:tc>
              <w:tc>
                <w:tcPr>
                  <w:tcW w:w="5578" w:type="dxa"/>
                  <w:vAlign w:val="center"/>
                </w:tcPr>
                <w:p>
                  <w:pPr>
                    <w:keepNext w:val="0"/>
                    <w:keepLines w:val="0"/>
                    <w:widowControl w:val="0"/>
                    <w:suppressLineNumbers w:val="0"/>
                    <w:spacing w:before="0" w:beforeAutospacing="0" w:after="0" w:afterAutospacing="0" w:line="260" w:lineRule="exact"/>
                    <w:ind w:left="-40" w:leftChars="0" w:right="0" w:rightChars="0"/>
                    <w:jc w:val="left"/>
                    <w:rPr>
                      <w:rFonts w:hint="default" w:ascii="Times New Roman" w:hAnsi="Times New Roman" w:cs="Times New Roman"/>
                      <w:color w:val="auto"/>
                      <w:sz w:val="18"/>
                      <w:szCs w:val="18"/>
                    </w:rPr>
                  </w:pPr>
                  <w:r>
                    <w:rPr>
                      <w:rFonts w:hint="default" w:ascii="Times New Roman" w:hAnsi="Times New Roman" w:eastAsia="宋体" w:cs="Times New Roman"/>
                      <w:color w:val="auto"/>
                      <w:kern w:val="2"/>
                      <w:sz w:val="18"/>
                      <w:szCs w:val="18"/>
                      <w:lang w:val="en-US" w:eastAsia="zh-CN" w:bidi="ar"/>
                    </w:rPr>
                    <w:t>场地散水：</w:t>
                  </w:r>
                  <w:r>
                    <w:rPr>
                      <w:rFonts w:hint="eastAsia" w:ascii="宋体" w:hAnsi="宋体" w:eastAsia="宋体" w:cs="Times New Roman"/>
                      <w:color w:val="auto"/>
                      <w:sz w:val="18"/>
                      <w:szCs w:val="18"/>
                      <w:lang w:val="en-US" w:eastAsia="zh-CN" w:bidi="ar"/>
                    </w:rPr>
                    <w:t>主要包括厂区露天区域受污染的初期雨水以及产品渗沥水。</w:t>
                  </w:r>
                  <w:r>
                    <w:rPr>
                      <w:rFonts w:hint="eastAsia" w:ascii="宋体" w:hAnsi="宋体" w:eastAsia="宋体" w:cs="Times New Roman"/>
                      <w:color w:val="auto"/>
                      <w:kern w:val="0"/>
                      <w:sz w:val="18"/>
                      <w:szCs w:val="18"/>
                      <w:lang w:val="en-US" w:eastAsia="zh-CN" w:bidi="ar"/>
                    </w:rPr>
                    <w:t>厂区内边沟将场地散排水收集至散水池（容积约50m</w:t>
                  </w:r>
                  <w:r>
                    <w:rPr>
                      <w:rFonts w:hint="eastAsia" w:ascii="宋体" w:hAnsi="宋体" w:eastAsia="宋体" w:cs="Times New Roman"/>
                      <w:color w:val="auto"/>
                      <w:kern w:val="0"/>
                      <w:sz w:val="18"/>
                      <w:szCs w:val="18"/>
                      <w:vertAlign w:val="superscript"/>
                      <w:lang w:val="en-US" w:eastAsia="zh-CN" w:bidi="ar"/>
                    </w:rPr>
                    <w:t>3</w:t>
                  </w:r>
                  <w:r>
                    <w:rPr>
                      <w:rFonts w:hint="eastAsia" w:ascii="宋体" w:hAnsi="宋体" w:eastAsia="宋体" w:cs="Times New Roman"/>
                      <w:color w:val="auto"/>
                      <w:kern w:val="0"/>
                      <w:sz w:val="18"/>
                      <w:szCs w:val="18"/>
                      <w:lang w:val="en-US" w:eastAsia="zh-CN" w:bidi="ar"/>
                    </w:rPr>
                    <w:t>），再泵回污水池进入废水处理系统，处理后回用不外排</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2.0</w:t>
                  </w:r>
                </w:p>
              </w:tc>
              <w:tc>
                <w:tcPr>
                  <w:tcW w:w="848"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Cs/>
                      <w:color w:val="auto"/>
                      <w:spacing w:val="-6"/>
                      <w:sz w:val="18"/>
                      <w:szCs w:val="18"/>
                    </w:rPr>
                  </w:pPr>
                  <w:r>
                    <w:rPr>
                      <w:rFonts w:hint="default" w:ascii="Times New Roman" w:hAnsi="Times New Roman" w:cs="Times New Roman"/>
                      <w:bCs/>
                      <w:color w:val="auto"/>
                      <w:spacing w:val="-6"/>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682"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p>
              </w:tc>
              <w:tc>
                <w:tcPr>
                  <w:tcW w:w="5578" w:type="dxa"/>
                  <w:vAlign w:val="center"/>
                </w:tcPr>
                <w:p>
                  <w:pPr>
                    <w:keepNext w:val="0"/>
                    <w:keepLines w:val="0"/>
                    <w:widowControl w:val="0"/>
                    <w:suppressLineNumbers w:val="0"/>
                    <w:spacing w:before="0" w:beforeAutospacing="0" w:after="0" w:afterAutospacing="0" w:line="280" w:lineRule="exact"/>
                    <w:ind w:left="-42" w:leftChars="0" w:right="0" w:rightChars="0"/>
                    <w:jc w:val="left"/>
                    <w:rPr>
                      <w:rFonts w:hint="default" w:ascii="Times New Roman" w:hAnsi="Times New Roman" w:cs="Times New Roman"/>
                      <w:color w:val="auto"/>
                      <w:sz w:val="18"/>
                      <w:szCs w:val="18"/>
                    </w:rPr>
                  </w:pPr>
                  <w:r>
                    <w:rPr>
                      <w:rFonts w:hint="default" w:ascii="Times New Roman" w:hAnsi="Times New Roman" w:eastAsia="宋体" w:cs="Times New Roman"/>
                      <w:color w:val="auto"/>
                      <w:kern w:val="2"/>
                      <w:sz w:val="18"/>
                      <w:szCs w:val="18"/>
                      <w:lang w:val="en-US" w:eastAsia="zh-CN" w:bidi="ar"/>
                    </w:rPr>
                    <w:t>生活污水：设化粪池1个（容积20</w:t>
                  </w:r>
                  <w:r>
                    <w:rPr>
                      <w:rFonts w:hint="default" w:ascii="Times New Roman" w:hAnsi="Times New Roman" w:eastAsia="宋体" w:cs="Times New Roman"/>
                      <w:bCs/>
                      <w:color w:val="auto"/>
                      <w:kern w:val="0"/>
                      <w:sz w:val="18"/>
                      <w:szCs w:val="18"/>
                      <w:lang w:val="en-US" w:eastAsia="zh-CN" w:bidi="ar"/>
                    </w:rPr>
                    <w:t>m</w:t>
                  </w:r>
                  <w:r>
                    <w:rPr>
                      <w:rFonts w:hint="default" w:ascii="Times New Roman" w:hAnsi="Times New Roman" w:eastAsia="宋体" w:cs="Times New Roman"/>
                      <w:bCs/>
                      <w:color w:val="auto"/>
                      <w:kern w:val="0"/>
                      <w:sz w:val="18"/>
                      <w:szCs w:val="18"/>
                      <w:vertAlign w:val="superscript"/>
                      <w:lang w:val="en-US" w:eastAsia="zh-CN" w:bidi="ar"/>
                    </w:rPr>
                    <w:t>3</w:t>
                  </w:r>
                  <w:r>
                    <w:rPr>
                      <w:rFonts w:hint="default" w:ascii="Times New Roman" w:hAnsi="Times New Roman" w:eastAsia="宋体" w:cs="Times New Roman"/>
                      <w:color w:val="auto"/>
                      <w:kern w:val="2"/>
                      <w:sz w:val="18"/>
                      <w:szCs w:val="18"/>
                      <w:lang w:val="en-US" w:eastAsia="zh-CN" w:bidi="ar"/>
                    </w:rPr>
                    <w:t>）收集处理后，由附近农户定期清掏做农肥使用</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48"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bCs/>
                      <w:color w:val="auto"/>
                      <w:spacing w:val="-6"/>
                      <w:sz w:val="18"/>
                      <w:szCs w:val="18"/>
                    </w:rPr>
                  </w:pPr>
                  <w:r>
                    <w:rPr>
                      <w:rFonts w:hint="default" w:ascii="Times New Roman" w:hAnsi="Times New Roman" w:cs="Times New Roman"/>
                      <w:bCs/>
                      <w:color w:val="auto"/>
                      <w:spacing w:val="-6"/>
                      <w:sz w:val="18"/>
                      <w:szCs w:val="18"/>
                    </w:rPr>
                    <w:t>计入运行费用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682" w:type="dxa"/>
                  <w:vAlign w:val="center"/>
                </w:tcPr>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噪声</w:t>
                  </w:r>
                </w:p>
                <w:p>
                  <w:pPr>
                    <w:keepNext w:val="0"/>
                    <w:keepLines w:val="0"/>
                    <w:widowControl/>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防治</w:t>
                  </w:r>
                </w:p>
              </w:tc>
              <w:tc>
                <w:tcPr>
                  <w:tcW w:w="5578" w:type="dxa"/>
                  <w:vAlign w:val="center"/>
                </w:tcPr>
                <w:p>
                  <w:pPr>
                    <w:keepNext w:val="0"/>
                    <w:keepLines w:val="0"/>
                    <w:suppressLineNumbers w:val="0"/>
                    <w:spacing w:before="0" w:beforeAutospacing="0" w:after="0" w:afterAutospacing="0" w:line="260" w:lineRule="exact"/>
                    <w:ind w:left="0" w:right="0"/>
                    <w:rPr>
                      <w:rFonts w:hint="default" w:ascii="Times New Roman" w:hAnsi="Times New Roman" w:cs="Times New Roman"/>
                      <w:color w:val="auto"/>
                      <w:spacing w:val="-6"/>
                      <w:kern w:val="0"/>
                      <w:sz w:val="18"/>
                      <w:szCs w:val="18"/>
                    </w:rPr>
                  </w:pPr>
                  <w:r>
                    <w:rPr>
                      <w:rFonts w:hint="default" w:ascii="Times New Roman" w:hAnsi="Times New Roman" w:eastAsia="宋体" w:cs="Times New Roman"/>
                      <w:color w:val="auto"/>
                      <w:sz w:val="18"/>
                      <w:szCs w:val="18"/>
                      <w:lang w:val="en-US" w:eastAsia="zh-CN" w:bidi="ar"/>
                    </w:rPr>
                    <w:t>选用环保型低噪声设备、安装时采取基础减振；设备布置在车间内建筑隔声；加强设备的维护保养；优化布局，尽量远离厂房边界；合理安排生产及运输作业时间</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bCs/>
                      <w:color w:val="auto"/>
                      <w:spacing w:val="-6"/>
                      <w:sz w:val="18"/>
                      <w:szCs w:val="18"/>
                    </w:rPr>
                  </w:pPr>
                  <w:r>
                    <w:rPr>
                      <w:rFonts w:hint="default" w:ascii="Times New Roman" w:hAnsi="Times New Roman" w:cs="Times New Roman"/>
                      <w:bCs/>
                      <w:color w:val="auto"/>
                      <w:spacing w:val="-6"/>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682" w:type="dxa"/>
                  <w:vMerge w:val="restart"/>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固废</w:t>
                  </w:r>
                </w:p>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处置</w:t>
                  </w:r>
                </w:p>
              </w:tc>
              <w:tc>
                <w:tcPr>
                  <w:tcW w:w="5578" w:type="dxa"/>
                  <w:vAlign w:val="center"/>
                </w:tcPr>
                <w:p>
                  <w:pPr>
                    <w:keepNext w:val="0"/>
                    <w:keepLines w:val="0"/>
                    <w:widowControl w:val="0"/>
                    <w:suppressLineNumbers w:val="0"/>
                    <w:spacing w:before="0" w:beforeAutospacing="0" w:after="0" w:afterAutospacing="0" w:line="280" w:lineRule="exact"/>
                    <w:ind w:left="0" w:leftChars="0" w:right="0" w:rightChars="0"/>
                    <w:jc w:val="left"/>
                    <w:rPr>
                      <w:rFonts w:hint="default" w:ascii="Times New Roman" w:hAnsi="Times New Roman" w:cs="Times New Roman"/>
                      <w:color w:val="auto"/>
                      <w:sz w:val="18"/>
                      <w:szCs w:val="18"/>
                    </w:rPr>
                  </w:pPr>
                  <w:r>
                    <w:rPr>
                      <w:rFonts w:hint="eastAsia" w:ascii="宋体" w:hAnsi="宋体"/>
                      <w:color w:val="auto"/>
                      <w:sz w:val="18"/>
                      <w:szCs w:val="18"/>
                      <w:lang w:val="en-US" w:eastAsia="zh-CN"/>
                    </w:rPr>
                    <w:t>干化泥饼</w:t>
                  </w:r>
                  <w:r>
                    <w:rPr>
                      <w:rFonts w:hint="eastAsia" w:ascii="宋体" w:hAnsi="宋体"/>
                      <w:color w:val="auto"/>
                      <w:sz w:val="18"/>
                      <w:szCs w:val="18"/>
                    </w:rPr>
                    <w:t>：在板框压滤机下方设置一个泥饼暂存池</w:t>
                  </w:r>
                  <w:r>
                    <w:rPr>
                      <w:rFonts w:hint="eastAsia" w:ascii="宋体" w:hAnsi="宋体"/>
                      <w:color w:val="auto"/>
                      <w:sz w:val="18"/>
                      <w:szCs w:val="18"/>
                      <w:lang w:eastAsia="zh-CN"/>
                    </w:rPr>
                    <w:t>（</w:t>
                  </w:r>
                  <w:r>
                    <w:rPr>
                      <w:rFonts w:hint="eastAsia" w:ascii="宋体" w:hAnsi="宋体"/>
                      <w:color w:val="auto"/>
                      <w:sz w:val="18"/>
                      <w:szCs w:val="18"/>
                      <w:lang w:val="en-US" w:eastAsia="zh-CN"/>
                    </w:rPr>
                    <w:t>容积约20m</w:t>
                  </w:r>
                  <w:r>
                    <w:rPr>
                      <w:rFonts w:hint="eastAsia" w:ascii="宋体" w:hAnsi="宋体"/>
                      <w:color w:val="auto"/>
                      <w:sz w:val="18"/>
                      <w:szCs w:val="18"/>
                      <w:vertAlign w:val="superscript"/>
                      <w:lang w:val="en-US" w:eastAsia="zh-CN"/>
                    </w:rPr>
                    <w:t>3</w:t>
                  </w:r>
                  <w:r>
                    <w:rPr>
                      <w:rFonts w:hint="eastAsia" w:ascii="宋体" w:hAnsi="宋体"/>
                      <w:color w:val="auto"/>
                      <w:sz w:val="18"/>
                      <w:szCs w:val="18"/>
                      <w:lang w:eastAsia="zh-CN"/>
                    </w:rPr>
                    <w:t>）</w:t>
                  </w:r>
                  <w:r>
                    <w:rPr>
                      <w:rFonts w:hint="eastAsia" w:ascii="宋体" w:hAnsi="宋体"/>
                      <w:color w:val="auto"/>
                      <w:sz w:val="18"/>
                      <w:szCs w:val="18"/>
                    </w:rPr>
                    <w:t>，暂存池应采取地面硬化并设置三面围挡，确保防雨淋、防流失、防渗；在暂存池的敞口面设置截排水沟，避免场地散水进入暂存池，冲刷干化泥饼。定期拉运干化泥饼至附近砖厂或者建材厂做原料再利用</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8.0</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bCs/>
                      <w:color w:val="auto"/>
                      <w:spacing w:val="-6"/>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682"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p>
              </w:tc>
              <w:tc>
                <w:tcPr>
                  <w:tcW w:w="5578" w:type="dxa"/>
                  <w:vAlign w:val="center"/>
                </w:tcPr>
                <w:p>
                  <w:pPr>
                    <w:keepNext w:val="0"/>
                    <w:keepLines w:val="0"/>
                    <w:widowControl w:val="0"/>
                    <w:suppressLineNumbers w:val="0"/>
                    <w:spacing w:before="0" w:beforeAutospacing="0" w:after="0" w:afterAutospacing="0" w:line="280" w:lineRule="exact"/>
                    <w:ind w:left="0" w:leftChars="0" w:right="0" w:rightChars="0"/>
                    <w:jc w:val="left"/>
                    <w:rPr>
                      <w:rFonts w:hint="default" w:ascii="Times New Roman" w:hAnsi="Times New Roman" w:cs="Times New Roman"/>
                      <w:bCs/>
                      <w:color w:val="auto"/>
                      <w:sz w:val="18"/>
                      <w:szCs w:val="18"/>
                    </w:rPr>
                  </w:pPr>
                  <w:r>
                    <w:rPr>
                      <w:rFonts w:hint="default" w:ascii="Times New Roman" w:hAnsi="Times New Roman" w:eastAsia="宋体" w:cs="Times New Roman"/>
                      <w:color w:val="auto"/>
                      <w:kern w:val="2"/>
                      <w:sz w:val="18"/>
                      <w:szCs w:val="18"/>
                      <w:lang w:val="en-US" w:eastAsia="zh-CN" w:bidi="ar"/>
                    </w:rPr>
                    <w:t>废包装材料：统一收集后外售至废品回收站</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48" w:type="dxa"/>
                  <w:vMerge w:val="restart"/>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bCs/>
                      <w:color w:val="auto"/>
                      <w:spacing w:val="-6"/>
                      <w:sz w:val="18"/>
                      <w:szCs w:val="18"/>
                    </w:rPr>
                  </w:pPr>
                  <w:r>
                    <w:rPr>
                      <w:rFonts w:hint="default" w:ascii="Times New Roman" w:hAnsi="Times New Roman" w:cs="Times New Roman"/>
                      <w:bCs/>
                      <w:color w:val="auto"/>
                      <w:spacing w:val="-6"/>
                      <w:sz w:val="18"/>
                      <w:szCs w:val="18"/>
                    </w:rPr>
                    <w:t>计入运行费用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682"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p>
              </w:tc>
              <w:tc>
                <w:tcPr>
                  <w:tcW w:w="5578" w:type="dxa"/>
                  <w:vAlign w:val="center"/>
                </w:tcPr>
                <w:p>
                  <w:pPr>
                    <w:keepNext w:val="0"/>
                    <w:keepLines w:val="0"/>
                    <w:widowControl w:val="0"/>
                    <w:suppressLineNumbers w:val="0"/>
                    <w:spacing w:before="0" w:beforeAutospacing="0" w:after="0" w:afterAutospacing="0" w:line="280" w:lineRule="exact"/>
                    <w:ind w:left="0" w:leftChars="0" w:right="0" w:rightChars="0"/>
                    <w:jc w:val="left"/>
                    <w:rPr>
                      <w:rFonts w:hint="default" w:ascii="Times New Roman" w:hAnsi="Times New Roman" w:eastAsia="宋体" w:cs="Times New Roman"/>
                      <w:color w:val="auto"/>
                      <w:kern w:val="2"/>
                      <w:sz w:val="18"/>
                      <w:szCs w:val="18"/>
                      <w:lang w:val="en-US" w:eastAsia="zh-CN" w:bidi="ar"/>
                    </w:rPr>
                  </w:pPr>
                  <w:r>
                    <w:rPr>
                      <w:rFonts w:hint="eastAsia" w:ascii="宋体" w:hAnsi="宋体"/>
                      <w:color w:val="auto"/>
                      <w:sz w:val="18"/>
                      <w:szCs w:val="18"/>
                      <w:lang w:val="en-US" w:eastAsia="zh-CN"/>
                    </w:rPr>
                    <w:t>振动给料分离的泥：收集后由原料运输车辆统一运回出售矿石的矿山企业用于采空区回填</w:t>
                  </w:r>
                </w:p>
              </w:tc>
              <w:tc>
                <w:tcPr>
                  <w:tcW w:w="850" w:type="dxa"/>
                  <w:vAlign w:val="center"/>
                </w:tcPr>
                <w:p>
                  <w:pPr>
                    <w:keepNext w:val="0"/>
                    <w:keepLines w:val="0"/>
                    <w:suppressLineNumbers w:val="0"/>
                    <w:spacing w:before="0" w:beforeAutospacing="0" w:after="0" w:afterAutospacing="0" w:line="260" w:lineRule="exact"/>
                    <w:ind w:left="0" w:right="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848" w:type="dxa"/>
                  <w:vMerge w:val="continue"/>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bCs/>
                      <w:color w:val="auto"/>
                      <w:spacing w:val="-6"/>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682"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p>
              </w:tc>
              <w:tc>
                <w:tcPr>
                  <w:tcW w:w="5578" w:type="dxa"/>
                  <w:vAlign w:val="center"/>
                </w:tcPr>
                <w:p>
                  <w:pPr>
                    <w:keepNext w:val="0"/>
                    <w:keepLines w:val="0"/>
                    <w:widowControl w:val="0"/>
                    <w:suppressLineNumbers w:val="0"/>
                    <w:spacing w:before="0" w:beforeAutospacing="0" w:after="0" w:afterAutospacing="0" w:line="280" w:lineRule="exact"/>
                    <w:ind w:left="0" w:leftChars="0" w:right="0" w:rightChars="0"/>
                    <w:jc w:val="left"/>
                    <w:rPr>
                      <w:rFonts w:hint="default" w:ascii="Times New Roman" w:hAnsi="Times New Roman" w:cs="Times New Roman"/>
                      <w:bCs/>
                      <w:color w:val="auto"/>
                      <w:sz w:val="18"/>
                      <w:szCs w:val="18"/>
                    </w:rPr>
                  </w:pPr>
                  <w:r>
                    <w:rPr>
                      <w:rFonts w:hint="default" w:ascii="Times New Roman" w:hAnsi="Times New Roman" w:eastAsia="宋体" w:cs="Times New Roman"/>
                      <w:color w:val="auto"/>
                      <w:kern w:val="2"/>
                      <w:sz w:val="18"/>
                      <w:szCs w:val="18"/>
                      <w:lang w:val="en-US" w:eastAsia="zh-CN" w:bidi="ar"/>
                    </w:rPr>
                    <w:t>危险废物：按照《危险废物贮存污染物控制标准》（GB 18597-2023）的最新要求，设置规范的危废间，建筑面积5m</w:t>
                  </w:r>
                  <w:r>
                    <w:rPr>
                      <w:rFonts w:hint="default" w:ascii="Times New Roman" w:hAnsi="Times New Roman" w:eastAsia="宋体" w:cs="Times New Roman"/>
                      <w:color w:val="auto"/>
                      <w:kern w:val="2"/>
                      <w:sz w:val="18"/>
                      <w:szCs w:val="18"/>
                      <w:vertAlign w:val="superscript"/>
                      <w:lang w:val="en-US" w:eastAsia="zh-CN" w:bidi="ar"/>
                    </w:rPr>
                    <w:t>2</w:t>
                  </w:r>
                  <w:r>
                    <w:rPr>
                      <w:rFonts w:hint="default" w:ascii="Times New Roman" w:hAnsi="Times New Roman" w:eastAsia="宋体" w:cs="Times New Roman"/>
                      <w:color w:val="auto"/>
                      <w:kern w:val="2"/>
                      <w:sz w:val="18"/>
                      <w:szCs w:val="18"/>
                      <w:lang w:val="en-US" w:eastAsia="zh-CN" w:bidi="ar"/>
                    </w:rPr>
                    <w:t>，落实防风、防雨、防晒、防渗、防漏、防腐等环境污染防治措施，并按《危险废物识别标志设置技术规范》 (HJ 1276-2022)的要求张贴标识标牌等，建立危废台账，委托有资质的单位回收处理</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bCs/>
                      <w:color w:val="auto"/>
                      <w:spacing w:val="-6"/>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682" w:type="dxa"/>
                  <w:vMerge w:val="continue"/>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p>
              </w:tc>
              <w:tc>
                <w:tcPr>
                  <w:tcW w:w="5578" w:type="dxa"/>
                  <w:vAlign w:val="center"/>
                </w:tcPr>
                <w:p>
                  <w:pPr>
                    <w:keepNext w:val="0"/>
                    <w:keepLines w:val="0"/>
                    <w:widowControl w:val="0"/>
                    <w:suppressLineNumbers w:val="0"/>
                    <w:spacing w:before="0" w:beforeAutospacing="0" w:after="0" w:afterAutospacing="0" w:line="280" w:lineRule="exact"/>
                    <w:ind w:left="0" w:leftChars="0" w:right="0" w:rightChars="0"/>
                    <w:jc w:val="left"/>
                    <w:rPr>
                      <w:rFonts w:hint="default" w:ascii="Times New Roman" w:hAnsi="Times New Roman" w:cs="Times New Roman"/>
                      <w:bCs/>
                      <w:color w:val="auto"/>
                      <w:sz w:val="18"/>
                      <w:szCs w:val="18"/>
                    </w:rPr>
                  </w:pPr>
                  <w:r>
                    <w:rPr>
                      <w:rFonts w:hint="default" w:ascii="Times New Roman" w:hAnsi="Times New Roman" w:eastAsia="宋体" w:cs="Times New Roman"/>
                      <w:color w:val="auto"/>
                      <w:kern w:val="2"/>
                      <w:sz w:val="18"/>
                      <w:szCs w:val="18"/>
                      <w:lang w:val="en-US" w:eastAsia="zh-CN" w:bidi="ar"/>
                    </w:rPr>
                    <w:t>生活垃圾：袋装收集后运至附近场镇生活垃圾集中收集点，由环卫负责清运</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bCs/>
                      <w:color w:val="auto"/>
                      <w:spacing w:val="-6"/>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682"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环境风险</w:t>
                  </w:r>
                </w:p>
              </w:tc>
              <w:tc>
                <w:tcPr>
                  <w:tcW w:w="5578" w:type="dxa"/>
                  <w:vAlign w:val="center"/>
                </w:tcPr>
                <w:p>
                  <w:pPr>
                    <w:keepNext w:val="0"/>
                    <w:keepLines w:val="0"/>
                    <w:suppressLineNumbers w:val="0"/>
                    <w:spacing w:before="0" w:beforeAutospacing="0" w:after="0" w:afterAutospacing="0" w:line="260" w:lineRule="exact"/>
                    <w:ind w:left="0" w:right="0"/>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落实危废间的管控措施，厂区采取分区防渗措施</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bCs/>
                      <w:color w:val="auto"/>
                      <w:spacing w:val="-6"/>
                      <w:sz w:val="18"/>
                      <w:szCs w:val="18"/>
                    </w:rPr>
                  </w:pPr>
                  <w:r>
                    <w:rPr>
                      <w:rFonts w:hint="default" w:ascii="Times New Roman" w:hAnsi="Times New Roman" w:cs="Times New Roman"/>
                      <w:bCs/>
                      <w:color w:val="auto"/>
                      <w:spacing w:val="-6"/>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682"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环境管理</w:t>
                  </w:r>
                </w:p>
              </w:tc>
              <w:tc>
                <w:tcPr>
                  <w:tcW w:w="5578" w:type="dxa"/>
                  <w:vAlign w:val="center"/>
                </w:tcPr>
                <w:p>
                  <w:pPr>
                    <w:keepNext w:val="0"/>
                    <w:keepLines w:val="0"/>
                    <w:suppressLineNumbers w:val="0"/>
                    <w:spacing w:before="0" w:beforeAutospacing="0" w:after="0" w:afterAutospacing="0" w:line="260" w:lineRule="exact"/>
                    <w:ind w:left="0" w:right="0"/>
                    <w:jc w:val="left"/>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设置环保专员，负责落实各项环境治理措施，并配合环境监管部门的监督检查；制作环境、生态保护宣传牌；按要求进行环境监测，记录和保存监测数据，依法开展信息公开</w:t>
                  </w:r>
                </w:p>
              </w:tc>
              <w:tc>
                <w:tcPr>
                  <w:tcW w:w="850" w:type="dxa"/>
                  <w:vAlign w:val="center"/>
                </w:tcPr>
                <w:p>
                  <w:pPr>
                    <w:keepNext w:val="0"/>
                    <w:keepLines w:val="0"/>
                    <w:suppressLineNumbers w:val="0"/>
                    <w:spacing w:before="0" w:beforeAutospacing="0" w:after="0" w:afterAutospacing="0" w:line="26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bCs/>
                      <w:color w:val="auto"/>
                      <w:spacing w:val="-6"/>
                      <w:sz w:val="18"/>
                      <w:szCs w:val="18"/>
                    </w:rPr>
                  </w:pPr>
                  <w:r>
                    <w:rPr>
                      <w:rFonts w:hint="default" w:ascii="Times New Roman" w:hAnsi="Times New Roman" w:cs="Times New Roman"/>
                      <w:bCs/>
                      <w:color w:val="auto"/>
                      <w:spacing w:val="-6"/>
                      <w:sz w:val="18"/>
                      <w:szCs w:val="18"/>
                    </w:rPr>
                    <w:t>计入运行费用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6260" w:type="dxa"/>
                  <w:gridSpan w:val="2"/>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default" w:ascii="Times New Roman" w:hAnsi="Times New Roman" w:cs="Times New Roman"/>
                      <w:color w:val="auto"/>
                      <w:spacing w:val="-6"/>
                      <w:sz w:val="18"/>
                      <w:szCs w:val="18"/>
                    </w:rPr>
                    <w:t>合  计</w:t>
                  </w:r>
                </w:p>
              </w:tc>
              <w:tc>
                <w:tcPr>
                  <w:tcW w:w="850"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lang w:val="en-US"/>
                    </w:rPr>
                  </w:pPr>
                  <w:r>
                    <w:rPr>
                      <w:rFonts w:hint="eastAsia" w:ascii="Times New Roman" w:hAnsi="Times New Roman" w:cs="Times New Roman"/>
                      <w:color w:val="auto"/>
                      <w:spacing w:val="-6"/>
                      <w:sz w:val="18"/>
                      <w:szCs w:val="18"/>
                      <w:lang w:val="en-US" w:eastAsia="zh-CN"/>
                    </w:rPr>
                    <w:t>56.00</w:t>
                  </w:r>
                </w:p>
              </w:tc>
              <w:tc>
                <w:tcPr>
                  <w:tcW w:w="848" w:type="dxa"/>
                  <w:vAlign w:val="center"/>
                </w:tcPr>
                <w:p>
                  <w:pPr>
                    <w:keepNext w:val="0"/>
                    <w:keepLines w:val="0"/>
                    <w:suppressLineNumbers w:val="0"/>
                    <w:snapToGrid w:val="0"/>
                    <w:spacing w:before="0" w:beforeAutospacing="0" w:after="0" w:afterAutospacing="0" w:line="260" w:lineRule="exact"/>
                    <w:ind w:left="0" w:right="0"/>
                    <w:jc w:val="center"/>
                    <w:rPr>
                      <w:rFonts w:hint="default" w:ascii="Times New Roman" w:hAnsi="Times New Roman" w:cs="Times New Roman"/>
                      <w:color w:val="auto"/>
                      <w:spacing w:val="-6"/>
                      <w:sz w:val="18"/>
                      <w:szCs w:val="18"/>
                    </w:rPr>
                  </w:pPr>
                  <w:r>
                    <w:rPr>
                      <w:rFonts w:hint="eastAsia" w:ascii="Times New Roman" w:hAnsi="Times New Roman" w:cs="Times New Roman"/>
                      <w:color w:val="auto"/>
                      <w:spacing w:val="-6"/>
                      <w:sz w:val="18"/>
                      <w:szCs w:val="18"/>
                      <w:lang w:val="en-US" w:eastAsia="zh-CN"/>
                    </w:rPr>
                    <w:t>37.33</w:t>
                  </w:r>
                  <w:r>
                    <w:rPr>
                      <w:rFonts w:hint="default" w:ascii="Times New Roman" w:hAnsi="Times New Roman" w:cs="Times New Roman"/>
                      <w:color w:val="auto"/>
                      <w:spacing w:val="-6"/>
                      <w:sz w:val="18"/>
                      <w:szCs w:val="18"/>
                    </w:rPr>
                    <w:t>%</w:t>
                  </w:r>
                </w:p>
              </w:tc>
            </w:tr>
          </w:tbl>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100" w:lineRule="exact"/>
              <w:ind w:left="0" w:right="0"/>
              <w:rPr>
                <w:rFonts w:hint="default"/>
                <w:color w:val="auto"/>
              </w:rPr>
            </w:pPr>
          </w:p>
          <w:p>
            <w:pPr>
              <w:keepNext w:val="0"/>
              <w:keepLines w:val="0"/>
              <w:suppressLineNumbers w:val="0"/>
              <w:spacing w:before="0" w:beforeAutospacing="0" w:after="0" w:afterAutospacing="0" w:line="20" w:lineRule="exact"/>
              <w:ind w:left="0" w:right="0"/>
              <w:rPr>
                <w:rFonts w:hint="default"/>
                <w:color w:val="auto"/>
              </w:rPr>
            </w:pPr>
          </w:p>
        </w:tc>
      </w:tr>
    </w:tbl>
    <w:p>
      <w:pPr>
        <w:widowControl/>
        <w:spacing w:line="360" w:lineRule="auto"/>
        <w:jc w:val="left"/>
        <w:rPr>
          <w:rFonts w:ascii="宋体" w:cs="宋体"/>
          <w:b/>
          <w:color w:val="auto"/>
          <w:kern w:val="0"/>
          <w:sz w:val="28"/>
          <w:szCs w:val="28"/>
        </w:rPr>
        <w:sectPr>
          <w:pgSz w:w="11907" w:h="16840"/>
          <w:pgMar w:top="1701" w:right="1531" w:bottom="1701" w:left="1531" w:header="851" w:footer="1077" w:gutter="0"/>
          <w:pgNumType w:fmt="numberInDash"/>
          <w:cols w:space="720" w:num="1"/>
          <w:docGrid w:linePitch="286" w:charSpace="0"/>
        </w:sectPr>
      </w:pPr>
    </w:p>
    <w:p>
      <w:pPr>
        <w:ind w:firstLine="420" w:firstLineChars="0"/>
        <w:jc w:val="center"/>
        <w:outlineLvl w:val="0"/>
        <w:rPr>
          <w:rFonts w:ascii="黑体" w:hAnsi="黑体" w:eastAsia="黑体" w:cs="Times New Roman"/>
          <w:snapToGrid w:val="0"/>
          <w:color w:val="auto"/>
          <w:kern w:val="0"/>
          <w:sz w:val="30"/>
          <w:szCs w:val="30"/>
        </w:rPr>
      </w:pPr>
      <w:r>
        <w:rPr>
          <w:rFonts w:hint="eastAsia" w:ascii="黑体" w:hAnsi="黑体" w:eastAsia="黑体"/>
          <w:snapToGrid w:val="0"/>
          <w:color w:val="auto"/>
          <w:sz w:val="30"/>
          <w:szCs w:val="30"/>
        </w:rPr>
        <w:t>五、</w:t>
      </w:r>
      <w:bookmarkStart w:id="4" w:name="_Hlk54167917"/>
      <w:r>
        <w:rPr>
          <w:rFonts w:hint="eastAsia" w:ascii="黑体" w:hAnsi="黑体" w:eastAsia="黑体"/>
          <w:snapToGrid w:val="0"/>
          <w:color w:val="auto"/>
          <w:sz w:val="30"/>
          <w:szCs w:val="30"/>
        </w:rPr>
        <w:t>环境保护措施监督检查清单</w:t>
      </w:r>
      <w:bookmarkEnd w:id="4"/>
    </w:p>
    <w:tbl>
      <w:tblPr>
        <w:tblStyle w:val="14"/>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602"/>
        <w:gridCol w:w="1163"/>
        <w:gridCol w:w="2381"/>
        <w:gridCol w:w="18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778" w:type="dxa"/>
            <w:tcBorders>
              <w:top w:val="single" w:color="auto" w:sz="8" w:space="0"/>
              <w:left w:val="single" w:color="auto" w:sz="8" w:space="0"/>
              <w:bottom w:val="single" w:color="auto" w:sz="4" w:space="0"/>
              <w:right w:val="single" w:color="auto" w:sz="4" w:space="0"/>
              <w:tl2br w:val="single" w:color="auto" w:sz="4" w:space="0"/>
            </w:tcBorders>
          </w:tcPr>
          <w:p>
            <w:pPr>
              <w:keepNext w:val="0"/>
              <w:keepLines w:val="0"/>
              <w:suppressLineNumbers w:val="0"/>
              <w:adjustRightInd w:val="0"/>
              <w:snapToGrid w:val="0"/>
              <w:spacing w:before="0" w:beforeAutospacing="0" w:after="0" w:afterAutospacing="0" w:line="400" w:lineRule="exact"/>
              <w:ind w:left="0" w:right="0" w:firstLine="840"/>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内容</w:t>
            </w:r>
          </w:p>
          <w:p>
            <w:pPr>
              <w:keepNext w:val="0"/>
              <w:keepLines w:val="0"/>
              <w:suppressLineNumbers w:val="0"/>
              <w:adjustRightInd w:val="0"/>
              <w:snapToGrid w:val="0"/>
              <w:spacing w:before="0" w:beforeAutospacing="0" w:after="0" w:afterAutospacing="0" w:line="400" w:lineRule="exact"/>
              <w:ind w:left="0" w:right="0"/>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要素</w:t>
            </w:r>
          </w:p>
        </w:tc>
        <w:tc>
          <w:tcPr>
            <w:tcW w:w="1602" w:type="dxa"/>
            <w:tcBorders>
              <w:top w:val="single" w:color="auto" w:sz="8"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400" w:lineRule="exact"/>
              <w:ind w:left="0" w:right="0"/>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排放口(编号、</w:t>
            </w:r>
          </w:p>
          <w:p>
            <w:pPr>
              <w:keepNext w:val="0"/>
              <w:keepLines w:val="0"/>
              <w:suppressLineNumbers w:val="0"/>
              <w:adjustRightInd w:val="0"/>
              <w:snapToGrid w:val="0"/>
              <w:spacing w:before="0" w:beforeAutospacing="0" w:after="0" w:afterAutospacing="0" w:line="400" w:lineRule="exact"/>
              <w:ind w:left="0" w:right="0"/>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名称)/污染源</w:t>
            </w:r>
          </w:p>
        </w:tc>
        <w:tc>
          <w:tcPr>
            <w:tcW w:w="1163" w:type="dxa"/>
            <w:tcBorders>
              <w:top w:val="single" w:color="auto" w:sz="8"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400" w:lineRule="exact"/>
              <w:ind w:left="0" w:right="0"/>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污染物项目</w:t>
            </w:r>
          </w:p>
        </w:tc>
        <w:tc>
          <w:tcPr>
            <w:tcW w:w="2381" w:type="dxa"/>
            <w:tcBorders>
              <w:top w:val="single" w:color="auto" w:sz="8"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53" w:leftChars="-25" w:right="-53" w:rightChars="-25"/>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环境保护措施</w:t>
            </w:r>
          </w:p>
        </w:tc>
        <w:tc>
          <w:tcPr>
            <w:tcW w:w="1876" w:type="dxa"/>
            <w:tcBorders>
              <w:top w:val="single" w:color="auto" w:sz="8"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280" w:lineRule="exact"/>
              <w:ind w:left="-25" w:right="-25"/>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1778" w:type="dxa"/>
            <w:vMerge w:val="restart"/>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大气环境</w:t>
            </w:r>
          </w:p>
        </w:tc>
        <w:tc>
          <w:tcPr>
            <w:tcW w:w="1602" w:type="dxa"/>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30" w:lineRule="exact"/>
              <w:ind w:left="0" w:right="0"/>
              <w:jc w:val="center"/>
              <w:rPr>
                <w:rFonts w:hint="default" w:cs="宋体" w:asciiTheme="minorEastAsia" w:hAnsiTheme="minorEastAsia" w:eastAsiaTheme="minorEastAsia"/>
                <w:color w:val="auto"/>
                <w:sz w:val="21"/>
                <w:szCs w:val="21"/>
              </w:rPr>
            </w:pPr>
            <w:r>
              <w:rPr>
                <w:rFonts w:hint="default" w:cs="宋体" w:asciiTheme="minorEastAsia" w:hAnsiTheme="minorEastAsia" w:eastAsiaTheme="minorEastAsia"/>
                <w:color w:val="auto"/>
                <w:sz w:val="21"/>
                <w:szCs w:val="21"/>
              </w:rPr>
              <w:t>施工现场</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30" w:lineRule="exact"/>
              <w:ind w:left="0" w:right="0"/>
              <w:jc w:val="center"/>
              <w:rPr>
                <w:rFonts w:hint="default" w:cs="宋体" w:asciiTheme="minorEastAsia" w:hAnsiTheme="minorEastAsia" w:eastAsiaTheme="minorEastAsia"/>
                <w:color w:val="auto"/>
                <w:sz w:val="21"/>
                <w:szCs w:val="21"/>
              </w:rPr>
            </w:pPr>
            <w:r>
              <w:rPr>
                <w:rFonts w:hint="default" w:cs="宋体" w:asciiTheme="minorEastAsia" w:hAnsiTheme="minorEastAsia" w:eastAsiaTheme="minorEastAsia"/>
                <w:color w:val="auto"/>
                <w:sz w:val="21"/>
                <w:szCs w:val="21"/>
              </w:rPr>
              <w:t>施工扬尘</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30" w:lineRule="exact"/>
              <w:ind w:left="-53" w:leftChars="-25" w:right="-53" w:rightChars="-25"/>
              <w:jc w:val="left"/>
              <w:rPr>
                <w:rFonts w:hint="default" w:cs="宋体" w:asciiTheme="minorEastAsia" w:hAnsiTheme="minorEastAsia" w:eastAsiaTheme="minorEastAsia"/>
                <w:color w:val="auto"/>
                <w:sz w:val="21"/>
                <w:szCs w:val="21"/>
              </w:rPr>
            </w:pPr>
            <w:r>
              <w:rPr>
                <w:rFonts w:hint="default" w:cs="宋体" w:asciiTheme="minorEastAsia" w:hAnsiTheme="minorEastAsia" w:eastAsiaTheme="minorEastAsia"/>
                <w:color w:val="auto"/>
                <w:sz w:val="21"/>
                <w:szCs w:val="21"/>
              </w:rPr>
              <w:t>①运输车辆冲洗、密闭运输；②物料覆盖堆放；</w:t>
            </w:r>
          </w:p>
        </w:tc>
        <w:tc>
          <w:tcPr>
            <w:tcW w:w="1876" w:type="dxa"/>
            <w:tcBorders>
              <w:top w:val="single" w:color="auto" w:sz="4" w:space="0"/>
              <w:left w:val="single" w:color="auto" w:sz="4" w:space="0"/>
              <w:bottom w:val="single" w:color="auto" w:sz="6" w:space="0"/>
              <w:right w:val="single" w:color="auto" w:sz="8" w:space="0"/>
            </w:tcBorders>
            <w:vAlign w:val="center"/>
          </w:tcPr>
          <w:p>
            <w:pPr>
              <w:keepNext w:val="0"/>
              <w:keepLines w:val="0"/>
              <w:suppressLineNumbers w:val="0"/>
              <w:adjustRightInd w:val="0"/>
              <w:snapToGrid w:val="0"/>
              <w:spacing w:before="0" w:beforeAutospacing="0" w:after="0" w:afterAutospacing="0" w:line="330" w:lineRule="exact"/>
              <w:ind w:left="-25" w:right="-25"/>
              <w:jc w:val="center"/>
              <w:rPr>
                <w:rFonts w:hint="default"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《四川省施工场地扬尘排放标准》（DB512682-2020）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778" w:type="dxa"/>
            <w:vMerge w:val="continue"/>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eastAsia" w:ascii="宋体" w:hAnsi="宋体" w:eastAsia="宋体" w:cs="宋体"/>
                <w:color w:val="auto"/>
                <w:kern w:val="0"/>
                <w:sz w:val="21"/>
                <w:szCs w:val="21"/>
                <w:lang w:val="en-US" w:eastAsia="zh-CN" w:bidi="ar"/>
              </w:rPr>
              <w:t>原料卸料</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eastAsia" w:ascii="宋体" w:hAnsi="宋体" w:eastAsia="宋体" w:cs="宋体"/>
                <w:color w:val="auto"/>
                <w:kern w:val="0"/>
                <w:sz w:val="21"/>
                <w:szCs w:val="21"/>
                <w:lang w:val="en-US" w:eastAsia="zh-CN" w:bidi="ar"/>
              </w:rPr>
              <w:t>粉尘</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80" w:lineRule="exact"/>
              <w:ind w:left="0" w:leftChars="0" w:right="0" w:rightChars="0"/>
              <w:jc w:val="left"/>
              <w:rPr>
                <w:rFonts w:hint="default"/>
                <w:color w:val="auto"/>
                <w:kern w:val="0"/>
                <w:sz w:val="21"/>
                <w:szCs w:val="21"/>
              </w:rPr>
            </w:pPr>
            <w:r>
              <w:rPr>
                <w:rFonts w:hint="default"/>
                <w:color w:val="auto"/>
                <w:kern w:val="0"/>
                <w:sz w:val="21"/>
                <w:szCs w:val="21"/>
              </w:rPr>
              <w:t>块状矿石原料堆放区设置防流失围挡和防风抑尘网覆盖，堆体高度应低于围挡高度。针对卸料作业采用雾炮机进行定点喷雾降尘。原料卸料完毕后采用防风抑尘网进行覆盖，生产时按需揭开防尘网，避免全部物料均处于裸露状态</w:t>
            </w:r>
          </w:p>
        </w:tc>
        <w:tc>
          <w:tcPr>
            <w:tcW w:w="1876" w:type="dxa"/>
            <w:vMerge w:val="restart"/>
            <w:tcBorders>
              <w:top w:val="single" w:color="auto" w:sz="6" w:space="0"/>
              <w:left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《大气污染物综合排放标准》</w:t>
            </w:r>
            <w:r>
              <w:rPr>
                <w:rFonts w:hint="default" w:cs="宋体" w:asciiTheme="minorEastAsia" w:hAnsiTheme="minorEastAsia" w:eastAsiaTheme="minorEastAsia"/>
                <w:color w:val="auto"/>
                <w:sz w:val="21"/>
                <w:szCs w:val="21"/>
              </w:rPr>
              <w:t>(GB16297-1996)</w:t>
            </w:r>
            <w:r>
              <w:rPr>
                <w:rFonts w:hint="default" w:asciiTheme="minorEastAsia" w:hAnsiTheme="minorEastAsia" w:eastAsiaTheme="minorEastAsia"/>
                <w:color w:val="auto"/>
                <w:sz w:val="21"/>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778" w:type="dxa"/>
            <w:vMerge w:val="continue"/>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eastAsia" w:ascii="宋体" w:hAnsi="宋体" w:eastAsia="宋体" w:cs="宋体"/>
                <w:color w:val="auto"/>
                <w:kern w:val="0"/>
                <w:sz w:val="21"/>
                <w:szCs w:val="21"/>
                <w:lang w:val="en-US" w:eastAsia="zh-CN" w:bidi="ar"/>
              </w:rPr>
              <w:t>上料给料</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eastAsia" w:ascii="宋体" w:hAnsi="宋体" w:eastAsia="宋体" w:cs="宋体"/>
                <w:color w:val="auto"/>
                <w:kern w:val="0"/>
                <w:sz w:val="21"/>
                <w:szCs w:val="21"/>
                <w:lang w:val="en-US" w:eastAsia="zh-CN" w:bidi="ar"/>
              </w:rPr>
              <w:t>粉尘</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80" w:lineRule="exact"/>
              <w:ind w:left="0" w:leftChars="0" w:right="0" w:rightChars="0"/>
              <w:jc w:val="left"/>
              <w:rPr>
                <w:rFonts w:hint="default" w:ascii="宋体" w:hAnsi="宋体"/>
                <w:color w:val="auto"/>
                <w:kern w:val="0"/>
                <w:sz w:val="21"/>
                <w:szCs w:val="21"/>
              </w:rPr>
            </w:pPr>
            <w:r>
              <w:rPr>
                <w:rFonts w:hint="eastAsia" w:ascii="宋体" w:hAnsi="宋体" w:eastAsia="宋体" w:cs="宋体"/>
                <w:color w:val="auto"/>
                <w:kern w:val="0"/>
                <w:sz w:val="21"/>
                <w:szCs w:val="21"/>
                <w:lang w:val="en-US" w:eastAsia="zh-CN" w:bidi="ar"/>
              </w:rPr>
              <w:t>设备布置在封闭式生产车间内，利用厂房阻隔粉尘外逸；在料斗落料处和振动给料过程均采取喷雾降尘措施</w:t>
            </w:r>
          </w:p>
        </w:tc>
        <w:tc>
          <w:tcPr>
            <w:tcW w:w="1876" w:type="dxa"/>
            <w:vMerge w:val="continue"/>
            <w:tcBorders>
              <w:top w:val="single" w:color="auto" w:sz="6" w:space="0"/>
              <w:left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cs="宋体" w:asciiTheme="minorEastAsia" w:hAnsiTheme="minorEastAsia" w:eastAsiaTheme="minorEastAsia"/>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778" w:type="dxa"/>
            <w:vMerge w:val="continue"/>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eastAsia" w:ascii="宋体" w:hAnsi="宋体" w:eastAsia="宋体" w:cs="宋体"/>
                <w:color w:val="auto"/>
                <w:kern w:val="0"/>
                <w:sz w:val="21"/>
                <w:szCs w:val="21"/>
                <w:lang w:val="en-US" w:eastAsia="zh-CN" w:bidi="ar"/>
              </w:rPr>
              <w:t>皮带送料及中间料仓落料</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kern w:val="0"/>
                <w:sz w:val="21"/>
                <w:szCs w:val="21"/>
              </w:rPr>
            </w:pPr>
            <w:r>
              <w:rPr>
                <w:rFonts w:hint="eastAsia" w:ascii="宋体" w:hAnsi="宋体" w:eastAsia="宋体" w:cs="宋体"/>
                <w:color w:val="auto"/>
                <w:kern w:val="0"/>
                <w:sz w:val="21"/>
                <w:szCs w:val="21"/>
                <w:lang w:val="en-US" w:eastAsia="zh-CN" w:bidi="ar"/>
              </w:rPr>
              <w:t>粉尘</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80" w:lineRule="exact"/>
              <w:ind w:left="0" w:leftChars="0" w:right="0" w:rightChars="0"/>
              <w:jc w:val="left"/>
              <w:rPr>
                <w:rFonts w:hint="default"/>
                <w:b/>
                <w:color w:val="auto"/>
                <w:kern w:val="0"/>
                <w:sz w:val="21"/>
                <w:szCs w:val="21"/>
              </w:rPr>
            </w:pPr>
            <w:r>
              <w:rPr>
                <w:rFonts w:hint="eastAsia" w:ascii="宋体" w:hAnsi="宋体"/>
                <w:color w:val="auto"/>
                <w:kern w:val="0"/>
                <w:sz w:val="21"/>
                <w:szCs w:val="21"/>
                <w:lang w:val="en-US" w:eastAsia="zh-CN"/>
              </w:rPr>
              <w:t>生产线的输送皮带以及缓冲料仓均位于封闭式车间内，利用厂房阻隔粉尘外逸；在皮带两端缓冲料仓落料处，均采取喷雾降尘措施；加强皮带输送机维护保养，避免异常抖动起尘</w:t>
            </w:r>
          </w:p>
        </w:tc>
        <w:tc>
          <w:tcPr>
            <w:tcW w:w="1876" w:type="dxa"/>
            <w:vMerge w:val="continue"/>
            <w:tcBorders>
              <w:top w:val="single" w:color="auto" w:sz="6" w:space="0"/>
              <w:left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cs="宋体" w:asciiTheme="minorEastAsia" w:hAnsiTheme="minorEastAsia" w:eastAsiaTheme="minorEastAsia"/>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778" w:type="dxa"/>
            <w:vMerge w:val="continue"/>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eastAsia" w:ascii="宋体" w:hAnsi="宋体" w:eastAsia="宋体" w:cs="宋体"/>
                <w:color w:val="auto"/>
                <w:kern w:val="0"/>
                <w:sz w:val="21"/>
                <w:szCs w:val="21"/>
                <w:lang w:val="en-US" w:eastAsia="zh-CN" w:bidi="ar"/>
              </w:rPr>
              <w:t>颚破和反击破</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olor w:val="auto"/>
                <w:kern w:val="0"/>
                <w:sz w:val="21"/>
                <w:szCs w:val="21"/>
              </w:rPr>
            </w:pPr>
            <w:r>
              <w:rPr>
                <w:rFonts w:hint="eastAsia" w:ascii="宋体" w:hAnsi="宋体" w:eastAsia="宋体" w:cs="宋体"/>
                <w:color w:val="auto"/>
                <w:kern w:val="0"/>
                <w:sz w:val="21"/>
                <w:szCs w:val="21"/>
                <w:lang w:val="en-US" w:eastAsia="zh-CN" w:bidi="ar"/>
              </w:rPr>
              <w:t>粉尘</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80" w:lineRule="exact"/>
              <w:ind w:left="0" w:leftChars="0" w:right="0" w:rightChars="0"/>
              <w:jc w:val="left"/>
              <w:rPr>
                <w:rFonts w:hint="default"/>
                <w:b/>
                <w:color w:val="auto"/>
                <w:kern w:val="0"/>
                <w:sz w:val="21"/>
                <w:szCs w:val="21"/>
              </w:rPr>
            </w:pPr>
            <w:r>
              <w:rPr>
                <w:rFonts w:hint="eastAsia" w:ascii="宋体" w:hAnsi="宋体"/>
                <w:color w:val="auto"/>
                <w:kern w:val="0"/>
                <w:sz w:val="21"/>
                <w:szCs w:val="21"/>
              </w:rPr>
              <w:t>采用密闭型</w:t>
            </w:r>
            <w:r>
              <w:rPr>
                <w:rFonts w:hint="eastAsia" w:ascii="宋体" w:hAnsi="宋体"/>
                <w:color w:val="auto"/>
                <w:kern w:val="0"/>
                <w:sz w:val="21"/>
                <w:szCs w:val="21"/>
                <w:lang w:val="en-US" w:eastAsia="zh-CN"/>
              </w:rPr>
              <w:t>破碎</w:t>
            </w:r>
            <w:r>
              <w:rPr>
                <w:rFonts w:hint="eastAsia" w:ascii="宋体" w:hAnsi="宋体"/>
                <w:color w:val="auto"/>
                <w:kern w:val="0"/>
                <w:sz w:val="21"/>
                <w:szCs w:val="21"/>
              </w:rPr>
              <w:t>设备，</w:t>
            </w:r>
            <w:r>
              <w:rPr>
                <w:rFonts w:hint="eastAsia" w:ascii="宋体" w:hAnsi="宋体"/>
                <w:color w:val="auto"/>
                <w:kern w:val="0"/>
                <w:sz w:val="21"/>
                <w:szCs w:val="21"/>
                <w:lang w:val="en-US" w:eastAsia="zh-CN"/>
              </w:rPr>
              <w:t>并</w:t>
            </w:r>
            <w:r>
              <w:rPr>
                <w:rFonts w:hint="eastAsia" w:ascii="宋体" w:hAnsi="宋体"/>
                <w:color w:val="auto"/>
                <w:kern w:val="0"/>
                <w:sz w:val="21"/>
                <w:szCs w:val="21"/>
              </w:rPr>
              <w:t>将设备布置在封闭式车间内</w:t>
            </w:r>
            <w:r>
              <w:rPr>
                <w:rFonts w:hint="eastAsia" w:ascii="宋体" w:hAnsi="宋体"/>
                <w:color w:val="auto"/>
                <w:kern w:val="0"/>
                <w:sz w:val="21"/>
                <w:szCs w:val="21"/>
                <w:lang w:eastAsia="zh-CN"/>
              </w:rPr>
              <w:t>；</w:t>
            </w:r>
            <w:r>
              <w:rPr>
                <w:rFonts w:hint="eastAsia" w:ascii="宋体" w:hAnsi="宋体"/>
                <w:color w:val="auto"/>
                <w:kern w:val="0"/>
                <w:sz w:val="21"/>
                <w:szCs w:val="21"/>
                <w:lang w:val="en-US" w:eastAsia="zh-CN"/>
              </w:rPr>
              <w:t>在设备进料口采取喷雾降尘的方式，降低粉尘产生</w:t>
            </w:r>
          </w:p>
        </w:tc>
        <w:tc>
          <w:tcPr>
            <w:tcW w:w="1876" w:type="dxa"/>
            <w:vMerge w:val="continue"/>
            <w:tcBorders>
              <w:top w:val="single" w:color="auto" w:sz="6" w:space="0"/>
              <w:left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cs="宋体" w:asciiTheme="minorEastAsia" w:hAnsiTheme="minorEastAsia" w:eastAsiaTheme="minorEastAsia"/>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778" w:type="dxa"/>
            <w:vMerge w:val="continue"/>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eastAsia" w:ascii="宋体" w:hAnsi="宋体" w:eastAsia="宋体" w:cs="宋体"/>
                <w:color w:val="auto"/>
                <w:kern w:val="0"/>
                <w:sz w:val="21"/>
                <w:szCs w:val="21"/>
                <w:lang w:val="en-US" w:eastAsia="zh-CN" w:bidi="ar"/>
              </w:rPr>
              <w:t>振动筛分及制砂</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eastAsia" w:ascii="宋体" w:hAnsi="宋体" w:eastAsia="宋体" w:cs="宋体"/>
                <w:color w:val="auto"/>
                <w:kern w:val="0"/>
                <w:sz w:val="21"/>
                <w:szCs w:val="21"/>
                <w:lang w:val="en-US" w:eastAsia="zh-CN" w:bidi="ar"/>
              </w:rPr>
              <w:t>粉尘</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280" w:lineRule="exact"/>
              <w:ind w:left="0" w:leftChars="0" w:right="0" w:rightChars="0"/>
              <w:jc w:val="left"/>
              <w:rPr>
                <w:rFonts w:hint="default"/>
                <w:color w:val="auto"/>
                <w:kern w:val="0"/>
                <w:sz w:val="21"/>
                <w:szCs w:val="21"/>
              </w:rPr>
            </w:pPr>
            <w:r>
              <w:rPr>
                <w:rFonts w:hint="eastAsia" w:ascii="宋体" w:hAnsi="宋体"/>
                <w:color w:val="auto"/>
                <w:kern w:val="0"/>
                <w:sz w:val="21"/>
                <w:szCs w:val="21"/>
                <w:lang w:val="en-US" w:eastAsia="zh-CN"/>
              </w:rPr>
              <w:t>采用密闭型制砂设备，并布置在封闭式车间内；在</w:t>
            </w:r>
            <w:r>
              <w:rPr>
                <w:rFonts w:hint="eastAsia" w:ascii="宋体" w:hAnsi="宋体"/>
                <w:color w:val="auto"/>
                <w:kern w:val="0"/>
                <w:sz w:val="21"/>
                <w:szCs w:val="21"/>
              </w:rPr>
              <w:t>振动筛分环节采取不间断冲水</w:t>
            </w:r>
            <w:r>
              <w:rPr>
                <w:rFonts w:hint="eastAsia" w:ascii="宋体" w:hAnsi="宋体"/>
                <w:color w:val="auto"/>
                <w:kern w:val="0"/>
                <w:sz w:val="21"/>
                <w:szCs w:val="21"/>
                <w:lang w:val="en-US" w:eastAsia="zh-CN"/>
              </w:rPr>
              <w:t>的</w:t>
            </w:r>
            <w:r>
              <w:rPr>
                <w:rFonts w:hint="eastAsia" w:ascii="宋体" w:hAnsi="宋体"/>
                <w:color w:val="auto"/>
                <w:kern w:val="0"/>
                <w:sz w:val="21"/>
                <w:szCs w:val="21"/>
              </w:rPr>
              <w:t>湿法</w:t>
            </w:r>
            <w:r>
              <w:rPr>
                <w:rFonts w:hint="eastAsia" w:ascii="宋体" w:hAnsi="宋体"/>
                <w:color w:val="auto"/>
                <w:kern w:val="0"/>
                <w:sz w:val="21"/>
                <w:szCs w:val="21"/>
                <w:lang w:val="en-US" w:eastAsia="zh-CN"/>
              </w:rPr>
              <w:t>生产</w:t>
            </w:r>
            <w:r>
              <w:rPr>
                <w:rFonts w:hint="eastAsia" w:ascii="宋体" w:hAnsi="宋体"/>
                <w:color w:val="auto"/>
                <w:kern w:val="0"/>
                <w:sz w:val="21"/>
                <w:szCs w:val="21"/>
              </w:rPr>
              <w:t>工艺</w:t>
            </w:r>
            <w:r>
              <w:rPr>
                <w:rFonts w:hint="eastAsia" w:ascii="宋体" w:hAnsi="宋体"/>
                <w:color w:val="auto"/>
                <w:kern w:val="0"/>
                <w:sz w:val="21"/>
                <w:szCs w:val="21"/>
                <w:lang w:eastAsia="zh-CN"/>
              </w:rPr>
              <w:t>，</w:t>
            </w:r>
            <w:r>
              <w:rPr>
                <w:rFonts w:hint="eastAsia" w:ascii="宋体" w:hAnsi="宋体"/>
                <w:color w:val="auto"/>
                <w:kern w:val="0"/>
                <w:sz w:val="21"/>
                <w:szCs w:val="21"/>
                <w:lang w:val="en-US" w:eastAsia="zh-CN"/>
              </w:rPr>
              <w:t>由于振动筛分水洗后物料含水率较高，因此在振动筛及制砂环节均无粉尘产生</w:t>
            </w:r>
          </w:p>
        </w:tc>
        <w:tc>
          <w:tcPr>
            <w:tcW w:w="1876" w:type="dxa"/>
            <w:vMerge w:val="continue"/>
            <w:tcBorders>
              <w:top w:val="single" w:color="auto" w:sz="6" w:space="0"/>
              <w:left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cs="宋体" w:asciiTheme="minorEastAsia" w:hAnsiTheme="minorEastAsia" w:eastAsiaTheme="minorEastAsia"/>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778" w:type="dxa"/>
            <w:vMerge w:val="continue"/>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lang w:val="en-US"/>
              </w:rPr>
            </w:pPr>
            <w:r>
              <w:rPr>
                <w:rFonts w:hint="eastAsia" w:ascii="宋体" w:hAnsi="宋体" w:eastAsia="宋体" w:cs="宋体"/>
                <w:color w:val="auto"/>
                <w:kern w:val="0"/>
                <w:sz w:val="21"/>
                <w:szCs w:val="21"/>
                <w:lang w:val="en-US" w:eastAsia="zh-CN" w:bidi="ar"/>
              </w:rPr>
              <w:t>产品库</w:t>
            </w:r>
            <w:r>
              <w:rPr>
                <w:rFonts w:hint="eastAsia" w:ascii="宋体" w:hAnsi="宋体" w:cs="宋体"/>
                <w:color w:val="auto"/>
                <w:kern w:val="0"/>
                <w:sz w:val="21"/>
                <w:szCs w:val="21"/>
                <w:lang w:val="en-US" w:eastAsia="zh-CN" w:bidi="ar"/>
              </w:rPr>
              <w:t>堆存及装卸</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eastAsia" w:ascii="宋体" w:hAnsi="宋体" w:eastAsia="宋体" w:cs="宋体"/>
                <w:color w:val="auto"/>
                <w:kern w:val="0"/>
                <w:sz w:val="21"/>
                <w:szCs w:val="21"/>
                <w:lang w:val="en-US" w:eastAsia="zh-CN" w:bidi="ar"/>
              </w:rPr>
              <w:t>粉尘</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autoSpaceDE w:val="0"/>
              <w:autoSpaceDN/>
              <w:spacing w:before="0" w:beforeAutospacing="0" w:after="0" w:afterAutospacing="0" w:line="280" w:lineRule="exact"/>
              <w:ind w:left="0" w:leftChars="0" w:right="0" w:rightChars="0"/>
              <w:jc w:val="left"/>
              <w:rPr>
                <w:rFonts w:hint="default" w:ascii="宋体" w:hAnsi="宋体"/>
                <w:b/>
                <w:color w:val="auto"/>
                <w:kern w:val="0"/>
                <w:sz w:val="21"/>
                <w:szCs w:val="21"/>
              </w:rPr>
            </w:pPr>
            <w:r>
              <w:rPr>
                <w:rFonts w:hint="eastAsia" w:ascii="宋体" w:hAnsi="宋体" w:eastAsia="宋体" w:cs="宋体"/>
                <w:color w:val="auto"/>
                <w:kern w:val="0"/>
                <w:sz w:val="21"/>
                <w:szCs w:val="21"/>
                <w:lang w:val="en-US" w:eastAsia="zh-CN" w:bidi="ar"/>
              </w:rPr>
              <w:t>产品库布置在封闭式生产车间内，并设置三面围挡；项目产品为湿法生产工艺的砂石产品，自身含水不易起尘</w:t>
            </w:r>
          </w:p>
        </w:tc>
        <w:tc>
          <w:tcPr>
            <w:tcW w:w="1876" w:type="dxa"/>
            <w:vMerge w:val="continue"/>
            <w:tcBorders>
              <w:top w:val="single" w:color="auto" w:sz="6" w:space="0"/>
              <w:left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cs="宋体" w:asciiTheme="minorEastAsia" w:hAnsiTheme="minorEastAsia" w:eastAsiaTheme="minorEastAsia"/>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jc w:val="center"/>
        </w:trPr>
        <w:tc>
          <w:tcPr>
            <w:tcW w:w="1778" w:type="dxa"/>
            <w:vMerge w:val="continue"/>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eastAsia" w:ascii="宋体" w:hAnsi="宋体" w:cs="宋体"/>
                <w:color w:val="auto"/>
                <w:kern w:val="0"/>
                <w:sz w:val="21"/>
                <w:szCs w:val="21"/>
                <w:lang w:val="en-US" w:eastAsia="zh-CN" w:bidi="ar"/>
              </w:rPr>
              <w:t>物料</w:t>
            </w:r>
            <w:r>
              <w:rPr>
                <w:rFonts w:hint="eastAsia" w:ascii="宋体" w:hAnsi="宋体" w:eastAsia="宋体" w:cs="宋体"/>
                <w:color w:val="auto"/>
                <w:kern w:val="0"/>
                <w:sz w:val="21"/>
                <w:szCs w:val="21"/>
                <w:lang w:val="en-US" w:eastAsia="zh-CN" w:bidi="ar"/>
              </w:rPr>
              <w:t>运输</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eastAsia" w:ascii="宋体" w:hAnsi="宋体" w:eastAsia="宋体" w:cs="宋体"/>
                <w:color w:val="auto"/>
                <w:kern w:val="0"/>
                <w:sz w:val="21"/>
                <w:szCs w:val="21"/>
                <w:lang w:val="en-US" w:eastAsia="zh-CN" w:bidi="ar"/>
              </w:rPr>
              <w:t>扬尘</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autoSpaceDE w:val="0"/>
              <w:autoSpaceDN/>
              <w:spacing w:before="0" w:beforeAutospacing="0" w:after="0" w:afterAutospacing="0" w:line="280" w:lineRule="exact"/>
              <w:ind w:left="0" w:leftChars="0" w:right="0" w:rightChars="0"/>
              <w:jc w:val="left"/>
              <w:rPr>
                <w:rFonts w:hint="default" w:ascii="宋体" w:hAnsi="宋体"/>
                <w:b/>
                <w:color w:val="auto"/>
                <w:spacing w:val="-4"/>
                <w:kern w:val="0"/>
                <w:sz w:val="21"/>
                <w:szCs w:val="21"/>
              </w:rPr>
            </w:pPr>
            <w:r>
              <w:rPr>
                <w:rFonts w:hint="eastAsia" w:ascii="宋体" w:hAnsi="宋体" w:eastAsia="宋体" w:cs="宋体"/>
                <w:color w:val="auto"/>
                <w:kern w:val="0"/>
                <w:sz w:val="21"/>
                <w:szCs w:val="21"/>
                <w:lang w:val="en-US" w:eastAsia="zh-CN" w:bidi="ar"/>
              </w:rPr>
              <w:t>对厂区地面进行水泥硬化处理，厂区车辆运输进出口设置车辆冲洗设施，加强运输车辆防尘冲洗，车辆加盖篷布密闭运输</w:t>
            </w:r>
          </w:p>
        </w:tc>
        <w:tc>
          <w:tcPr>
            <w:tcW w:w="1876" w:type="dxa"/>
            <w:vMerge w:val="continue"/>
            <w:tcBorders>
              <w:top w:val="single" w:color="auto" w:sz="6" w:space="0"/>
              <w:left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cs="宋体" w:asciiTheme="minorEastAsia" w:hAnsiTheme="minorEastAsia" w:eastAsiaTheme="minorEastAsia"/>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1778" w:type="dxa"/>
            <w:vMerge w:val="restart"/>
            <w:tcBorders>
              <w:top w:val="single" w:color="auto" w:sz="4" w:space="0"/>
              <w:left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地表水环境</w:t>
            </w: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default" w:cs="宋体" w:asciiTheme="minorEastAsia" w:hAnsiTheme="minorEastAsia" w:eastAsiaTheme="minorEastAsia"/>
                <w:color w:val="auto"/>
                <w:sz w:val="21"/>
                <w:szCs w:val="21"/>
              </w:rPr>
              <w:t>施工废水</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Theme="minorEastAsia"/>
                <w:color w:val="auto"/>
                <w:sz w:val="21"/>
                <w:szCs w:val="21"/>
              </w:rPr>
            </w:pPr>
            <w:r>
              <w:rPr>
                <w:rFonts w:hint="eastAsia" w:eastAsiaTheme="minorEastAsia"/>
                <w:color w:val="auto"/>
                <w:spacing w:val="-20"/>
                <w:sz w:val="21"/>
                <w:szCs w:val="21"/>
              </w:rPr>
              <w:t>SS</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53" w:leftChars="-25" w:right="-53" w:rightChars="-25"/>
              <w:jc w:val="left"/>
              <w:rPr>
                <w:rFonts w:hint="default" w:asciiTheme="minorEastAsia" w:hAnsiTheme="minorEastAsia" w:eastAsiaTheme="minorEastAsia"/>
                <w:bCs/>
                <w:color w:val="auto"/>
                <w:sz w:val="21"/>
                <w:szCs w:val="21"/>
              </w:rPr>
            </w:pPr>
            <w:r>
              <w:rPr>
                <w:rFonts w:hint="eastAsia" w:asciiTheme="minorEastAsia" w:hAnsiTheme="minorEastAsia" w:eastAsiaTheme="minorEastAsia"/>
                <w:bCs/>
                <w:color w:val="auto"/>
                <w:sz w:val="21"/>
                <w:szCs w:val="21"/>
              </w:rPr>
              <w:t>设临时沉砂池</w:t>
            </w:r>
            <w:r>
              <w:rPr>
                <w:rFonts w:hint="eastAsia" w:asciiTheme="minorEastAsia" w:hAnsiTheme="minorEastAsia" w:eastAsiaTheme="minorEastAsia"/>
                <w:color w:val="auto"/>
                <w:sz w:val="21"/>
                <w:szCs w:val="21"/>
              </w:rPr>
              <w:t>，收集处理后回用</w:t>
            </w:r>
          </w:p>
        </w:tc>
        <w:tc>
          <w:tcPr>
            <w:tcW w:w="1876"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spacing w:before="0" w:beforeAutospacing="0" w:after="0" w:afterAutospacing="0" w:line="300" w:lineRule="exact"/>
              <w:ind w:left="-25" w:right="-25"/>
              <w:jc w:val="center"/>
              <w:rPr>
                <w:rFonts w:hint="default"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1778" w:type="dxa"/>
            <w:vMerge w:val="continue"/>
            <w:tcBorders>
              <w:top w:val="single" w:color="auto" w:sz="4" w:space="0"/>
              <w:left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default" w:cs="宋体" w:asciiTheme="minorEastAsia" w:hAnsiTheme="minorEastAsia" w:eastAsiaTheme="minorEastAsia"/>
                <w:color w:val="auto"/>
                <w:sz w:val="21"/>
                <w:szCs w:val="21"/>
              </w:rPr>
              <w:t>施工人员</w:t>
            </w:r>
          </w:p>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default" w:cs="宋体" w:asciiTheme="minorEastAsia" w:hAnsiTheme="minorEastAsia" w:eastAsiaTheme="minorEastAsia"/>
                <w:color w:val="auto"/>
                <w:sz w:val="21"/>
                <w:szCs w:val="21"/>
              </w:rPr>
              <w:t>生活污水</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Theme="minorEastAsia"/>
                <w:color w:val="auto"/>
                <w:sz w:val="21"/>
                <w:szCs w:val="21"/>
              </w:rPr>
            </w:pPr>
            <w:r>
              <w:rPr>
                <w:rFonts w:hint="default" w:eastAsiaTheme="minorEastAsia"/>
                <w:color w:val="auto"/>
                <w:sz w:val="21"/>
                <w:szCs w:val="21"/>
              </w:rPr>
              <w:t>COD</w:t>
            </w:r>
            <w:r>
              <w:rPr>
                <w:rFonts w:hint="eastAsia" w:eastAsiaTheme="minorEastAsia"/>
                <w:color w:val="auto"/>
                <w:sz w:val="21"/>
                <w:szCs w:val="21"/>
                <w:vertAlign w:val="subscript"/>
              </w:rPr>
              <w:t>cr</w:t>
            </w:r>
            <w:r>
              <w:rPr>
                <w:rFonts w:hint="default" w:eastAsiaTheme="minorEastAsia"/>
                <w:color w:val="auto"/>
                <w:sz w:val="21"/>
                <w:szCs w:val="21"/>
              </w:rPr>
              <w:t>、</w:t>
            </w:r>
            <w:r>
              <w:rPr>
                <w:rFonts w:hint="eastAsia" w:eastAsiaTheme="minorEastAsia"/>
                <w:color w:val="auto"/>
                <w:sz w:val="21"/>
                <w:szCs w:val="21"/>
              </w:rPr>
              <w:t>B</w:t>
            </w:r>
            <w:r>
              <w:rPr>
                <w:rFonts w:hint="default" w:eastAsiaTheme="minorEastAsia"/>
                <w:color w:val="auto"/>
                <w:sz w:val="21"/>
                <w:szCs w:val="21"/>
              </w:rPr>
              <w:t>OD</w:t>
            </w:r>
            <w:r>
              <w:rPr>
                <w:rFonts w:hint="eastAsia" w:eastAsiaTheme="minorEastAsia"/>
                <w:color w:val="auto"/>
                <w:sz w:val="21"/>
                <w:szCs w:val="21"/>
                <w:vertAlign w:val="subscript"/>
              </w:rPr>
              <w:t>5</w:t>
            </w:r>
            <w:r>
              <w:rPr>
                <w:rFonts w:hint="eastAsia" w:eastAsiaTheme="minorEastAsia"/>
                <w:color w:val="auto"/>
                <w:sz w:val="21"/>
                <w:szCs w:val="21"/>
              </w:rPr>
              <w:t>等</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53" w:leftChars="-25" w:right="-53" w:rightChars="-25"/>
              <w:jc w:val="left"/>
              <w:rPr>
                <w:rFonts w:hint="default" w:eastAsiaTheme="minorEastAsia"/>
                <w:color w:val="auto"/>
                <w:sz w:val="21"/>
                <w:szCs w:val="21"/>
                <w:lang w:val="en-US" w:eastAsia="zh-CN"/>
              </w:rPr>
            </w:pPr>
            <w:r>
              <w:rPr>
                <w:rFonts w:hint="default" w:eastAsiaTheme="minorEastAsia"/>
                <w:color w:val="auto"/>
                <w:sz w:val="21"/>
                <w:szCs w:val="21"/>
              </w:rPr>
              <w:t>设化粪池收集处理后，</w:t>
            </w:r>
            <w:r>
              <w:rPr>
                <w:rFonts w:hint="eastAsia" w:eastAsiaTheme="minorEastAsia"/>
                <w:color w:val="auto"/>
                <w:sz w:val="21"/>
                <w:szCs w:val="21"/>
                <w:lang w:val="en-US" w:eastAsia="zh-CN"/>
              </w:rPr>
              <w:t>定期清掏做农肥使用</w:t>
            </w:r>
          </w:p>
        </w:tc>
        <w:tc>
          <w:tcPr>
            <w:tcW w:w="1876"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cs="宋体" w:asciiTheme="minorEastAsia" w:hAnsiTheme="minorEastAsia" w:eastAsiaTheme="minorEastAsia"/>
                <w:color w:val="auto"/>
                <w:sz w:val="21"/>
                <w:szCs w:val="21"/>
                <w:lang w:val="en-US" w:eastAsia="zh-CN"/>
              </w:rPr>
            </w:pPr>
            <w:r>
              <w:rPr>
                <w:rFonts w:hint="eastAsia" w:cs="宋体" w:asciiTheme="minorEastAsia" w:hAnsiTheme="minorEastAsia" w:eastAsiaTheme="minorEastAsia"/>
                <w:color w:val="auto"/>
                <w:sz w:val="21"/>
                <w:szCs w:val="21"/>
                <w:lang w:val="en-US" w:eastAsia="zh-CN"/>
              </w:rPr>
              <w:t>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1778" w:type="dxa"/>
            <w:vMerge w:val="continue"/>
            <w:tcBorders>
              <w:top w:val="single" w:color="auto" w:sz="4" w:space="0"/>
              <w:left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00" w:lineRule="exact"/>
              <w:ind w:left="0" w:right="0"/>
              <w:jc w:val="center"/>
              <w:rPr>
                <w:rFonts w:hint="default" w:cs="宋体" w:asciiTheme="minorEastAsia" w:hAnsiTheme="minorEastAsia" w:eastAsiaTheme="minorEastAsia"/>
                <w:color w:val="auto"/>
                <w:sz w:val="21"/>
                <w:szCs w:val="21"/>
              </w:rPr>
            </w:pPr>
            <w:r>
              <w:rPr>
                <w:rFonts w:hint="default" w:cs="宋体" w:asciiTheme="minorEastAsia" w:hAnsiTheme="minorEastAsia" w:eastAsiaTheme="minorEastAsia"/>
                <w:color w:val="auto"/>
                <w:sz w:val="21"/>
                <w:szCs w:val="21"/>
              </w:rPr>
              <w:t>洗砂废水</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Theme="minorEastAsia"/>
                <w:color w:val="auto"/>
                <w:sz w:val="21"/>
                <w:szCs w:val="21"/>
              </w:rPr>
            </w:pPr>
            <w:r>
              <w:rPr>
                <w:rFonts w:hint="eastAsia" w:eastAsiaTheme="minorEastAsia"/>
                <w:color w:val="auto"/>
                <w:spacing w:val="-20"/>
                <w:sz w:val="21"/>
                <w:szCs w:val="21"/>
              </w:rPr>
              <w:t>SS</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53" w:leftChars="-25" w:right="-53" w:rightChars="-25"/>
              <w:jc w:val="left"/>
              <w:rPr>
                <w:rFonts w:hint="default" w:eastAsiaTheme="minorEastAsia"/>
                <w:color w:val="auto"/>
                <w:sz w:val="21"/>
                <w:szCs w:val="21"/>
              </w:rPr>
            </w:pPr>
            <w:r>
              <w:rPr>
                <w:rFonts w:hint="eastAsia" w:ascii="宋体" w:hAnsi="宋体" w:eastAsia="宋体" w:cs="Times New Roman"/>
                <w:color w:val="auto"/>
                <w:sz w:val="21"/>
                <w:szCs w:val="21"/>
                <w:lang w:val="en-US" w:eastAsia="zh-CN" w:bidi="ar"/>
              </w:rPr>
              <w:t>设废水处理系统1套，包括污水收集池（容积40m</w:t>
            </w:r>
            <w:r>
              <w:rPr>
                <w:rFonts w:hint="eastAsia" w:ascii="宋体" w:hAnsi="宋体" w:eastAsia="宋体" w:cs="Times New Roman"/>
                <w:color w:val="auto"/>
                <w:sz w:val="21"/>
                <w:szCs w:val="21"/>
                <w:vertAlign w:val="superscript"/>
                <w:lang w:val="en-US" w:eastAsia="zh-CN" w:bidi="ar"/>
              </w:rPr>
              <w:t>3</w:t>
            </w:r>
            <w:r>
              <w:rPr>
                <w:rFonts w:hint="eastAsia" w:ascii="宋体" w:hAnsi="宋体" w:eastAsia="宋体" w:cs="Times New Roman"/>
                <w:color w:val="auto"/>
                <w:sz w:val="21"/>
                <w:szCs w:val="21"/>
                <w:lang w:val="en-US" w:eastAsia="zh-CN" w:bidi="ar"/>
              </w:rPr>
              <w:t>）、沉淀罐（容积300m</w:t>
            </w:r>
            <w:r>
              <w:rPr>
                <w:rFonts w:hint="eastAsia" w:ascii="宋体" w:hAnsi="宋体" w:eastAsia="宋体" w:cs="Times New Roman"/>
                <w:color w:val="auto"/>
                <w:sz w:val="21"/>
                <w:szCs w:val="21"/>
                <w:vertAlign w:val="superscript"/>
                <w:lang w:val="en-US" w:eastAsia="zh-CN" w:bidi="ar"/>
              </w:rPr>
              <w:t>3</w:t>
            </w:r>
            <w:r>
              <w:rPr>
                <w:rFonts w:hint="eastAsia" w:ascii="宋体" w:hAnsi="宋体" w:eastAsia="宋体" w:cs="Times New Roman"/>
                <w:color w:val="auto"/>
                <w:sz w:val="21"/>
                <w:szCs w:val="21"/>
                <w:lang w:val="en-US" w:eastAsia="zh-CN" w:bidi="ar"/>
              </w:rPr>
              <w:t>）和清水池（容积350m</w:t>
            </w:r>
            <w:r>
              <w:rPr>
                <w:rFonts w:hint="eastAsia" w:ascii="宋体" w:hAnsi="宋体" w:eastAsia="宋体" w:cs="Times New Roman"/>
                <w:color w:val="auto"/>
                <w:sz w:val="21"/>
                <w:szCs w:val="21"/>
                <w:vertAlign w:val="superscript"/>
                <w:lang w:val="en-US" w:eastAsia="zh-CN" w:bidi="ar"/>
              </w:rPr>
              <w:t>3</w:t>
            </w:r>
            <w:r>
              <w:rPr>
                <w:rFonts w:hint="eastAsia" w:ascii="宋体" w:hAnsi="宋体" w:eastAsia="宋体" w:cs="Times New Roman"/>
                <w:color w:val="auto"/>
                <w:sz w:val="21"/>
                <w:szCs w:val="21"/>
                <w:lang w:val="en-US" w:eastAsia="zh-CN" w:bidi="ar"/>
              </w:rPr>
              <w:t>），容积共690m</w:t>
            </w:r>
            <w:r>
              <w:rPr>
                <w:rFonts w:hint="eastAsia" w:ascii="宋体" w:hAnsi="宋体" w:eastAsia="宋体" w:cs="Times New Roman"/>
                <w:color w:val="auto"/>
                <w:sz w:val="21"/>
                <w:szCs w:val="21"/>
                <w:vertAlign w:val="superscript"/>
                <w:lang w:val="en-US" w:eastAsia="zh-CN" w:bidi="ar"/>
              </w:rPr>
              <w:t>3</w:t>
            </w:r>
            <w:r>
              <w:rPr>
                <w:rFonts w:hint="eastAsia" w:ascii="宋体" w:hAnsi="宋体" w:eastAsia="宋体" w:cs="Times New Roman"/>
                <w:color w:val="auto"/>
                <w:sz w:val="21"/>
                <w:szCs w:val="21"/>
                <w:lang w:val="en-US" w:eastAsia="zh-CN" w:bidi="ar"/>
              </w:rPr>
              <w:t>，配套加药机、加药罐及水泵等，采用“絮凝沉淀+板框压滤”工艺， 处理后全部回用不外排</w:t>
            </w:r>
          </w:p>
        </w:tc>
        <w:tc>
          <w:tcPr>
            <w:tcW w:w="1876"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cs="宋体" w:asciiTheme="minorEastAsia" w:hAnsiTheme="minorEastAsia" w:eastAsiaTheme="minorEastAsia"/>
                <w:color w:val="auto"/>
                <w:sz w:val="21"/>
                <w:szCs w:val="21"/>
              </w:rPr>
            </w:pPr>
            <w:r>
              <w:rPr>
                <w:rFonts w:hint="default" w:cs="宋体" w:asciiTheme="minorEastAsia" w:hAnsiTheme="minorEastAsia" w:eastAsiaTheme="minorEastAsia"/>
                <w:color w:val="auto"/>
                <w:sz w:val="21"/>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1778" w:type="dxa"/>
            <w:vMerge w:val="continue"/>
            <w:tcBorders>
              <w:left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color w:val="auto"/>
                <w:sz w:val="21"/>
                <w:szCs w:val="21"/>
              </w:rPr>
            </w:pPr>
            <w:r>
              <w:rPr>
                <w:rFonts w:hint="eastAsia" w:eastAsiaTheme="minorEastAsia"/>
                <w:bCs/>
                <w:color w:val="auto"/>
                <w:sz w:val="21"/>
                <w:szCs w:val="21"/>
              </w:rPr>
              <w:t>产品渗沥水</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Theme="minorEastAsia"/>
                <w:color w:val="auto"/>
                <w:sz w:val="21"/>
                <w:szCs w:val="21"/>
              </w:rPr>
            </w:pPr>
            <w:r>
              <w:rPr>
                <w:rFonts w:hint="eastAsia" w:eastAsiaTheme="minorEastAsia"/>
                <w:color w:val="auto"/>
                <w:spacing w:val="-20"/>
                <w:sz w:val="21"/>
                <w:szCs w:val="21"/>
              </w:rPr>
              <w:t>SS</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53" w:leftChars="-25" w:right="-53" w:rightChars="-25"/>
              <w:jc w:val="left"/>
              <w:rPr>
                <w:rFonts w:hint="default" w:eastAsiaTheme="minorEastAsia"/>
                <w:bCs/>
                <w:color w:val="auto"/>
                <w:sz w:val="21"/>
                <w:szCs w:val="21"/>
              </w:rPr>
            </w:pPr>
            <w:r>
              <w:rPr>
                <w:rFonts w:hint="eastAsia" w:ascii="宋体" w:hAnsi="宋体" w:eastAsia="宋体" w:cs="Times New Roman"/>
                <w:color w:val="auto"/>
                <w:sz w:val="21"/>
                <w:szCs w:val="21"/>
                <w:lang w:val="en-US" w:eastAsia="zh-CN" w:bidi="ar"/>
              </w:rPr>
              <w:t>设导水沟接入厂区散水池（</w:t>
            </w:r>
            <w:r>
              <w:rPr>
                <w:rFonts w:hint="eastAsia" w:ascii="宋体" w:hAnsi="宋体" w:eastAsia="宋体" w:cs="Times New Roman"/>
                <w:color w:val="auto"/>
                <w:kern w:val="0"/>
                <w:sz w:val="21"/>
                <w:szCs w:val="21"/>
                <w:lang w:val="en-US" w:eastAsia="zh-CN" w:bidi="ar"/>
              </w:rPr>
              <w:t>容积约50m</w:t>
            </w:r>
            <w:r>
              <w:rPr>
                <w:rFonts w:hint="eastAsia" w:ascii="宋体" w:hAnsi="宋体" w:eastAsia="宋体" w:cs="Times New Roman"/>
                <w:color w:val="auto"/>
                <w:kern w:val="0"/>
                <w:sz w:val="21"/>
                <w:szCs w:val="21"/>
                <w:vertAlign w:val="superscript"/>
                <w:lang w:val="en-US" w:eastAsia="zh-CN" w:bidi="ar"/>
              </w:rPr>
              <w:t>3</w:t>
            </w:r>
            <w:r>
              <w:rPr>
                <w:rFonts w:hint="eastAsia" w:ascii="宋体" w:hAnsi="宋体" w:eastAsia="宋体" w:cs="Times New Roman"/>
                <w:color w:val="auto"/>
                <w:kern w:val="0"/>
                <w:sz w:val="21"/>
                <w:szCs w:val="21"/>
                <w:lang w:val="en-US" w:eastAsia="zh-CN" w:bidi="ar"/>
              </w:rPr>
              <w:t>），处理后回用不外排</w:t>
            </w:r>
          </w:p>
        </w:tc>
        <w:tc>
          <w:tcPr>
            <w:tcW w:w="1876"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cs="宋体" w:asciiTheme="minorEastAsia" w:hAnsiTheme="minorEastAsia" w:eastAsiaTheme="minorEastAsia"/>
                <w:color w:val="auto"/>
                <w:sz w:val="21"/>
                <w:szCs w:val="21"/>
              </w:rPr>
            </w:pPr>
            <w:r>
              <w:rPr>
                <w:rFonts w:hint="default" w:cs="宋体" w:asciiTheme="minorEastAsia" w:hAnsiTheme="minorEastAsia" w:eastAsiaTheme="minorEastAsia"/>
                <w:color w:val="auto"/>
                <w:sz w:val="21"/>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1778" w:type="dxa"/>
            <w:vMerge w:val="continue"/>
            <w:tcBorders>
              <w:left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eastAsia" w:eastAsia="宋体" w:asciiTheme="minorEastAsia" w:hAnsiTheme="minorEastAsia"/>
                <w:color w:val="auto"/>
                <w:sz w:val="21"/>
                <w:szCs w:val="21"/>
                <w:lang w:eastAsia="zh-CN"/>
              </w:rPr>
            </w:pPr>
            <w:r>
              <w:rPr>
                <w:rFonts w:hint="eastAsia" w:ascii="宋体" w:hAnsi="宋体"/>
                <w:color w:val="auto"/>
                <w:sz w:val="21"/>
                <w:szCs w:val="21"/>
              </w:rPr>
              <w:t>场地</w:t>
            </w:r>
            <w:r>
              <w:rPr>
                <w:rFonts w:hint="eastAsia" w:ascii="宋体" w:hAnsi="宋体"/>
                <w:color w:val="auto"/>
                <w:sz w:val="21"/>
                <w:szCs w:val="21"/>
                <w:lang w:val="en-US" w:eastAsia="zh-CN"/>
              </w:rPr>
              <w:t>散排水</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Theme="minorEastAsia"/>
                <w:color w:val="auto"/>
                <w:spacing w:val="-20"/>
                <w:sz w:val="21"/>
                <w:szCs w:val="21"/>
              </w:rPr>
            </w:pPr>
            <w:r>
              <w:rPr>
                <w:rFonts w:hint="eastAsia" w:eastAsiaTheme="minorEastAsia"/>
                <w:color w:val="auto"/>
                <w:spacing w:val="-20"/>
                <w:sz w:val="21"/>
                <w:szCs w:val="21"/>
              </w:rPr>
              <w:t>SS</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53" w:leftChars="-25" w:right="-53" w:rightChars="-25"/>
              <w:jc w:val="left"/>
              <w:rPr>
                <w:rFonts w:hint="default" w:eastAsiaTheme="minorEastAsia"/>
                <w:color w:val="auto"/>
                <w:sz w:val="21"/>
                <w:szCs w:val="21"/>
              </w:rPr>
            </w:pPr>
            <w:r>
              <w:rPr>
                <w:rFonts w:hint="eastAsia" w:ascii="宋体" w:hAnsi="宋体" w:eastAsia="宋体" w:cs="Times New Roman"/>
                <w:color w:val="auto"/>
                <w:sz w:val="21"/>
                <w:szCs w:val="21"/>
                <w:lang w:val="en-US" w:eastAsia="zh-CN" w:bidi="ar"/>
              </w:rPr>
              <w:t>主要包括厂区露天区域受污染的初期雨水以及产品渗沥水。</w:t>
            </w:r>
            <w:r>
              <w:rPr>
                <w:rFonts w:hint="eastAsia" w:ascii="宋体" w:hAnsi="宋体" w:eastAsia="宋体" w:cs="Times New Roman"/>
                <w:color w:val="auto"/>
                <w:kern w:val="0"/>
                <w:sz w:val="21"/>
                <w:szCs w:val="21"/>
                <w:lang w:val="en-US" w:eastAsia="zh-CN" w:bidi="ar"/>
              </w:rPr>
              <w:t>厂区内边沟将场地散排水收集至散水池（容积约50m</w:t>
            </w:r>
            <w:r>
              <w:rPr>
                <w:rFonts w:hint="eastAsia" w:ascii="宋体" w:hAnsi="宋体" w:eastAsia="宋体" w:cs="Times New Roman"/>
                <w:color w:val="auto"/>
                <w:kern w:val="0"/>
                <w:sz w:val="21"/>
                <w:szCs w:val="21"/>
                <w:vertAlign w:val="superscript"/>
                <w:lang w:val="en-US" w:eastAsia="zh-CN" w:bidi="ar"/>
              </w:rPr>
              <w:t>3</w:t>
            </w:r>
            <w:r>
              <w:rPr>
                <w:rFonts w:hint="eastAsia" w:ascii="宋体" w:hAnsi="宋体" w:eastAsia="宋体" w:cs="Times New Roman"/>
                <w:color w:val="auto"/>
                <w:kern w:val="0"/>
                <w:sz w:val="21"/>
                <w:szCs w:val="21"/>
                <w:lang w:val="en-US" w:eastAsia="zh-CN" w:bidi="ar"/>
              </w:rPr>
              <w:t>），再泵回污水池进入废水处理系统，处理后全部回用</w:t>
            </w:r>
          </w:p>
        </w:tc>
        <w:tc>
          <w:tcPr>
            <w:tcW w:w="1876"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cs="宋体" w:asciiTheme="minorEastAsia" w:hAnsiTheme="minorEastAsia" w:eastAsiaTheme="minorEastAsia"/>
                <w:color w:val="auto"/>
                <w:sz w:val="21"/>
                <w:szCs w:val="21"/>
              </w:rPr>
            </w:pPr>
            <w:r>
              <w:rPr>
                <w:rFonts w:hint="default" w:cs="宋体" w:asciiTheme="minorEastAsia" w:hAnsiTheme="minorEastAsia" w:eastAsiaTheme="minorEastAsia"/>
                <w:color w:val="auto"/>
                <w:sz w:val="21"/>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1778" w:type="dxa"/>
            <w:vMerge w:val="continue"/>
            <w:tcBorders>
              <w:left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车辆冲洗</w:t>
            </w:r>
          </w:p>
          <w:p>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废水</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Theme="minorEastAsia"/>
                <w:color w:val="auto"/>
                <w:sz w:val="21"/>
                <w:szCs w:val="21"/>
              </w:rPr>
            </w:pPr>
            <w:r>
              <w:rPr>
                <w:rFonts w:hint="eastAsia" w:eastAsiaTheme="minorEastAsia"/>
                <w:color w:val="auto"/>
                <w:spacing w:val="-20"/>
                <w:sz w:val="21"/>
                <w:szCs w:val="21"/>
              </w:rPr>
              <w:t>SS</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53" w:leftChars="-25" w:right="-53" w:rightChars="-25"/>
              <w:jc w:val="left"/>
              <w:rPr>
                <w:rFonts w:hint="default" w:eastAsiaTheme="minorEastAsia"/>
                <w:bCs/>
                <w:color w:val="auto"/>
                <w:sz w:val="21"/>
                <w:szCs w:val="21"/>
              </w:rPr>
            </w:pPr>
            <w:r>
              <w:rPr>
                <w:rFonts w:hint="eastAsia" w:ascii="宋体" w:hAnsi="宋体" w:eastAsia="宋体" w:cs="Times New Roman"/>
                <w:color w:val="auto"/>
                <w:sz w:val="21"/>
                <w:szCs w:val="21"/>
                <w:highlight w:val="none"/>
                <w:lang w:val="en-US" w:eastAsia="zh-CN" w:bidi="ar"/>
              </w:rPr>
              <w:t>建设废水沉淀池池</w:t>
            </w:r>
            <w:r>
              <w:rPr>
                <w:rFonts w:hint="default" w:ascii="Times New Roman" w:hAnsi="Times New Roman" w:eastAsia="宋体" w:cs="Times New Roman"/>
                <w:color w:val="auto"/>
                <w:sz w:val="21"/>
                <w:szCs w:val="21"/>
                <w:highlight w:val="none"/>
                <w:lang w:val="en-US" w:eastAsia="zh-CN" w:bidi="ar"/>
              </w:rPr>
              <w:t>1</w:t>
            </w:r>
            <w:r>
              <w:rPr>
                <w:rFonts w:hint="eastAsia" w:ascii="宋体" w:hAnsi="宋体" w:eastAsia="宋体" w:cs="Times New Roman"/>
                <w:color w:val="auto"/>
                <w:sz w:val="21"/>
                <w:szCs w:val="21"/>
                <w:highlight w:val="none"/>
                <w:lang w:val="en-US" w:eastAsia="zh-CN" w:bidi="ar"/>
              </w:rPr>
              <w:t>个（容积约</w:t>
            </w:r>
            <w:r>
              <w:rPr>
                <w:rFonts w:hint="default" w:ascii="Times New Roman" w:hAnsi="Times New Roman" w:eastAsia="宋体" w:cs="Times New Roman"/>
                <w:color w:val="auto"/>
                <w:sz w:val="21"/>
                <w:szCs w:val="21"/>
                <w:highlight w:val="none"/>
                <w:lang w:val="en-US" w:eastAsia="zh-CN" w:bidi="ar"/>
              </w:rPr>
              <w:t>20m</w:t>
            </w:r>
            <w:r>
              <w:rPr>
                <w:rFonts w:hint="default" w:ascii="Times New Roman" w:hAnsi="Times New Roman" w:eastAsia="宋体" w:cs="Times New Roman"/>
                <w:color w:val="auto"/>
                <w:sz w:val="21"/>
                <w:szCs w:val="21"/>
                <w:highlight w:val="none"/>
                <w:vertAlign w:val="superscript"/>
                <w:lang w:val="en-US" w:eastAsia="zh-CN" w:bidi="ar"/>
              </w:rPr>
              <w:t>3</w:t>
            </w:r>
            <w:r>
              <w:rPr>
                <w:rFonts w:hint="eastAsia" w:ascii="宋体" w:hAnsi="宋体" w:eastAsia="宋体" w:cs="Times New Roman"/>
                <w:color w:val="auto"/>
                <w:sz w:val="21"/>
                <w:szCs w:val="21"/>
                <w:highlight w:val="none"/>
                <w:lang w:val="en-US" w:eastAsia="zh-CN" w:bidi="ar"/>
              </w:rPr>
              <w:t>），收集处理后回用不外排</w:t>
            </w:r>
          </w:p>
        </w:tc>
        <w:tc>
          <w:tcPr>
            <w:tcW w:w="1876"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cs="宋体" w:asciiTheme="minorEastAsia" w:hAnsiTheme="minorEastAsia" w:eastAsiaTheme="minorEastAsia"/>
                <w:color w:val="auto"/>
                <w:sz w:val="21"/>
                <w:szCs w:val="21"/>
              </w:rPr>
            </w:pPr>
            <w:r>
              <w:rPr>
                <w:rFonts w:hint="default" w:cs="宋体" w:asciiTheme="minorEastAsia" w:hAnsiTheme="minorEastAsia" w:eastAsiaTheme="minorEastAsia"/>
                <w:color w:val="auto"/>
                <w:sz w:val="21"/>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78"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left"/>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生活污水</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eastAsiaTheme="minorEastAsia"/>
                <w:color w:val="auto"/>
                <w:sz w:val="21"/>
                <w:szCs w:val="21"/>
              </w:rPr>
            </w:pPr>
            <w:r>
              <w:rPr>
                <w:rFonts w:hint="default" w:eastAsiaTheme="minorEastAsia"/>
                <w:color w:val="auto"/>
                <w:sz w:val="21"/>
                <w:szCs w:val="21"/>
              </w:rPr>
              <w:t>COD</w:t>
            </w:r>
            <w:r>
              <w:rPr>
                <w:rFonts w:hint="eastAsia" w:eastAsiaTheme="minorEastAsia"/>
                <w:color w:val="auto"/>
                <w:sz w:val="21"/>
                <w:szCs w:val="21"/>
                <w:vertAlign w:val="subscript"/>
              </w:rPr>
              <w:t>cr</w:t>
            </w:r>
            <w:r>
              <w:rPr>
                <w:rFonts w:hint="default" w:eastAsiaTheme="minorEastAsia"/>
                <w:color w:val="auto"/>
                <w:sz w:val="21"/>
                <w:szCs w:val="21"/>
              </w:rPr>
              <w:t>、</w:t>
            </w:r>
            <w:r>
              <w:rPr>
                <w:rFonts w:hint="eastAsia" w:eastAsiaTheme="minorEastAsia"/>
                <w:color w:val="auto"/>
                <w:sz w:val="21"/>
                <w:szCs w:val="21"/>
              </w:rPr>
              <w:t>B</w:t>
            </w:r>
            <w:r>
              <w:rPr>
                <w:rFonts w:hint="default" w:eastAsiaTheme="minorEastAsia"/>
                <w:color w:val="auto"/>
                <w:sz w:val="21"/>
                <w:szCs w:val="21"/>
              </w:rPr>
              <w:t>OD</w:t>
            </w:r>
            <w:r>
              <w:rPr>
                <w:rFonts w:hint="eastAsia" w:eastAsiaTheme="minorEastAsia"/>
                <w:color w:val="auto"/>
                <w:sz w:val="21"/>
                <w:szCs w:val="21"/>
                <w:vertAlign w:val="subscript"/>
              </w:rPr>
              <w:t>5</w:t>
            </w:r>
            <w:r>
              <w:rPr>
                <w:rFonts w:hint="eastAsia" w:eastAsiaTheme="minorEastAsia"/>
                <w:color w:val="auto"/>
                <w:sz w:val="21"/>
                <w:szCs w:val="21"/>
              </w:rPr>
              <w:t>等</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53" w:leftChars="-25" w:right="-53" w:rightChars="-25"/>
              <w:jc w:val="left"/>
              <w:rPr>
                <w:rFonts w:hint="default" w:eastAsiaTheme="minorEastAsia"/>
                <w:color w:val="auto"/>
                <w:sz w:val="21"/>
                <w:szCs w:val="21"/>
              </w:rPr>
            </w:pPr>
            <w:r>
              <w:rPr>
                <w:rFonts w:hint="eastAsia" w:ascii="宋体" w:hAnsi="宋体" w:eastAsia="宋体" w:cs="Times New Roman"/>
                <w:color w:val="auto"/>
                <w:sz w:val="21"/>
                <w:szCs w:val="21"/>
                <w:lang w:val="en-US" w:eastAsia="zh-CN" w:bidi="ar"/>
              </w:rPr>
              <w:t>设化粪池</w:t>
            </w:r>
            <w:r>
              <w:rPr>
                <w:rFonts w:hint="default" w:ascii="Times New Roman" w:hAnsi="Times New Roman" w:eastAsia="宋体" w:cs="Times New Roman"/>
                <w:color w:val="auto"/>
                <w:sz w:val="21"/>
                <w:szCs w:val="21"/>
                <w:lang w:val="en-US" w:eastAsia="zh-CN" w:bidi="ar"/>
              </w:rPr>
              <w:t>1</w:t>
            </w:r>
            <w:r>
              <w:rPr>
                <w:rFonts w:hint="eastAsia" w:ascii="宋体" w:hAnsi="宋体" w:eastAsia="宋体" w:cs="Times New Roman"/>
                <w:color w:val="auto"/>
                <w:sz w:val="21"/>
                <w:szCs w:val="21"/>
                <w:lang w:val="en-US" w:eastAsia="zh-CN" w:bidi="ar"/>
              </w:rPr>
              <w:t>个（容积</w:t>
            </w:r>
            <w:r>
              <w:rPr>
                <w:rFonts w:hint="default" w:ascii="Times New Roman" w:hAnsi="Times New Roman" w:eastAsia="宋体" w:cs="Times New Roman"/>
                <w:color w:val="auto"/>
                <w:sz w:val="21"/>
                <w:szCs w:val="21"/>
                <w:lang w:val="en-US" w:eastAsia="zh-CN" w:bidi="ar"/>
              </w:rPr>
              <w:t>20</w:t>
            </w:r>
            <w:r>
              <w:rPr>
                <w:rFonts w:hint="default" w:ascii="Times New Roman" w:hAnsi="Times New Roman" w:eastAsia="宋体" w:cs="Times New Roman"/>
                <w:bCs/>
                <w:color w:val="auto"/>
                <w:kern w:val="0"/>
                <w:sz w:val="21"/>
                <w:szCs w:val="21"/>
                <w:lang w:val="en-US" w:eastAsia="zh-CN" w:bidi="ar"/>
              </w:rPr>
              <w:t>m</w:t>
            </w:r>
            <w:r>
              <w:rPr>
                <w:rFonts w:hint="default" w:ascii="Times New Roman" w:hAnsi="Times New Roman" w:eastAsia="宋体" w:cs="Times New Roman"/>
                <w:bCs/>
                <w:color w:val="auto"/>
                <w:kern w:val="0"/>
                <w:sz w:val="21"/>
                <w:szCs w:val="21"/>
                <w:vertAlign w:val="superscript"/>
                <w:lang w:val="en-US" w:eastAsia="zh-CN" w:bidi="ar"/>
              </w:rPr>
              <w:t>3</w:t>
            </w:r>
            <w:r>
              <w:rPr>
                <w:rFonts w:hint="eastAsia" w:ascii="宋体" w:hAnsi="宋体" w:eastAsia="宋体" w:cs="Times New Roman"/>
                <w:color w:val="auto"/>
                <w:sz w:val="21"/>
                <w:szCs w:val="21"/>
                <w:lang w:val="en-US" w:eastAsia="zh-CN" w:bidi="ar"/>
              </w:rPr>
              <w:t>）收集处理后，由附近农户定期清掏做农肥使用</w:t>
            </w:r>
          </w:p>
        </w:tc>
        <w:tc>
          <w:tcPr>
            <w:tcW w:w="1876"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cs="宋体" w:asciiTheme="minorEastAsia" w:hAnsiTheme="minorEastAsia" w:eastAsiaTheme="minorEastAsia"/>
                <w:color w:val="auto"/>
                <w:sz w:val="21"/>
                <w:szCs w:val="21"/>
              </w:rPr>
            </w:pPr>
            <w:r>
              <w:rPr>
                <w:rFonts w:hint="default" w:cs="宋体" w:asciiTheme="minorEastAsia" w:hAnsiTheme="minorEastAsia" w:eastAsiaTheme="minorEastAsia"/>
                <w:color w:val="auto"/>
                <w:sz w:val="21"/>
                <w:szCs w:val="21"/>
              </w:rPr>
              <w:t>《污水综合排放标准》（</w:t>
            </w:r>
            <w:r>
              <w:rPr>
                <w:rFonts w:hint="eastAsia" w:cs="宋体" w:asciiTheme="minorEastAsia" w:hAnsiTheme="minorEastAsia" w:eastAsiaTheme="minorEastAsia"/>
                <w:color w:val="auto"/>
                <w:sz w:val="21"/>
                <w:szCs w:val="21"/>
              </w:rPr>
              <w:t>GB 8978-1996</w:t>
            </w:r>
            <w:r>
              <w:rPr>
                <w:rFonts w:hint="default" w:cs="宋体" w:asciiTheme="minorEastAsia" w:hAnsiTheme="minorEastAsia" w:eastAsiaTheme="minorEastAsia"/>
                <w:color w:val="auto"/>
                <w:sz w:val="21"/>
                <w:szCs w:val="21"/>
              </w:rPr>
              <w:t>）三级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778" w:type="dxa"/>
            <w:vMerge w:val="restart"/>
            <w:tcBorders>
              <w:left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声环境</w:t>
            </w: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施工现场</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color w:val="auto"/>
                <w:sz w:val="21"/>
                <w:szCs w:val="21"/>
              </w:rPr>
            </w:pPr>
            <w:r>
              <w:rPr>
                <w:rFonts w:hint="default" w:asciiTheme="minorEastAsia" w:hAnsiTheme="minorEastAsia" w:eastAsiaTheme="minorEastAsia"/>
                <w:color w:val="auto"/>
                <w:sz w:val="21"/>
                <w:szCs w:val="21"/>
              </w:rPr>
              <w:t>机械设备噪声</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53" w:leftChars="-25" w:right="-53" w:rightChars="-25"/>
              <w:jc w:val="left"/>
              <w:rPr>
                <w:rFonts w:hint="default"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尽量缩短工期、合理布局设备、文明施工</w:t>
            </w:r>
          </w:p>
        </w:tc>
        <w:tc>
          <w:tcPr>
            <w:tcW w:w="1876"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w:t>
            </w:r>
            <w:r>
              <w:rPr>
                <w:rFonts w:hint="eastAsia" w:cs="宋体" w:asciiTheme="minorEastAsia" w:hAnsiTheme="minorEastAsia" w:eastAsiaTheme="minorEastAsia"/>
                <w:color w:val="auto"/>
                <w:sz w:val="21"/>
                <w:szCs w:val="21"/>
                <w:lang w:eastAsia="zh-CN"/>
              </w:rPr>
              <w:t>建筑施工场界环境噪声排放标准</w:t>
            </w:r>
            <w:r>
              <w:rPr>
                <w:rFonts w:hint="eastAsia" w:cs="宋体" w:asciiTheme="minorEastAsia" w:hAnsiTheme="minorEastAsia" w:eastAsiaTheme="minorEastAsia"/>
                <w:color w:val="auto"/>
                <w:sz w:val="21"/>
                <w:szCs w:val="21"/>
              </w:rPr>
              <w:t>》（</w:t>
            </w:r>
            <w:r>
              <w:rPr>
                <w:rFonts w:hint="default" w:cs="宋体" w:asciiTheme="minorEastAsia" w:hAnsiTheme="minorEastAsia" w:eastAsiaTheme="minorEastAsia"/>
                <w:color w:val="auto"/>
                <w:sz w:val="21"/>
                <w:szCs w:val="21"/>
              </w:rPr>
              <w:t>GB12523-2011</w:t>
            </w:r>
            <w:r>
              <w:rPr>
                <w:rFonts w:hint="eastAsia" w:cs="宋体" w:asciiTheme="minorEastAsia" w:hAnsiTheme="minorEastAsia" w:eastAsiaTheme="minorEastAsia"/>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1778" w:type="dxa"/>
            <w:vMerge w:val="continue"/>
            <w:tcBorders>
              <w:left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olor w:val="auto"/>
                <w:sz w:val="21"/>
                <w:szCs w:val="21"/>
              </w:rPr>
            </w:pPr>
            <w:r>
              <w:rPr>
                <w:rFonts w:hint="eastAsia" w:ascii="宋体" w:hAnsi="宋体"/>
                <w:color w:val="auto"/>
                <w:sz w:val="21"/>
                <w:szCs w:val="21"/>
              </w:rPr>
              <w:t>破碎机、振动筛、洗砂机等</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设备</w:t>
            </w:r>
            <w:r>
              <w:rPr>
                <w:rFonts w:hint="default" w:asciiTheme="minorEastAsia" w:hAnsiTheme="minorEastAsia" w:eastAsiaTheme="minorEastAsia"/>
                <w:color w:val="auto"/>
                <w:sz w:val="21"/>
                <w:szCs w:val="21"/>
              </w:rPr>
              <w:t>噪声</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53" w:leftChars="-25" w:right="-53" w:rightChars="-25"/>
              <w:jc w:val="left"/>
              <w:rPr>
                <w:rFonts w:hint="default" w:asciiTheme="minorEastAsia" w:hAnsiTheme="minorEastAsia" w:eastAsiaTheme="minorEastAsia"/>
                <w:color w:val="auto"/>
                <w:sz w:val="21"/>
                <w:szCs w:val="21"/>
              </w:rPr>
            </w:pPr>
            <w:r>
              <w:rPr>
                <w:rFonts w:hint="default" w:asciiTheme="minorEastAsia" w:hAnsiTheme="minorEastAsia" w:eastAsiaTheme="minorEastAsia"/>
                <w:color w:val="auto"/>
                <w:sz w:val="21"/>
                <w:szCs w:val="21"/>
              </w:rPr>
              <w:t>车间密闭、设备基础减振，加强维护管理</w:t>
            </w:r>
          </w:p>
        </w:tc>
        <w:tc>
          <w:tcPr>
            <w:tcW w:w="1876"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300" w:lineRule="exact"/>
              <w:ind w:left="-25" w:right="-25"/>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《工业企业厂界环境噪声排放标准》（GB12348-2008）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jc w:val="center"/>
        </w:trPr>
        <w:tc>
          <w:tcPr>
            <w:tcW w:w="1778"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line="360" w:lineRule="exact"/>
              <w:ind w:left="0" w:right="0"/>
              <w:jc w:val="left"/>
              <w:rPr>
                <w:rFonts w:hint="default" w:cs="宋体" w:asciiTheme="minorEastAsia" w:hAnsiTheme="minorEastAsia" w:eastAsiaTheme="minorEastAsia"/>
                <w:color w:val="auto"/>
                <w:sz w:val="21"/>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运输车辆</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交通噪声</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53" w:leftChars="-25" w:right="-53" w:rightChars="-25"/>
              <w:jc w:val="left"/>
              <w:rPr>
                <w:rFonts w:hint="default" w:asciiTheme="minorEastAsia" w:hAnsiTheme="minorEastAsia" w:eastAsiaTheme="minorEastAsia"/>
                <w:color w:val="auto"/>
                <w:sz w:val="21"/>
                <w:szCs w:val="21"/>
              </w:rPr>
            </w:pPr>
            <w:r>
              <w:rPr>
                <w:rFonts w:hint="default" w:asciiTheme="minorEastAsia" w:hAnsiTheme="minorEastAsia" w:eastAsiaTheme="minorEastAsia"/>
                <w:color w:val="auto"/>
                <w:sz w:val="21"/>
                <w:szCs w:val="21"/>
              </w:rPr>
              <w:t>合理安排运输时间、控制车速</w:t>
            </w:r>
          </w:p>
        </w:tc>
        <w:tc>
          <w:tcPr>
            <w:tcW w:w="1876"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spacing w:before="0" w:beforeAutospacing="0" w:after="0" w:afterAutospacing="0" w:line="300" w:lineRule="exact"/>
              <w:ind w:left="-25" w:right="-25"/>
              <w:jc w:val="center"/>
              <w:rPr>
                <w:rFonts w:hint="default"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36"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电磁辐射</w:t>
            </w:r>
          </w:p>
        </w:tc>
        <w:tc>
          <w:tcPr>
            <w:tcW w:w="160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w:t>
            </w:r>
          </w:p>
        </w:tc>
        <w:tc>
          <w:tcPr>
            <w:tcW w:w="2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53" w:leftChars="-25" w:right="-53" w:rightChars="-25"/>
              <w:jc w:val="left"/>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w:t>
            </w:r>
          </w:p>
        </w:tc>
        <w:tc>
          <w:tcPr>
            <w:tcW w:w="1876" w:type="dxa"/>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280" w:lineRule="exact"/>
              <w:ind w:left="-25" w:right="-25"/>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15"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固体废物</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黑体" w:hAnsi="黑体" w:eastAsia="黑体" w:cs="宋体"/>
                <w:bCs/>
                <w:color w:val="auto"/>
                <w:sz w:val="21"/>
                <w:szCs w:val="21"/>
              </w:rPr>
            </w:pPr>
            <w:r>
              <w:rPr>
                <w:rFonts w:hint="eastAsia" w:ascii="黑体" w:hAnsi="黑体" w:eastAsia="黑体" w:cs="宋体"/>
                <w:bCs/>
                <w:color w:val="auto"/>
                <w:sz w:val="21"/>
                <w:szCs w:val="21"/>
              </w:rPr>
              <w:t>1、施工期</w:t>
            </w:r>
          </w:p>
          <w:p>
            <w:pPr>
              <w:keepNext w:val="0"/>
              <w:keepLines w:val="0"/>
              <w:suppressLineNumbers w:val="0"/>
              <w:autoSpaceDE w:val="0"/>
              <w:autoSpaceDN w:val="0"/>
              <w:adjustRightInd w:val="0"/>
              <w:snapToGrid w:val="0"/>
              <w:spacing w:before="0" w:beforeAutospacing="0" w:after="0" w:afterAutospacing="0" w:line="400" w:lineRule="exact"/>
              <w:ind w:left="-25" w:right="-25" w:firstLine="420"/>
              <w:jc w:val="left"/>
              <w:rPr>
                <w:rFonts w:hint="default" w:cs="宋体"/>
                <w:color w:val="auto"/>
                <w:kern w:val="0"/>
                <w:sz w:val="21"/>
                <w:szCs w:val="21"/>
              </w:rPr>
            </w:pPr>
            <w:r>
              <w:rPr>
                <w:rFonts w:hint="eastAsia" w:cs="宋体"/>
                <w:color w:val="auto"/>
                <w:kern w:val="0"/>
                <w:sz w:val="21"/>
                <w:szCs w:val="21"/>
              </w:rPr>
              <w:t>（1）少量土石方或建筑垃圾，可及时在施工场地内低洼处回填。</w:t>
            </w:r>
          </w:p>
          <w:p>
            <w:pPr>
              <w:keepNext w:val="0"/>
              <w:keepLines w:val="0"/>
              <w:suppressLineNumbers w:val="0"/>
              <w:autoSpaceDE w:val="0"/>
              <w:autoSpaceDN w:val="0"/>
              <w:adjustRightInd w:val="0"/>
              <w:snapToGrid w:val="0"/>
              <w:spacing w:before="0" w:beforeAutospacing="0" w:after="0" w:afterAutospacing="0" w:line="400" w:lineRule="exact"/>
              <w:ind w:left="-25" w:right="-25" w:firstLine="420"/>
              <w:jc w:val="left"/>
              <w:rPr>
                <w:rFonts w:hint="default" w:cs="宋体"/>
                <w:color w:val="auto"/>
                <w:kern w:val="0"/>
                <w:sz w:val="21"/>
                <w:szCs w:val="21"/>
              </w:rPr>
            </w:pPr>
            <w:r>
              <w:rPr>
                <w:rFonts w:hint="eastAsia" w:cs="宋体"/>
                <w:color w:val="auto"/>
                <w:kern w:val="0"/>
                <w:sz w:val="21"/>
                <w:szCs w:val="21"/>
              </w:rPr>
              <w:t>（2）部分可再利用的废建材、建筑垃圾和废弃包装材料，应尽量集中收集外售至废品回收站。</w:t>
            </w:r>
          </w:p>
          <w:p>
            <w:pPr>
              <w:keepNext w:val="0"/>
              <w:keepLines w:val="0"/>
              <w:suppressLineNumbers w:val="0"/>
              <w:autoSpaceDE w:val="0"/>
              <w:autoSpaceDN w:val="0"/>
              <w:adjustRightInd w:val="0"/>
              <w:snapToGrid w:val="0"/>
              <w:spacing w:before="0" w:beforeAutospacing="0" w:after="0" w:afterAutospacing="0" w:line="400" w:lineRule="exact"/>
              <w:ind w:left="-25" w:right="-25" w:firstLine="420"/>
              <w:jc w:val="left"/>
              <w:rPr>
                <w:rFonts w:hint="default" w:cs="宋体"/>
                <w:color w:val="auto"/>
                <w:kern w:val="0"/>
                <w:sz w:val="21"/>
                <w:szCs w:val="21"/>
              </w:rPr>
            </w:pPr>
            <w:r>
              <w:rPr>
                <w:rFonts w:hint="eastAsia" w:cs="宋体"/>
                <w:color w:val="auto"/>
                <w:kern w:val="0"/>
                <w:sz w:val="21"/>
                <w:szCs w:val="21"/>
              </w:rPr>
              <w:t>（3）生活垃圾袋装收集后运至附近场镇生活垃圾集中收集点，由环卫部门清运处置。</w:t>
            </w:r>
          </w:p>
          <w:p>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黑体" w:hAnsi="黑体" w:eastAsia="黑体" w:cs="宋体"/>
                <w:bCs/>
                <w:color w:val="auto"/>
                <w:sz w:val="21"/>
                <w:szCs w:val="21"/>
              </w:rPr>
            </w:pPr>
            <w:r>
              <w:rPr>
                <w:rFonts w:hint="eastAsia" w:ascii="黑体" w:hAnsi="黑体" w:eastAsia="黑体" w:cs="宋体"/>
                <w:bCs/>
                <w:color w:val="auto"/>
                <w:sz w:val="21"/>
                <w:szCs w:val="21"/>
              </w:rPr>
              <w:t>2</w:t>
            </w:r>
            <w:r>
              <w:rPr>
                <w:rFonts w:hint="default" w:ascii="黑体" w:hAnsi="黑体" w:eastAsia="黑体" w:cs="宋体"/>
                <w:bCs/>
                <w:color w:val="auto"/>
                <w:sz w:val="21"/>
                <w:szCs w:val="21"/>
              </w:rPr>
              <w:t>、营运期</w:t>
            </w:r>
          </w:p>
          <w:p>
            <w:pPr>
              <w:keepNext w:val="0"/>
              <w:keepLines w:val="0"/>
              <w:suppressLineNumbers w:val="0"/>
              <w:autoSpaceDE w:val="0"/>
              <w:autoSpaceDN w:val="0"/>
              <w:adjustRightInd w:val="0"/>
              <w:snapToGrid w:val="0"/>
              <w:spacing w:before="0" w:beforeAutospacing="0" w:after="0" w:afterAutospacing="0" w:line="400" w:lineRule="exact"/>
              <w:ind w:left="-53" w:leftChars="-25" w:right="-53" w:rightChars="-25" w:firstLine="420" w:firstLineChars="200"/>
              <w:jc w:val="left"/>
              <w:rPr>
                <w:rFonts w:hint="default" w:ascii="宋体" w:hAnsi="宋体"/>
                <w:color w:val="auto"/>
                <w:kern w:val="0"/>
                <w:sz w:val="21"/>
                <w:szCs w:val="21"/>
                <w:lang w:val="en-US"/>
              </w:rPr>
            </w:pPr>
            <w:r>
              <w:rPr>
                <w:rFonts w:hint="eastAsia" w:ascii="宋体" w:hAnsi="宋体"/>
                <w:color w:val="auto"/>
                <w:kern w:val="0"/>
                <w:sz w:val="21"/>
                <w:szCs w:val="21"/>
              </w:rPr>
              <w:t>（1）</w:t>
            </w:r>
            <w:r>
              <w:rPr>
                <w:rFonts w:hint="eastAsia" w:ascii="宋体" w:hAnsi="宋体"/>
                <w:color w:val="auto"/>
                <w:kern w:val="0"/>
                <w:sz w:val="21"/>
                <w:szCs w:val="21"/>
                <w:lang w:val="en-US" w:eastAsia="zh-CN"/>
              </w:rPr>
              <w:t>废水处理设施产生的干化泥饼，通过</w:t>
            </w:r>
            <w:r>
              <w:rPr>
                <w:rFonts w:hint="eastAsia" w:ascii="宋体" w:hAnsi="宋体"/>
                <w:color w:val="auto"/>
                <w:kern w:val="0"/>
                <w:sz w:val="21"/>
                <w:szCs w:val="21"/>
              </w:rPr>
              <w:t>在板框压滤机下方设置一个泥饼暂存池（容积约20m</w:t>
            </w:r>
            <w:r>
              <w:rPr>
                <w:rFonts w:hint="eastAsia" w:ascii="宋体" w:hAnsi="宋体"/>
                <w:color w:val="auto"/>
                <w:kern w:val="0"/>
                <w:sz w:val="21"/>
                <w:szCs w:val="21"/>
                <w:vertAlign w:val="superscript"/>
              </w:rPr>
              <w:t>3</w:t>
            </w:r>
            <w:r>
              <w:rPr>
                <w:rFonts w:hint="eastAsia" w:ascii="宋体" w:hAnsi="宋体"/>
                <w:color w:val="auto"/>
                <w:kern w:val="0"/>
                <w:sz w:val="21"/>
                <w:szCs w:val="21"/>
              </w:rPr>
              <w:t>），暂存池应采取地面硬化并设置三面围挡，确保防雨淋、防流失、防渗；在暂存池的敞口面设置截排水沟，避免场地散水进入暂存池，冲刷干化泥饼。定期拉运干化泥饼至附近砖厂或者建材厂做原料再利用</w:t>
            </w:r>
            <w:r>
              <w:rPr>
                <w:rFonts w:hint="eastAsia" w:ascii="宋体" w:hAnsi="宋体" w:eastAsia="宋体" w:cs="Times New Roman"/>
                <w:color w:val="auto"/>
                <w:sz w:val="21"/>
                <w:szCs w:val="21"/>
                <w:lang w:val="en-US" w:eastAsia="zh-CN" w:bidi="ar"/>
              </w:rPr>
              <w:t>压滤产生的压滤水回流至清水池回用不外排</w:t>
            </w:r>
            <w:r>
              <w:rPr>
                <w:rFonts w:hint="eastAsia" w:ascii="宋体" w:hAnsi="宋体" w:cs="Times New Roman"/>
                <w:color w:val="auto"/>
                <w:sz w:val="21"/>
                <w:szCs w:val="21"/>
                <w:lang w:val="en-US" w:eastAsia="zh-CN" w:bidi="ar"/>
              </w:rPr>
              <w:t>。铁质废物收集后外售废品回收站。振动给料分离的泥：收集后由原料运输车辆统一运回出售矿石的矿山企业用于采空区回填。</w:t>
            </w:r>
          </w:p>
          <w:p>
            <w:pPr>
              <w:keepNext w:val="0"/>
              <w:keepLines w:val="0"/>
              <w:suppressLineNumbers w:val="0"/>
              <w:autoSpaceDE w:val="0"/>
              <w:autoSpaceDN w:val="0"/>
              <w:adjustRightInd w:val="0"/>
              <w:snapToGrid w:val="0"/>
              <w:spacing w:before="0" w:beforeAutospacing="0" w:after="0" w:afterAutospacing="0" w:line="400" w:lineRule="exact"/>
              <w:ind w:left="-53" w:leftChars="-25" w:right="-53" w:rightChars="-25" w:firstLine="420" w:firstLineChars="200"/>
              <w:jc w:val="left"/>
              <w:rPr>
                <w:rFonts w:hint="default" w:ascii="宋体" w:hAnsi="宋体"/>
                <w:color w:val="auto"/>
                <w:kern w:val="0"/>
                <w:sz w:val="21"/>
                <w:szCs w:val="21"/>
              </w:rPr>
            </w:pPr>
            <w:r>
              <w:rPr>
                <w:rFonts w:hint="eastAsia" w:ascii="宋体" w:hAnsi="宋体"/>
                <w:color w:val="auto"/>
                <w:kern w:val="0"/>
                <w:sz w:val="21"/>
                <w:szCs w:val="21"/>
              </w:rPr>
              <w:t>（2）危险废物：主要为厂区设备维修维护产生的废机油及废机油桶等，在</w:t>
            </w:r>
            <w:r>
              <w:rPr>
                <w:rFonts w:hint="eastAsia" w:ascii="宋体" w:hAnsi="宋体"/>
                <w:color w:val="auto"/>
                <w:kern w:val="0"/>
                <w:sz w:val="21"/>
                <w:szCs w:val="21"/>
                <w:lang w:val="en-US" w:eastAsia="zh-CN"/>
              </w:rPr>
              <w:t>生产车间操作室旁</w:t>
            </w:r>
            <w:r>
              <w:rPr>
                <w:rFonts w:hint="eastAsia" w:ascii="宋体" w:hAnsi="宋体"/>
                <w:color w:val="auto"/>
                <w:kern w:val="0"/>
                <w:sz w:val="21"/>
                <w:szCs w:val="21"/>
              </w:rPr>
              <w:t>设危废间一个，采取“六防”措施，按照要求建立危废台账和设置标识标牌，委托有资质的单位回收处置。</w:t>
            </w:r>
          </w:p>
          <w:p>
            <w:pPr>
              <w:keepNext w:val="0"/>
              <w:keepLines w:val="0"/>
              <w:suppressLineNumbers w:val="0"/>
              <w:autoSpaceDE w:val="0"/>
              <w:autoSpaceDN w:val="0"/>
              <w:adjustRightInd w:val="0"/>
              <w:snapToGrid w:val="0"/>
              <w:spacing w:before="0" w:beforeAutospacing="0" w:after="0" w:afterAutospacing="0" w:line="400" w:lineRule="exact"/>
              <w:ind w:left="-53" w:leftChars="-25" w:right="-53" w:rightChars="-25" w:firstLine="420" w:firstLineChars="200"/>
              <w:jc w:val="left"/>
              <w:rPr>
                <w:rFonts w:hint="default" w:asciiTheme="minorEastAsia" w:hAnsiTheme="minorEastAsia" w:eastAsiaTheme="minorEastAsia"/>
                <w:color w:val="auto"/>
                <w:sz w:val="21"/>
                <w:szCs w:val="21"/>
              </w:rPr>
            </w:pPr>
            <w:r>
              <w:rPr>
                <w:rFonts w:hint="default"/>
                <w:color w:val="auto"/>
                <w:kern w:val="0"/>
                <w:sz w:val="21"/>
                <w:szCs w:val="21"/>
              </w:rPr>
              <w:t>（</w:t>
            </w:r>
            <w:r>
              <w:rPr>
                <w:rFonts w:hint="eastAsia"/>
                <w:color w:val="auto"/>
                <w:kern w:val="0"/>
                <w:sz w:val="21"/>
                <w:szCs w:val="21"/>
              </w:rPr>
              <w:t>3</w:t>
            </w:r>
            <w:r>
              <w:rPr>
                <w:rFonts w:hint="default"/>
                <w:color w:val="auto"/>
                <w:kern w:val="0"/>
                <w:sz w:val="21"/>
                <w:szCs w:val="21"/>
              </w:rPr>
              <w:t>）生活垃圾设置垃圾桶收集，定期外运至附近场镇的生活垃圾集中收集点，由环卫部门负责清运处置。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53"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400" w:lineRule="exact"/>
              <w:ind w:left="0" w:right="0"/>
              <w:jc w:val="center"/>
              <w:rPr>
                <w:rFonts w:hint="default" w:ascii="宋体" w:hAnsi="宋体" w:cs="宋体"/>
                <w:color w:val="auto"/>
                <w:sz w:val="21"/>
                <w:szCs w:val="21"/>
              </w:rPr>
            </w:pPr>
            <w:r>
              <w:rPr>
                <w:rFonts w:hint="eastAsia" w:ascii="宋体" w:hAnsi="宋体" w:cs="宋体"/>
                <w:color w:val="auto"/>
                <w:sz w:val="21"/>
                <w:szCs w:val="21"/>
              </w:rPr>
              <w:t>土壤及地下水</w:t>
            </w:r>
          </w:p>
          <w:p>
            <w:pPr>
              <w:keepNext w:val="0"/>
              <w:keepLines w:val="0"/>
              <w:suppressLineNumbers w:val="0"/>
              <w:adjustRightInd w:val="0"/>
              <w:snapToGrid w:val="0"/>
              <w:spacing w:before="0" w:beforeAutospacing="0" w:after="0" w:afterAutospacing="0" w:line="400" w:lineRule="exact"/>
              <w:ind w:left="0" w:right="0"/>
              <w:jc w:val="center"/>
              <w:rPr>
                <w:rFonts w:hint="default" w:ascii="宋体" w:hAnsi="宋体" w:cs="宋体"/>
                <w:color w:val="auto"/>
                <w:sz w:val="21"/>
                <w:szCs w:val="21"/>
              </w:rPr>
            </w:pPr>
            <w:r>
              <w:rPr>
                <w:rFonts w:hint="eastAsia" w:ascii="宋体" w:hAnsi="宋体" w:cs="宋体"/>
                <w:color w:val="auto"/>
                <w:sz w:val="21"/>
                <w:szCs w:val="21"/>
              </w:rPr>
              <w:t>污染防治措施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400" w:lineRule="exact"/>
              <w:ind w:left="-53" w:leftChars="-25" w:right="-53" w:rightChars="-25" w:firstLine="420" w:firstLineChars="200"/>
              <w:jc w:val="left"/>
              <w:rPr>
                <w:rFonts w:hint="default" w:cs="宋体"/>
                <w:color w:val="auto"/>
                <w:sz w:val="21"/>
                <w:szCs w:val="21"/>
              </w:rPr>
            </w:pPr>
            <w:r>
              <w:rPr>
                <w:rFonts w:hint="eastAsia" w:cs="宋体"/>
                <w:color w:val="auto"/>
                <w:sz w:val="21"/>
                <w:szCs w:val="21"/>
              </w:rPr>
              <w:t>对危废间采取防渗处理，防渗技术要求应满足等效黏土防渗层Mb≥6.0m，K≤1×10</w:t>
            </w:r>
            <w:r>
              <w:rPr>
                <w:rFonts w:hint="eastAsia" w:cs="宋体"/>
                <w:color w:val="auto"/>
                <w:sz w:val="21"/>
                <w:szCs w:val="21"/>
                <w:vertAlign w:val="superscript"/>
              </w:rPr>
              <w:t>-7</w:t>
            </w:r>
            <w:r>
              <w:rPr>
                <w:rFonts w:hint="eastAsia" w:cs="宋体"/>
                <w:color w:val="auto"/>
                <w:sz w:val="21"/>
                <w:szCs w:val="21"/>
              </w:rPr>
              <w:t>cm/s；或防渗层为至少1m厚粘土层（渗透系数≤10</w:t>
            </w:r>
            <w:r>
              <w:rPr>
                <w:rFonts w:hint="eastAsia" w:cs="宋体"/>
                <w:color w:val="auto"/>
                <w:sz w:val="21"/>
                <w:szCs w:val="21"/>
                <w:vertAlign w:val="superscript"/>
              </w:rPr>
              <w:t>-7</w:t>
            </w:r>
            <w:r>
              <w:rPr>
                <w:rFonts w:hint="eastAsia" w:cs="宋体"/>
                <w:color w:val="auto"/>
                <w:sz w:val="21"/>
                <w:szCs w:val="21"/>
              </w:rPr>
              <w:t>cm/s），或2mm厚高密度聚乙烯，或至少2毫米厚的其它人工材料，渗透系数≤10</w:t>
            </w:r>
            <w:r>
              <w:rPr>
                <w:rFonts w:hint="eastAsia" w:cs="宋体"/>
                <w:color w:val="auto"/>
                <w:sz w:val="21"/>
                <w:szCs w:val="21"/>
                <w:vertAlign w:val="superscript"/>
              </w:rPr>
              <w:t>-10</w:t>
            </w:r>
            <w:r>
              <w:rPr>
                <w:rFonts w:hint="eastAsia" w:cs="宋体"/>
                <w:color w:val="auto"/>
                <w:sz w:val="21"/>
                <w:szCs w:val="21"/>
              </w:rPr>
              <w:t>cm/s。对废水处理设施区域、初期雨水池、车辆轮胎冲洗废水沉淀池、泥饼池采取一般防渗处理，防渗技术要求应满足等效黏土层≥1.5m、渗透系数≤10</w:t>
            </w:r>
            <w:r>
              <w:rPr>
                <w:rFonts w:hint="eastAsia" w:cs="宋体"/>
                <w:color w:val="auto"/>
                <w:sz w:val="21"/>
                <w:szCs w:val="21"/>
                <w:vertAlign w:val="superscript"/>
              </w:rPr>
              <w:t>-7</w:t>
            </w:r>
            <w:r>
              <w:rPr>
                <w:rFonts w:hint="eastAsia" w:cs="宋体"/>
                <w:color w:val="auto"/>
                <w:sz w:val="21"/>
                <w:szCs w:val="21"/>
              </w:rPr>
              <w:t>cm/s；或参照GB16889执行。其余区域采取简单防渗处理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 w:val="21"/>
                <w:szCs w:val="21"/>
              </w:rPr>
            </w:pPr>
            <w:r>
              <w:rPr>
                <w:rFonts w:hint="eastAsia" w:ascii="宋体" w:hAnsi="宋体" w:cs="宋体"/>
                <w:color w:val="auto"/>
                <w:sz w:val="21"/>
                <w:szCs w:val="21"/>
              </w:rPr>
              <w:t>生态保护措施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djustRightInd w:val="0"/>
              <w:snapToGrid w:val="0"/>
              <w:spacing w:before="0" w:beforeAutospacing="0" w:after="0" w:afterAutospacing="0" w:line="280" w:lineRule="exact"/>
              <w:ind w:left="-53" w:leftChars="-25" w:right="-53" w:rightChars="-25"/>
              <w:jc w:val="left"/>
              <w:rPr>
                <w:rFonts w:hint="default" w:ascii="宋体" w:hAnsi="宋体" w:cs="宋体"/>
                <w:color w:val="auto"/>
                <w:sz w:val="21"/>
                <w:szCs w:val="21"/>
              </w:rPr>
            </w:pPr>
            <w:r>
              <w:rPr>
                <w:rFonts w:hint="default" w:ascii="宋体" w:hAnsi="宋体" w:cs="宋体"/>
                <w:color w:val="auto"/>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pacing w:val="-8"/>
                <w:sz w:val="21"/>
                <w:szCs w:val="21"/>
              </w:rPr>
            </w:pPr>
            <w:r>
              <w:rPr>
                <w:rFonts w:hint="eastAsia" w:ascii="宋体" w:hAnsi="宋体" w:cs="宋体"/>
                <w:color w:val="auto"/>
                <w:spacing w:val="-8"/>
                <w:sz w:val="21"/>
                <w:szCs w:val="21"/>
              </w:rPr>
              <w:t>环境风险</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pacing w:val="-8"/>
                <w:sz w:val="21"/>
                <w:szCs w:val="21"/>
              </w:rPr>
            </w:pPr>
            <w:r>
              <w:rPr>
                <w:rFonts w:hint="eastAsia" w:ascii="宋体" w:hAnsi="宋体" w:cs="宋体"/>
                <w:color w:val="auto"/>
                <w:spacing w:val="-8"/>
                <w:sz w:val="21"/>
                <w:szCs w:val="21"/>
              </w:rPr>
              <w:t>防范措施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 w:val="21"/>
                <w:szCs w:val="21"/>
              </w:rPr>
            </w:pPr>
            <w:r>
              <w:rPr>
                <w:rFonts w:hint="eastAsia" w:ascii="宋体" w:hAnsi="宋体"/>
                <w:color w:val="auto"/>
                <w:sz w:val="21"/>
                <w:szCs w:val="21"/>
              </w:rPr>
              <w:t>①对危废暂存间进行规范建设，采取“六防”措施，废机油容器周围应设防渗围堰。暂存间地面防渗层为至少</w:t>
            </w:r>
            <w:r>
              <w:rPr>
                <w:rFonts w:hint="eastAsia"/>
                <w:color w:val="auto"/>
                <w:sz w:val="21"/>
                <w:szCs w:val="21"/>
              </w:rPr>
              <w:t>1</w:t>
            </w:r>
            <w:r>
              <w:rPr>
                <w:rFonts w:hint="eastAsia" w:ascii="宋体" w:hAnsi="宋体"/>
                <w:color w:val="auto"/>
                <w:sz w:val="21"/>
                <w:szCs w:val="21"/>
              </w:rPr>
              <w:t>米厚粘土层</w:t>
            </w:r>
            <w:r>
              <w:rPr>
                <w:rFonts w:hint="eastAsia"/>
                <w:color w:val="auto"/>
                <w:sz w:val="21"/>
                <w:szCs w:val="21"/>
              </w:rPr>
              <w:t>(</w:t>
            </w:r>
            <w:r>
              <w:rPr>
                <w:rFonts w:hint="eastAsia" w:ascii="宋体" w:hAnsi="宋体"/>
                <w:color w:val="auto"/>
                <w:sz w:val="21"/>
                <w:szCs w:val="21"/>
              </w:rPr>
              <w:t>渗透系数≤</w:t>
            </w:r>
            <w:r>
              <w:rPr>
                <w:rFonts w:hint="eastAsia"/>
                <w:color w:val="auto"/>
                <w:sz w:val="21"/>
                <w:szCs w:val="21"/>
              </w:rPr>
              <w:t>10-7</w:t>
            </w:r>
            <w:r>
              <w:rPr>
                <w:rFonts w:hint="eastAsia" w:ascii="宋体" w:hAnsi="宋体"/>
                <w:color w:val="auto"/>
                <w:sz w:val="21"/>
                <w:szCs w:val="21"/>
              </w:rPr>
              <w:t>厘米</w:t>
            </w:r>
            <w:r>
              <w:rPr>
                <w:rFonts w:hint="eastAsia"/>
                <w:color w:val="auto"/>
                <w:sz w:val="21"/>
                <w:szCs w:val="21"/>
              </w:rPr>
              <w:t>/</w:t>
            </w:r>
            <w:r>
              <w:rPr>
                <w:rFonts w:hint="eastAsia" w:ascii="宋体" w:hAnsi="宋体"/>
                <w:color w:val="auto"/>
                <w:sz w:val="21"/>
                <w:szCs w:val="21"/>
              </w:rPr>
              <w:t>秒</w:t>
            </w:r>
            <w:r>
              <w:rPr>
                <w:rFonts w:hint="eastAsia"/>
                <w:color w:val="auto"/>
                <w:sz w:val="21"/>
                <w:szCs w:val="21"/>
              </w:rPr>
              <w:t>)</w:t>
            </w:r>
            <w:r>
              <w:rPr>
                <w:rFonts w:hint="eastAsia" w:ascii="宋体" w:hAnsi="宋体"/>
                <w:color w:val="auto"/>
                <w:sz w:val="21"/>
                <w:szCs w:val="21"/>
              </w:rPr>
              <w:t>，或</w:t>
            </w:r>
            <w:r>
              <w:rPr>
                <w:rFonts w:hint="eastAsia"/>
                <w:color w:val="auto"/>
                <w:sz w:val="21"/>
                <w:szCs w:val="21"/>
              </w:rPr>
              <w:t>2</w:t>
            </w:r>
            <w:r>
              <w:rPr>
                <w:rFonts w:hint="eastAsia" w:ascii="宋体" w:hAnsi="宋体"/>
                <w:color w:val="auto"/>
                <w:sz w:val="21"/>
                <w:szCs w:val="21"/>
              </w:rPr>
              <w:t>毫米厚高密度聚乙烯，或至少</w:t>
            </w:r>
            <w:r>
              <w:rPr>
                <w:rFonts w:hint="eastAsia"/>
                <w:color w:val="auto"/>
                <w:sz w:val="21"/>
                <w:szCs w:val="21"/>
              </w:rPr>
              <w:t>2</w:t>
            </w:r>
            <w:r>
              <w:rPr>
                <w:rFonts w:hint="eastAsia" w:ascii="宋体" w:hAnsi="宋体"/>
                <w:color w:val="auto"/>
                <w:sz w:val="21"/>
                <w:szCs w:val="21"/>
              </w:rPr>
              <w:t>毫米厚的其它人工材料，渗透系数≤</w:t>
            </w:r>
            <w:r>
              <w:rPr>
                <w:rFonts w:hint="eastAsia"/>
                <w:color w:val="auto"/>
                <w:sz w:val="21"/>
                <w:szCs w:val="21"/>
              </w:rPr>
              <w:t>10-10</w:t>
            </w:r>
            <w:r>
              <w:rPr>
                <w:rFonts w:hint="eastAsia" w:ascii="宋体" w:hAnsi="宋体"/>
                <w:color w:val="auto"/>
                <w:sz w:val="21"/>
                <w:szCs w:val="21"/>
              </w:rPr>
              <w:t>厘米</w:t>
            </w:r>
            <w:r>
              <w:rPr>
                <w:rFonts w:hint="eastAsia"/>
                <w:color w:val="auto"/>
                <w:sz w:val="21"/>
                <w:szCs w:val="21"/>
              </w:rPr>
              <w:t>/</w:t>
            </w:r>
            <w:r>
              <w:rPr>
                <w:rFonts w:hint="eastAsia" w:ascii="宋体" w:hAnsi="宋体"/>
                <w:color w:val="auto"/>
                <w:sz w:val="21"/>
                <w:szCs w:val="21"/>
              </w:rPr>
              <w:t>秒。废机油等危险废物采用专用油桶暂存，储存间设置在密闭的房间内，储存容器下方配置防流失托盘。</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 w:val="21"/>
                <w:szCs w:val="21"/>
              </w:rPr>
            </w:pPr>
            <w:r>
              <w:rPr>
                <w:rFonts w:hint="eastAsia" w:ascii="宋体" w:hAnsi="宋体"/>
                <w:color w:val="auto"/>
                <w:sz w:val="21"/>
                <w:szCs w:val="21"/>
              </w:rPr>
              <w:t>②危废暂存间等易燃物质区域配备一定数量的消防器材，预防火灾事故发生。认真贯彻“安全第一，预防为主”的方针，安排专门的人员定期负责检查。</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 w:val="21"/>
                <w:szCs w:val="21"/>
              </w:rPr>
            </w:pPr>
            <w:r>
              <w:rPr>
                <w:rFonts w:hint="eastAsia" w:ascii="宋体" w:hAnsi="宋体"/>
                <w:color w:val="auto"/>
                <w:sz w:val="21"/>
                <w:szCs w:val="21"/>
              </w:rPr>
              <w:t>③设置专人看管，防止危废流失进入外环境。暂存间设置警示标志，无关人员不得入内，建立危废台账，加强危险废物管理。严格控制厂区内废油液等危险废物的储存量，达到一定量时立即通知资质单位转移处置，尽量避免长时间暂存。定期对厂区内的危废暂存间等进行检查、保养。</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 w:val="21"/>
                <w:szCs w:val="21"/>
              </w:rPr>
            </w:pPr>
            <w:r>
              <w:rPr>
                <w:rFonts w:hint="eastAsia" w:ascii="宋体" w:hAnsi="宋体"/>
                <w:color w:val="auto"/>
                <w:sz w:val="21"/>
                <w:szCs w:val="21"/>
              </w:rPr>
              <w:t>④危废暂存间外设置明显的标识、标牌，严禁烟火等。暂存间内分类设置各类危废的储存区域，并设置明显标识。</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 w:val="21"/>
                <w:szCs w:val="21"/>
              </w:rPr>
            </w:pPr>
            <w:r>
              <w:rPr>
                <w:rFonts w:hint="eastAsia" w:ascii="宋体" w:hAnsi="宋体"/>
                <w:color w:val="auto"/>
                <w:sz w:val="21"/>
                <w:szCs w:val="21"/>
              </w:rPr>
              <w:t>⑤根据《</w:t>
            </w:r>
            <w:r>
              <w:rPr>
                <w:rFonts w:hint="eastAsia" w:ascii="宋体" w:hAnsi="宋体"/>
                <w:color w:val="auto"/>
                <w:sz w:val="21"/>
                <w:szCs w:val="21"/>
                <w:lang w:eastAsia="zh-CN"/>
              </w:rPr>
              <w:t>中华人民共和国固体废物污染环境防治法</w:t>
            </w:r>
            <w:r>
              <w:rPr>
                <w:rFonts w:hint="eastAsia" w:ascii="宋体" w:hAnsi="宋体"/>
                <w:color w:val="auto"/>
                <w:sz w:val="21"/>
                <w:szCs w:val="21"/>
              </w:rPr>
              <w:t>》规定要求，产生的危险废物应严格按照《四川省环境保护厅关于进一步规范危险废物省内转移工作的通知》（川环函〔</w:t>
            </w:r>
            <w:r>
              <w:rPr>
                <w:rFonts w:hint="eastAsia"/>
                <w:color w:val="auto"/>
                <w:sz w:val="21"/>
                <w:szCs w:val="21"/>
              </w:rPr>
              <w:t>2017</w:t>
            </w:r>
            <w:r>
              <w:rPr>
                <w:rFonts w:hint="eastAsia" w:ascii="宋体" w:hAnsi="宋体"/>
                <w:color w:val="auto"/>
                <w:sz w:val="21"/>
                <w:szCs w:val="21"/>
              </w:rPr>
              <w:t>〕</w:t>
            </w:r>
            <w:r>
              <w:rPr>
                <w:rFonts w:hint="eastAsia"/>
                <w:color w:val="auto"/>
                <w:sz w:val="21"/>
                <w:szCs w:val="21"/>
              </w:rPr>
              <w:t xml:space="preserve">710 </w:t>
            </w:r>
            <w:r>
              <w:rPr>
                <w:rFonts w:hint="eastAsia" w:ascii="宋体" w:hAnsi="宋体"/>
                <w:color w:val="auto"/>
                <w:sz w:val="21"/>
                <w:szCs w:val="21"/>
              </w:rPr>
              <w:t>号）危险废物处置之前，厂内临时储存和运输也应按照危险废物管理和处置相关要求进行。</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 w:val="21"/>
                <w:szCs w:val="21"/>
              </w:rPr>
            </w:pPr>
            <w:r>
              <w:rPr>
                <w:rFonts w:hint="eastAsia" w:ascii="宋体" w:hAnsi="宋体"/>
                <w:color w:val="auto"/>
                <w:sz w:val="21"/>
                <w:szCs w:val="21"/>
              </w:rPr>
              <w:t>⑥废水处理设施应按要求建设，地面采取相应防渗措施，避免废水处理设施发生破裂、渗漏。废水处理沉淀罐基底四周设置</w:t>
            </w:r>
            <w:r>
              <w:rPr>
                <w:rFonts w:hint="eastAsia"/>
                <w:color w:val="auto"/>
                <w:sz w:val="21"/>
                <w:szCs w:val="21"/>
              </w:rPr>
              <w:t>0.5m</w:t>
            </w:r>
            <w:r>
              <w:rPr>
                <w:rFonts w:hint="eastAsia" w:ascii="宋体" w:hAnsi="宋体"/>
                <w:color w:val="auto"/>
                <w:sz w:val="21"/>
                <w:szCs w:val="21"/>
              </w:rPr>
              <w:t>高的防渗围堰，可临时收集事故排水。</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color w:val="auto"/>
                <w:sz w:val="21"/>
                <w:szCs w:val="21"/>
              </w:rPr>
            </w:pPr>
            <w:r>
              <w:rPr>
                <w:rFonts w:hint="eastAsia" w:ascii="宋体" w:hAnsi="宋体"/>
                <w:color w:val="auto"/>
                <w:sz w:val="21"/>
                <w:szCs w:val="21"/>
              </w:rPr>
              <w:t>⑦按照《国家突发环境事件应急预案》（国办函〔</w:t>
            </w:r>
            <w:r>
              <w:rPr>
                <w:rFonts w:hint="eastAsia"/>
                <w:color w:val="auto"/>
                <w:sz w:val="21"/>
                <w:szCs w:val="21"/>
              </w:rPr>
              <w:t>2014</w:t>
            </w:r>
            <w:r>
              <w:rPr>
                <w:rFonts w:hint="eastAsia" w:ascii="宋体" w:hAnsi="宋体"/>
                <w:color w:val="auto"/>
                <w:sz w:val="21"/>
                <w:szCs w:val="21"/>
              </w:rPr>
              <w:t>〕</w:t>
            </w:r>
            <w:r>
              <w:rPr>
                <w:rFonts w:hint="eastAsia"/>
                <w:color w:val="auto"/>
                <w:sz w:val="21"/>
                <w:szCs w:val="21"/>
              </w:rPr>
              <w:t>119</w:t>
            </w:r>
            <w:r>
              <w:rPr>
                <w:rFonts w:hint="eastAsia" w:ascii="宋体" w:hAnsi="宋体"/>
                <w:color w:val="auto"/>
                <w:sz w:val="21"/>
                <w:szCs w:val="21"/>
              </w:rPr>
              <w:t>号）、地方和相关部门的要求，制定符合项目实际需要的应急预案，并定期组织演练，一旦发生事故，迅速采取有效处理措施进行抢险修复，最大限度降低对周围环境和人民生命财产的危害。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35" w:hRule="atLeast"/>
          <w:jc w:val="center"/>
        </w:trPr>
        <w:tc>
          <w:tcPr>
            <w:tcW w:w="1778" w:type="dxa"/>
            <w:tcBorders>
              <w:top w:val="single" w:color="auto" w:sz="4" w:space="0"/>
              <w:left w:val="single" w:color="auto" w:sz="8" w:space="0"/>
              <w:bottom w:val="single" w:color="auto" w:sz="8"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pacing w:val="-8"/>
                <w:sz w:val="21"/>
                <w:szCs w:val="21"/>
              </w:rPr>
            </w:pPr>
            <w:r>
              <w:rPr>
                <w:rFonts w:hint="eastAsia" w:ascii="宋体" w:hAnsi="宋体" w:cs="宋体"/>
                <w:color w:val="auto"/>
                <w:spacing w:val="-8"/>
                <w:sz w:val="21"/>
                <w:szCs w:val="21"/>
              </w:rPr>
              <w:t>其他环境</w:t>
            </w:r>
          </w:p>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pacing w:val="-8"/>
                <w:sz w:val="21"/>
                <w:szCs w:val="21"/>
              </w:rPr>
            </w:pPr>
            <w:r>
              <w:rPr>
                <w:rFonts w:hint="eastAsia" w:ascii="宋体" w:hAnsi="宋体" w:cs="宋体"/>
                <w:color w:val="auto"/>
                <w:spacing w:val="-8"/>
                <w:sz w:val="21"/>
                <w:szCs w:val="21"/>
              </w:rPr>
              <w:t>管理要求</w:t>
            </w: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sz w:val="21"/>
                <w:szCs w:val="21"/>
              </w:rPr>
            </w:pPr>
          </w:p>
          <w:p>
            <w:pPr>
              <w:keepNext w:val="0"/>
              <w:keepLines w:val="0"/>
              <w:suppressLineNumbers w:val="0"/>
              <w:spacing w:before="0" w:beforeAutospacing="0" w:after="0" w:afterAutospacing="0"/>
              <w:ind w:left="0" w:right="0"/>
              <w:rPr>
                <w:rFonts w:hint="default"/>
                <w:color w:val="auto"/>
                <w:sz w:val="21"/>
                <w:szCs w:val="21"/>
              </w:rPr>
            </w:pPr>
          </w:p>
          <w:p>
            <w:pPr>
              <w:keepNext w:val="0"/>
              <w:keepLines w:val="0"/>
              <w:suppressLineNumbers w:val="0"/>
              <w:spacing w:before="0" w:beforeAutospacing="0" w:after="0" w:afterAutospacing="0"/>
              <w:ind w:left="0" w:right="0"/>
              <w:rPr>
                <w:rFonts w:hint="default"/>
                <w:color w:val="auto"/>
                <w:sz w:val="21"/>
                <w:szCs w:val="21"/>
              </w:rPr>
            </w:pPr>
          </w:p>
          <w:p>
            <w:pPr>
              <w:keepNext w:val="0"/>
              <w:keepLines w:val="0"/>
              <w:suppressLineNumbers w:val="0"/>
              <w:spacing w:before="0" w:beforeAutospacing="0" w:after="0" w:afterAutospacing="0"/>
              <w:ind w:left="0" w:right="0"/>
              <w:rPr>
                <w:rFonts w:hint="default"/>
                <w:color w:val="auto"/>
                <w:sz w:val="21"/>
                <w:szCs w:val="21"/>
              </w:rPr>
            </w:pPr>
          </w:p>
          <w:p>
            <w:pPr>
              <w:keepNext w:val="0"/>
              <w:keepLines w:val="0"/>
              <w:suppressLineNumbers w:val="0"/>
              <w:spacing w:before="0" w:beforeAutospacing="0" w:after="0" w:afterAutospacing="0"/>
              <w:ind w:left="0" w:right="0"/>
              <w:rPr>
                <w:rFonts w:hint="default"/>
                <w:color w:val="auto"/>
                <w:sz w:val="21"/>
                <w:szCs w:val="21"/>
              </w:rPr>
            </w:pPr>
          </w:p>
          <w:p>
            <w:pPr>
              <w:keepNext w:val="0"/>
              <w:keepLines w:val="0"/>
              <w:suppressLineNumbers w:val="0"/>
              <w:spacing w:before="0" w:beforeAutospacing="0" w:after="0" w:afterAutospacing="0"/>
              <w:ind w:left="0" w:right="0"/>
              <w:rPr>
                <w:rFonts w:hint="default"/>
                <w:color w:val="auto"/>
                <w:sz w:val="21"/>
                <w:szCs w:val="21"/>
              </w:rPr>
            </w:pPr>
          </w:p>
        </w:tc>
        <w:tc>
          <w:tcPr>
            <w:tcW w:w="7022" w:type="dxa"/>
            <w:gridSpan w:val="4"/>
            <w:tcBorders>
              <w:top w:val="single" w:color="auto" w:sz="4" w:space="0"/>
              <w:left w:val="single" w:color="auto" w:sz="4" w:space="0"/>
              <w:bottom w:val="single" w:color="auto" w:sz="8" w:space="0"/>
              <w:right w:val="single" w:color="auto" w:sz="8" w:space="0"/>
            </w:tcBorders>
            <w:vAlign w:val="center"/>
          </w:tcPr>
          <w:p>
            <w:pPr>
              <w:keepNext w:val="0"/>
              <w:keepLines w:val="0"/>
              <w:suppressLineNumbers w:val="0"/>
              <w:adjustRightInd w:val="0"/>
              <w:snapToGrid w:val="0"/>
              <w:spacing w:before="0" w:beforeAutospacing="0" w:after="0" w:afterAutospacing="0" w:line="280" w:lineRule="exact"/>
              <w:ind w:left="-53" w:leftChars="-25" w:right="-53" w:rightChars="-25"/>
              <w:jc w:val="left"/>
              <w:rPr>
                <w:rFonts w:hint="default" w:ascii="宋体" w:hAnsi="宋体" w:cs="宋体"/>
                <w:color w:val="auto"/>
                <w:sz w:val="21"/>
                <w:szCs w:val="21"/>
              </w:rPr>
            </w:pPr>
          </w:p>
          <w:p>
            <w:pPr>
              <w:keepNext w:val="0"/>
              <w:keepLines w:val="0"/>
              <w:suppressLineNumbers w:val="0"/>
              <w:adjustRightInd w:val="0"/>
              <w:snapToGrid w:val="0"/>
              <w:spacing w:before="0" w:beforeAutospacing="0" w:after="0" w:afterAutospacing="0" w:line="280" w:lineRule="exact"/>
              <w:ind w:left="-53" w:leftChars="-25" w:right="-53" w:rightChars="-25"/>
              <w:jc w:val="left"/>
              <w:rPr>
                <w:rFonts w:hint="default" w:ascii="宋体" w:hAnsi="宋体" w:cs="宋体"/>
                <w:color w:val="auto"/>
                <w:sz w:val="21"/>
                <w:szCs w:val="21"/>
              </w:rPr>
            </w:pPr>
          </w:p>
          <w:p>
            <w:pPr>
              <w:keepNext w:val="0"/>
              <w:keepLines w:val="0"/>
              <w:suppressLineNumbers w:val="0"/>
              <w:adjustRightInd w:val="0"/>
              <w:snapToGrid w:val="0"/>
              <w:spacing w:before="0" w:beforeAutospacing="0" w:after="0" w:afterAutospacing="0" w:line="280" w:lineRule="exact"/>
              <w:ind w:left="-53" w:leftChars="-25" w:right="-53" w:rightChars="-25" w:firstLine="2310" w:firstLineChars="1100"/>
              <w:jc w:val="left"/>
              <w:rPr>
                <w:rFonts w:hint="default" w:ascii="宋体" w:hAnsi="宋体" w:cs="宋体"/>
                <w:color w:val="auto"/>
                <w:sz w:val="21"/>
                <w:szCs w:val="21"/>
              </w:rPr>
            </w:pPr>
            <w:r>
              <w:rPr>
                <w:rFonts w:hint="default" w:ascii="宋体" w:hAnsi="宋体" w:cs="宋体"/>
                <w:color w:val="auto"/>
                <w:sz w:val="21"/>
                <w:szCs w:val="21"/>
              </w:rPr>
              <w:t>无</w:t>
            </w:r>
          </w:p>
          <w:p>
            <w:pPr>
              <w:keepNext w:val="0"/>
              <w:keepLines w:val="0"/>
              <w:suppressLineNumbers w:val="0"/>
              <w:spacing w:before="0" w:beforeAutospacing="0" w:after="0" w:afterAutospacing="0"/>
              <w:ind w:left="0" w:right="0"/>
              <w:rPr>
                <w:rFonts w:hint="default"/>
                <w:color w:val="auto"/>
                <w:sz w:val="21"/>
                <w:szCs w:val="21"/>
              </w:rPr>
            </w:pPr>
          </w:p>
          <w:p>
            <w:pPr>
              <w:keepNext w:val="0"/>
              <w:keepLines w:val="0"/>
              <w:suppressLineNumbers w:val="0"/>
              <w:spacing w:before="0" w:beforeAutospacing="0" w:after="0" w:afterAutospacing="0"/>
              <w:ind w:left="0" w:right="0"/>
              <w:rPr>
                <w:rFonts w:hint="default"/>
                <w:color w:val="auto"/>
                <w:sz w:val="21"/>
                <w:szCs w:val="21"/>
              </w:rPr>
            </w:pPr>
          </w:p>
          <w:p>
            <w:pPr>
              <w:keepNext w:val="0"/>
              <w:keepLines w:val="0"/>
              <w:suppressLineNumbers w:val="0"/>
              <w:spacing w:before="0" w:beforeAutospacing="0" w:after="0" w:afterAutospacing="0"/>
              <w:ind w:left="0" w:right="0"/>
              <w:rPr>
                <w:rFonts w:hint="default"/>
                <w:color w:val="auto"/>
                <w:sz w:val="21"/>
                <w:szCs w:val="21"/>
              </w:rPr>
            </w:pPr>
          </w:p>
          <w:p>
            <w:pPr>
              <w:keepNext w:val="0"/>
              <w:keepLines w:val="0"/>
              <w:suppressLineNumbers w:val="0"/>
              <w:spacing w:before="0" w:beforeAutospacing="0" w:after="0" w:afterAutospacing="0"/>
              <w:ind w:left="0" w:right="0"/>
              <w:rPr>
                <w:rFonts w:hint="default"/>
                <w:color w:val="auto"/>
                <w:sz w:val="21"/>
                <w:szCs w:val="21"/>
              </w:rPr>
            </w:pPr>
          </w:p>
          <w:p>
            <w:pPr>
              <w:keepNext w:val="0"/>
              <w:keepLines w:val="0"/>
              <w:suppressLineNumbers w:val="0"/>
              <w:spacing w:before="0" w:beforeAutospacing="0" w:after="0" w:afterAutospacing="0"/>
              <w:ind w:left="0" w:right="0"/>
              <w:rPr>
                <w:rFonts w:hint="default"/>
                <w:color w:val="auto"/>
                <w:sz w:val="21"/>
                <w:szCs w:val="21"/>
              </w:rPr>
            </w:pPr>
          </w:p>
          <w:p>
            <w:pPr>
              <w:keepNext w:val="0"/>
              <w:keepLines w:val="0"/>
              <w:suppressLineNumbers w:val="0"/>
              <w:spacing w:before="0" w:beforeAutospacing="0" w:after="0" w:afterAutospacing="0"/>
              <w:ind w:left="0" w:right="0"/>
              <w:rPr>
                <w:rFonts w:hint="default"/>
                <w:color w:val="auto"/>
                <w:sz w:val="21"/>
                <w:szCs w:val="21"/>
              </w:rPr>
            </w:pPr>
          </w:p>
          <w:p>
            <w:pPr>
              <w:keepNext w:val="0"/>
              <w:keepLines w:val="0"/>
              <w:suppressLineNumbers w:val="0"/>
              <w:spacing w:before="0" w:beforeAutospacing="0" w:after="0" w:afterAutospacing="0"/>
              <w:ind w:left="0" w:right="0"/>
              <w:rPr>
                <w:rFonts w:hint="default"/>
                <w:color w:val="auto"/>
                <w:sz w:val="21"/>
                <w:szCs w:val="21"/>
              </w:rPr>
            </w:pPr>
          </w:p>
          <w:p>
            <w:pPr>
              <w:keepNext w:val="0"/>
              <w:keepLines w:val="0"/>
              <w:suppressLineNumbers w:val="0"/>
              <w:spacing w:before="0" w:beforeAutospacing="0" w:after="0" w:afterAutospacing="0"/>
              <w:ind w:left="0" w:right="0"/>
              <w:rPr>
                <w:rFonts w:hint="default"/>
                <w:color w:val="auto"/>
                <w:sz w:val="21"/>
                <w:szCs w:val="21"/>
              </w:rPr>
            </w:pPr>
          </w:p>
          <w:p>
            <w:pPr>
              <w:keepNext w:val="0"/>
              <w:keepLines w:val="0"/>
              <w:suppressLineNumbers w:val="0"/>
              <w:spacing w:before="0" w:beforeAutospacing="0" w:after="0" w:afterAutospacing="0"/>
              <w:ind w:left="0" w:right="0"/>
              <w:rPr>
                <w:rFonts w:hint="default"/>
                <w:color w:val="auto"/>
                <w:sz w:val="21"/>
                <w:szCs w:val="21"/>
              </w:rPr>
            </w:pPr>
          </w:p>
          <w:p>
            <w:pPr>
              <w:keepNext w:val="0"/>
              <w:keepLines w:val="0"/>
              <w:suppressLineNumbers w:val="0"/>
              <w:spacing w:before="0" w:beforeAutospacing="0" w:after="0" w:afterAutospacing="0"/>
              <w:ind w:left="0" w:right="0"/>
              <w:rPr>
                <w:rFonts w:hint="default"/>
                <w:color w:val="auto"/>
                <w:sz w:val="21"/>
                <w:szCs w:val="21"/>
              </w:rPr>
            </w:pPr>
          </w:p>
        </w:tc>
      </w:tr>
    </w:tbl>
    <w:p>
      <w:pPr>
        <w:jc w:val="center"/>
        <w:outlineLvl w:val="0"/>
        <w:rPr>
          <w:rFonts w:ascii="黑体" w:hAnsi="黑体" w:eastAsia="黑体" w:cs="Times New Roman"/>
          <w:snapToGrid w:val="0"/>
          <w:color w:val="auto"/>
          <w:kern w:val="0"/>
          <w:sz w:val="30"/>
          <w:szCs w:val="30"/>
        </w:rPr>
      </w:pPr>
      <w:r>
        <w:rPr>
          <w:rFonts w:hint="eastAsia"/>
          <w:snapToGrid w:val="0"/>
          <w:color w:val="auto"/>
          <w:kern w:val="0"/>
          <w:szCs w:val="20"/>
        </w:rPr>
        <w:br w:type="page"/>
      </w:r>
      <w:r>
        <w:rPr>
          <w:rFonts w:hint="eastAsia" w:ascii="黑体" w:hAnsi="黑体" w:eastAsia="黑体"/>
          <w:snapToGrid w:val="0"/>
          <w:color w:val="auto"/>
          <w:sz w:val="30"/>
          <w:szCs w:val="30"/>
        </w:rPr>
        <w:t>六、结论</w:t>
      </w:r>
    </w:p>
    <w:tbl>
      <w:tblPr>
        <w:tblStyle w:val="14"/>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tcPr>
          <w:p>
            <w:pPr>
              <w:keepNext w:val="0"/>
              <w:keepLines w:val="0"/>
              <w:suppressLineNumbers w:val="0"/>
              <w:autoSpaceDE w:val="0"/>
              <w:autoSpaceDN w:val="0"/>
              <w:adjustRightInd w:val="0"/>
              <w:snapToGrid w:val="0"/>
              <w:spacing w:before="240" w:beforeLines="100" w:beforeAutospacing="0" w:after="0" w:afterAutospacing="0" w:line="360" w:lineRule="auto"/>
              <w:ind w:left="0" w:right="0" w:firstLine="422" w:firstLineChars="200"/>
              <w:jc w:val="left"/>
              <w:rPr>
                <w:rFonts w:hint="default" w:cs="宋体"/>
                <w:b/>
                <w:color w:val="auto"/>
                <w:kern w:val="0"/>
                <w:sz w:val="21"/>
                <w:szCs w:val="21"/>
              </w:rPr>
            </w:pPr>
            <w:r>
              <w:rPr>
                <w:rFonts w:hint="eastAsia" w:cs="宋体"/>
                <w:b/>
                <w:color w:val="auto"/>
                <w:kern w:val="0"/>
                <w:sz w:val="21"/>
                <w:szCs w:val="21"/>
                <w:lang w:val="en-US" w:eastAsia="zh-CN"/>
              </w:rPr>
              <w:t>大竹县生财页岩砖厂</w:t>
            </w:r>
            <w:r>
              <w:rPr>
                <w:rFonts w:hint="default" w:cs="宋体"/>
                <w:b/>
                <w:color w:val="auto"/>
                <w:kern w:val="0"/>
                <w:sz w:val="21"/>
                <w:szCs w:val="21"/>
              </w:rPr>
              <w:t>“</w:t>
            </w:r>
            <w:r>
              <w:rPr>
                <w:rFonts w:hint="eastAsia" w:cs="宋体"/>
                <w:b/>
                <w:color w:val="auto"/>
                <w:kern w:val="0"/>
                <w:sz w:val="21"/>
                <w:szCs w:val="21"/>
                <w:lang w:val="en-US" w:eastAsia="zh-CN"/>
              </w:rPr>
              <w:t>大竹县生财页岩砖厂高品质砂石产品生产加工</w:t>
            </w:r>
            <w:r>
              <w:rPr>
                <w:rFonts w:hint="default" w:cs="宋体"/>
                <w:b/>
                <w:color w:val="auto"/>
                <w:kern w:val="0"/>
                <w:sz w:val="21"/>
                <w:szCs w:val="21"/>
              </w:rPr>
              <w:t>项目”符合国家产业政策，选址合理，周围无明显的环境制约因素</w:t>
            </w:r>
            <w:r>
              <w:rPr>
                <w:rFonts w:hint="eastAsia" w:cs="宋体"/>
                <w:b/>
                <w:color w:val="auto"/>
                <w:kern w:val="0"/>
                <w:sz w:val="21"/>
                <w:szCs w:val="21"/>
              </w:rPr>
              <w:t>，</w:t>
            </w:r>
            <w:r>
              <w:rPr>
                <w:rFonts w:hint="default" w:cs="宋体"/>
                <w:b/>
                <w:color w:val="auto"/>
                <w:kern w:val="0"/>
                <w:sz w:val="21"/>
                <w:szCs w:val="21"/>
              </w:rPr>
              <w:t>平面布置合理可行。本项目拟采取的各项污染防治措施可使污染物达综合利用或达标排放。建设单位只要严格落实本环境影响报告表提出的环保措施，能够最大限度地减轻项目建设对周围环境造成的影响。从环保角度论证，本项目在所选地址建设是可行的。</w:t>
            </w:r>
          </w:p>
          <w:p>
            <w:pPr>
              <w:keepNext w:val="0"/>
              <w:keepLines w:val="0"/>
              <w:suppressLineNumbers w:val="0"/>
              <w:spacing w:before="0" w:beforeAutospacing="0" w:after="0" w:afterAutospacing="0" w:line="360" w:lineRule="auto"/>
              <w:ind w:left="0" w:right="0"/>
              <w:jc w:val="left"/>
              <w:rPr>
                <w:rFonts w:hint="default" w:ascii="宋体" w:cs="宋体"/>
                <w:color w:val="auto"/>
                <w:sz w:val="24"/>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bidi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ind w:left="0" w:right="0"/>
              <w:rPr>
                <w:rFonts w:hint="default"/>
                <w:color w:val="auto"/>
              </w:rPr>
            </w:pPr>
          </w:p>
          <w:p>
            <w:pPr>
              <w:keepNext w:val="0"/>
              <w:keepLines w:val="0"/>
              <w:suppressLineNumbers w:val="0"/>
              <w:spacing w:before="0" w:beforeAutospacing="0" w:after="0" w:afterAutospacing="0" w:line="100" w:lineRule="exact"/>
              <w:ind w:left="0" w:leftChars="0" w:right="0"/>
              <w:rPr>
                <w:rFonts w:hint="default"/>
                <w:color w:val="auto"/>
              </w:rPr>
            </w:pPr>
          </w:p>
        </w:tc>
      </w:tr>
    </w:tbl>
    <w:p>
      <w:pPr>
        <w:widowControl/>
        <w:jc w:val="left"/>
        <w:rPr>
          <w:rFonts w:ascii="宋体"/>
          <w:color w:val="auto"/>
        </w:rPr>
        <w:sectPr>
          <w:pgSz w:w="11906" w:h="16838"/>
          <w:pgMar w:top="1701" w:right="1531" w:bottom="1701" w:left="1531" w:header="851" w:footer="1077" w:gutter="0"/>
          <w:pgNumType w:fmt="numberInDash"/>
          <w:cols w:space="720" w:num="1"/>
          <w:docGrid w:linePitch="286" w:charSpace="0"/>
        </w:sectPr>
      </w:pPr>
    </w:p>
    <w:p>
      <w:pPr>
        <w:adjustRightInd w:val="0"/>
        <w:snapToGrid w:val="0"/>
        <w:spacing w:before="0" w:beforeAutospacing="0" w:after="0" w:afterAutospacing="0" w:line="648" w:lineRule="auto"/>
        <w:outlineLvl w:val="0"/>
        <w:rPr>
          <w:rFonts w:ascii="黑体" w:hAnsi="黑体" w:eastAsia="黑体" w:cs="Times New Roman"/>
          <w:snapToGrid w:val="0"/>
          <w:color w:val="auto"/>
          <w:kern w:val="0"/>
          <w:sz w:val="32"/>
          <w:szCs w:val="32"/>
        </w:rPr>
      </w:pPr>
      <w:r>
        <w:rPr>
          <w:rFonts w:hint="eastAsia" w:ascii="黑体" w:hAnsi="黑体" w:eastAsia="黑体"/>
          <w:snapToGrid w:val="0"/>
          <w:color w:val="auto"/>
          <w:sz w:val="32"/>
          <w:szCs w:val="32"/>
        </w:rPr>
        <w:t>附表</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jc w:val="center"/>
        <w:textAlignment w:val="auto"/>
        <w:outlineLvl w:val="0"/>
        <w:rPr>
          <w:rFonts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14"/>
        <w:tblW w:w="1383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422"/>
        <w:gridCol w:w="1707"/>
        <w:gridCol w:w="1280"/>
        <w:gridCol w:w="1707"/>
        <w:gridCol w:w="1565"/>
        <w:gridCol w:w="1766"/>
        <w:gridCol w:w="1504"/>
        <w:gridCol w:w="12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1594"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pPr>
              <w:keepNext w:val="0"/>
              <w:keepLines w:val="0"/>
              <w:suppressLineNumbers w:val="0"/>
              <w:spacing w:before="31" w:beforeAutospacing="0" w:after="0" w:afterAutospacing="0" w:line="240" w:lineRule="auto"/>
              <w:ind w:left="0" w:right="0"/>
              <w:jc w:val="center"/>
              <w:rPr>
                <w:rFonts w:hint="default"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lang w:val="en-US" w:eastAsia="zh-CN"/>
              </w:rPr>
              <w:t xml:space="preserve">         </w:t>
            </w:r>
            <w:r>
              <w:rPr>
                <w:rFonts w:hint="eastAsia" w:ascii="黑体" w:hAnsi="黑体" w:eastAsia="黑体" w:cs="宋体"/>
                <w:snapToGrid w:val="0"/>
                <w:color w:val="auto"/>
                <w:spacing w:val="-6"/>
                <w:kern w:val="21"/>
                <w:sz w:val="21"/>
                <w:szCs w:val="21"/>
              </w:rPr>
              <w:t>项目</w:t>
            </w:r>
          </w:p>
          <w:p>
            <w:pPr>
              <w:keepNext w:val="0"/>
              <w:keepLines w:val="0"/>
              <w:suppressLineNumbers w:val="0"/>
              <w:spacing w:before="31" w:beforeAutospacing="0" w:after="0" w:afterAutospacing="0" w:line="240" w:lineRule="auto"/>
              <w:ind w:left="0" w:right="0"/>
              <w:jc w:val="both"/>
              <w:rPr>
                <w:rFonts w:hint="default"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分类</w:t>
            </w:r>
          </w:p>
        </w:tc>
        <w:tc>
          <w:tcPr>
            <w:tcW w:w="1422"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31" w:beforeAutospacing="0" w:after="0" w:afterAutospacing="0" w:line="240" w:lineRule="auto"/>
              <w:ind w:left="0" w:right="0"/>
              <w:jc w:val="center"/>
              <w:rPr>
                <w:rFonts w:hint="default" w:ascii="黑体" w:hAnsi="黑体" w:eastAsia="黑体" w:cs="宋体"/>
                <w:snapToGrid w:val="0"/>
                <w:color w:val="auto"/>
                <w:spacing w:val="-6"/>
                <w:kern w:val="21"/>
                <w:sz w:val="21"/>
                <w:szCs w:val="21"/>
              </w:rPr>
            </w:pPr>
            <w:r>
              <w:rPr>
                <w:rFonts w:hint="eastAsia" w:ascii="黑体" w:hAnsi="黑体" w:eastAsia="黑体" w:cs="宋体"/>
                <w:snapToGrid w:val="0"/>
                <w:color w:val="auto"/>
                <w:spacing w:val="-6"/>
                <w:kern w:val="21"/>
                <w:sz w:val="21"/>
                <w:szCs w:val="21"/>
              </w:rPr>
              <w:t>污染物名称</w:t>
            </w:r>
          </w:p>
        </w:tc>
        <w:tc>
          <w:tcPr>
            <w:tcW w:w="1707"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31" w:beforeAutospacing="0" w:after="0" w:afterAutospacing="0" w:line="240" w:lineRule="auto"/>
              <w:ind w:left="0" w:right="0"/>
              <w:jc w:val="center"/>
              <w:rPr>
                <w:rFonts w:hint="default" w:ascii="黑体" w:hAnsi="黑体" w:eastAsia="黑体"/>
                <w:snapToGrid w:val="0"/>
                <w:color w:val="auto"/>
                <w:spacing w:val="-6"/>
                <w:kern w:val="21"/>
                <w:sz w:val="21"/>
                <w:szCs w:val="21"/>
              </w:rPr>
            </w:pPr>
            <w:r>
              <w:rPr>
                <w:rFonts w:hint="eastAsia" w:ascii="黑体" w:hAnsi="黑体" w:eastAsia="黑体"/>
                <w:snapToGrid w:val="0"/>
                <w:color w:val="auto"/>
                <w:spacing w:val="-6"/>
                <w:kern w:val="21"/>
                <w:sz w:val="21"/>
                <w:szCs w:val="21"/>
              </w:rPr>
              <w:t>现有工程</w:t>
            </w:r>
          </w:p>
          <w:p>
            <w:pPr>
              <w:keepNext w:val="0"/>
              <w:keepLines w:val="0"/>
              <w:suppressLineNumbers w:val="0"/>
              <w:spacing w:before="31" w:beforeAutospacing="0" w:after="0" w:afterAutospacing="0" w:line="240" w:lineRule="auto"/>
              <w:ind w:left="0" w:right="0"/>
              <w:jc w:val="center"/>
              <w:rPr>
                <w:rFonts w:hint="default" w:ascii="黑体" w:hAnsi="黑体" w:eastAsia="黑体"/>
                <w:snapToGrid w:val="0"/>
                <w:color w:val="auto"/>
                <w:spacing w:val="-6"/>
                <w:kern w:val="21"/>
                <w:sz w:val="21"/>
                <w:szCs w:val="21"/>
              </w:rPr>
            </w:pPr>
            <w:r>
              <w:rPr>
                <w:rFonts w:hint="eastAsia" w:ascii="黑体" w:hAnsi="黑体" w:eastAsia="黑体"/>
                <w:snapToGrid w:val="0"/>
                <w:color w:val="auto"/>
                <w:spacing w:val="-6"/>
                <w:kern w:val="21"/>
                <w:sz w:val="21"/>
                <w:szCs w:val="21"/>
              </w:rPr>
              <w:t>排放量（固体废物产生量）</w:t>
            </w:r>
            <w:r>
              <w:rPr>
                <w:rFonts w:hint="eastAsia" w:ascii="黑体" w:hAnsi="黑体" w:eastAsia="黑体"/>
                <w:snapToGrid w:val="0"/>
                <w:color w:val="auto"/>
                <w:spacing w:val="-6"/>
                <w:kern w:val="21"/>
                <w:sz w:val="21"/>
                <w:szCs w:val="21"/>
              </w:rPr>
              <w:fldChar w:fldCharType="begin"/>
            </w:r>
            <w:r>
              <w:rPr>
                <w:rFonts w:hint="eastAsia" w:ascii="黑体" w:hAnsi="黑体" w:eastAsia="黑体"/>
                <w:snapToGrid w:val="0"/>
                <w:color w:val="auto"/>
                <w:spacing w:val="-6"/>
                <w:kern w:val="21"/>
                <w:sz w:val="21"/>
                <w:szCs w:val="21"/>
              </w:rPr>
              <w:instrText xml:space="preserve"> = 1 \* GB3 \* MERGEFORMAT </w:instrText>
            </w:r>
            <w:r>
              <w:rPr>
                <w:rFonts w:hint="eastAsia" w:ascii="黑体" w:hAnsi="黑体" w:eastAsia="黑体"/>
                <w:snapToGrid w:val="0"/>
                <w:color w:val="auto"/>
                <w:spacing w:val="-6"/>
                <w:kern w:val="21"/>
                <w:sz w:val="21"/>
                <w:szCs w:val="21"/>
              </w:rPr>
              <w:fldChar w:fldCharType="separate"/>
            </w:r>
            <w:r>
              <w:rPr>
                <w:rFonts w:hint="eastAsia" w:ascii="黑体" w:hAnsi="黑体" w:eastAsia="黑体" w:cs="宋体"/>
                <w:color w:val="auto"/>
                <w:sz w:val="21"/>
                <w:szCs w:val="21"/>
              </w:rPr>
              <w:t>①</w:t>
            </w:r>
            <w:r>
              <w:rPr>
                <w:rFonts w:hint="eastAsia" w:ascii="黑体" w:hAnsi="黑体" w:eastAsia="黑体"/>
                <w:snapToGrid w:val="0"/>
                <w:color w:val="auto"/>
                <w:spacing w:val="-6"/>
                <w:kern w:val="21"/>
                <w:sz w:val="21"/>
                <w:szCs w:val="21"/>
              </w:rPr>
              <w:fldChar w:fldCharType="end"/>
            </w:r>
          </w:p>
        </w:tc>
        <w:tc>
          <w:tcPr>
            <w:tcW w:w="1280"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31" w:beforeAutospacing="0" w:after="0" w:afterAutospacing="0" w:line="240" w:lineRule="auto"/>
              <w:ind w:left="0" w:right="0"/>
              <w:jc w:val="center"/>
              <w:rPr>
                <w:rFonts w:hint="default" w:ascii="黑体" w:hAnsi="黑体" w:eastAsia="黑体"/>
                <w:snapToGrid w:val="0"/>
                <w:color w:val="auto"/>
                <w:spacing w:val="-6"/>
                <w:kern w:val="21"/>
                <w:sz w:val="21"/>
                <w:szCs w:val="21"/>
              </w:rPr>
            </w:pPr>
            <w:r>
              <w:rPr>
                <w:rFonts w:hint="eastAsia" w:ascii="黑体" w:hAnsi="黑体" w:eastAsia="黑体"/>
                <w:snapToGrid w:val="0"/>
                <w:color w:val="auto"/>
                <w:spacing w:val="-6"/>
                <w:kern w:val="21"/>
                <w:sz w:val="21"/>
                <w:szCs w:val="21"/>
              </w:rPr>
              <w:t>现有工程</w:t>
            </w:r>
          </w:p>
          <w:p>
            <w:pPr>
              <w:keepNext w:val="0"/>
              <w:keepLines w:val="0"/>
              <w:suppressLineNumbers w:val="0"/>
              <w:spacing w:before="31" w:beforeAutospacing="0" w:after="0" w:afterAutospacing="0" w:line="240" w:lineRule="auto"/>
              <w:ind w:left="0" w:right="0"/>
              <w:jc w:val="center"/>
              <w:rPr>
                <w:rFonts w:hint="default" w:ascii="黑体" w:hAnsi="黑体" w:eastAsia="黑体"/>
                <w:snapToGrid w:val="0"/>
                <w:color w:val="auto"/>
                <w:spacing w:val="-6"/>
                <w:kern w:val="21"/>
                <w:sz w:val="21"/>
                <w:szCs w:val="21"/>
              </w:rPr>
            </w:pPr>
            <w:r>
              <w:rPr>
                <w:rFonts w:hint="eastAsia" w:ascii="黑体" w:hAnsi="黑体" w:eastAsia="黑体"/>
                <w:snapToGrid w:val="0"/>
                <w:color w:val="auto"/>
                <w:spacing w:val="-6"/>
                <w:kern w:val="21"/>
                <w:sz w:val="21"/>
                <w:szCs w:val="21"/>
              </w:rPr>
              <w:t>许可排放量</w:t>
            </w:r>
          </w:p>
          <w:p>
            <w:pPr>
              <w:keepNext w:val="0"/>
              <w:keepLines w:val="0"/>
              <w:suppressLineNumbers w:val="0"/>
              <w:spacing w:before="31" w:beforeAutospacing="0" w:after="0" w:afterAutospacing="0"/>
              <w:ind w:left="0" w:right="0"/>
              <w:jc w:val="center"/>
              <w:rPr>
                <w:rFonts w:hint="default" w:ascii="黑体" w:hAnsi="黑体" w:eastAsia="黑体"/>
                <w:snapToGrid w:val="0"/>
                <w:color w:val="auto"/>
                <w:spacing w:val="-6"/>
                <w:kern w:val="21"/>
                <w:sz w:val="21"/>
                <w:szCs w:val="21"/>
              </w:rPr>
            </w:pPr>
            <w:r>
              <w:rPr>
                <w:rFonts w:hint="eastAsia" w:ascii="黑体" w:hAnsi="黑体" w:eastAsia="黑体"/>
                <w:snapToGrid w:val="0"/>
                <w:color w:val="auto"/>
                <w:spacing w:val="-6"/>
                <w:kern w:val="21"/>
                <w:sz w:val="21"/>
                <w:szCs w:val="21"/>
              </w:rPr>
              <w:fldChar w:fldCharType="begin"/>
            </w:r>
            <w:r>
              <w:rPr>
                <w:rFonts w:hint="eastAsia" w:ascii="黑体" w:hAnsi="黑体" w:eastAsia="黑体"/>
                <w:snapToGrid w:val="0"/>
                <w:color w:val="auto"/>
                <w:spacing w:val="-6"/>
                <w:kern w:val="21"/>
                <w:sz w:val="21"/>
                <w:szCs w:val="21"/>
              </w:rPr>
              <w:instrText xml:space="preserve"> = 2 \* GB3 \* MERGEFORMAT </w:instrText>
            </w:r>
            <w:r>
              <w:rPr>
                <w:rFonts w:hint="eastAsia" w:ascii="黑体" w:hAnsi="黑体" w:eastAsia="黑体"/>
                <w:snapToGrid w:val="0"/>
                <w:color w:val="auto"/>
                <w:spacing w:val="-6"/>
                <w:kern w:val="21"/>
                <w:sz w:val="21"/>
                <w:szCs w:val="21"/>
              </w:rPr>
              <w:fldChar w:fldCharType="separate"/>
            </w:r>
            <w:r>
              <w:rPr>
                <w:rFonts w:hint="eastAsia" w:ascii="黑体" w:hAnsi="黑体" w:eastAsia="黑体" w:cs="宋体"/>
                <w:snapToGrid w:val="0"/>
                <w:color w:val="auto"/>
                <w:spacing w:val="-6"/>
                <w:kern w:val="21"/>
                <w:sz w:val="21"/>
                <w:szCs w:val="21"/>
              </w:rPr>
              <w:t>②</w:t>
            </w:r>
            <w:r>
              <w:rPr>
                <w:rFonts w:hint="eastAsia" w:ascii="黑体" w:hAnsi="黑体" w:eastAsia="黑体"/>
                <w:snapToGrid w:val="0"/>
                <w:color w:val="auto"/>
                <w:spacing w:val="-6"/>
                <w:kern w:val="21"/>
                <w:sz w:val="21"/>
                <w:szCs w:val="21"/>
              </w:rPr>
              <w:fldChar w:fldCharType="end"/>
            </w:r>
          </w:p>
        </w:tc>
        <w:tc>
          <w:tcPr>
            <w:tcW w:w="1707"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31" w:beforeAutospacing="0" w:after="0" w:afterAutospacing="0" w:line="240" w:lineRule="auto"/>
              <w:ind w:left="0" w:right="0"/>
              <w:jc w:val="center"/>
              <w:rPr>
                <w:rFonts w:hint="default" w:ascii="黑体" w:hAnsi="黑体" w:eastAsia="黑体"/>
                <w:snapToGrid w:val="0"/>
                <w:color w:val="auto"/>
                <w:spacing w:val="-6"/>
                <w:kern w:val="21"/>
                <w:sz w:val="21"/>
                <w:szCs w:val="21"/>
              </w:rPr>
            </w:pPr>
            <w:r>
              <w:rPr>
                <w:rFonts w:hint="eastAsia" w:ascii="黑体" w:hAnsi="黑体" w:eastAsia="黑体"/>
                <w:snapToGrid w:val="0"/>
                <w:color w:val="auto"/>
                <w:spacing w:val="-6"/>
                <w:kern w:val="21"/>
                <w:sz w:val="21"/>
                <w:szCs w:val="21"/>
              </w:rPr>
              <w:t>在建工程排放量（固体废物产生量）</w:t>
            </w:r>
            <w:r>
              <w:rPr>
                <w:rFonts w:hint="eastAsia" w:ascii="黑体" w:hAnsi="黑体" w:eastAsia="黑体"/>
                <w:snapToGrid w:val="0"/>
                <w:color w:val="auto"/>
                <w:spacing w:val="-6"/>
                <w:kern w:val="21"/>
                <w:sz w:val="21"/>
                <w:szCs w:val="21"/>
              </w:rPr>
              <w:fldChar w:fldCharType="begin"/>
            </w:r>
            <w:r>
              <w:rPr>
                <w:rFonts w:hint="eastAsia" w:ascii="黑体" w:hAnsi="黑体" w:eastAsia="黑体"/>
                <w:snapToGrid w:val="0"/>
                <w:color w:val="auto"/>
                <w:spacing w:val="-6"/>
                <w:kern w:val="21"/>
                <w:sz w:val="21"/>
                <w:szCs w:val="21"/>
              </w:rPr>
              <w:instrText xml:space="preserve"> = 3 \* GB3 \* MERGEFORMAT </w:instrText>
            </w:r>
            <w:r>
              <w:rPr>
                <w:rFonts w:hint="eastAsia" w:ascii="黑体" w:hAnsi="黑体" w:eastAsia="黑体"/>
                <w:snapToGrid w:val="0"/>
                <w:color w:val="auto"/>
                <w:spacing w:val="-6"/>
                <w:kern w:val="21"/>
                <w:sz w:val="21"/>
                <w:szCs w:val="21"/>
              </w:rPr>
              <w:fldChar w:fldCharType="separate"/>
            </w:r>
            <w:r>
              <w:rPr>
                <w:rFonts w:hint="eastAsia" w:ascii="黑体" w:hAnsi="黑体" w:eastAsia="黑体" w:cs="宋体"/>
                <w:color w:val="auto"/>
                <w:sz w:val="21"/>
                <w:szCs w:val="21"/>
              </w:rPr>
              <w:t>③</w:t>
            </w:r>
            <w:r>
              <w:rPr>
                <w:rFonts w:hint="eastAsia" w:ascii="黑体" w:hAnsi="黑体" w:eastAsia="黑体"/>
                <w:snapToGrid w:val="0"/>
                <w:color w:val="auto"/>
                <w:spacing w:val="-6"/>
                <w:kern w:val="21"/>
                <w:sz w:val="21"/>
                <w:szCs w:val="21"/>
              </w:rPr>
              <w:fldChar w:fldCharType="end"/>
            </w:r>
          </w:p>
        </w:tc>
        <w:tc>
          <w:tcPr>
            <w:tcW w:w="1565"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31" w:beforeAutospacing="0" w:after="0" w:afterAutospacing="0" w:line="240" w:lineRule="auto"/>
              <w:ind w:left="0" w:right="0"/>
              <w:jc w:val="center"/>
              <w:rPr>
                <w:rFonts w:hint="default" w:ascii="黑体" w:hAnsi="黑体" w:eastAsia="黑体"/>
                <w:snapToGrid w:val="0"/>
                <w:color w:val="auto"/>
                <w:spacing w:val="-6"/>
                <w:kern w:val="21"/>
                <w:sz w:val="21"/>
                <w:szCs w:val="21"/>
              </w:rPr>
            </w:pPr>
            <w:r>
              <w:rPr>
                <w:rFonts w:hint="eastAsia" w:ascii="黑体" w:hAnsi="黑体" w:eastAsia="黑体"/>
                <w:snapToGrid w:val="0"/>
                <w:color w:val="auto"/>
                <w:spacing w:val="-6"/>
                <w:kern w:val="21"/>
                <w:sz w:val="21"/>
                <w:szCs w:val="21"/>
              </w:rPr>
              <w:t>本项目排放量（固体废物产生量）</w:t>
            </w:r>
            <w:r>
              <w:rPr>
                <w:rFonts w:hint="eastAsia" w:ascii="黑体" w:hAnsi="黑体" w:eastAsia="黑体"/>
                <w:snapToGrid w:val="0"/>
                <w:color w:val="auto"/>
                <w:spacing w:val="-6"/>
                <w:kern w:val="21"/>
                <w:sz w:val="21"/>
                <w:szCs w:val="21"/>
              </w:rPr>
              <w:fldChar w:fldCharType="begin"/>
            </w:r>
            <w:r>
              <w:rPr>
                <w:rFonts w:hint="eastAsia" w:ascii="黑体" w:hAnsi="黑体" w:eastAsia="黑体"/>
                <w:snapToGrid w:val="0"/>
                <w:color w:val="auto"/>
                <w:spacing w:val="-6"/>
                <w:kern w:val="21"/>
                <w:sz w:val="21"/>
                <w:szCs w:val="21"/>
              </w:rPr>
              <w:instrText xml:space="preserve"> = 4 \* GB3 \* MERGEFORMAT </w:instrText>
            </w:r>
            <w:r>
              <w:rPr>
                <w:rFonts w:hint="eastAsia" w:ascii="黑体" w:hAnsi="黑体" w:eastAsia="黑体"/>
                <w:snapToGrid w:val="0"/>
                <w:color w:val="auto"/>
                <w:spacing w:val="-6"/>
                <w:kern w:val="21"/>
                <w:sz w:val="21"/>
                <w:szCs w:val="21"/>
              </w:rPr>
              <w:fldChar w:fldCharType="separate"/>
            </w:r>
            <w:r>
              <w:rPr>
                <w:rFonts w:hint="eastAsia" w:ascii="黑体" w:hAnsi="黑体" w:eastAsia="黑体" w:cs="宋体"/>
                <w:color w:val="auto"/>
                <w:sz w:val="21"/>
                <w:szCs w:val="21"/>
              </w:rPr>
              <w:t>④</w:t>
            </w:r>
            <w:r>
              <w:rPr>
                <w:rFonts w:hint="eastAsia" w:ascii="黑体" w:hAnsi="黑体" w:eastAsia="黑体"/>
                <w:snapToGrid w:val="0"/>
                <w:color w:val="auto"/>
                <w:spacing w:val="-6"/>
                <w:kern w:val="21"/>
                <w:sz w:val="21"/>
                <w:szCs w:val="21"/>
              </w:rPr>
              <w:fldChar w:fldCharType="end"/>
            </w:r>
          </w:p>
        </w:tc>
        <w:tc>
          <w:tcPr>
            <w:tcW w:w="176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31" w:beforeAutospacing="0" w:after="0" w:afterAutospacing="0" w:line="240" w:lineRule="auto"/>
              <w:ind w:left="0" w:right="0"/>
              <w:jc w:val="center"/>
              <w:rPr>
                <w:rFonts w:hint="default" w:ascii="黑体" w:hAnsi="黑体" w:eastAsia="黑体"/>
                <w:snapToGrid w:val="0"/>
                <w:color w:val="auto"/>
                <w:spacing w:val="-16"/>
                <w:kern w:val="21"/>
                <w:sz w:val="21"/>
                <w:szCs w:val="21"/>
              </w:rPr>
            </w:pPr>
            <w:r>
              <w:rPr>
                <w:rFonts w:hint="eastAsia" w:ascii="黑体" w:hAnsi="黑体" w:eastAsia="黑体"/>
                <w:snapToGrid w:val="0"/>
                <w:color w:val="auto"/>
                <w:spacing w:val="-16"/>
                <w:kern w:val="21"/>
                <w:sz w:val="21"/>
                <w:szCs w:val="21"/>
              </w:rPr>
              <w:t>以新带老削减量</w:t>
            </w:r>
          </w:p>
          <w:p>
            <w:pPr>
              <w:keepNext w:val="0"/>
              <w:keepLines w:val="0"/>
              <w:suppressLineNumbers w:val="0"/>
              <w:spacing w:before="31" w:beforeAutospacing="0" w:after="0" w:afterAutospacing="0" w:line="240" w:lineRule="auto"/>
              <w:ind w:left="0" w:right="0"/>
              <w:jc w:val="center"/>
              <w:rPr>
                <w:rFonts w:hint="default" w:ascii="黑体" w:hAnsi="黑体" w:eastAsia="黑体"/>
                <w:snapToGrid w:val="0"/>
                <w:color w:val="auto"/>
                <w:spacing w:val="-16"/>
                <w:kern w:val="21"/>
                <w:sz w:val="21"/>
                <w:szCs w:val="21"/>
              </w:rPr>
            </w:pPr>
            <w:r>
              <w:rPr>
                <w:rFonts w:hint="eastAsia" w:ascii="黑体" w:hAnsi="黑体" w:eastAsia="黑体"/>
                <w:snapToGrid w:val="0"/>
                <w:color w:val="auto"/>
                <w:spacing w:val="-16"/>
                <w:kern w:val="21"/>
                <w:sz w:val="21"/>
                <w:szCs w:val="21"/>
              </w:rPr>
              <w:t>（新建项目不填）</w:t>
            </w:r>
            <w:r>
              <w:rPr>
                <w:rFonts w:hint="eastAsia" w:ascii="黑体" w:hAnsi="黑体" w:eastAsia="黑体"/>
                <w:snapToGrid w:val="0"/>
                <w:color w:val="auto"/>
                <w:spacing w:val="-16"/>
                <w:kern w:val="21"/>
                <w:sz w:val="21"/>
                <w:szCs w:val="21"/>
              </w:rPr>
              <w:fldChar w:fldCharType="begin"/>
            </w:r>
            <w:r>
              <w:rPr>
                <w:rFonts w:hint="eastAsia" w:ascii="黑体" w:hAnsi="黑体" w:eastAsia="黑体"/>
                <w:snapToGrid w:val="0"/>
                <w:color w:val="auto"/>
                <w:spacing w:val="-16"/>
                <w:kern w:val="21"/>
                <w:sz w:val="21"/>
                <w:szCs w:val="21"/>
              </w:rPr>
              <w:instrText xml:space="preserve"> = 5 \* GB3 \* MERGEFORMAT </w:instrText>
            </w:r>
            <w:r>
              <w:rPr>
                <w:rFonts w:hint="eastAsia" w:ascii="黑体" w:hAnsi="黑体" w:eastAsia="黑体"/>
                <w:snapToGrid w:val="0"/>
                <w:color w:val="auto"/>
                <w:spacing w:val="-16"/>
                <w:kern w:val="21"/>
                <w:sz w:val="21"/>
                <w:szCs w:val="21"/>
              </w:rPr>
              <w:fldChar w:fldCharType="separate"/>
            </w:r>
            <w:r>
              <w:rPr>
                <w:rFonts w:hint="eastAsia" w:ascii="黑体" w:hAnsi="黑体" w:eastAsia="黑体" w:cs="宋体"/>
                <w:color w:val="auto"/>
                <w:sz w:val="21"/>
                <w:szCs w:val="21"/>
              </w:rPr>
              <w:t>⑤</w:t>
            </w:r>
            <w:r>
              <w:rPr>
                <w:rFonts w:hint="eastAsia" w:ascii="黑体" w:hAnsi="黑体" w:eastAsia="黑体"/>
                <w:snapToGrid w:val="0"/>
                <w:color w:val="auto"/>
                <w:spacing w:val="-16"/>
                <w:kern w:val="21"/>
                <w:sz w:val="21"/>
                <w:szCs w:val="21"/>
              </w:rPr>
              <w:fldChar w:fldCharType="end"/>
            </w:r>
          </w:p>
        </w:tc>
        <w:tc>
          <w:tcPr>
            <w:tcW w:w="1504"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keepNext w:val="0"/>
              <w:keepLines w:val="0"/>
              <w:suppressLineNumbers w:val="0"/>
              <w:spacing w:before="31" w:beforeAutospacing="0" w:after="0" w:afterAutospacing="0" w:line="240" w:lineRule="auto"/>
              <w:ind w:left="0" w:right="0"/>
              <w:jc w:val="center"/>
              <w:rPr>
                <w:rFonts w:hint="default" w:ascii="黑体" w:hAnsi="黑体" w:eastAsia="黑体"/>
                <w:snapToGrid w:val="0"/>
                <w:color w:val="auto"/>
                <w:spacing w:val="-16"/>
                <w:kern w:val="21"/>
                <w:sz w:val="21"/>
                <w:szCs w:val="21"/>
              </w:rPr>
            </w:pPr>
            <w:r>
              <w:rPr>
                <w:rFonts w:hint="eastAsia" w:ascii="黑体" w:hAnsi="黑体" w:eastAsia="黑体"/>
                <w:snapToGrid w:val="0"/>
                <w:color w:val="auto"/>
                <w:spacing w:val="-16"/>
                <w:kern w:val="21"/>
                <w:sz w:val="21"/>
                <w:szCs w:val="21"/>
              </w:rPr>
              <w:t>本项目建成后</w:t>
            </w:r>
          </w:p>
          <w:p>
            <w:pPr>
              <w:keepNext w:val="0"/>
              <w:keepLines w:val="0"/>
              <w:suppressLineNumbers w:val="0"/>
              <w:spacing w:before="31" w:beforeAutospacing="0" w:after="0" w:afterAutospacing="0" w:line="240" w:lineRule="auto"/>
              <w:ind w:left="0" w:right="0"/>
              <w:jc w:val="center"/>
              <w:rPr>
                <w:rFonts w:hint="default" w:ascii="黑体" w:hAnsi="黑体" w:eastAsia="黑体"/>
                <w:snapToGrid w:val="0"/>
                <w:color w:val="auto"/>
                <w:spacing w:val="-16"/>
                <w:kern w:val="21"/>
                <w:sz w:val="21"/>
                <w:szCs w:val="21"/>
              </w:rPr>
            </w:pPr>
            <w:r>
              <w:rPr>
                <w:rFonts w:hint="eastAsia" w:ascii="黑体" w:hAnsi="黑体" w:eastAsia="黑体"/>
                <w:snapToGrid w:val="0"/>
                <w:color w:val="auto"/>
                <w:spacing w:val="-16"/>
                <w:kern w:val="21"/>
                <w:sz w:val="21"/>
                <w:szCs w:val="21"/>
              </w:rPr>
              <w:t>全厂排放量（固体废物产生量）</w:t>
            </w:r>
            <w:r>
              <w:rPr>
                <w:rFonts w:hint="eastAsia" w:ascii="黑体" w:hAnsi="黑体" w:eastAsia="黑体"/>
                <w:snapToGrid w:val="0"/>
                <w:color w:val="auto"/>
                <w:spacing w:val="-16"/>
                <w:kern w:val="21"/>
                <w:sz w:val="21"/>
                <w:szCs w:val="21"/>
              </w:rPr>
              <w:fldChar w:fldCharType="begin"/>
            </w:r>
            <w:r>
              <w:rPr>
                <w:rFonts w:hint="eastAsia" w:ascii="黑体" w:hAnsi="黑体" w:eastAsia="黑体"/>
                <w:snapToGrid w:val="0"/>
                <w:color w:val="auto"/>
                <w:spacing w:val="-16"/>
                <w:kern w:val="21"/>
                <w:sz w:val="21"/>
                <w:szCs w:val="21"/>
              </w:rPr>
              <w:instrText xml:space="preserve"> = 6 \* GB3 \* MERGEFORMAT </w:instrText>
            </w:r>
            <w:r>
              <w:rPr>
                <w:rFonts w:hint="eastAsia" w:ascii="黑体" w:hAnsi="黑体" w:eastAsia="黑体"/>
                <w:snapToGrid w:val="0"/>
                <w:color w:val="auto"/>
                <w:spacing w:val="-16"/>
                <w:kern w:val="21"/>
                <w:sz w:val="21"/>
                <w:szCs w:val="21"/>
              </w:rPr>
              <w:fldChar w:fldCharType="separate"/>
            </w:r>
            <w:r>
              <w:rPr>
                <w:rFonts w:hint="eastAsia" w:ascii="黑体" w:hAnsi="黑体" w:eastAsia="黑体" w:cs="宋体"/>
                <w:color w:val="auto"/>
                <w:sz w:val="21"/>
                <w:szCs w:val="21"/>
              </w:rPr>
              <w:t>⑥</w:t>
            </w:r>
            <w:r>
              <w:rPr>
                <w:rFonts w:hint="eastAsia" w:ascii="黑体" w:hAnsi="黑体" w:eastAsia="黑体"/>
                <w:snapToGrid w:val="0"/>
                <w:color w:val="auto"/>
                <w:spacing w:val="-16"/>
                <w:kern w:val="21"/>
                <w:sz w:val="21"/>
                <w:szCs w:val="21"/>
              </w:rPr>
              <w:fldChar w:fldCharType="end"/>
            </w:r>
          </w:p>
        </w:tc>
        <w:tc>
          <w:tcPr>
            <w:tcW w:w="1290"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keepNext w:val="0"/>
              <w:keepLines w:val="0"/>
              <w:suppressLineNumbers w:val="0"/>
              <w:spacing w:before="31" w:beforeAutospacing="0" w:after="0" w:afterAutospacing="0" w:line="240" w:lineRule="auto"/>
              <w:ind w:left="0" w:right="0"/>
              <w:jc w:val="center"/>
              <w:rPr>
                <w:rFonts w:hint="default" w:ascii="黑体" w:hAnsi="黑体" w:eastAsia="黑体"/>
                <w:snapToGrid w:val="0"/>
                <w:color w:val="auto"/>
                <w:spacing w:val="-6"/>
                <w:kern w:val="21"/>
                <w:sz w:val="21"/>
                <w:szCs w:val="21"/>
              </w:rPr>
            </w:pPr>
            <w:r>
              <w:rPr>
                <w:rFonts w:hint="eastAsia" w:ascii="黑体" w:hAnsi="黑体" w:eastAsia="黑体"/>
                <w:snapToGrid w:val="0"/>
                <w:color w:val="auto"/>
                <w:spacing w:val="-6"/>
                <w:kern w:val="21"/>
                <w:sz w:val="21"/>
                <w:szCs w:val="21"/>
              </w:rPr>
              <w:t>变化量</w:t>
            </w:r>
          </w:p>
          <w:p>
            <w:pPr>
              <w:keepNext w:val="0"/>
              <w:keepLines w:val="0"/>
              <w:suppressLineNumbers w:val="0"/>
              <w:spacing w:before="31" w:beforeAutospacing="0" w:after="0" w:afterAutospacing="0" w:line="240" w:lineRule="auto"/>
              <w:ind w:left="0" w:right="0"/>
              <w:jc w:val="center"/>
              <w:rPr>
                <w:rFonts w:hint="default" w:ascii="黑体" w:hAnsi="黑体" w:eastAsia="黑体"/>
                <w:snapToGrid w:val="0"/>
                <w:color w:val="auto"/>
                <w:spacing w:val="-6"/>
                <w:kern w:val="21"/>
                <w:sz w:val="21"/>
                <w:szCs w:val="21"/>
              </w:rPr>
            </w:pPr>
            <w:r>
              <w:rPr>
                <w:rFonts w:hint="eastAsia" w:ascii="黑体" w:hAnsi="黑体" w:eastAsia="黑体"/>
                <w:snapToGrid w:val="0"/>
                <w:color w:val="auto"/>
                <w:spacing w:val="-6"/>
                <w:kern w:val="21"/>
                <w:sz w:val="21"/>
                <w:szCs w:val="21"/>
              </w:rPr>
              <w:fldChar w:fldCharType="begin"/>
            </w:r>
            <w:r>
              <w:rPr>
                <w:rFonts w:hint="eastAsia" w:ascii="黑体" w:hAnsi="黑体" w:eastAsia="黑体"/>
                <w:snapToGrid w:val="0"/>
                <w:color w:val="auto"/>
                <w:spacing w:val="-6"/>
                <w:kern w:val="21"/>
                <w:sz w:val="21"/>
                <w:szCs w:val="21"/>
              </w:rPr>
              <w:instrText xml:space="preserve"> = 7 \* GB3 \* MERGEFORMAT </w:instrText>
            </w:r>
            <w:r>
              <w:rPr>
                <w:rFonts w:hint="eastAsia" w:ascii="黑体" w:hAnsi="黑体" w:eastAsia="黑体"/>
                <w:snapToGrid w:val="0"/>
                <w:color w:val="auto"/>
                <w:spacing w:val="-6"/>
                <w:kern w:val="21"/>
                <w:sz w:val="21"/>
                <w:szCs w:val="21"/>
              </w:rPr>
              <w:fldChar w:fldCharType="separate"/>
            </w:r>
            <w:r>
              <w:rPr>
                <w:rFonts w:hint="eastAsia" w:ascii="黑体" w:hAnsi="黑体" w:eastAsia="黑体" w:cs="宋体"/>
                <w:color w:val="auto"/>
                <w:sz w:val="21"/>
                <w:szCs w:val="21"/>
              </w:rPr>
              <w:t>⑦</w:t>
            </w:r>
            <w:r>
              <w:rPr>
                <w:rFonts w:hint="eastAsia" w:ascii="黑体" w:hAnsi="黑体" w:eastAsia="黑体"/>
                <w:snapToGrid w:val="0"/>
                <w:color w:val="auto"/>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594"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31" w:beforeAutospacing="0" w:after="0" w:afterAutospacing="0" w:line="240" w:lineRule="auto"/>
              <w:ind w:left="0" w:right="0"/>
              <w:jc w:val="center"/>
              <w:rPr>
                <w:rFonts w:hint="default" w:cs="宋体"/>
                <w:snapToGrid w:val="0"/>
                <w:color w:val="auto"/>
                <w:kern w:val="21"/>
                <w:sz w:val="21"/>
                <w:szCs w:val="21"/>
              </w:rPr>
            </w:pPr>
            <w:r>
              <w:rPr>
                <w:rFonts w:hint="eastAsia" w:cs="宋体"/>
                <w:snapToGrid w:val="0"/>
                <w:color w:val="auto"/>
                <w:kern w:val="21"/>
                <w:sz w:val="21"/>
                <w:szCs w:val="21"/>
              </w:rPr>
              <w:t>废气</w:t>
            </w:r>
          </w:p>
        </w:tc>
        <w:tc>
          <w:tcPr>
            <w:tcW w:w="142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color w:val="auto"/>
                <w:kern w:val="2"/>
                <w:sz w:val="21"/>
                <w:szCs w:val="21"/>
                <w:lang w:val="en-US" w:eastAsia="zh-CN" w:bidi="ar"/>
              </w:rPr>
              <w:t>粉尘</w:t>
            </w:r>
          </w:p>
        </w:tc>
        <w:tc>
          <w:tcPr>
            <w:tcW w:w="1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lang w:val="en-US"/>
              </w:rPr>
            </w:pPr>
          </w:p>
        </w:tc>
        <w:tc>
          <w:tcPr>
            <w:tcW w:w="1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105" w:leftChars="-50" w:right="-105" w:rightChars="-50"/>
              <w:jc w:val="center"/>
              <w:textAlignment w:val="auto"/>
              <w:rPr>
                <w:rFonts w:hint="default" w:ascii="Times New Roman" w:hAnsi="Times New Roman" w:cs="Times New Roman"/>
                <w:snapToGrid w:val="0"/>
                <w:color w:val="auto"/>
                <w:kern w:val="21"/>
                <w:sz w:val="21"/>
                <w:szCs w:val="21"/>
              </w:rPr>
            </w:pPr>
            <w:r>
              <w:rPr>
                <w:rFonts w:hint="eastAsia" w:ascii="Times New Roman" w:hAnsi="Times New Roman" w:eastAsia="宋体" w:cs="Times New Roman"/>
                <w:color w:val="auto"/>
                <w:kern w:val="2"/>
                <w:sz w:val="21"/>
                <w:szCs w:val="21"/>
                <w:lang w:val="en-US" w:eastAsia="zh-CN" w:bidi="ar"/>
              </w:rPr>
              <w:t>15.97</w:t>
            </w:r>
            <w:r>
              <w:rPr>
                <w:rFonts w:hint="default" w:ascii="Times New Roman" w:hAnsi="Times New Roman" w:eastAsia="宋体" w:cs="Times New Roman"/>
                <w:color w:val="auto"/>
                <w:kern w:val="2"/>
                <w:sz w:val="21"/>
                <w:szCs w:val="21"/>
                <w:lang w:val="en-US" w:eastAsia="zh-CN" w:bidi="ar"/>
              </w:rPr>
              <w:t>t/a</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105" w:leftChars="-50" w:right="-105" w:rightChars="-50"/>
              <w:jc w:val="center"/>
              <w:textAlignment w:val="auto"/>
              <w:rPr>
                <w:rFonts w:hint="default" w:ascii="Times New Roman" w:hAnsi="Times New Roman" w:cs="Times New Roman"/>
                <w:snapToGrid w:val="0"/>
                <w:color w:val="auto"/>
                <w:kern w:val="21"/>
                <w:sz w:val="21"/>
                <w:szCs w:val="21"/>
              </w:rPr>
            </w:pPr>
          </w:p>
        </w:tc>
        <w:tc>
          <w:tcPr>
            <w:tcW w:w="15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105" w:leftChars="-50" w:right="-105" w:rightChars="-50"/>
              <w:jc w:val="center"/>
              <w:textAlignment w:val="auto"/>
              <w:rPr>
                <w:rFonts w:hint="default" w:ascii="Times New Roman" w:hAnsi="Times New Roman" w:cs="Times New Roman"/>
                <w:snapToGrid w:val="0"/>
                <w:color w:val="auto"/>
                <w:kern w:val="21"/>
                <w:sz w:val="21"/>
                <w:szCs w:val="21"/>
              </w:rPr>
            </w:pPr>
            <w:r>
              <w:rPr>
                <w:rFonts w:hint="eastAsia" w:ascii="Times New Roman" w:hAnsi="Times New Roman" w:eastAsia="宋体" w:cs="Times New Roman"/>
                <w:color w:val="auto"/>
                <w:kern w:val="2"/>
                <w:sz w:val="21"/>
                <w:szCs w:val="21"/>
                <w:lang w:val="en-US" w:eastAsia="zh-CN" w:bidi="ar"/>
              </w:rPr>
              <w:t>15.97</w:t>
            </w:r>
            <w:r>
              <w:rPr>
                <w:rFonts w:hint="default" w:ascii="Times New Roman" w:hAnsi="Times New Roman" w:eastAsia="宋体" w:cs="Times New Roman"/>
                <w:color w:val="auto"/>
                <w:kern w:val="2"/>
                <w:sz w:val="21"/>
                <w:szCs w:val="21"/>
                <w:lang w:val="en-US" w:eastAsia="zh-CN" w:bidi="ar"/>
              </w:rPr>
              <w:t>t/a</w:t>
            </w:r>
          </w:p>
        </w:tc>
        <w:tc>
          <w:tcPr>
            <w:tcW w:w="1290"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594"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31" w:beforeAutospacing="0" w:after="0" w:afterAutospacing="0" w:line="240" w:lineRule="auto"/>
              <w:ind w:left="0" w:right="0"/>
              <w:jc w:val="center"/>
              <w:rPr>
                <w:rFonts w:hint="default" w:cs="宋体"/>
                <w:snapToGrid w:val="0"/>
                <w:color w:val="auto"/>
                <w:kern w:val="21"/>
                <w:sz w:val="21"/>
                <w:szCs w:val="21"/>
              </w:rPr>
            </w:pPr>
            <w:r>
              <w:rPr>
                <w:rFonts w:hint="eastAsia" w:cs="宋体"/>
                <w:snapToGrid w:val="0"/>
                <w:color w:val="auto"/>
                <w:kern w:val="21"/>
                <w:sz w:val="21"/>
                <w:szCs w:val="21"/>
              </w:rPr>
              <w:t>废水</w:t>
            </w:r>
          </w:p>
        </w:tc>
        <w:tc>
          <w:tcPr>
            <w:tcW w:w="142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snapToGrid w:val="0"/>
                <w:color w:val="auto"/>
                <w:kern w:val="21"/>
                <w:sz w:val="21"/>
                <w:szCs w:val="21"/>
                <w:lang w:eastAsia="zh-CN"/>
              </w:rPr>
            </w:pP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105" w:leftChars="-50" w:right="-105" w:rightChars="-50"/>
              <w:jc w:val="center"/>
              <w:textAlignment w:val="auto"/>
              <w:rPr>
                <w:rFonts w:hint="default" w:ascii="Times New Roman" w:hAnsi="Times New Roman" w:cs="Times New Roman"/>
                <w:snapToGrid w:val="0"/>
                <w:color w:val="auto"/>
                <w:kern w:val="21"/>
                <w:sz w:val="21"/>
                <w:szCs w:val="21"/>
              </w:rPr>
            </w:pPr>
          </w:p>
        </w:tc>
        <w:tc>
          <w:tcPr>
            <w:tcW w:w="15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105" w:leftChars="-50" w:right="-105" w:rightChars="-50"/>
              <w:jc w:val="center"/>
              <w:textAlignment w:val="auto"/>
              <w:rPr>
                <w:rFonts w:hint="default" w:ascii="Times New Roman" w:hAnsi="Times New Roman" w:cs="Times New Roman"/>
                <w:snapToGrid w:val="0"/>
                <w:color w:val="auto"/>
                <w:kern w:val="21"/>
                <w:sz w:val="21"/>
                <w:szCs w:val="21"/>
              </w:rPr>
            </w:pPr>
          </w:p>
        </w:tc>
        <w:tc>
          <w:tcPr>
            <w:tcW w:w="1290"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105" w:leftChars="-50" w:right="-105" w:rightChars="-50"/>
              <w:jc w:val="center"/>
              <w:textAlignment w:val="auto"/>
              <w:rPr>
                <w:rFonts w:hint="default" w:ascii="Times New Roman" w:hAnsi="Times New Roman" w:cs="Times New Roman"/>
                <w:snapToGrid w:val="0"/>
                <w:color w:val="auto"/>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1594" w:type="dxa"/>
            <w:vMerge w:val="restart"/>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31" w:beforeAutospacing="0" w:after="0" w:afterAutospacing="0" w:line="240" w:lineRule="auto"/>
              <w:ind w:left="0" w:right="0"/>
              <w:jc w:val="center"/>
              <w:rPr>
                <w:rFonts w:hint="default" w:cs="宋体"/>
                <w:snapToGrid w:val="0"/>
                <w:color w:val="auto"/>
                <w:kern w:val="21"/>
                <w:sz w:val="21"/>
                <w:szCs w:val="21"/>
              </w:rPr>
            </w:pPr>
            <w:r>
              <w:rPr>
                <w:rFonts w:hint="eastAsia" w:cs="宋体"/>
                <w:snapToGrid w:val="0"/>
                <w:color w:val="auto"/>
                <w:kern w:val="21"/>
                <w:sz w:val="21"/>
                <w:szCs w:val="21"/>
              </w:rPr>
              <w:t>一般工业</w:t>
            </w:r>
          </w:p>
          <w:p>
            <w:pPr>
              <w:keepNext w:val="0"/>
              <w:keepLines w:val="0"/>
              <w:suppressLineNumbers w:val="0"/>
              <w:spacing w:before="31" w:beforeAutospacing="0" w:after="0" w:afterAutospacing="0" w:line="240" w:lineRule="auto"/>
              <w:ind w:left="0" w:right="0"/>
              <w:jc w:val="center"/>
              <w:rPr>
                <w:rFonts w:hint="default" w:cs="宋体"/>
                <w:snapToGrid w:val="0"/>
                <w:color w:val="auto"/>
                <w:kern w:val="21"/>
                <w:sz w:val="21"/>
                <w:szCs w:val="21"/>
              </w:rPr>
            </w:pPr>
            <w:r>
              <w:rPr>
                <w:rFonts w:hint="eastAsia" w:cs="宋体"/>
                <w:snapToGrid w:val="0"/>
                <w:color w:val="auto"/>
                <w:kern w:val="21"/>
                <w:sz w:val="21"/>
                <w:szCs w:val="21"/>
              </w:rPr>
              <w:t>固体废物</w:t>
            </w:r>
          </w:p>
        </w:tc>
        <w:tc>
          <w:tcPr>
            <w:tcW w:w="142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铁质废物</w:t>
            </w:r>
          </w:p>
        </w:tc>
        <w:tc>
          <w:tcPr>
            <w:tcW w:w="1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p>
        </w:tc>
        <w:tc>
          <w:tcPr>
            <w:tcW w:w="1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0.1t/a</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p>
        </w:tc>
        <w:tc>
          <w:tcPr>
            <w:tcW w:w="15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0.1</w:t>
            </w:r>
          </w:p>
        </w:tc>
        <w:tc>
          <w:tcPr>
            <w:tcW w:w="1290"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594" w:type="dxa"/>
            <w:vMerge w:val="continue"/>
            <w:tcBorders>
              <w:left w:val="single" w:color="auto" w:sz="8" w:space="0"/>
              <w:right w:val="single" w:color="auto" w:sz="4" w:space="0"/>
            </w:tcBorders>
            <w:vAlign w:val="center"/>
          </w:tcPr>
          <w:p>
            <w:pPr>
              <w:keepNext w:val="0"/>
              <w:keepLines w:val="0"/>
              <w:suppressLineNumbers w:val="0"/>
              <w:spacing w:before="31" w:beforeAutospacing="0" w:after="0" w:afterAutospacing="0" w:line="240" w:lineRule="auto"/>
              <w:ind w:left="0" w:right="0"/>
              <w:jc w:val="center"/>
              <w:rPr>
                <w:rFonts w:hint="eastAsia" w:cs="宋体"/>
                <w:snapToGrid w:val="0"/>
                <w:color w:val="auto"/>
                <w:kern w:val="21"/>
                <w:sz w:val="21"/>
                <w:szCs w:val="21"/>
              </w:rPr>
            </w:pPr>
          </w:p>
        </w:tc>
        <w:tc>
          <w:tcPr>
            <w:tcW w:w="142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kern w:val="2"/>
                <w:sz w:val="21"/>
                <w:szCs w:val="21"/>
                <w:lang w:val="en-US" w:eastAsia="zh-CN" w:bidi="ar"/>
              </w:rPr>
              <w:t>沉淀泥沙（含水60%）</w:t>
            </w:r>
          </w:p>
        </w:tc>
        <w:tc>
          <w:tcPr>
            <w:tcW w:w="1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Lines="1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kern w:val="21"/>
                <w:sz w:val="21"/>
                <w:szCs w:val="21"/>
                <w:lang w:val="en-US" w:eastAsia="zh-CN" w:bidi="ar"/>
              </w:rPr>
              <w:t>6142</w:t>
            </w:r>
            <w:r>
              <w:rPr>
                <w:rFonts w:hint="eastAsia" w:ascii="Times New Roman" w:hAnsi="Times New Roman" w:eastAsia="宋体" w:cs="Times New Roman"/>
                <w:color w:val="auto"/>
                <w:kern w:val="21"/>
                <w:sz w:val="21"/>
                <w:szCs w:val="21"/>
                <w:lang w:val="en-US" w:eastAsia="zh-CN" w:bidi="ar"/>
              </w:rPr>
              <w:t>1.76</w:t>
            </w:r>
            <w:r>
              <w:rPr>
                <w:rFonts w:hint="default" w:ascii="Times New Roman" w:hAnsi="Times New Roman" w:eastAsia="宋体" w:cs="Times New Roman"/>
                <w:color w:val="auto"/>
                <w:kern w:val="2"/>
                <w:sz w:val="21"/>
                <w:szCs w:val="21"/>
                <w:lang w:val="en-US" w:eastAsia="zh-CN" w:bidi="ar"/>
              </w:rPr>
              <w:t>t/a</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5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Lines="1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kern w:val="21"/>
                <w:sz w:val="21"/>
                <w:szCs w:val="21"/>
                <w:lang w:val="en-US" w:eastAsia="zh-CN" w:bidi="ar"/>
              </w:rPr>
              <w:t>6142</w:t>
            </w:r>
            <w:r>
              <w:rPr>
                <w:rFonts w:hint="eastAsia" w:ascii="Times New Roman" w:hAnsi="Times New Roman" w:eastAsia="宋体" w:cs="Times New Roman"/>
                <w:color w:val="auto"/>
                <w:kern w:val="21"/>
                <w:sz w:val="21"/>
                <w:szCs w:val="21"/>
                <w:lang w:val="en-US" w:eastAsia="zh-CN" w:bidi="ar"/>
              </w:rPr>
              <w:t>1.76</w:t>
            </w:r>
            <w:r>
              <w:rPr>
                <w:rFonts w:hint="default" w:ascii="Times New Roman" w:hAnsi="Times New Roman" w:eastAsia="宋体" w:cs="Times New Roman"/>
                <w:color w:val="auto"/>
                <w:kern w:val="2"/>
                <w:sz w:val="21"/>
                <w:szCs w:val="21"/>
                <w:lang w:val="en-US" w:eastAsia="zh-CN" w:bidi="ar"/>
              </w:rPr>
              <w:t>t/a</w:t>
            </w:r>
          </w:p>
        </w:tc>
        <w:tc>
          <w:tcPr>
            <w:tcW w:w="1290"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594" w:type="dxa"/>
            <w:vMerge w:val="continue"/>
            <w:tcBorders>
              <w:left w:val="single" w:color="auto" w:sz="8" w:space="0"/>
              <w:right w:val="single" w:color="auto" w:sz="4" w:space="0"/>
            </w:tcBorders>
            <w:vAlign w:val="center"/>
          </w:tcPr>
          <w:p>
            <w:pPr>
              <w:keepNext w:val="0"/>
              <w:keepLines w:val="0"/>
              <w:suppressLineNumbers w:val="0"/>
              <w:spacing w:before="31" w:beforeAutospacing="0" w:after="0" w:afterAutospacing="0" w:line="240" w:lineRule="auto"/>
              <w:ind w:left="0" w:right="0"/>
              <w:jc w:val="center"/>
              <w:rPr>
                <w:rFonts w:hint="eastAsia" w:cs="宋体"/>
                <w:snapToGrid w:val="0"/>
                <w:color w:val="auto"/>
                <w:kern w:val="21"/>
                <w:sz w:val="21"/>
                <w:szCs w:val="21"/>
              </w:rPr>
            </w:pPr>
          </w:p>
        </w:tc>
        <w:tc>
          <w:tcPr>
            <w:tcW w:w="142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kern w:val="2"/>
                <w:sz w:val="21"/>
                <w:szCs w:val="21"/>
                <w:lang w:val="en-US" w:eastAsia="zh-CN" w:bidi="ar"/>
              </w:rPr>
              <w:t>废包装材料</w:t>
            </w:r>
          </w:p>
        </w:tc>
        <w:tc>
          <w:tcPr>
            <w:tcW w:w="1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Lines="1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kern w:val="21"/>
                <w:sz w:val="21"/>
                <w:szCs w:val="21"/>
                <w:lang w:val="en-US" w:eastAsia="zh-CN" w:bidi="ar"/>
              </w:rPr>
              <w:t>0.1</w:t>
            </w:r>
            <w:r>
              <w:rPr>
                <w:rFonts w:hint="default" w:ascii="Times New Roman" w:hAnsi="Times New Roman" w:eastAsia="宋体" w:cs="Times New Roman"/>
                <w:color w:val="auto"/>
                <w:kern w:val="2"/>
                <w:sz w:val="21"/>
                <w:szCs w:val="21"/>
                <w:lang w:val="en-US" w:eastAsia="zh-CN" w:bidi="ar"/>
              </w:rPr>
              <w:t>t/a</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5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Lines="1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kern w:val="21"/>
                <w:sz w:val="21"/>
                <w:szCs w:val="21"/>
                <w:lang w:val="en-US" w:eastAsia="zh-CN" w:bidi="ar"/>
              </w:rPr>
              <w:t>0.1</w:t>
            </w:r>
            <w:r>
              <w:rPr>
                <w:rFonts w:hint="default" w:ascii="Times New Roman" w:hAnsi="Times New Roman" w:eastAsia="宋体" w:cs="Times New Roman"/>
                <w:color w:val="auto"/>
                <w:kern w:val="2"/>
                <w:sz w:val="21"/>
                <w:szCs w:val="21"/>
                <w:lang w:val="en-US" w:eastAsia="zh-CN" w:bidi="ar"/>
              </w:rPr>
              <w:t>t/a</w:t>
            </w:r>
          </w:p>
        </w:tc>
        <w:tc>
          <w:tcPr>
            <w:tcW w:w="1290"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594" w:type="dxa"/>
            <w:vMerge w:val="continue"/>
            <w:tcBorders>
              <w:left w:val="single" w:color="auto" w:sz="8" w:space="0"/>
              <w:right w:val="single" w:color="auto" w:sz="4" w:space="0"/>
            </w:tcBorders>
            <w:vAlign w:val="center"/>
          </w:tcPr>
          <w:p>
            <w:pPr>
              <w:keepNext w:val="0"/>
              <w:keepLines w:val="0"/>
              <w:suppressLineNumbers w:val="0"/>
              <w:spacing w:before="31" w:beforeAutospacing="0" w:after="0" w:afterAutospacing="0" w:line="240" w:lineRule="auto"/>
              <w:ind w:left="0" w:right="0"/>
              <w:jc w:val="center"/>
              <w:rPr>
                <w:rFonts w:hint="eastAsia" w:cs="宋体"/>
                <w:snapToGrid w:val="0"/>
                <w:color w:val="auto"/>
                <w:kern w:val="21"/>
                <w:sz w:val="21"/>
                <w:szCs w:val="21"/>
              </w:rPr>
            </w:pPr>
          </w:p>
        </w:tc>
        <w:tc>
          <w:tcPr>
            <w:tcW w:w="142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 xml:space="preserve">振动给料分离的泥沙 </w:t>
            </w:r>
          </w:p>
        </w:tc>
        <w:tc>
          <w:tcPr>
            <w:tcW w:w="1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rPr>
            </w:pPr>
          </w:p>
        </w:tc>
        <w:tc>
          <w:tcPr>
            <w:tcW w:w="1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36853.06t/a</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rPr>
            </w:pPr>
          </w:p>
        </w:tc>
        <w:tc>
          <w:tcPr>
            <w:tcW w:w="15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105" w:leftChars="-50" w:right="-105" w:rightChars="-50"/>
              <w:jc w:val="center"/>
              <w:textAlignment w:val="auto"/>
              <w:rPr>
                <w:rFonts w:hint="default" w:ascii="Times New Roman" w:hAnsi="Times New Roman" w:cs="Times New Roman"/>
                <w:snapToGrid w:val="0"/>
                <w:color w:val="auto"/>
                <w:kern w:val="21"/>
                <w:sz w:val="21"/>
                <w:szCs w:val="21"/>
              </w:rPr>
            </w:pPr>
            <w:r>
              <w:rPr>
                <w:rFonts w:hint="eastAsia" w:cs="Times New Roman"/>
                <w:snapToGrid w:val="0"/>
                <w:color w:val="auto"/>
                <w:kern w:val="21"/>
                <w:sz w:val="21"/>
                <w:szCs w:val="21"/>
                <w:lang w:val="en-US" w:eastAsia="zh-CN"/>
              </w:rPr>
              <w:t>36853.06t/a</w:t>
            </w:r>
          </w:p>
        </w:tc>
        <w:tc>
          <w:tcPr>
            <w:tcW w:w="1290"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1594" w:type="dxa"/>
            <w:vMerge w:val="restart"/>
            <w:tcBorders>
              <w:top w:val="single" w:color="auto" w:sz="4" w:space="0"/>
              <w:left w:val="single" w:color="auto" w:sz="8" w:space="0"/>
              <w:bottom w:val="single" w:color="auto" w:sz="8" w:space="0"/>
              <w:right w:val="single" w:color="auto" w:sz="4" w:space="0"/>
            </w:tcBorders>
            <w:vAlign w:val="center"/>
          </w:tcPr>
          <w:p>
            <w:pPr>
              <w:keepNext w:val="0"/>
              <w:keepLines w:val="0"/>
              <w:suppressLineNumbers w:val="0"/>
              <w:spacing w:before="31" w:beforeAutospacing="0" w:after="0" w:afterAutospacing="0" w:line="240" w:lineRule="auto"/>
              <w:ind w:left="0" w:right="0"/>
              <w:jc w:val="center"/>
              <w:rPr>
                <w:rFonts w:hint="default" w:cs="宋体"/>
                <w:snapToGrid w:val="0"/>
                <w:color w:val="auto"/>
                <w:kern w:val="21"/>
                <w:sz w:val="21"/>
                <w:szCs w:val="21"/>
              </w:rPr>
            </w:pPr>
            <w:r>
              <w:rPr>
                <w:rFonts w:hint="eastAsia" w:cs="宋体"/>
                <w:snapToGrid w:val="0"/>
                <w:color w:val="auto"/>
                <w:kern w:val="21"/>
                <w:sz w:val="21"/>
                <w:szCs w:val="21"/>
              </w:rPr>
              <w:t>危险废物</w:t>
            </w:r>
          </w:p>
        </w:tc>
        <w:tc>
          <w:tcPr>
            <w:tcW w:w="142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废机油、废油桶</w:t>
            </w:r>
          </w:p>
        </w:tc>
        <w:tc>
          <w:tcPr>
            <w:tcW w:w="1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rPr>
            </w:pPr>
          </w:p>
        </w:tc>
        <w:tc>
          <w:tcPr>
            <w:tcW w:w="12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0.25</w:t>
            </w:r>
            <w:r>
              <w:rPr>
                <w:rFonts w:hint="default" w:ascii="Times New Roman" w:hAnsi="Times New Roman" w:eastAsia="宋体" w:cs="Times New Roman"/>
                <w:color w:val="auto"/>
                <w:kern w:val="2"/>
                <w:sz w:val="21"/>
                <w:szCs w:val="21"/>
                <w:lang w:val="en-US" w:eastAsia="zh-CN" w:bidi="ar"/>
              </w:rPr>
              <w:t>t/a</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rPr>
            </w:pPr>
          </w:p>
        </w:tc>
        <w:tc>
          <w:tcPr>
            <w:tcW w:w="150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105" w:leftChars="-50" w:right="-105" w:rightChars="-50"/>
              <w:jc w:val="center"/>
              <w:textAlignment w:val="auto"/>
              <w:rPr>
                <w:rFonts w:hint="default" w:ascii="Times New Roman" w:hAnsi="Times New Roman" w:cs="Times New Roman"/>
                <w:snapToGrid w:val="0"/>
                <w:color w:val="auto"/>
                <w:kern w:val="21"/>
                <w:sz w:val="21"/>
                <w:szCs w:val="21"/>
              </w:rPr>
            </w:pPr>
            <w:r>
              <w:rPr>
                <w:rFonts w:hint="default" w:ascii="Times New Roman" w:hAnsi="Times New Roman" w:eastAsia="宋体" w:cs="Times New Roman"/>
                <w:color w:val="auto"/>
                <w:kern w:val="2"/>
                <w:sz w:val="21"/>
                <w:szCs w:val="21"/>
                <w:lang w:val="en-US" w:eastAsia="zh-CN" w:bidi="ar"/>
              </w:rPr>
              <w:t>0.25t/a</w:t>
            </w:r>
          </w:p>
        </w:tc>
        <w:tc>
          <w:tcPr>
            <w:tcW w:w="1290" w:type="dxa"/>
            <w:tcBorders>
              <w:top w:val="single" w:color="auto" w:sz="4" w:space="0"/>
              <w:left w:val="single" w:color="auto" w:sz="4" w:space="0"/>
              <w:bottom w:val="single" w:color="auto" w:sz="4" w:space="0"/>
              <w:right w:val="single" w:color="auto" w:sz="8" w:space="0"/>
            </w:tcBorders>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auto"/>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1594" w:type="dxa"/>
            <w:vMerge w:val="continue"/>
            <w:tcBorders>
              <w:top w:val="single" w:color="auto" w:sz="4" w:space="0"/>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宋体" w:hAnsi="宋体" w:cs="宋体"/>
                <w:snapToGrid w:val="0"/>
                <w:color w:val="auto"/>
                <w:kern w:val="21"/>
                <w:sz w:val="21"/>
                <w:szCs w:val="21"/>
              </w:rPr>
            </w:pPr>
          </w:p>
        </w:tc>
        <w:tc>
          <w:tcPr>
            <w:tcW w:w="1422"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07"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280"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07"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65"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766"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504" w:type="dxa"/>
            <w:tcBorders>
              <w:top w:val="single" w:color="auto" w:sz="4" w:space="0"/>
              <w:left w:val="single" w:color="auto" w:sz="4" w:space="0"/>
              <w:bottom w:val="single" w:color="auto" w:sz="8" w:space="0"/>
              <w:right w:val="single" w:color="auto" w:sz="4"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c>
          <w:tcPr>
            <w:tcW w:w="1290" w:type="dxa"/>
            <w:tcBorders>
              <w:top w:val="single" w:color="auto" w:sz="4" w:space="0"/>
              <w:left w:val="single" w:color="auto" w:sz="4" w:space="0"/>
              <w:bottom w:val="single" w:color="auto" w:sz="8" w:space="0"/>
              <w:right w:val="single" w:color="auto" w:sz="8" w:space="0"/>
            </w:tcBorders>
            <w:vAlign w:val="center"/>
          </w:tcPr>
          <w:p>
            <w:pPr>
              <w:keepNext w:val="0"/>
              <w:keepLines w:val="0"/>
              <w:pageBreakBefore w:val="0"/>
              <w:widowControl w:val="0"/>
              <w:suppressLineNumbers w:val="0"/>
              <w:kinsoku/>
              <w:wordWrap/>
              <w:overflowPunct/>
              <w:topLinePunct w:val="0"/>
              <w:autoSpaceDN/>
              <w:bidi w:val="0"/>
              <w:spacing w:before="31"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rPr>
            </w:pPr>
          </w:p>
        </w:tc>
      </w:tr>
    </w:tbl>
    <w:p>
      <w:pPr>
        <w:spacing w:before="249" w:beforeLines="80" w:after="24"/>
        <w:jc w:val="left"/>
        <w:rPr>
          <w:color w:val="auto"/>
        </w:rPr>
      </w:pPr>
      <w:r>
        <w:rPr>
          <w:rFonts w:hint="eastAsia"/>
          <w:snapToGrid w:val="0"/>
          <w:color w:val="auto"/>
          <w:kern w:val="21"/>
          <w:szCs w:val="21"/>
        </w:rPr>
        <w:t>注：</w:t>
      </w:r>
      <w:r>
        <w:rPr>
          <w:rFonts w:hint="eastAsia"/>
          <w:snapToGrid w:val="0"/>
          <w:color w:val="auto"/>
          <w:spacing w:val="-16"/>
          <w:kern w:val="21"/>
          <w:szCs w:val="21"/>
        </w:rPr>
        <w:fldChar w:fldCharType="begin"/>
      </w:r>
      <w:r>
        <w:rPr>
          <w:rFonts w:hint="eastAsia"/>
          <w:snapToGrid w:val="0"/>
          <w:color w:val="auto"/>
          <w:spacing w:val="-16"/>
          <w:kern w:val="21"/>
          <w:szCs w:val="21"/>
        </w:rPr>
        <w:instrText xml:space="preserve"> = 6 \* GB3 \* MERGEFORMAT </w:instrText>
      </w:r>
      <w:r>
        <w:rPr>
          <w:rFonts w:hint="eastAsia"/>
          <w:snapToGrid w:val="0"/>
          <w:color w:val="auto"/>
          <w:spacing w:val="-16"/>
          <w:kern w:val="21"/>
          <w:szCs w:val="21"/>
        </w:rPr>
        <w:fldChar w:fldCharType="separate"/>
      </w:r>
      <w:r>
        <w:rPr>
          <w:rFonts w:hint="eastAsia"/>
          <w:color w:val="auto"/>
          <w:szCs w:val="21"/>
        </w:rPr>
        <w:t>⑥</w:t>
      </w:r>
      <w:r>
        <w:rPr>
          <w:rFonts w:hint="eastAsia"/>
          <w:snapToGrid w:val="0"/>
          <w:color w:val="auto"/>
          <w:spacing w:val="-16"/>
          <w:kern w:val="21"/>
          <w:szCs w:val="21"/>
        </w:rPr>
        <w:fldChar w:fldCharType="end"/>
      </w:r>
      <w:r>
        <w:rPr>
          <w:rFonts w:hint="eastAsia"/>
          <w:snapToGrid w:val="0"/>
          <w:color w:val="auto"/>
          <w:spacing w:val="-16"/>
          <w:kern w:val="21"/>
          <w:szCs w:val="21"/>
        </w:rPr>
        <w:t>=</w:t>
      </w:r>
      <w:r>
        <w:rPr>
          <w:rFonts w:hint="eastAsia"/>
          <w:snapToGrid w:val="0"/>
          <w:color w:val="auto"/>
          <w:spacing w:val="-6"/>
          <w:kern w:val="21"/>
          <w:szCs w:val="21"/>
        </w:rPr>
        <w:fldChar w:fldCharType="begin"/>
      </w:r>
      <w:r>
        <w:rPr>
          <w:rFonts w:hint="eastAsia"/>
          <w:snapToGrid w:val="0"/>
          <w:color w:val="auto"/>
          <w:spacing w:val="-6"/>
          <w:kern w:val="21"/>
          <w:szCs w:val="21"/>
        </w:rPr>
        <w:instrText xml:space="preserve"> = 1 \* GB3 \* MERGEFORMAT </w:instrText>
      </w:r>
      <w:r>
        <w:rPr>
          <w:rFonts w:hint="eastAsia"/>
          <w:snapToGrid w:val="0"/>
          <w:color w:val="auto"/>
          <w:spacing w:val="-6"/>
          <w:kern w:val="21"/>
          <w:szCs w:val="21"/>
        </w:rPr>
        <w:fldChar w:fldCharType="separate"/>
      </w:r>
      <w:r>
        <w:rPr>
          <w:rFonts w:hint="eastAsia"/>
          <w:color w:val="auto"/>
          <w:szCs w:val="21"/>
        </w:rPr>
        <w:t>①</w:t>
      </w:r>
      <w:r>
        <w:rPr>
          <w:rFonts w:hint="eastAsia"/>
          <w:snapToGrid w:val="0"/>
          <w:color w:val="auto"/>
          <w:spacing w:val="-6"/>
          <w:kern w:val="21"/>
          <w:szCs w:val="21"/>
        </w:rPr>
        <w:fldChar w:fldCharType="end"/>
      </w:r>
      <w:r>
        <w:rPr>
          <w:rFonts w:hint="eastAsia"/>
          <w:snapToGrid w:val="0"/>
          <w:color w:val="auto"/>
          <w:spacing w:val="-6"/>
          <w:kern w:val="21"/>
          <w:szCs w:val="21"/>
        </w:rPr>
        <w:t>+</w:t>
      </w:r>
      <w:r>
        <w:rPr>
          <w:rFonts w:hint="eastAsia"/>
          <w:snapToGrid w:val="0"/>
          <w:color w:val="auto"/>
          <w:spacing w:val="-6"/>
          <w:kern w:val="21"/>
          <w:szCs w:val="21"/>
        </w:rPr>
        <w:fldChar w:fldCharType="begin"/>
      </w:r>
      <w:r>
        <w:rPr>
          <w:rFonts w:hint="eastAsia"/>
          <w:snapToGrid w:val="0"/>
          <w:color w:val="auto"/>
          <w:spacing w:val="-6"/>
          <w:kern w:val="21"/>
          <w:szCs w:val="21"/>
        </w:rPr>
        <w:instrText xml:space="preserve"> = 3 \* GB3 \* MERGEFORMAT </w:instrText>
      </w:r>
      <w:r>
        <w:rPr>
          <w:rFonts w:hint="eastAsia"/>
          <w:snapToGrid w:val="0"/>
          <w:color w:val="auto"/>
          <w:spacing w:val="-6"/>
          <w:kern w:val="21"/>
          <w:szCs w:val="21"/>
        </w:rPr>
        <w:fldChar w:fldCharType="separate"/>
      </w:r>
      <w:r>
        <w:rPr>
          <w:rFonts w:hint="eastAsia"/>
          <w:color w:val="auto"/>
          <w:szCs w:val="21"/>
        </w:rPr>
        <w:t>③</w:t>
      </w:r>
      <w:r>
        <w:rPr>
          <w:rFonts w:hint="eastAsia"/>
          <w:snapToGrid w:val="0"/>
          <w:color w:val="auto"/>
          <w:spacing w:val="-6"/>
          <w:kern w:val="21"/>
          <w:szCs w:val="21"/>
        </w:rPr>
        <w:fldChar w:fldCharType="end"/>
      </w:r>
      <w:r>
        <w:rPr>
          <w:rFonts w:hint="eastAsia"/>
          <w:snapToGrid w:val="0"/>
          <w:color w:val="auto"/>
          <w:spacing w:val="-6"/>
          <w:kern w:val="21"/>
          <w:szCs w:val="21"/>
        </w:rPr>
        <w:t>+</w:t>
      </w:r>
      <w:r>
        <w:rPr>
          <w:rFonts w:hint="eastAsia"/>
          <w:snapToGrid w:val="0"/>
          <w:color w:val="auto"/>
          <w:spacing w:val="-6"/>
          <w:kern w:val="21"/>
          <w:szCs w:val="21"/>
        </w:rPr>
        <w:fldChar w:fldCharType="begin"/>
      </w:r>
      <w:r>
        <w:rPr>
          <w:rFonts w:hint="eastAsia"/>
          <w:snapToGrid w:val="0"/>
          <w:color w:val="auto"/>
          <w:spacing w:val="-6"/>
          <w:kern w:val="21"/>
          <w:szCs w:val="21"/>
        </w:rPr>
        <w:instrText xml:space="preserve"> = 4 \* GB3 \* MERGEFORMAT </w:instrText>
      </w:r>
      <w:r>
        <w:rPr>
          <w:rFonts w:hint="eastAsia"/>
          <w:snapToGrid w:val="0"/>
          <w:color w:val="auto"/>
          <w:spacing w:val="-6"/>
          <w:kern w:val="21"/>
          <w:szCs w:val="21"/>
        </w:rPr>
        <w:fldChar w:fldCharType="separate"/>
      </w:r>
      <w:r>
        <w:rPr>
          <w:rFonts w:hint="eastAsia"/>
          <w:color w:val="auto"/>
          <w:szCs w:val="21"/>
        </w:rPr>
        <w:t>④</w:t>
      </w:r>
      <w:r>
        <w:rPr>
          <w:rFonts w:hint="eastAsia"/>
          <w:snapToGrid w:val="0"/>
          <w:color w:val="auto"/>
          <w:spacing w:val="-6"/>
          <w:kern w:val="21"/>
          <w:szCs w:val="21"/>
        </w:rPr>
        <w:fldChar w:fldCharType="end"/>
      </w:r>
      <w:r>
        <w:rPr>
          <w:rFonts w:hint="eastAsia"/>
          <w:snapToGrid w:val="0"/>
          <w:color w:val="auto"/>
          <w:spacing w:val="-6"/>
          <w:kern w:val="21"/>
          <w:szCs w:val="21"/>
        </w:rPr>
        <w:t>-</w:t>
      </w:r>
      <w:r>
        <w:rPr>
          <w:rFonts w:hint="eastAsia"/>
          <w:snapToGrid w:val="0"/>
          <w:color w:val="auto"/>
          <w:spacing w:val="-16"/>
          <w:kern w:val="21"/>
          <w:szCs w:val="21"/>
        </w:rPr>
        <w:fldChar w:fldCharType="begin"/>
      </w:r>
      <w:r>
        <w:rPr>
          <w:rFonts w:hint="eastAsia"/>
          <w:snapToGrid w:val="0"/>
          <w:color w:val="auto"/>
          <w:spacing w:val="-16"/>
          <w:kern w:val="21"/>
          <w:szCs w:val="21"/>
        </w:rPr>
        <w:instrText xml:space="preserve"> = 5 \* GB3 \* MERGEFORMAT </w:instrText>
      </w:r>
      <w:r>
        <w:rPr>
          <w:rFonts w:hint="eastAsia"/>
          <w:snapToGrid w:val="0"/>
          <w:color w:val="auto"/>
          <w:spacing w:val="-16"/>
          <w:kern w:val="21"/>
          <w:szCs w:val="21"/>
        </w:rPr>
        <w:fldChar w:fldCharType="separate"/>
      </w:r>
      <w:r>
        <w:rPr>
          <w:rFonts w:hint="eastAsia"/>
          <w:color w:val="auto"/>
          <w:szCs w:val="21"/>
        </w:rPr>
        <w:t>⑤</w:t>
      </w:r>
      <w:r>
        <w:rPr>
          <w:rFonts w:hint="eastAsia"/>
          <w:snapToGrid w:val="0"/>
          <w:color w:val="auto"/>
          <w:spacing w:val="-16"/>
          <w:kern w:val="21"/>
          <w:szCs w:val="21"/>
        </w:rPr>
        <w:fldChar w:fldCharType="end"/>
      </w:r>
      <w:r>
        <w:rPr>
          <w:rFonts w:hint="eastAsia"/>
          <w:snapToGrid w:val="0"/>
          <w:color w:val="auto"/>
          <w:spacing w:val="-16"/>
          <w:kern w:val="21"/>
          <w:szCs w:val="21"/>
        </w:rPr>
        <w:t>；</w:t>
      </w:r>
      <w:r>
        <w:rPr>
          <w:rFonts w:hint="eastAsia"/>
          <w:snapToGrid w:val="0"/>
          <w:color w:val="auto"/>
          <w:spacing w:val="-6"/>
          <w:kern w:val="21"/>
          <w:szCs w:val="21"/>
        </w:rPr>
        <w:fldChar w:fldCharType="begin"/>
      </w:r>
      <w:r>
        <w:rPr>
          <w:rFonts w:hint="eastAsia"/>
          <w:snapToGrid w:val="0"/>
          <w:color w:val="auto"/>
          <w:spacing w:val="-6"/>
          <w:kern w:val="21"/>
          <w:szCs w:val="21"/>
        </w:rPr>
        <w:instrText xml:space="preserve"> = 7 \* GB3 \* MERGEFORMAT </w:instrText>
      </w:r>
      <w:r>
        <w:rPr>
          <w:rFonts w:hint="eastAsia"/>
          <w:snapToGrid w:val="0"/>
          <w:color w:val="auto"/>
          <w:spacing w:val="-6"/>
          <w:kern w:val="21"/>
          <w:szCs w:val="21"/>
        </w:rPr>
        <w:fldChar w:fldCharType="separate"/>
      </w:r>
      <w:r>
        <w:rPr>
          <w:rFonts w:hint="eastAsia"/>
          <w:color w:val="auto"/>
          <w:szCs w:val="21"/>
        </w:rPr>
        <w:t>⑦</w:t>
      </w:r>
      <w:r>
        <w:rPr>
          <w:rFonts w:hint="eastAsia"/>
          <w:snapToGrid w:val="0"/>
          <w:color w:val="auto"/>
          <w:spacing w:val="-6"/>
          <w:kern w:val="21"/>
          <w:szCs w:val="21"/>
        </w:rPr>
        <w:fldChar w:fldCharType="end"/>
      </w:r>
      <w:r>
        <w:rPr>
          <w:rFonts w:hint="eastAsia"/>
          <w:snapToGrid w:val="0"/>
          <w:color w:val="auto"/>
          <w:spacing w:val="-6"/>
          <w:kern w:val="21"/>
          <w:szCs w:val="21"/>
        </w:rPr>
        <w:t>=</w:t>
      </w:r>
      <w:r>
        <w:rPr>
          <w:rFonts w:hint="eastAsia"/>
          <w:snapToGrid w:val="0"/>
          <w:color w:val="auto"/>
          <w:spacing w:val="-16"/>
          <w:kern w:val="21"/>
          <w:szCs w:val="21"/>
        </w:rPr>
        <w:fldChar w:fldCharType="begin"/>
      </w:r>
      <w:r>
        <w:rPr>
          <w:rFonts w:hint="eastAsia"/>
          <w:snapToGrid w:val="0"/>
          <w:color w:val="auto"/>
          <w:spacing w:val="-16"/>
          <w:kern w:val="21"/>
          <w:szCs w:val="21"/>
        </w:rPr>
        <w:instrText xml:space="preserve"> = 6 \* GB3 \* MERGEFORMAT </w:instrText>
      </w:r>
      <w:r>
        <w:rPr>
          <w:rFonts w:hint="eastAsia"/>
          <w:snapToGrid w:val="0"/>
          <w:color w:val="auto"/>
          <w:spacing w:val="-16"/>
          <w:kern w:val="21"/>
          <w:szCs w:val="21"/>
        </w:rPr>
        <w:fldChar w:fldCharType="separate"/>
      </w:r>
      <w:r>
        <w:rPr>
          <w:rFonts w:hint="eastAsia"/>
          <w:color w:val="auto"/>
          <w:szCs w:val="21"/>
        </w:rPr>
        <w:t>⑥</w:t>
      </w:r>
      <w:r>
        <w:rPr>
          <w:rFonts w:hint="eastAsia"/>
          <w:snapToGrid w:val="0"/>
          <w:color w:val="auto"/>
          <w:spacing w:val="-16"/>
          <w:kern w:val="21"/>
          <w:szCs w:val="21"/>
        </w:rPr>
        <w:fldChar w:fldCharType="end"/>
      </w:r>
      <w:r>
        <w:rPr>
          <w:rFonts w:hint="eastAsia"/>
          <w:snapToGrid w:val="0"/>
          <w:color w:val="auto"/>
          <w:spacing w:val="-16"/>
          <w:kern w:val="21"/>
          <w:szCs w:val="21"/>
        </w:rPr>
        <w:t>-</w:t>
      </w:r>
      <w:r>
        <w:rPr>
          <w:rFonts w:hint="eastAsia"/>
          <w:snapToGrid w:val="0"/>
          <w:color w:val="auto"/>
          <w:spacing w:val="-6"/>
          <w:kern w:val="21"/>
          <w:szCs w:val="21"/>
        </w:rPr>
        <w:fldChar w:fldCharType="begin"/>
      </w:r>
      <w:r>
        <w:rPr>
          <w:rFonts w:hint="eastAsia"/>
          <w:snapToGrid w:val="0"/>
          <w:color w:val="auto"/>
          <w:spacing w:val="-6"/>
          <w:kern w:val="21"/>
          <w:szCs w:val="21"/>
        </w:rPr>
        <w:instrText xml:space="preserve"> = 1 \* GB3 \* MERGEFORMAT </w:instrText>
      </w:r>
      <w:r>
        <w:rPr>
          <w:rFonts w:hint="eastAsia"/>
          <w:snapToGrid w:val="0"/>
          <w:color w:val="auto"/>
          <w:spacing w:val="-6"/>
          <w:kern w:val="21"/>
          <w:szCs w:val="21"/>
        </w:rPr>
        <w:fldChar w:fldCharType="separate"/>
      </w:r>
      <w:r>
        <w:rPr>
          <w:rFonts w:hint="eastAsia"/>
          <w:color w:val="auto"/>
          <w:szCs w:val="21"/>
        </w:rPr>
        <w:t>①</w:t>
      </w:r>
      <w:r>
        <w:rPr>
          <w:rFonts w:hint="eastAsia"/>
          <w:snapToGrid w:val="0"/>
          <w:color w:val="auto"/>
          <w:spacing w:val="-6"/>
          <w:kern w:val="21"/>
          <w:szCs w:val="21"/>
        </w:rPr>
        <w:fldChar w:fldCharType="end"/>
      </w:r>
    </w:p>
    <w:sectPr>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TTA1o00">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righ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8691148"/>
    </w:sdtPr>
    <w:sdtEndPr>
      <w:rPr>
        <w:sz w:val="20"/>
      </w:rPr>
    </w:sdtEndPr>
    <w:sdtContent>
      <w:p>
        <w:pPr>
          <w:tabs>
            <w:tab w:val="center" w:pos="4153"/>
            <w:tab w:val="right" w:pos="8306"/>
          </w:tabs>
          <w:rPr>
            <w:sz w:val="20"/>
          </w:rPr>
        </w:pPr>
        <w:r>
          <w:rPr>
            <w:sz w:val="20"/>
          </w:rPr>
          <w:fldChar w:fldCharType="begin"/>
        </w:r>
        <w:r>
          <w:rPr>
            <w:sz w:val="20"/>
          </w:rPr>
          <w:instrText xml:space="preserve">PAGE   \* MERGEFORMAT</w:instrText>
        </w:r>
        <w:r>
          <w:rPr>
            <w:sz w:val="20"/>
          </w:rPr>
          <w:fldChar w:fldCharType="separate"/>
        </w:r>
        <w:r>
          <w:rPr>
            <w:sz w:val="20"/>
            <w:lang w:val="zh-CN"/>
          </w:rPr>
          <w:t>-</w:t>
        </w:r>
        <w:r>
          <w:rPr>
            <w:sz w:val="20"/>
          </w:rPr>
          <w:t xml:space="preserve"> 62 -</w:t>
        </w:r>
        <w:r>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right"/>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w:t>
    </w:r>
    <w:r>
      <w:rPr>
        <w:sz w:val="20"/>
        <w:szCs w:val="20"/>
      </w:rPr>
      <w:t xml:space="preserve"> 63 -</w:t>
    </w:r>
    <w:r>
      <w:rPr>
        <w:sz w:val="20"/>
        <w:szCs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zY2ZkZWE3N2YxYzJhMjhjYmJlMGJhNWEwY2I0YjAifQ=="/>
  </w:docVars>
  <w:rsids>
    <w:rsidRoot w:val="00124917"/>
    <w:rsid w:val="00000B7D"/>
    <w:rsid w:val="00001239"/>
    <w:rsid w:val="000016C4"/>
    <w:rsid w:val="00003768"/>
    <w:rsid w:val="0000642D"/>
    <w:rsid w:val="00006B41"/>
    <w:rsid w:val="00007820"/>
    <w:rsid w:val="0001015B"/>
    <w:rsid w:val="00011F93"/>
    <w:rsid w:val="000129DD"/>
    <w:rsid w:val="0001634C"/>
    <w:rsid w:val="00022465"/>
    <w:rsid w:val="0002249E"/>
    <w:rsid w:val="00022DA1"/>
    <w:rsid w:val="000326BE"/>
    <w:rsid w:val="00036249"/>
    <w:rsid w:val="00042F3D"/>
    <w:rsid w:val="000431D1"/>
    <w:rsid w:val="000538D5"/>
    <w:rsid w:val="00054326"/>
    <w:rsid w:val="000568E5"/>
    <w:rsid w:val="00065346"/>
    <w:rsid w:val="000653CB"/>
    <w:rsid w:val="00074B65"/>
    <w:rsid w:val="00074D28"/>
    <w:rsid w:val="00075E37"/>
    <w:rsid w:val="00082AF2"/>
    <w:rsid w:val="00083A9A"/>
    <w:rsid w:val="00083E53"/>
    <w:rsid w:val="00085018"/>
    <w:rsid w:val="000853EF"/>
    <w:rsid w:val="00091474"/>
    <w:rsid w:val="00091A6C"/>
    <w:rsid w:val="000940C9"/>
    <w:rsid w:val="000956B6"/>
    <w:rsid w:val="000A3102"/>
    <w:rsid w:val="000A53C2"/>
    <w:rsid w:val="000A7E9F"/>
    <w:rsid w:val="000B3FAA"/>
    <w:rsid w:val="000B64F2"/>
    <w:rsid w:val="000C0885"/>
    <w:rsid w:val="000C0B1B"/>
    <w:rsid w:val="000C3A68"/>
    <w:rsid w:val="000C51C5"/>
    <w:rsid w:val="000C5A37"/>
    <w:rsid w:val="000C75E9"/>
    <w:rsid w:val="000D0B34"/>
    <w:rsid w:val="000D16E1"/>
    <w:rsid w:val="000D1D9E"/>
    <w:rsid w:val="000D265C"/>
    <w:rsid w:val="000D49F4"/>
    <w:rsid w:val="000D5F33"/>
    <w:rsid w:val="000D604C"/>
    <w:rsid w:val="000E1FD3"/>
    <w:rsid w:val="000E46FB"/>
    <w:rsid w:val="000E5942"/>
    <w:rsid w:val="000E73E3"/>
    <w:rsid w:val="000E7592"/>
    <w:rsid w:val="000F06B0"/>
    <w:rsid w:val="000F43E5"/>
    <w:rsid w:val="000F59FE"/>
    <w:rsid w:val="000F69D4"/>
    <w:rsid w:val="00100179"/>
    <w:rsid w:val="001003CB"/>
    <w:rsid w:val="00102B49"/>
    <w:rsid w:val="0010509F"/>
    <w:rsid w:val="00105205"/>
    <w:rsid w:val="00107065"/>
    <w:rsid w:val="0010706C"/>
    <w:rsid w:val="00107B8A"/>
    <w:rsid w:val="00107D00"/>
    <w:rsid w:val="001105AE"/>
    <w:rsid w:val="00112C1E"/>
    <w:rsid w:val="0011623D"/>
    <w:rsid w:val="0011758E"/>
    <w:rsid w:val="00124917"/>
    <w:rsid w:val="00125975"/>
    <w:rsid w:val="0013103B"/>
    <w:rsid w:val="001330EB"/>
    <w:rsid w:val="00133331"/>
    <w:rsid w:val="00133F62"/>
    <w:rsid w:val="001362E7"/>
    <w:rsid w:val="00136349"/>
    <w:rsid w:val="001363D4"/>
    <w:rsid w:val="00136C4C"/>
    <w:rsid w:val="00137AD1"/>
    <w:rsid w:val="00143172"/>
    <w:rsid w:val="00146186"/>
    <w:rsid w:val="00146266"/>
    <w:rsid w:val="001465B4"/>
    <w:rsid w:val="0015086B"/>
    <w:rsid w:val="00154A25"/>
    <w:rsid w:val="00155817"/>
    <w:rsid w:val="0015674A"/>
    <w:rsid w:val="0015736A"/>
    <w:rsid w:val="001574E5"/>
    <w:rsid w:val="00160427"/>
    <w:rsid w:val="00160EAA"/>
    <w:rsid w:val="001633C4"/>
    <w:rsid w:val="001635DA"/>
    <w:rsid w:val="00164673"/>
    <w:rsid w:val="0017137F"/>
    <w:rsid w:val="0017487F"/>
    <w:rsid w:val="00175A7D"/>
    <w:rsid w:val="001768EA"/>
    <w:rsid w:val="001809C7"/>
    <w:rsid w:val="00183673"/>
    <w:rsid w:val="00186C88"/>
    <w:rsid w:val="001936C8"/>
    <w:rsid w:val="0019376E"/>
    <w:rsid w:val="0019599D"/>
    <w:rsid w:val="00197E65"/>
    <w:rsid w:val="00197F25"/>
    <w:rsid w:val="001A1194"/>
    <w:rsid w:val="001A2ED9"/>
    <w:rsid w:val="001A3B01"/>
    <w:rsid w:val="001A3BA0"/>
    <w:rsid w:val="001A542B"/>
    <w:rsid w:val="001A62C7"/>
    <w:rsid w:val="001B2402"/>
    <w:rsid w:val="001B63A6"/>
    <w:rsid w:val="001C37E0"/>
    <w:rsid w:val="001C3E28"/>
    <w:rsid w:val="001C47B7"/>
    <w:rsid w:val="001C66F0"/>
    <w:rsid w:val="001C782F"/>
    <w:rsid w:val="001D000D"/>
    <w:rsid w:val="001D2C44"/>
    <w:rsid w:val="001E13A3"/>
    <w:rsid w:val="001E39B1"/>
    <w:rsid w:val="001E6EC4"/>
    <w:rsid w:val="001E7916"/>
    <w:rsid w:val="001F50AD"/>
    <w:rsid w:val="001F604D"/>
    <w:rsid w:val="001F6FC1"/>
    <w:rsid w:val="001F73DB"/>
    <w:rsid w:val="00204830"/>
    <w:rsid w:val="002053A1"/>
    <w:rsid w:val="00205BCD"/>
    <w:rsid w:val="00205F98"/>
    <w:rsid w:val="002065EA"/>
    <w:rsid w:val="00212045"/>
    <w:rsid w:val="002131C9"/>
    <w:rsid w:val="00215CCE"/>
    <w:rsid w:val="0021690C"/>
    <w:rsid w:val="00216DBE"/>
    <w:rsid w:val="00221F80"/>
    <w:rsid w:val="002246E9"/>
    <w:rsid w:val="00231FAF"/>
    <w:rsid w:val="00236095"/>
    <w:rsid w:val="00236F74"/>
    <w:rsid w:val="00246774"/>
    <w:rsid w:val="00247C8E"/>
    <w:rsid w:val="00250F59"/>
    <w:rsid w:val="00255B72"/>
    <w:rsid w:val="002576DC"/>
    <w:rsid w:val="0026087F"/>
    <w:rsid w:val="00261936"/>
    <w:rsid w:val="002726A4"/>
    <w:rsid w:val="00273536"/>
    <w:rsid w:val="0027739B"/>
    <w:rsid w:val="002776B1"/>
    <w:rsid w:val="00281A72"/>
    <w:rsid w:val="00283FA8"/>
    <w:rsid w:val="002869D1"/>
    <w:rsid w:val="00294B07"/>
    <w:rsid w:val="002A3336"/>
    <w:rsid w:val="002A3796"/>
    <w:rsid w:val="002A3FD7"/>
    <w:rsid w:val="002A40EC"/>
    <w:rsid w:val="002B0201"/>
    <w:rsid w:val="002B0310"/>
    <w:rsid w:val="002B068C"/>
    <w:rsid w:val="002B23E8"/>
    <w:rsid w:val="002B2A55"/>
    <w:rsid w:val="002B4354"/>
    <w:rsid w:val="002C13A7"/>
    <w:rsid w:val="002C2292"/>
    <w:rsid w:val="002C4FAC"/>
    <w:rsid w:val="002C6097"/>
    <w:rsid w:val="002D4D95"/>
    <w:rsid w:val="002D6F73"/>
    <w:rsid w:val="002E1824"/>
    <w:rsid w:val="002E3ECD"/>
    <w:rsid w:val="002E3F62"/>
    <w:rsid w:val="002E6087"/>
    <w:rsid w:val="002F1B32"/>
    <w:rsid w:val="002F68C7"/>
    <w:rsid w:val="002F6D9F"/>
    <w:rsid w:val="002F7500"/>
    <w:rsid w:val="003015C6"/>
    <w:rsid w:val="003029D0"/>
    <w:rsid w:val="00302D4C"/>
    <w:rsid w:val="003033FB"/>
    <w:rsid w:val="003043D8"/>
    <w:rsid w:val="00310C15"/>
    <w:rsid w:val="003136C7"/>
    <w:rsid w:val="0031716D"/>
    <w:rsid w:val="003233B0"/>
    <w:rsid w:val="003240DD"/>
    <w:rsid w:val="0032664D"/>
    <w:rsid w:val="003274FC"/>
    <w:rsid w:val="00333DAA"/>
    <w:rsid w:val="003350D4"/>
    <w:rsid w:val="003414BF"/>
    <w:rsid w:val="00350BCA"/>
    <w:rsid w:val="003515D1"/>
    <w:rsid w:val="00353698"/>
    <w:rsid w:val="0036206A"/>
    <w:rsid w:val="0036366E"/>
    <w:rsid w:val="00365185"/>
    <w:rsid w:val="00365771"/>
    <w:rsid w:val="00372CC6"/>
    <w:rsid w:val="00373444"/>
    <w:rsid w:val="003734C6"/>
    <w:rsid w:val="003738FD"/>
    <w:rsid w:val="003745C9"/>
    <w:rsid w:val="00380DAB"/>
    <w:rsid w:val="003835F1"/>
    <w:rsid w:val="00385F1B"/>
    <w:rsid w:val="00386D3C"/>
    <w:rsid w:val="003939FD"/>
    <w:rsid w:val="00394AEF"/>
    <w:rsid w:val="00397163"/>
    <w:rsid w:val="003A0ED7"/>
    <w:rsid w:val="003A1ABC"/>
    <w:rsid w:val="003A2A5D"/>
    <w:rsid w:val="003A2DEA"/>
    <w:rsid w:val="003A6232"/>
    <w:rsid w:val="003B0EC7"/>
    <w:rsid w:val="003B3ACC"/>
    <w:rsid w:val="003B5148"/>
    <w:rsid w:val="003B6E14"/>
    <w:rsid w:val="003C4D04"/>
    <w:rsid w:val="003D1B4A"/>
    <w:rsid w:val="003D2AB0"/>
    <w:rsid w:val="003D2B80"/>
    <w:rsid w:val="003D2E29"/>
    <w:rsid w:val="003D722C"/>
    <w:rsid w:val="003E6FEE"/>
    <w:rsid w:val="003F0537"/>
    <w:rsid w:val="003F34B8"/>
    <w:rsid w:val="003F43F9"/>
    <w:rsid w:val="003F4DEA"/>
    <w:rsid w:val="003F5D18"/>
    <w:rsid w:val="003F76E7"/>
    <w:rsid w:val="003F7903"/>
    <w:rsid w:val="00401044"/>
    <w:rsid w:val="00402B1F"/>
    <w:rsid w:val="004062CD"/>
    <w:rsid w:val="00411D70"/>
    <w:rsid w:val="0041204A"/>
    <w:rsid w:val="004127A6"/>
    <w:rsid w:val="00414171"/>
    <w:rsid w:val="00421A0D"/>
    <w:rsid w:val="00425E64"/>
    <w:rsid w:val="004306B2"/>
    <w:rsid w:val="004307E5"/>
    <w:rsid w:val="00432E07"/>
    <w:rsid w:val="0044279C"/>
    <w:rsid w:val="0044285E"/>
    <w:rsid w:val="00445E15"/>
    <w:rsid w:val="00451FAE"/>
    <w:rsid w:val="00453867"/>
    <w:rsid w:val="00453909"/>
    <w:rsid w:val="0045763B"/>
    <w:rsid w:val="0046114F"/>
    <w:rsid w:val="004621B2"/>
    <w:rsid w:val="0046587A"/>
    <w:rsid w:val="00466D82"/>
    <w:rsid w:val="004703CD"/>
    <w:rsid w:val="00472A79"/>
    <w:rsid w:val="00475C53"/>
    <w:rsid w:val="00475F02"/>
    <w:rsid w:val="00480016"/>
    <w:rsid w:val="004820C9"/>
    <w:rsid w:val="0048309F"/>
    <w:rsid w:val="004842A7"/>
    <w:rsid w:val="004919C7"/>
    <w:rsid w:val="00493FE9"/>
    <w:rsid w:val="0049585B"/>
    <w:rsid w:val="004A362C"/>
    <w:rsid w:val="004A4E48"/>
    <w:rsid w:val="004A67D9"/>
    <w:rsid w:val="004B2906"/>
    <w:rsid w:val="004B5218"/>
    <w:rsid w:val="004B6056"/>
    <w:rsid w:val="004C428C"/>
    <w:rsid w:val="004C4977"/>
    <w:rsid w:val="004D3AD6"/>
    <w:rsid w:val="004D417A"/>
    <w:rsid w:val="004D56B0"/>
    <w:rsid w:val="004D6D94"/>
    <w:rsid w:val="004E2FDA"/>
    <w:rsid w:val="004E450F"/>
    <w:rsid w:val="004E46AC"/>
    <w:rsid w:val="004F2CB5"/>
    <w:rsid w:val="004F5D49"/>
    <w:rsid w:val="004F60E8"/>
    <w:rsid w:val="004F69CF"/>
    <w:rsid w:val="005051D5"/>
    <w:rsid w:val="0050546E"/>
    <w:rsid w:val="005059AC"/>
    <w:rsid w:val="005075F4"/>
    <w:rsid w:val="005153E3"/>
    <w:rsid w:val="0051586E"/>
    <w:rsid w:val="00517FAF"/>
    <w:rsid w:val="005219E5"/>
    <w:rsid w:val="00522159"/>
    <w:rsid w:val="00525875"/>
    <w:rsid w:val="00527D41"/>
    <w:rsid w:val="00530CB6"/>
    <w:rsid w:val="00533B9A"/>
    <w:rsid w:val="00537540"/>
    <w:rsid w:val="00540D32"/>
    <w:rsid w:val="00541812"/>
    <w:rsid w:val="00543A1C"/>
    <w:rsid w:val="00544905"/>
    <w:rsid w:val="00544BFE"/>
    <w:rsid w:val="005521F9"/>
    <w:rsid w:val="0055226D"/>
    <w:rsid w:val="00552A89"/>
    <w:rsid w:val="00554891"/>
    <w:rsid w:val="00556894"/>
    <w:rsid w:val="00565E6E"/>
    <w:rsid w:val="00565E9A"/>
    <w:rsid w:val="005703BA"/>
    <w:rsid w:val="00571DEE"/>
    <w:rsid w:val="005744DE"/>
    <w:rsid w:val="00574B24"/>
    <w:rsid w:val="00575CFE"/>
    <w:rsid w:val="00576749"/>
    <w:rsid w:val="00577352"/>
    <w:rsid w:val="00577524"/>
    <w:rsid w:val="0058097E"/>
    <w:rsid w:val="00581C19"/>
    <w:rsid w:val="00582783"/>
    <w:rsid w:val="005835F8"/>
    <w:rsid w:val="00583F8E"/>
    <w:rsid w:val="005916AB"/>
    <w:rsid w:val="005925D3"/>
    <w:rsid w:val="00593639"/>
    <w:rsid w:val="00593939"/>
    <w:rsid w:val="00594757"/>
    <w:rsid w:val="005B4E38"/>
    <w:rsid w:val="005C698E"/>
    <w:rsid w:val="005D1296"/>
    <w:rsid w:val="005D14B5"/>
    <w:rsid w:val="005D2FD6"/>
    <w:rsid w:val="005D41E7"/>
    <w:rsid w:val="005D6383"/>
    <w:rsid w:val="005D7BFF"/>
    <w:rsid w:val="005D7D3B"/>
    <w:rsid w:val="005E09B2"/>
    <w:rsid w:val="005E1419"/>
    <w:rsid w:val="005E41BF"/>
    <w:rsid w:val="005F1B20"/>
    <w:rsid w:val="005F7D4F"/>
    <w:rsid w:val="00600FD0"/>
    <w:rsid w:val="0060559D"/>
    <w:rsid w:val="006060C7"/>
    <w:rsid w:val="00610468"/>
    <w:rsid w:val="00610BB8"/>
    <w:rsid w:val="0061318D"/>
    <w:rsid w:val="00616DBE"/>
    <w:rsid w:val="00617B32"/>
    <w:rsid w:val="006217DA"/>
    <w:rsid w:val="00622D1D"/>
    <w:rsid w:val="006236C5"/>
    <w:rsid w:val="00625ADA"/>
    <w:rsid w:val="00626DD1"/>
    <w:rsid w:val="00627223"/>
    <w:rsid w:val="00627AF9"/>
    <w:rsid w:val="006316F2"/>
    <w:rsid w:val="00634526"/>
    <w:rsid w:val="00635693"/>
    <w:rsid w:val="00642E30"/>
    <w:rsid w:val="00652C4D"/>
    <w:rsid w:val="006531BC"/>
    <w:rsid w:val="00654357"/>
    <w:rsid w:val="00654506"/>
    <w:rsid w:val="006550A2"/>
    <w:rsid w:val="00660FAB"/>
    <w:rsid w:val="006628F9"/>
    <w:rsid w:val="00662996"/>
    <w:rsid w:val="0066708D"/>
    <w:rsid w:val="00671A67"/>
    <w:rsid w:val="006809D1"/>
    <w:rsid w:val="006820AB"/>
    <w:rsid w:val="006838EC"/>
    <w:rsid w:val="00692485"/>
    <w:rsid w:val="00694AB9"/>
    <w:rsid w:val="006B11FC"/>
    <w:rsid w:val="006B1387"/>
    <w:rsid w:val="006B1C91"/>
    <w:rsid w:val="006B1FD0"/>
    <w:rsid w:val="006B495C"/>
    <w:rsid w:val="006B665D"/>
    <w:rsid w:val="006C27B0"/>
    <w:rsid w:val="006C28B1"/>
    <w:rsid w:val="006C61E3"/>
    <w:rsid w:val="006C7071"/>
    <w:rsid w:val="006D12B8"/>
    <w:rsid w:val="006D1C19"/>
    <w:rsid w:val="006D41BE"/>
    <w:rsid w:val="006D587A"/>
    <w:rsid w:val="006D75F7"/>
    <w:rsid w:val="006E147C"/>
    <w:rsid w:val="006E542E"/>
    <w:rsid w:val="006E63F5"/>
    <w:rsid w:val="006E7FE4"/>
    <w:rsid w:val="006F01E3"/>
    <w:rsid w:val="006F020E"/>
    <w:rsid w:val="006F07D5"/>
    <w:rsid w:val="006F0990"/>
    <w:rsid w:val="006F52C0"/>
    <w:rsid w:val="006F5D0E"/>
    <w:rsid w:val="006F618A"/>
    <w:rsid w:val="006F6338"/>
    <w:rsid w:val="006F6BCE"/>
    <w:rsid w:val="006F7BC3"/>
    <w:rsid w:val="00707C48"/>
    <w:rsid w:val="00710569"/>
    <w:rsid w:val="00712B59"/>
    <w:rsid w:val="007158FC"/>
    <w:rsid w:val="007202C3"/>
    <w:rsid w:val="00721051"/>
    <w:rsid w:val="0072399C"/>
    <w:rsid w:val="00724103"/>
    <w:rsid w:val="007256AF"/>
    <w:rsid w:val="00730763"/>
    <w:rsid w:val="00730C54"/>
    <w:rsid w:val="007341B6"/>
    <w:rsid w:val="00745E5B"/>
    <w:rsid w:val="00746438"/>
    <w:rsid w:val="007513DA"/>
    <w:rsid w:val="0075207D"/>
    <w:rsid w:val="007528EA"/>
    <w:rsid w:val="0075412E"/>
    <w:rsid w:val="007559D3"/>
    <w:rsid w:val="007563A4"/>
    <w:rsid w:val="00760D03"/>
    <w:rsid w:val="007638AC"/>
    <w:rsid w:val="00764897"/>
    <w:rsid w:val="007725F9"/>
    <w:rsid w:val="007749FF"/>
    <w:rsid w:val="0077610B"/>
    <w:rsid w:val="007803AE"/>
    <w:rsid w:val="0078207F"/>
    <w:rsid w:val="00782F77"/>
    <w:rsid w:val="00790668"/>
    <w:rsid w:val="00790DD8"/>
    <w:rsid w:val="00792AB5"/>
    <w:rsid w:val="00792B53"/>
    <w:rsid w:val="00797310"/>
    <w:rsid w:val="007A010B"/>
    <w:rsid w:val="007A15BD"/>
    <w:rsid w:val="007A1DD8"/>
    <w:rsid w:val="007A230E"/>
    <w:rsid w:val="007A3C9F"/>
    <w:rsid w:val="007A4717"/>
    <w:rsid w:val="007A57C0"/>
    <w:rsid w:val="007A61AB"/>
    <w:rsid w:val="007B30E5"/>
    <w:rsid w:val="007B3D91"/>
    <w:rsid w:val="007B4C97"/>
    <w:rsid w:val="007C05CC"/>
    <w:rsid w:val="007C0FE1"/>
    <w:rsid w:val="007C45CE"/>
    <w:rsid w:val="007C52DF"/>
    <w:rsid w:val="007D0852"/>
    <w:rsid w:val="007D39BA"/>
    <w:rsid w:val="007D49C9"/>
    <w:rsid w:val="007D5F6C"/>
    <w:rsid w:val="007E202C"/>
    <w:rsid w:val="007E2E69"/>
    <w:rsid w:val="007E38BE"/>
    <w:rsid w:val="007E4550"/>
    <w:rsid w:val="007E55B6"/>
    <w:rsid w:val="007E624D"/>
    <w:rsid w:val="007E6D57"/>
    <w:rsid w:val="007F0E77"/>
    <w:rsid w:val="007F311A"/>
    <w:rsid w:val="007F33E2"/>
    <w:rsid w:val="007F3998"/>
    <w:rsid w:val="007F3E30"/>
    <w:rsid w:val="008019ED"/>
    <w:rsid w:val="008056E6"/>
    <w:rsid w:val="00806CCC"/>
    <w:rsid w:val="00807E96"/>
    <w:rsid w:val="0081067F"/>
    <w:rsid w:val="00810F6B"/>
    <w:rsid w:val="0081116E"/>
    <w:rsid w:val="0081229C"/>
    <w:rsid w:val="0081251F"/>
    <w:rsid w:val="008139A0"/>
    <w:rsid w:val="00813C81"/>
    <w:rsid w:val="0081729B"/>
    <w:rsid w:val="008173AC"/>
    <w:rsid w:val="00821009"/>
    <w:rsid w:val="0082273F"/>
    <w:rsid w:val="008234D8"/>
    <w:rsid w:val="00823B66"/>
    <w:rsid w:val="0083149B"/>
    <w:rsid w:val="00831F7A"/>
    <w:rsid w:val="00833800"/>
    <w:rsid w:val="00840A96"/>
    <w:rsid w:val="0084307F"/>
    <w:rsid w:val="008453AD"/>
    <w:rsid w:val="00846B1D"/>
    <w:rsid w:val="00850033"/>
    <w:rsid w:val="00855152"/>
    <w:rsid w:val="00866C25"/>
    <w:rsid w:val="00867098"/>
    <w:rsid w:val="00867194"/>
    <w:rsid w:val="0087592A"/>
    <w:rsid w:val="008805D8"/>
    <w:rsid w:val="00882A80"/>
    <w:rsid w:val="00883CB6"/>
    <w:rsid w:val="00886C47"/>
    <w:rsid w:val="00891DEC"/>
    <w:rsid w:val="008928AD"/>
    <w:rsid w:val="0089730C"/>
    <w:rsid w:val="008A0958"/>
    <w:rsid w:val="008A3F1B"/>
    <w:rsid w:val="008A71F7"/>
    <w:rsid w:val="008A7AD1"/>
    <w:rsid w:val="008A7D81"/>
    <w:rsid w:val="008C1C86"/>
    <w:rsid w:val="008C2425"/>
    <w:rsid w:val="008C2D5C"/>
    <w:rsid w:val="008C33D6"/>
    <w:rsid w:val="008C5744"/>
    <w:rsid w:val="008D067B"/>
    <w:rsid w:val="008D6804"/>
    <w:rsid w:val="008E1AE2"/>
    <w:rsid w:val="008E2C2F"/>
    <w:rsid w:val="008E5721"/>
    <w:rsid w:val="008F31DB"/>
    <w:rsid w:val="008F449B"/>
    <w:rsid w:val="0090296D"/>
    <w:rsid w:val="0090358D"/>
    <w:rsid w:val="00903F1E"/>
    <w:rsid w:val="00911793"/>
    <w:rsid w:val="00911A42"/>
    <w:rsid w:val="00916E3D"/>
    <w:rsid w:val="00923ADE"/>
    <w:rsid w:val="0092742D"/>
    <w:rsid w:val="0093228F"/>
    <w:rsid w:val="00933737"/>
    <w:rsid w:val="009349BB"/>
    <w:rsid w:val="00934D8B"/>
    <w:rsid w:val="009372FF"/>
    <w:rsid w:val="009373E5"/>
    <w:rsid w:val="00937D17"/>
    <w:rsid w:val="0094025B"/>
    <w:rsid w:val="0094061B"/>
    <w:rsid w:val="00940897"/>
    <w:rsid w:val="009413F5"/>
    <w:rsid w:val="009419AD"/>
    <w:rsid w:val="00942DEE"/>
    <w:rsid w:val="009432F5"/>
    <w:rsid w:val="009453B4"/>
    <w:rsid w:val="00950D2B"/>
    <w:rsid w:val="00954755"/>
    <w:rsid w:val="00955588"/>
    <w:rsid w:val="00957C58"/>
    <w:rsid w:val="00970CA2"/>
    <w:rsid w:val="00976807"/>
    <w:rsid w:val="00977172"/>
    <w:rsid w:val="00977EB2"/>
    <w:rsid w:val="00980078"/>
    <w:rsid w:val="00984119"/>
    <w:rsid w:val="0098509B"/>
    <w:rsid w:val="00992872"/>
    <w:rsid w:val="00995DD2"/>
    <w:rsid w:val="009A050C"/>
    <w:rsid w:val="009A3A80"/>
    <w:rsid w:val="009A404C"/>
    <w:rsid w:val="009A479A"/>
    <w:rsid w:val="009A55B9"/>
    <w:rsid w:val="009A6EF4"/>
    <w:rsid w:val="009B0AA8"/>
    <w:rsid w:val="009B1779"/>
    <w:rsid w:val="009B2417"/>
    <w:rsid w:val="009B289A"/>
    <w:rsid w:val="009B4818"/>
    <w:rsid w:val="009C03D3"/>
    <w:rsid w:val="009C1045"/>
    <w:rsid w:val="009C1176"/>
    <w:rsid w:val="009C7139"/>
    <w:rsid w:val="009C7990"/>
    <w:rsid w:val="009D0F07"/>
    <w:rsid w:val="009D1F21"/>
    <w:rsid w:val="009D3B8D"/>
    <w:rsid w:val="009D4CC7"/>
    <w:rsid w:val="009D558C"/>
    <w:rsid w:val="009D59FD"/>
    <w:rsid w:val="009E02D0"/>
    <w:rsid w:val="009E17B0"/>
    <w:rsid w:val="009E32F4"/>
    <w:rsid w:val="009E75C7"/>
    <w:rsid w:val="009E78BF"/>
    <w:rsid w:val="009F46DB"/>
    <w:rsid w:val="009F7A00"/>
    <w:rsid w:val="00A00104"/>
    <w:rsid w:val="00A0129D"/>
    <w:rsid w:val="00A06DD9"/>
    <w:rsid w:val="00A07AD2"/>
    <w:rsid w:val="00A1204E"/>
    <w:rsid w:val="00A1722D"/>
    <w:rsid w:val="00A173BC"/>
    <w:rsid w:val="00A233F5"/>
    <w:rsid w:val="00A26E89"/>
    <w:rsid w:val="00A3150A"/>
    <w:rsid w:val="00A316A5"/>
    <w:rsid w:val="00A33F1B"/>
    <w:rsid w:val="00A401C6"/>
    <w:rsid w:val="00A40C09"/>
    <w:rsid w:val="00A527AC"/>
    <w:rsid w:val="00A558E5"/>
    <w:rsid w:val="00A5707D"/>
    <w:rsid w:val="00A620E7"/>
    <w:rsid w:val="00A64F11"/>
    <w:rsid w:val="00A67F23"/>
    <w:rsid w:val="00A7323F"/>
    <w:rsid w:val="00A73CB9"/>
    <w:rsid w:val="00A814B2"/>
    <w:rsid w:val="00A8176C"/>
    <w:rsid w:val="00A842CD"/>
    <w:rsid w:val="00A9290C"/>
    <w:rsid w:val="00A950E9"/>
    <w:rsid w:val="00AA015B"/>
    <w:rsid w:val="00AA4887"/>
    <w:rsid w:val="00AA618F"/>
    <w:rsid w:val="00AA6B83"/>
    <w:rsid w:val="00AA7DBF"/>
    <w:rsid w:val="00AB30C5"/>
    <w:rsid w:val="00AB460E"/>
    <w:rsid w:val="00AC2F1F"/>
    <w:rsid w:val="00AC4FEC"/>
    <w:rsid w:val="00AD1529"/>
    <w:rsid w:val="00AD6F0C"/>
    <w:rsid w:val="00AD6F57"/>
    <w:rsid w:val="00AD7333"/>
    <w:rsid w:val="00AE08FD"/>
    <w:rsid w:val="00AE22E5"/>
    <w:rsid w:val="00AE3C0B"/>
    <w:rsid w:val="00AE61F4"/>
    <w:rsid w:val="00AE6473"/>
    <w:rsid w:val="00AE734A"/>
    <w:rsid w:val="00AF3140"/>
    <w:rsid w:val="00B01748"/>
    <w:rsid w:val="00B01A3E"/>
    <w:rsid w:val="00B043BE"/>
    <w:rsid w:val="00B14F36"/>
    <w:rsid w:val="00B15C2B"/>
    <w:rsid w:val="00B16EC2"/>
    <w:rsid w:val="00B21D52"/>
    <w:rsid w:val="00B307A2"/>
    <w:rsid w:val="00B32E3F"/>
    <w:rsid w:val="00B432F7"/>
    <w:rsid w:val="00B46DDA"/>
    <w:rsid w:val="00B500AB"/>
    <w:rsid w:val="00B50CA9"/>
    <w:rsid w:val="00B52000"/>
    <w:rsid w:val="00B52DE2"/>
    <w:rsid w:val="00B5550E"/>
    <w:rsid w:val="00B633AD"/>
    <w:rsid w:val="00B64B60"/>
    <w:rsid w:val="00B70024"/>
    <w:rsid w:val="00B716AB"/>
    <w:rsid w:val="00B72757"/>
    <w:rsid w:val="00B73DFE"/>
    <w:rsid w:val="00B77949"/>
    <w:rsid w:val="00B82790"/>
    <w:rsid w:val="00B87436"/>
    <w:rsid w:val="00B91D46"/>
    <w:rsid w:val="00B9766D"/>
    <w:rsid w:val="00BA5027"/>
    <w:rsid w:val="00BA5529"/>
    <w:rsid w:val="00BB1A45"/>
    <w:rsid w:val="00BB1F08"/>
    <w:rsid w:val="00BB22B7"/>
    <w:rsid w:val="00BB2E52"/>
    <w:rsid w:val="00BB49B0"/>
    <w:rsid w:val="00BC10AC"/>
    <w:rsid w:val="00BC1D67"/>
    <w:rsid w:val="00BC2E25"/>
    <w:rsid w:val="00BC330A"/>
    <w:rsid w:val="00BC60CD"/>
    <w:rsid w:val="00BC6C3E"/>
    <w:rsid w:val="00BC7206"/>
    <w:rsid w:val="00BD0A77"/>
    <w:rsid w:val="00BD3E9C"/>
    <w:rsid w:val="00BE034F"/>
    <w:rsid w:val="00BE08EA"/>
    <w:rsid w:val="00BE0F97"/>
    <w:rsid w:val="00BE2443"/>
    <w:rsid w:val="00BE2EDC"/>
    <w:rsid w:val="00BE3CB9"/>
    <w:rsid w:val="00BE633B"/>
    <w:rsid w:val="00BE76F9"/>
    <w:rsid w:val="00BF0325"/>
    <w:rsid w:val="00BF4158"/>
    <w:rsid w:val="00BF77FB"/>
    <w:rsid w:val="00C02B5A"/>
    <w:rsid w:val="00C03984"/>
    <w:rsid w:val="00C05AC1"/>
    <w:rsid w:val="00C0748E"/>
    <w:rsid w:val="00C12BC4"/>
    <w:rsid w:val="00C22D5D"/>
    <w:rsid w:val="00C306CF"/>
    <w:rsid w:val="00C3124C"/>
    <w:rsid w:val="00C333EC"/>
    <w:rsid w:val="00C34251"/>
    <w:rsid w:val="00C35FAB"/>
    <w:rsid w:val="00C4036C"/>
    <w:rsid w:val="00C40529"/>
    <w:rsid w:val="00C40E36"/>
    <w:rsid w:val="00C41F4B"/>
    <w:rsid w:val="00C46B47"/>
    <w:rsid w:val="00C505D8"/>
    <w:rsid w:val="00C55DFD"/>
    <w:rsid w:val="00C60AD2"/>
    <w:rsid w:val="00C60D53"/>
    <w:rsid w:val="00C6194F"/>
    <w:rsid w:val="00C65632"/>
    <w:rsid w:val="00C663A6"/>
    <w:rsid w:val="00C718C8"/>
    <w:rsid w:val="00C73873"/>
    <w:rsid w:val="00C77052"/>
    <w:rsid w:val="00C819E6"/>
    <w:rsid w:val="00C87222"/>
    <w:rsid w:val="00C879BF"/>
    <w:rsid w:val="00C90723"/>
    <w:rsid w:val="00C93906"/>
    <w:rsid w:val="00CA21B6"/>
    <w:rsid w:val="00CA4B83"/>
    <w:rsid w:val="00CA546F"/>
    <w:rsid w:val="00CB211D"/>
    <w:rsid w:val="00CB40CF"/>
    <w:rsid w:val="00CB4B70"/>
    <w:rsid w:val="00CB553D"/>
    <w:rsid w:val="00CC3D99"/>
    <w:rsid w:val="00CC4F91"/>
    <w:rsid w:val="00CC7979"/>
    <w:rsid w:val="00CD6224"/>
    <w:rsid w:val="00CD6E38"/>
    <w:rsid w:val="00CE0857"/>
    <w:rsid w:val="00CE2CC7"/>
    <w:rsid w:val="00CE418F"/>
    <w:rsid w:val="00CE70B7"/>
    <w:rsid w:val="00CF1BDA"/>
    <w:rsid w:val="00CF5B79"/>
    <w:rsid w:val="00CF78BD"/>
    <w:rsid w:val="00D039CB"/>
    <w:rsid w:val="00D045C1"/>
    <w:rsid w:val="00D04875"/>
    <w:rsid w:val="00D076E7"/>
    <w:rsid w:val="00D07DD2"/>
    <w:rsid w:val="00D10FE8"/>
    <w:rsid w:val="00D12C62"/>
    <w:rsid w:val="00D13260"/>
    <w:rsid w:val="00D13559"/>
    <w:rsid w:val="00D13F71"/>
    <w:rsid w:val="00D1703A"/>
    <w:rsid w:val="00D2036E"/>
    <w:rsid w:val="00D24C1F"/>
    <w:rsid w:val="00D24F15"/>
    <w:rsid w:val="00D25996"/>
    <w:rsid w:val="00D265AE"/>
    <w:rsid w:val="00D3101B"/>
    <w:rsid w:val="00D415C7"/>
    <w:rsid w:val="00D42314"/>
    <w:rsid w:val="00D46C20"/>
    <w:rsid w:val="00D47EBF"/>
    <w:rsid w:val="00D53A0D"/>
    <w:rsid w:val="00D55052"/>
    <w:rsid w:val="00D55053"/>
    <w:rsid w:val="00D60A30"/>
    <w:rsid w:val="00D61820"/>
    <w:rsid w:val="00D64A1C"/>
    <w:rsid w:val="00D6543E"/>
    <w:rsid w:val="00D76527"/>
    <w:rsid w:val="00D81695"/>
    <w:rsid w:val="00D84446"/>
    <w:rsid w:val="00D856ED"/>
    <w:rsid w:val="00D95D66"/>
    <w:rsid w:val="00D95EDA"/>
    <w:rsid w:val="00D973EA"/>
    <w:rsid w:val="00DA0CE8"/>
    <w:rsid w:val="00DA3176"/>
    <w:rsid w:val="00DB00DB"/>
    <w:rsid w:val="00DB06D6"/>
    <w:rsid w:val="00DB228A"/>
    <w:rsid w:val="00DB3220"/>
    <w:rsid w:val="00DB39DF"/>
    <w:rsid w:val="00DB3BAF"/>
    <w:rsid w:val="00DB3F84"/>
    <w:rsid w:val="00DB4876"/>
    <w:rsid w:val="00DB66FC"/>
    <w:rsid w:val="00DB77DA"/>
    <w:rsid w:val="00DC0A1C"/>
    <w:rsid w:val="00DC0A80"/>
    <w:rsid w:val="00DC298C"/>
    <w:rsid w:val="00DC7318"/>
    <w:rsid w:val="00DD35D6"/>
    <w:rsid w:val="00DD7BC8"/>
    <w:rsid w:val="00DE446F"/>
    <w:rsid w:val="00DE59CE"/>
    <w:rsid w:val="00DE59FC"/>
    <w:rsid w:val="00DE5F01"/>
    <w:rsid w:val="00DE6375"/>
    <w:rsid w:val="00DE6E2E"/>
    <w:rsid w:val="00DF0445"/>
    <w:rsid w:val="00DF3A7F"/>
    <w:rsid w:val="00DF3B95"/>
    <w:rsid w:val="00DF6260"/>
    <w:rsid w:val="00E011E1"/>
    <w:rsid w:val="00E013B0"/>
    <w:rsid w:val="00E029F9"/>
    <w:rsid w:val="00E02F4F"/>
    <w:rsid w:val="00E05FA0"/>
    <w:rsid w:val="00E0683B"/>
    <w:rsid w:val="00E07BAC"/>
    <w:rsid w:val="00E1646F"/>
    <w:rsid w:val="00E16EDF"/>
    <w:rsid w:val="00E17629"/>
    <w:rsid w:val="00E20DD5"/>
    <w:rsid w:val="00E219CC"/>
    <w:rsid w:val="00E23D6F"/>
    <w:rsid w:val="00E27E53"/>
    <w:rsid w:val="00E31937"/>
    <w:rsid w:val="00E3556E"/>
    <w:rsid w:val="00E372E5"/>
    <w:rsid w:val="00E37427"/>
    <w:rsid w:val="00E406A8"/>
    <w:rsid w:val="00E40A01"/>
    <w:rsid w:val="00E4523A"/>
    <w:rsid w:val="00E45C33"/>
    <w:rsid w:val="00E4643B"/>
    <w:rsid w:val="00E50679"/>
    <w:rsid w:val="00E55C19"/>
    <w:rsid w:val="00E56905"/>
    <w:rsid w:val="00E601E9"/>
    <w:rsid w:val="00E61FB5"/>
    <w:rsid w:val="00E63F88"/>
    <w:rsid w:val="00E72798"/>
    <w:rsid w:val="00E73619"/>
    <w:rsid w:val="00E744B4"/>
    <w:rsid w:val="00E8028D"/>
    <w:rsid w:val="00E81D5A"/>
    <w:rsid w:val="00E85179"/>
    <w:rsid w:val="00E87A7D"/>
    <w:rsid w:val="00E87F53"/>
    <w:rsid w:val="00E904C0"/>
    <w:rsid w:val="00E91068"/>
    <w:rsid w:val="00E93C7A"/>
    <w:rsid w:val="00E9726B"/>
    <w:rsid w:val="00EA0D72"/>
    <w:rsid w:val="00EA1025"/>
    <w:rsid w:val="00EA2E8A"/>
    <w:rsid w:val="00EA5479"/>
    <w:rsid w:val="00EA6F11"/>
    <w:rsid w:val="00EB1BE8"/>
    <w:rsid w:val="00EB30D5"/>
    <w:rsid w:val="00EB6AE1"/>
    <w:rsid w:val="00EC4225"/>
    <w:rsid w:val="00EC48C5"/>
    <w:rsid w:val="00EC595B"/>
    <w:rsid w:val="00EC75A8"/>
    <w:rsid w:val="00ED0CD5"/>
    <w:rsid w:val="00ED6DCA"/>
    <w:rsid w:val="00ED788D"/>
    <w:rsid w:val="00EE2E80"/>
    <w:rsid w:val="00EE6755"/>
    <w:rsid w:val="00EF0B37"/>
    <w:rsid w:val="00EF1603"/>
    <w:rsid w:val="00EF2C42"/>
    <w:rsid w:val="00EF4172"/>
    <w:rsid w:val="00EF5A54"/>
    <w:rsid w:val="00F01855"/>
    <w:rsid w:val="00F03DF2"/>
    <w:rsid w:val="00F0518C"/>
    <w:rsid w:val="00F11210"/>
    <w:rsid w:val="00F233BD"/>
    <w:rsid w:val="00F23DB1"/>
    <w:rsid w:val="00F25E71"/>
    <w:rsid w:val="00F274BD"/>
    <w:rsid w:val="00F27DEA"/>
    <w:rsid w:val="00F30B53"/>
    <w:rsid w:val="00F360F8"/>
    <w:rsid w:val="00F36752"/>
    <w:rsid w:val="00F409CD"/>
    <w:rsid w:val="00F413DB"/>
    <w:rsid w:val="00F43F83"/>
    <w:rsid w:val="00F4517C"/>
    <w:rsid w:val="00F4557E"/>
    <w:rsid w:val="00F458D8"/>
    <w:rsid w:val="00F50237"/>
    <w:rsid w:val="00F51E88"/>
    <w:rsid w:val="00F54F3D"/>
    <w:rsid w:val="00F57EDF"/>
    <w:rsid w:val="00F601F1"/>
    <w:rsid w:val="00F626F3"/>
    <w:rsid w:val="00F65EE0"/>
    <w:rsid w:val="00F73A49"/>
    <w:rsid w:val="00F74B61"/>
    <w:rsid w:val="00F75018"/>
    <w:rsid w:val="00F763A7"/>
    <w:rsid w:val="00F76CCC"/>
    <w:rsid w:val="00F80902"/>
    <w:rsid w:val="00F830E7"/>
    <w:rsid w:val="00F844FA"/>
    <w:rsid w:val="00F84BC0"/>
    <w:rsid w:val="00F908F6"/>
    <w:rsid w:val="00F91B89"/>
    <w:rsid w:val="00F94071"/>
    <w:rsid w:val="00F95AC2"/>
    <w:rsid w:val="00FA0C61"/>
    <w:rsid w:val="00FA2090"/>
    <w:rsid w:val="00FB1787"/>
    <w:rsid w:val="00FB3201"/>
    <w:rsid w:val="00FB6BC6"/>
    <w:rsid w:val="00FC2F19"/>
    <w:rsid w:val="00FC51BC"/>
    <w:rsid w:val="00FC6173"/>
    <w:rsid w:val="00FD35BB"/>
    <w:rsid w:val="00FD46A1"/>
    <w:rsid w:val="00FD4855"/>
    <w:rsid w:val="00FD52D3"/>
    <w:rsid w:val="00FD675D"/>
    <w:rsid w:val="00FE0880"/>
    <w:rsid w:val="00FE27CC"/>
    <w:rsid w:val="00FE3783"/>
    <w:rsid w:val="00FE4914"/>
    <w:rsid w:val="00FE4BBF"/>
    <w:rsid w:val="00FE6979"/>
    <w:rsid w:val="00FF1CFF"/>
    <w:rsid w:val="00FF41CB"/>
    <w:rsid w:val="00FF521C"/>
    <w:rsid w:val="00FF6EB8"/>
    <w:rsid w:val="00FF7067"/>
    <w:rsid w:val="02532161"/>
    <w:rsid w:val="02A1111E"/>
    <w:rsid w:val="038F0F77"/>
    <w:rsid w:val="04172544"/>
    <w:rsid w:val="04F167DF"/>
    <w:rsid w:val="056C22E2"/>
    <w:rsid w:val="07364A61"/>
    <w:rsid w:val="07636D1C"/>
    <w:rsid w:val="076B666F"/>
    <w:rsid w:val="092E6B4D"/>
    <w:rsid w:val="093920B1"/>
    <w:rsid w:val="09756E61"/>
    <w:rsid w:val="09910229"/>
    <w:rsid w:val="09A339CE"/>
    <w:rsid w:val="0A2148F3"/>
    <w:rsid w:val="0ACB50DD"/>
    <w:rsid w:val="0B166707"/>
    <w:rsid w:val="0C3E6619"/>
    <w:rsid w:val="0DAD546E"/>
    <w:rsid w:val="0E71082D"/>
    <w:rsid w:val="0F3529E9"/>
    <w:rsid w:val="0F7554C5"/>
    <w:rsid w:val="108F442D"/>
    <w:rsid w:val="109B245A"/>
    <w:rsid w:val="12707CC2"/>
    <w:rsid w:val="13EB21F9"/>
    <w:rsid w:val="149E65AF"/>
    <w:rsid w:val="150C1BA5"/>
    <w:rsid w:val="15424E50"/>
    <w:rsid w:val="154716B1"/>
    <w:rsid w:val="17AB13D3"/>
    <w:rsid w:val="17B9260F"/>
    <w:rsid w:val="18616F2E"/>
    <w:rsid w:val="18825AAC"/>
    <w:rsid w:val="18F9741F"/>
    <w:rsid w:val="19444589"/>
    <w:rsid w:val="198846DD"/>
    <w:rsid w:val="19CC5594"/>
    <w:rsid w:val="1BD611F7"/>
    <w:rsid w:val="1C5E1366"/>
    <w:rsid w:val="1CF175CC"/>
    <w:rsid w:val="1E8349C3"/>
    <w:rsid w:val="1EAC5E05"/>
    <w:rsid w:val="21147C70"/>
    <w:rsid w:val="21CE1724"/>
    <w:rsid w:val="22CD7E81"/>
    <w:rsid w:val="22E471AF"/>
    <w:rsid w:val="22F14981"/>
    <w:rsid w:val="23891858"/>
    <w:rsid w:val="23C74036"/>
    <w:rsid w:val="2478071C"/>
    <w:rsid w:val="24E060A5"/>
    <w:rsid w:val="252D58DA"/>
    <w:rsid w:val="261F50E5"/>
    <w:rsid w:val="269810CB"/>
    <w:rsid w:val="26D07BF3"/>
    <w:rsid w:val="27891449"/>
    <w:rsid w:val="27B33613"/>
    <w:rsid w:val="296C5733"/>
    <w:rsid w:val="2AEC7179"/>
    <w:rsid w:val="2C2422F5"/>
    <w:rsid w:val="2C3E15FB"/>
    <w:rsid w:val="2D574004"/>
    <w:rsid w:val="2D8A1927"/>
    <w:rsid w:val="2EE173A8"/>
    <w:rsid w:val="2EE66380"/>
    <w:rsid w:val="2FF00C96"/>
    <w:rsid w:val="30B662E2"/>
    <w:rsid w:val="31C77716"/>
    <w:rsid w:val="32766BCA"/>
    <w:rsid w:val="32955354"/>
    <w:rsid w:val="335A3A54"/>
    <w:rsid w:val="336F4176"/>
    <w:rsid w:val="349F1E4A"/>
    <w:rsid w:val="36077412"/>
    <w:rsid w:val="368D79CD"/>
    <w:rsid w:val="37C03A73"/>
    <w:rsid w:val="37CD18D5"/>
    <w:rsid w:val="381C43D9"/>
    <w:rsid w:val="390700B8"/>
    <w:rsid w:val="39702E1F"/>
    <w:rsid w:val="399F745E"/>
    <w:rsid w:val="3A3C39D7"/>
    <w:rsid w:val="3C2F4ACA"/>
    <w:rsid w:val="3DF21C78"/>
    <w:rsid w:val="3E6462A1"/>
    <w:rsid w:val="3EDB583E"/>
    <w:rsid w:val="3F052B5D"/>
    <w:rsid w:val="3F146B06"/>
    <w:rsid w:val="3F277470"/>
    <w:rsid w:val="3F951D49"/>
    <w:rsid w:val="3F994F93"/>
    <w:rsid w:val="3FE67B95"/>
    <w:rsid w:val="41976A8A"/>
    <w:rsid w:val="41F273F5"/>
    <w:rsid w:val="42274E97"/>
    <w:rsid w:val="425D4C8B"/>
    <w:rsid w:val="4334694A"/>
    <w:rsid w:val="455F7AA2"/>
    <w:rsid w:val="46302C2A"/>
    <w:rsid w:val="49406236"/>
    <w:rsid w:val="49931E8F"/>
    <w:rsid w:val="4AD90E7F"/>
    <w:rsid w:val="4B0E67C6"/>
    <w:rsid w:val="4B4E4840"/>
    <w:rsid w:val="4BEC05D3"/>
    <w:rsid w:val="4C6A56AA"/>
    <w:rsid w:val="4CB37051"/>
    <w:rsid w:val="4CC73F82"/>
    <w:rsid w:val="4E256AEC"/>
    <w:rsid w:val="4FDA2B47"/>
    <w:rsid w:val="50A75B54"/>
    <w:rsid w:val="52350250"/>
    <w:rsid w:val="52EC506B"/>
    <w:rsid w:val="541747C2"/>
    <w:rsid w:val="54A05C84"/>
    <w:rsid w:val="54B75CD7"/>
    <w:rsid w:val="55382EB6"/>
    <w:rsid w:val="56B9122F"/>
    <w:rsid w:val="57DE633F"/>
    <w:rsid w:val="5807471A"/>
    <w:rsid w:val="5BA62D42"/>
    <w:rsid w:val="5BD50A14"/>
    <w:rsid w:val="5CD137C7"/>
    <w:rsid w:val="5CDC519C"/>
    <w:rsid w:val="5D8144A4"/>
    <w:rsid w:val="5D9F6571"/>
    <w:rsid w:val="5F8951A2"/>
    <w:rsid w:val="60310D8C"/>
    <w:rsid w:val="606D5311"/>
    <w:rsid w:val="607448F1"/>
    <w:rsid w:val="618B1C5B"/>
    <w:rsid w:val="62FB7E29"/>
    <w:rsid w:val="633A7112"/>
    <w:rsid w:val="63696264"/>
    <w:rsid w:val="63F73A21"/>
    <w:rsid w:val="640C28C5"/>
    <w:rsid w:val="65420B1A"/>
    <w:rsid w:val="657D7422"/>
    <w:rsid w:val="66496090"/>
    <w:rsid w:val="66B87CC4"/>
    <w:rsid w:val="678322E5"/>
    <w:rsid w:val="680D3662"/>
    <w:rsid w:val="680D7B18"/>
    <w:rsid w:val="6938470E"/>
    <w:rsid w:val="697F0A56"/>
    <w:rsid w:val="6B067858"/>
    <w:rsid w:val="6C516600"/>
    <w:rsid w:val="6CFE5C6F"/>
    <w:rsid w:val="6D1D1B1B"/>
    <w:rsid w:val="6E2C680B"/>
    <w:rsid w:val="6FDC4749"/>
    <w:rsid w:val="710C2E9A"/>
    <w:rsid w:val="71253EDC"/>
    <w:rsid w:val="71CB12E6"/>
    <w:rsid w:val="72095D2B"/>
    <w:rsid w:val="724F7903"/>
    <w:rsid w:val="7390432E"/>
    <w:rsid w:val="75450B8E"/>
    <w:rsid w:val="76DD62AB"/>
    <w:rsid w:val="770E0E7B"/>
    <w:rsid w:val="77B062CA"/>
    <w:rsid w:val="77BF2DD3"/>
    <w:rsid w:val="78134EBB"/>
    <w:rsid w:val="782F13D2"/>
    <w:rsid w:val="7BBF3BED"/>
    <w:rsid w:val="7C5331B5"/>
    <w:rsid w:val="7F0567ED"/>
    <w:rsid w:val="7F19721B"/>
    <w:rsid w:val="7F9F0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qFormat="1"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iPriority="99" w:name="Body Text 3"/>
    <w:lsdException w:qFormat="1" w:unhideWhenUsed="0" w:uiPriority="99" w:semiHidden="0"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autoSpaceDE w:val="0"/>
      <w:autoSpaceDN w:val="0"/>
      <w:spacing w:beforeLines="0" w:beforeAutospacing="0" w:afterLines="0" w:afterAutospacing="0" w:line="300" w:lineRule="exact"/>
      <w:outlineLvl w:val="0"/>
    </w:pPr>
    <w:rPr>
      <w:rFonts w:ascii="Times New Roman" w:hAnsi="Times New Roman" w:eastAsia="宋体"/>
      <w:kern w:val="44"/>
      <w:sz w:val="18"/>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semiHidden/>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semiHidden/>
    <w:unhideWhenUsed/>
    <w:qFormat/>
    <w:uiPriority w:val="9"/>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semiHidden/>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6">
    <w:name w:val="Default Paragraph Font"/>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Layout w:type="fixed"/>
      <w:tblCellMar>
        <w:top w:w="0" w:type="dxa"/>
        <w:left w:w="108" w:type="dxa"/>
        <w:bottom w:w="0" w:type="dxa"/>
        <w:right w:w="108" w:type="dxa"/>
      </w:tblCellMar>
    </w:tblPr>
  </w:style>
  <w:style w:type="paragraph" w:styleId="8">
    <w:name w:val="annotation text"/>
    <w:basedOn w:val="1"/>
    <w:semiHidden/>
    <w:unhideWhenUsed/>
    <w:qFormat/>
    <w:uiPriority w:val="99"/>
    <w:pPr>
      <w:jc w:val="left"/>
    </w:pPr>
  </w:style>
  <w:style w:type="paragraph" w:styleId="9">
    <w:name w:val="Body Text Indent"/>
    <w:basedOn w:val="1"/>
    <w:semiHidden/>
    <w:unhideWhenUsed/>
    <w:qFormat/>
    <w:uiPriority w:val="99"/>
    <w:pPr>
      <w:spacing w:after="120"/>
      <w:ind w:left="420" w:leftChars="200"/>
    </w:pPr>
  </w:style>
  <w:style w:type="paragraph" w:styleId="10">
    <w:name w:val="Body Text Indent 2"/>
    <w:basedOn w:val="1"/>
    <w:next w:val="11"/>
    <w:qFormat/>
    <w:uiPriority w:val="99"/>
    <w:pPr>
      <w:spacing w:line="400" w:lineRule="exact"/>
      <w:ind w:left="0" w:leftChars="0" w:firstLine="720" w:firstLineChars="200"/>
    </w:pPr>
    <w:rPr>
      <w:rFonts w:ascii="Times New Roman" w:hAnsi="Times New Roman" w:eastAsia="宋体"/>
    </w:rPr>
  </w:style>
  <w:style w:type="paragraph" w:customStyle="1" w:styleId="11">
    <w:name w:val="简单回函地址"/>
    <w:basedOn w:val="1"/>
    <w:next w:val="12"/>
    <w:qFormat/>
    <w:uiPriority w:val="0"/>
  </w:style>
  <w:style w:type="paragraph" w:customStyle="1" w:styleId="12">
    <w:name w:val="正文2"/>
    <w:basedOn w:val="9"/>
    <w:qFormat/>
    <w:uiPriority w:val="0"/>
    <w:pPr>
      <w:autoSpaceDE w:val="0"/>
      <w:autoSpaceDN w:val="0"/>
      <w:spacing w:line="480" w:lineRule="exact"/>
      <w:ind w:left="556"/>
      <w:textAlignment w:val="bottom"/>
    </w:pPr>
    <w:rPr>
      <w:color w:val="000000"/>
      <w:sz w:val="2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
    <w:name w:val="Table Grid_0"/>
    <w:basedOn w:val="14"/>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A2574E-50FC-40B7-8249-87BBAA52556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75</Pages>
  <Words>51355</Words>
  <Characters>55750</Characters>
  <Lines>375</Lines>
  <Paragraphs>105</Paragraphs>
  <TotalTime>4</TotalTime>
  <ScaleCrop>false</ScaleCrop>
  <LinksUpToDate>false</LinksUpToDate>
  <CharactersWithSpaces>56191</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2021-03-18T08:53:00Z</dcterms:created>
  <dc:creator>Administrator</dc:creator>
  <cp:lastModifiedBy>Administrator</cp:lastModifiedBy>
  <cp:lastPrinted>2024-06-28T03:17:00Z</cp:lastPrinted>
  <dcterms:modified xsi:type="dcterms:W3CDTF">2024-07-01T02:15:49Z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DCD867E7539D4B12925FF13C0338FBE2</vt:lpwstr>
  </property>
</Properties>
</file>