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C2BBA">
      <w:pPr>
        <w:spacing w:line="600" w:lineRule="exact"/>
        <w:jc w:val="center"/>
        <w:rPr>
          <w:rFonts w:hint="eastAsia" w:ascii="方正小标宋简体" w:hAnsi="宋体" w:eastAsia="方正小标宋简体"/>
          <w:sz w:val="72"/>
          <w:szCs w:val="72"/>
        </w:rPr>
      </w:pPr>
      <w:bookmarkStart w:id="0" w:name="_Toc15306267"/>
    </w:p>
    <w:p w14:paraId="24E664A0">
      <w:pPr>
        <w:spacing w:line="600" w:lineRule="exact"/>
        <w:jc w:val="center"/>
        <w:rPr>
          <w:rFonts w:hint="eastAsia" w:ascii="方正小标宋简体" w:hAnsi="宋体" w:eastAsia="方正小标宋简体"/>
          <w:sz w:val="72"/>
          <w:szCs w:val="72"/>
        </w:rPr>
      </w:pPr>
    </w:p>
    <w:p w14:paraId="35AF10BD">
      <w:pPr>
        <w:spacing w:line="600" w:lineRule="exact"/>
        <w:jc w:val="center"/>
        <w:rPr>
          <w:rFonts w:hint="eastAsia" w:ascii="方正小标宋简体" w:hAnsi="宋体" w:eastAsia="方正小标宋简体"/>
          <w:sz w:val="72"/>
          <w:szCs w:val="72"/>
        </w:rPr>
      </w:pPr>
    </w:p>
    <w:p w14:paraId="1821E87F">
      <w:pPr>
        <w:spacing w:line="600" w:lineRule="exact"/>
        <w:jc w:val="center"/>
        <w:rPr>
          <w:rFonts w:hint="eastAsia" w:ascii="方正小标宋简体" w:hAnsi="宋体" w:eastAsia="方正小标宋简体"/>
          <w:sz w:val="72"/>
          <w:szCs w:val="72"/>
        </w:rPr>
      </w:pPr>
    </w:p>
    <w:p w14:paraId="67E10EB3">
      <w:pPr>
        <w:adjustRightInd w:val="0"/>
        <w:snapToGrid w:val="0"/>
        <w:spacing w:line="360" w:lineRule="auto"/>
        <w:jc w:val="center"/>
        <w:outlineLvl w:val="0"/>
        <w:rPr>
          <w:rFonts w:hint="eastAsia" w:ascii="黑体" w:hAnsi="黑体" w:eastAsia="黑体" w:cs="黑体"/>
          <w:sz w:val="72"/>
          <w:szCs w:val="72"/>
        </w:rPr>
      </w:pPr>
      <w:bookmarkStart w:id="1" w:name="_Toc15377193"/>
      <w:bookmarkStart w:id="2" w:name="_Toc30986"/>
      <w:bookmarkStart w:id="3" w:name="_Toc26098"/>
      <w:bookmarkStart w:id="4" w:name="_Toc15396475"/>
      <w:bookmarkStart w:id="5" w:name="_Toc13550"/>
      <w:bookmarkStart w:id="6" w:name="_Toc15396597"/>
      <w:bookmarkStart w:id="7" w:name="_Toc11959"/>
      <w:bookmarkStart w:id="8" w:name="_Toc15378441"/>
      <w:bookmarkStart w:id="9" w:name="_Toc15377425"/>
      <w:r>
        <w:rPr>
          <w:rFonts w:hint="eastAsia" w:ascii="黑体" w:hAnsi="黑体" w:eastAsia="黑体" w:cs="黑体"/>
          <w:sz w:val="72"/>
          <w:szCs w:val="72"/>
        </w:rPr>
        <w:t>2023年度</w:t>
      </w:r>
      <w:bookmarkEnd w:id="1"/>
      <w:bookmarkEnd w:id="2"/>
      <w:bookmarkEnd w:id="3"/>
      <w:bookmarkEnd w:id="4"/>
      <w:bookmarkEnd w:id="5"/>
      <w:bookmarkEnd w:id="6"/>
      <w:bookmarkEnd w:id="7"/>
      <w:bookmarkEnd w:id="8"/>
      <w:bookmarkEnd w:id="9"/>
    </w:p>
    <w:bookmarkEnd w:id="0"/>
    <w:p w14:paraId="3FFDDC91">
      <w:pPr>
        <w:adjustRightInd w:val="0"/>
        <w:snapToGrid w:val="0"/>
        <w:spacing w:line="360" w:lineRule="auto"/>
        <w:jc w:val="center"/>
        <w:outlineLvl w:val="0"/>
        <w:rPr>
          <w:rFonts w:hint="eastAsia" w:ascii="黑体" w:hAnsi="黑体" w:eastAsia="黑体" w:cs="黑体"/>
          <w:sz w:val="72"/>
          <w:szCs w:val="72"/>
        </w:rPr>
      </w:pPr>
      <w:bookmarkStart w:id="10" w:name="_Toc11800"/>
      <w:bookmarkStart w:id="11" w:name="_Toc30445"/>
      <w:bookmarkStart w:id="12" w:name="_Toc4274"/>
      <w:bookmarkStart w:id="13" w:name="_Toc2381"/>
      <w:bookmarkStart w:id="14" w:name="_Toc15396598"/>
      <w:bookmarkStart w:id="15" w:name="_Toc15306268"/>
      <w:bookmarkStart w:id="16" w:name="_Toc15377426"/>
      <w:bookmarkStart w:id="17" w:name="_Toc15377194"/>
      <w:bookmarkStart w:id="18" w:name="_Toc15378442"/>
      <w:bookmarkStart w:id="19" w:name="_Toc15396476"/>
      <w:r>
        <w:rPr>
          <w:rFonts w:hint="eastAsia" w:ascii="黑体" w:hAnsi="黑体" w:eastAsia="黑体" w:cs="黑体"/>
          <w:sz w:val="72"/>
          <w:szCs w:val="72"/>
        </w:rPr>
        <w:t>大竹县</w:t>
      </w:r>
      <w:bookmarkEnd w:id="10"/>
      <w:bookmarkEnd w:id="11"/>
      <w:bookmarkEnd w:id="12"/>
      <w:bookmarkEnd w:id="13"/>
      <w:r>
        <w:rPr>
          <w:rFonts w:hint="eastAsia" w:ascii="黑体" w:hAnsi="黑体" w:eastAsia="黑体" w:cs="黑体"/>
          <w:sz w:val="72"/>
          <w:szCs w:val="72"/>
        </w:rPr>
        <w:t>高穴中学</w:t>
      </w:r>
    </w:p>
    <w:p w14:paraId="090383F7">
      <w:pPr>
        <w:adjustRightInd w:val="0"/>
        <w:snapToGrid w:val="0"/>
        <w:spacing w:line="360" w:lineRule="auto"/>
        <w:jc w:val="center"/>
        <w:outlineLvl w:val="0"/>
        <w:rPr>
          <w:rFonts w:hint="eastAsia" w:ascii="黑体" w:hAnsi="黑体" w:eastAsia="黑体" w:cs="黑体"/>
          <w:sz w:val="72"/>
          <w:szCs w:val="72"/>
        </w:rPr>
      </w:pPr>
      <w:bookmarkStart w:id="20" w:name="_Toc252"/>
      <w:bookmarkStart w:id="21" w:name="_Toc18845"/>
      <w:bookmarkStart w:id="22" w:name="_Toc10496"/>
      <w:bookmarkStart w:id="23" w:name="_Toc9725"/>
      <w:r>
        <w:rPr>
          <w:rFonts w:hint="eastAsia" w:ascii="黑体" w:hAnsi="黑体" w:eastAsia="黑体" w:cs="黑体"/>
          <w:sz w:val="72"/>
          <w:szCs w:val="72"/>
        </w:rPr>
        <w:t>单位决算</w:t>
      </w:r>
      <w:bookmarkEnd w:id="14"/>
      <w:bookmarkEnd w:id="15"/>
      <w:bookmarkEnd w:id="16"/>
      <w:bookmarkEnd w:id="17"/>
      <w:bookmarkEnd w:id="18"/>
      <w:bookmarkEnd w:id="19"/>
      <w:bookmarkEnd w:id="20"/>
      <w:bookmarkEnd w:id="21"/>
      <w:bookmarkEnd w:id="22"/>
      <w:bookmarkEnd w:id="23"/>
    </w:p>
    <w:p w14:paraId="66EA53AD">
      <w:pPr>
        <w:pStyle w:val="5"/>
        <w:spacing w:before="93"/>
      </w:pPr>
    </w:p>
    <w:p w14:paraId="694CFB2D">
      <w:pPr>
        <w:widowControl/>
        <w:jc w:val="center"/>
        <w:rPr>
          <w:rFonts w:hint="eastAsia" w:ascii="黑体" w:hAnsi="黑体" w:eastAsia="黑体"/>
          <w:sz w:val="48"/>
          <w:szCs w:val="48"/>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fmt="decimal" w:start="1"/>
          <w:cols w:space="0" w:num="1"/>
          <w:titlePg/>
          <w:docGrid w:type="lines" w:linePitch="312" w:charSpace="0"/>
        </w:sectPr>
      </w:pPr>
    </w:p>
    <w:p w14:paraId="74284781">
      <w:pPr>
        <w:widowControl/>
        <w:jc w:val="center"/>
        <w:rPr>
          <w:rFonts w:hint="eastAsia" w:ascii="黑体" w:hAnsi="黑体" w:eastAsia="黑体" w:cstheme="minorBidi"/>
          <w:sz w:val="28"/>
          <w:szCs w:val="28"/>
        </w:rPr>
      </w:pPr>
      <w:r>
        <w:rPr>
          <w:rFonts w:hint="eastAsia" w:ascii="黑体" w:hAnsi="黑体" w:eastAsia="黑体"/>
          <w:sz w:val="48"/>
          <w:szCs w:val="48"/>
        </w:rPr>
        <w:t>目录</w:t>
      </w:r>
    </w:p>
    <w:p w14:paraId="484C0970">
      <w:pPr>
        <w:pStyle w:val="10"/>
        <w:rPr>
          <w:rFonts w:hint="eastAsia"/>
        </w:rPr>
      </w:pPr>
      <w:r>
        <w:rPr>
          <w:rFonts w:hint="eastAsia"/>
        </w:rPr>
        <w:t>公开时间：2024年10月18日</w:t>
      </w:r>
    </w:p>
    <w:sdt>
      <w:sdtPr>
        <w:rPr>
          <w:rFonts w:ascii="宋体" w:hAnsi="宋体"/>
        </w:rPr>
        <w:id w:val="147470668"/>
        <w15:color w:val="DBDBDB"/>
        <w:docPartObj>
          <w:docPartGallery w:val="Table of Contents"/>
          <w:docPartUnique/>
        </w:docPartObj>
      </w:sdtPr>
      <w:sdtEndPr>
        <w:rPr>
          <w:rFonts w:ascii="宋体" w:hAnsi="宋体"/>
          <w:b/>
        </w:rPr>
      </w:sdtEndPr>
      <w:sdtContent>
        <w:p w14:paraId="2812E4FB">
          <w:pPr>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p>
        <w:p w14:paraId="77E73C1C">
          <w:pPr>
            <w:pStyle w:val="10"/>
            <w:tabs>
              <w:tab w:val="right" w:leader="dot" w:pos="8306"/>
              <w:tab w:val="clear" w:pos="8296"/>
            </w:tabs>
            <w:spacing w:line="440" w:lineRule="exact"/>
            <w:rPr>
              <w:rFonts w:hint="eastAsia" w:ascii="宋体" w:hAnsi="宋体" w:eastAsia="宋体" w:cs="宋体"/>
              <w:sz w:val="24"/>
              <w:szCs w:val="24"/>
            </w:rPr>
          </w:pPr>
          <w:r>
            <w:fldChar w:fldCharType="begin"/>
          </w:r>
          <w:r>
            <w:instrText xml:space="preserve"> HYPERLINK \l "_Toc13859" </w:instrText>
          </w:r>
          <w:r>
            <w:fldChar w:fldCharType="separate"/>
          </w:r>
          <w:r>
            <w:rPr>
              <w:rFonts w:hint="eastAsia" w:ascii="仿宋_GB2312" w:hAnsi="仿宋_GB2312" w:eastAsia="仿宋_GB2312" w:cs="仿宋_GB2312"/>
              <w:sz w:val="24"/>
              <w:szCs w:val="24"/>
            </w:rPr>
            <w:t>第一部分 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_Toc13859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CF9F096">
          <w:pPr>
            <w:pStyle w:val="11"/>
            <w:tabs>
              <w:tab w:val="right" w:leader="dot" w:pos="8306"/>
              <w:tab w:val="clear" w:pos="8296"/>
            </w:tabs>
            <w:spacing w:line="440" w:lineRule="exact"/>
            <w:rPr>
              <w:rFonts w:hint="eastAsia" w:ascii="宋体" w:hAnsi="宋体" w:cs="宋体"/>
              <w:sz w:val="24"/>
            </w:rPr>
          </w:pPr>
          <w:r>
            <w:fldChar w:fldCharType="begin"/>
          </w:r>
          <w:r>
            <w:instrText xml:space="preserve"> HYPERLINK \l "_Toc28917" </w:instrText>
          </w:r>
          <w:r>
            <w:fldChar w:fldCharType="separate"/>
          </w:r>
          <w:r>
            <w:rPr>
              <w:rFonts w:hint="eastAsia" w:ascii="宋体" w:hAnsi="宋体" w:cs="宋体"/>
              <w:sz w:val="24"/>
            </w:rPr>
            <w:t>一、 职能简介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_Toc28917 \h </w:instrText>
          </w:r>
          <w:r>
            <w:rPr>
              <w:rFonts w:hint="eastAsia" w:ascii="宋体" w:hAnsi="宋体" w:cs="宋体"/>
              <w:sz w:val="24"/>
            </w:rPr>
            <w:fldChar w:fldCharType="separate"/>
          </w:r>
          <w:r>
            <w:rPr>
              <w:rFonts w:hint="eastAsia" w:ascii="宋体" w:hAnsi="宋体" w:cs="宋体"/>
              <w:sz w:val="24"/>
            </w:rPr>
            <w:t>3</w:t>
          </w:r>
          <w:r>
            <w:rPr>
              <w:rFonts w:hint="eastAsia" w:ascii="宋体" w:hAnsi="宋体" w:cs="宋体"/>
              <w:sz w:val="24"/>
            </w:rPr>
            <w:fldChar w:fldCharType="end"/>
          </w:r>
          <w:r>
            <w:rPr>
              <w:rFonts w:hint="eastAsia" w:ascii="宋体" w:hAnsi="宋体" w:cs="宋体"/>
              <w:sz w:val="24"/>
            </w:rPr>
            <w:fldChar w:fldCharType="end"/>
          </w:r>
        </w:p>
        <w:p w14:paraId="1B8F926C">
          <w:pPr>
            <w:pStyle w:val="11"/>
            <w:tabs>
              <w:tab w:val="right" w:leader="dot" w:pos="8306"/>
              <w:tab w:val="clear" w:pos="8296"/>
            </w:tabs>
            <w:spacing w:line="440" w:lineRule="exact"/>
            <w:rPr>
              <w:rFonts w:hint="eastAsia" w:ascii="宋体" w:hAnsi="宋体" w:cs="宋体"/>
              <w:sz w:val="24"/>
            </w:rPr>
          </w:pPr>
          <w:r>
            <w:fldChar w:fldCharType="begin"/>
          </w:r>
          <w:r>
            <w:instrText xml:space="preserve"> HYPERLINK \l "_Toc25859" </w:instrText>
          </w:r>
          <w:r>
            <w:fldChar w:fldCharType="separate"/>
          </w:r>
          <w:r>
            <w:rPr>
              <w:rFonts w:hint="eastAsia" w:ascii="宋体" w:hAnsi="宋体" w:cs="宋体"/>
              <w:sz w:val="24"/>
            </w:rPr>
            <w:t>二、机构设置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_Toc25859 \h </w:instrText>
          </w:r>
          <w:r>
            <w:rPr>
              <w:rFonts w:hint="eastAsia" w:ascii="宋体" w:hAnsi="宋体" w:cs="宋体"/>
              <w:sz w:val="24"/>
            </w:rPr>
            <w:fldChar w:fldCharType="separate"/>
          </w:r>
          <w:r>
            <w:rPr>
              <w:rFonts w:hint="eastAsia" w:ascii="宋体" w:hAnsi="宋体" w:cs="宋体"/>
              <w:sz w:val="24"/>
            </w:rPr>
            <w:t>3</w:t>
          </w:r>
          <w:r>
            <w:rPr>
              <w:rFonts w:hint="eastAsia" w:ascii="宋体" w:hAnsi="宋体" w:cs="宋体"/>
              <w:sz w:val="24"/>
            </w:rPr>
            <w:fldChar w:fldCharType="end"/>
          </w:r>
          <w:r>
            <w:rPr>
              <w:rFonts w:hint="eastAsia" w:ascii="宋体" w:hAnsi="宋体" w:cs="宋体"/>
              <w:sz w:val="24"/>
            </w:rPr>
            <w:fldChar w:fldCharType="end"/>
          </w:r>
        </w:p>
        <w:p w14:paraId="6DF0EA4F">
          <w:pPr>
            <w:pStyle w:val="10"/>
            <w:tabs>
              <w:tab w:val="right" w:leader="dot" w:pos="8306"/>
              <w:tab w:val="clear" w:pos="8296"/>
            </w:tabs>
            <w:spacing w:line="440" w:lineRule="exact"/>
            <w:rPr>
              <w:rFonts w:hint="eastAsia" w:ascii="宋体" w:hAnsi="宋体" w:eastAsia="宋体" w:cs="宋体"/>
              <w:sz w:val="24"/>
              <w:szCs w:val="24"/>
            </w:rPr>
          </w:pPr>
          <w:r>
            <w:fldChar w:fldCharType="begin"/>
          </w:r>
          <w:r>
            <w:instrText xml:space="preserve"> HYPERLINK \l "_Toc31162" </w:instrText>
          </w:r>
          <w:r>
            <w:fldChar w:fldCharType="separate"/>
          </w:r>
          <w:r>
            <w:rPr>
              <w:rFonts w:hint="eastAsia" w:ascii="仿宋_GB2312" w:hAnsi="仿宋_GB2312" w:eastAsia="仿宋_GB2312" w:cs="仿宋_GB2312"/>
              <w:bCs/>
              <w:sz w:val="24"/>
              <w:szCs w:val="24"/>
            </w:rPr>
            <w:t>第二部分 2023年度单位决算情况说明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_Toc31162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59D7ED">
          <w:pPr>
            <w:pStyle w:val="11"/>
            <w:tabs>
              <w:tab w:val="right" w:leader="dot" w:pos="8306"/>
              <w:tab w:val="clear" w:pos="8296"/>
            </w:tabs>
            <w:spacing w:line="440" w:lineRule="exact"/>
            <w:rPr>
              <w:rFonts w:hint="eastAsia" w:ascii="宋体" w:hAnsi="宋体" w:cs="宋体"/>
              <w:sz w:val="24"/>
            </w:rPr>
          </w:pPr>
          <w:r>
            <w:fldChar w:fldCharType="begin"/>
          </w:r>
          <w:r>
            <w:instrText xml:space="preserve"> HYPERLINK \l "_Toc3488" </w:instrText>
          </w:r>
          <w:r>
            <w:fldChar w:fldCharType="separate"/>
          </w:r>
          <w:r>
            <w:rPr>
              <w:rFonts w:hint="eastAsia" w:ascii="宋体" w:hAnsi="宋体" w:cs="宋体"/>
              <w:sz w:val="24"/>
            </w:rPr>
            <w:t>一、 收入支出决算总体情况说明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_Toc3488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14:paraId="67BD896B">
          <w:pPr>
            <w:pStyle w:val="11"/>
            <w:tabs>
              <w:tab w:val="right" w:leader="dot" w:pos="8306"/>
              <w:tab w:val="clear" w:pos="8296"/>
            </w:tabs>
            <w:spacing w:line="440" w:lineRule="exact"/>
            <w:rPr>
              <w:rFonts w:hint="eastAsia" w:ascii="宋体" w:hAnsi="宋体" w:cs="宋体"/>
              <w:sz w:val="24"/>
            </w:rPr>
          </w:pPr>
          <w:r>
            <w:fldChar w:fldCharType="begin"/>
          </w:r>
          <w:r>
            <w:instrText xml:space="preserve"> HYPERLINK \l "_Toc11707" </w:instrText>
          </w:r>
          <w:r>
            <w:fldChar w:fldCharType="separate"/>
          </w:r>
          <w:r>
            <w:rPr>
              <w:rFonts w:hint="eastAsia" w:ascii="宋体" w:hAnsi="宋体" w:cs="宋体"/>
              <w:sz w:val="24"/>
            </w:rPr>
            <w:t>二、 收入决算情况说明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_Toc11707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14:paraId="6D4DC468">
          <w:pPr>
            <w:pStyle w:val="11"/>
            <w:tabs>
              <w:tab w:val="right" w:leader="dot" w:pos="8306"/>
              <w:tab w:val="clear" w:pos="8296"/>
            </w:tabs>
            <w:spacing w:line="440" w:lineRule="exact"/>
            <w:rPr>
              <w:rFonts w:hint="eastAsia" w:ascii="宋体" w:hAnsi="宋体" w:cs="宋体"/>
              <w:sz w:val="24"/>
            </w:rPr>
          </w:pPr>
          <w:r>
            <w:fldChar w:fldCharType="begin"/>
          </w:r>
          <w:r>
            <w:instrText xml:space="preserve"> HYPERLINK \l "_Toc15834" </w:instrText>
          </w:r>
          <w:r>
            <w:fldChar w:fldCharType="separate"/>
          </w:r>
          <w:r>
            <w:rPr>
              <w:rFonts w:hint="eastAsia" w:ascii="宋体" w:hAnsi="宋体" w:cs="宋体"/>
              <w:sz w:val="24"/>
            </w:rPr>
            <w:t>三、 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_Toc15834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14:paraId="5B74B142">
          <w:pPr>
            <w:pStyle w:val="11"/>
            <w:tabs>
              <w:tab w:val="right" w:leader="dot" w:pos="8306"/>
              <w:tab w:val="clear" w:pos="8296"/>
            </w:tabs>
            <w:spacing w:line="440" w:lineRule="exact"/>
            <w:rPr>
              <w:rFonts w:hint="eastAsia" w:ascii="宋体" w:hAnsi="宋体" w:cs="宋体"/>
              <w:sz w:val="24"/>
            </w:rPr>
          </w:pPr>
          <w:r>
            <w:fldChar w:fldCharType="begin"/>
          </w:r>
          <w:r>
            <w:instrText xml:space="preserve"> HYPERLINK \l "_Toc3674" </w:instrText>
          </w:r>
          <w:r>
            <w:fldChar w:fldCharType="separate"/>
          </w:r>
          <w:r>
            <w:rPr>
              <w:rFonts w:hint="eastAsia" w:ascii="宋体" w:hAnsi="宋体" w:cs="宋体"/>
              <w:sz w:val="24"/>
            </w:rPr>
            <w:t>四、财政拨款收入支出决算总体情况说明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_Toc3674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14:paraId="26C104F9">
          <w:pPr>
            <w:pStyle w:val="11"/>
            <w:tabs>
              <w:tab w:val="right" w:leader="dot" w:pos="8306"/>
              <w:tab w:val="clear" w:pos="8296"/>
            </w:tabs>
            <w:spacing w:line="440" w:lineRule="exact"/>
            <w:rPr>
              <w:rFonts w:hint="eastAsia" w:ascii="宋体" w:hAnsi="宋体" w:cs="宋体"/>
              <w:sz w:val="24"/>
            </w:rPr>
          </w:pPr>
          <w:r>
            <w:fldChar w:fldCharType="begin"/>
          </w:r>
          <w:r>
            <w:instrText xml:space="preserve"> HYPERLINK \l "_Toc32249" </w:instrText>
          </w:r>
          <w:r>
            <w:fldChar w:fldCharType="separate"/>
          </w:r>
          <w:r>
            <w:rPr>
              <w:rFonts w:hint="eastAsia" w:ascii="宋体" w:hAnsi="宋体" w:cs="宋体"/>
              <w:sz w:val="24"/>
            </w:rPr>
            <w:t>五、一般公共预算财政拨款支出决算情况说明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_Toc32249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14:paraId="55E88FAF">
          <w:pPr>
            <w:pStyle w:val="11"/>
            <w:tabs>
              <w:tab w:val="right" w:leader="dot" w:pos="8306"/>
              <w:tab w:val="clear" w:pos="8296"/>
            </w:tabs>
            <w:spacing w:line="440" w:lineRule="exact"/>
            <w:rPr>
              <w:rFonts w:hint="eastAsia" w:ascii="宋体" w:hAnsi="宋体" w:cs="宋体"/>
              <w:sz w:val="24"/>
            </w:rPr>
          </w:pPr>
          <w:r>
            <w:fldChar w:fldCharType="begin"/>
          </w:r>
          <w:r>
            <w:instrText xml:space="preserve"> HYPERLINK \l "_Toc21484" </w:instrText>
          </w:r>
          <w:r>
            <w:fldChar w:fldCharType="separate"/>
          </w:r>
          <w:r>
            <w:rPr>
              <w:rFonts w:hint="eastAsia" w:ascii="宋体" w:hAnsi="宋体" w:cs="宋体"/>
              <w:sz w:val="24"/>
            </w:rPr>
            <w:t>六、一般公共预算财政拨款基本支出决算情况说明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_Toc21484 \h </w:instrText>
          </w:r>
          <w:r>
            <w:rPr>
              <w:rFonts w:hint="eastAsia" w:ascii="宋体" w:hAnsi="宋体" w:cs="宋体"/>
              <w:sz w:val="24"/>
            </w:rPr>
            <w:fldChar w:fldCharType="separate"/>
          </w:r>
          <w:r>
            <w:rPr>
              <w:rFonts w:hint="eastAsia" w:ascii="宋体" w:hAnsi="宋体" w:cs="宋体"/>
              <w:sz w:val="24"/>
            </w:rPr>
            <w:t>8</w:t>
          </w:r>
          <w:r>
            <w:rPr>
              <w:rFonts w:hint="eastAsia" w:ascii="宋体" w:hAnsi="宋体" w:cs="宋体"/>
              <w:sz w:val="24"/>
            </w:rPr>
            <w:fldChar w:fldCharType="end"/>
          </w:r>
          <w:r>
            <w:rPr>
              <w:rFonts w:hint="eastAsia" w:ascii="宋体" w:hAnsi="宋体" w:cs="宋体"/>
              <w:sz w:val="24"/>
            </w:rPr>
            <w:fldChar w:fldCharType="end"/>
          </w:r>
        </w:p>
        <w:p w14:paraId="55DD1480">
          <w:pPr>
            <w:pStyle w:val="11"/>
            <w:tabs>
              <w:tab w:val="right" w:leader="dot" w:pos="8306"/>
              <w:tab w:val="clear" w:pos="8296"/>
            </w:tabs>
            <w:spacing w:line="440" w:lineRule="exact"/>
            <w:rPr>
              <w:rFonts w:hint="eastAsia" w:ascii="宋体" w:hAnsi="宋体" w:cs="宋体"/>
              <w:sz w:val="24"/>
            </w:rPr>
          </w:pPr>
          <w:r>
            <w:fldChar w:fldCharType="begin"/>
          </w:r>
          <w:r>
            <w:instrText xml:space="preserve"> HYPERLINK \l "_Toc9808" </w:instrText>
          </w:r>
          <w:r>
            <w:fldChar w:fldCharType="separate"/>
          </w:r>
          <w:r>
            <w:rPr>
              <w:rFonts w:hint="eastAsia" w:ascii="宋体" w:hAnsi="宋体" w:cs="宋体"/>
              <w:sz w:val="24"/>
            </w:rPr>
            <w:t>七、“三公”经费财政拨款支出决算情况说明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_Toc9808 \h </w:instrText>
          </w:r>
          <w:r>
            <w:rPr>
              <w:rFonts w:hint="eastAsia" w:ascii="宋体" w:hAnsi="宋体" w:cs="宋体"/>
              <w:sz w:val="24"/>
            </w:rPr>
            <w:fldChar w:fldCharType="separate"/>
          </w:r>
          <w:r>
            <w:rPr>
              <w:rFonts w:hint="eastAsia" w:ascii="宋体" w:hAnsi="宋体" w:cs="宋体"/>
              <w:sz w:val="24"/>
            </w:rPr>
            <w:t>9</w:t>
          </w:r>
          <w:r>
            <w:rPr>
              <w:rFonts w:hint="eastAsia" w:ascii="宋体" w:hAnsi="宋体" w:cs="宋体"/>
              <w:sz w:val="24"/>
            </w:rPr>
            <w:fldChar w:fldCharType="end"/>
          </w:r>
          <w:r>
            <w:rPr>
              <w:rFonts w:hint="eastAsia" w:ascii="宋体" w:hAnsi="宋体" w:cs="宋体"/>
              <w:sz w:val="24"/>
            </w:rPr>
            <w:fldChar w:fldCharType="end"/>
          </w:r>
        </w:p>
        <w:p w14:paraId="1D6849DE">
          <w:pPr>
            <w:pStyle w:val="11"/>
            <w:tabs>
              <w:tab w:val="right" w:leader="dot" w:pos="8306"/>
              <w:tab w:val="clear" w:pos="8296"/>
            </w:tabs>
            <w:spacing w:line="440" w:lineRule="exact"/>
            <w:rPr>
              <w:rFonts w:hint="eastAsia" w:ascii="宋体" w:hAnsi="宋体" w:cs="宋体"/>
              <w:sz w:val="24"/>
            </w:rPr>
          </w:pPr>
          <w:r>
            <w:fldChar w:fldCharType="begin"/>
          </w:r>
          <w:r>
            <w:instrText xml:space="preserve"> HYPERLINK \l "_Toc10844" </w:instrText>
          </w:r>
          <w:r>
            <w:fldChar w:fldCharType="separate"/>
          </w:r>
          <w:r>
            <w:rPr>
              <w:rFonts w:hint="eastAsia" w:ascii="宋体" w:hAnsi="宋体" w:cs="宋体"/>
              <w:sz w:val="24"/>
            </w:rPr>
            <w:t>八、政府性基金预算支出决算情况说明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_Toc10844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r>
            <w:rPr>
              <w:rFonts w:hint="eastAsia" w:ascii="宋体" w:hAnsi="宋体" w:cs="宋体"/>
              <w:sz w:val="24"/>
            </w:rPr>
            <w:fldChar w:fldCharType="end"/>
          </w:r>
        </w:p>
        <w:p w14:paraId="44E69B8C">
          <w:pPr>
            <w:pStyle w:val="11"/>
            <w:tabs>
              <w:tab w:val="right" w:leader="dot" w:pos="8306"/>
              <w:tab w:val="clear" w:pos="8296"/>
            </w:tabs>
            <w:spacing w:line="440" w:lineRule="exact"/>
            <w:rPr>
              <w:rFonts w:hint="eastAsia" w:ascii="宋体" w:hAnsi="宋体" w:cs="宋体"/>
              <w:sz w:val="24"/>
            </w:rPr>
          </w:pPr>
          <w:r>
            <w:fldChar w:fldCharType="begin"/>
          </w:r>
          <w:r>
            <w:instrText xml:space="preserve"> HYPERLINK \l "_Toc1214" </w:instrText>
          </w:r>
          <w:r>
            <w:fldChar w:fldCharType="separate"/>
          </w:r>
          <w:r>
            <w:rPr>
              <w:rFonts w:hint="eastAsia" w:ascii="宋体" w:hAnsi="宋体" w:cs="宋体"/>
              <w:sz w:val="24"/>
            </w:rPr>
            <w:t>九、 国有资本经营预算支出决算情况说明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_Toc1214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r>
            <w:rPr>
              <w:rFonts w:hint="eastAsia" w:ascii="宋体" w:hAnsi="宋体" w:cs="宋体"/>
              <w:sz w:val="24"/>
            </w:rPr>
            <w:fldChar w:fldCharType="end"/>
          </w:r>
        </w:p>
        <w:p w14:paraId="5DEA11CA">
          <w:pPr>
            <w:pStyle w:val="11"/>
            <w:tabs>
              <w:tab w:val="right" w:leader="dot" w:pos="8306"/>
              <w:tab w:val="clear" w:pos="8296"/>
            </w:tabs>
            <w:spacing w:line="440" w:lineRule="exact"/>
            <w:rPr>
              <w:rFonts w:hint="eastAsia" w:ascii="宋体" w:hAnsi="宋体" w:cs="宋体"/>
              <w:sz w:val="24"/>
            </w:rPr>
          </w:pPr>
          <w:r>
            <w:fldChar w:fldCharType="begin"/>
          </w:r>
          <w:r>
            <w:instrText xml:space="preserve"> HYPERLINK \l "_Toc31091" </w:instrText>
          </w:r>
          <w:r>
            <w:fldChar w:fldCharType="separate"/>
          </w:r>
          <w:r>
            <w:rPr>
              <w:rFonts w:hint="eastAsia" w:ascii="宋体" w:hAnsi="宋体" w:cs="宋体"/>
              <w:sz w:val="24"/>
            </w:rPr>
            <w:t>十、 其他重要事项的情况说明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_Toc31091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r>
            <w:rPr>
              <w:rFonts w:hint="eastAsia" w:ascii="宋体" w:hAnsi="宋体" w:cs="宋体"/>
              <w:sz w:val="24"/>
            </w:rPr>
            <w:fldChar w:fldCharType="end"/>
          </w:r>
        </w:p>
        <w:p w14:paraId="77B95A9B">
          <w:pPr>
            <w:pStyle w:val="10"/>
            <w:tabs>
              <w:tab w:val="right" w:leader="dot" w:pos="8306"/>
              <w:tab w:val="clear" w:pos="8296"/>
            </w:tabs>
            <w:spacing w:line="440" w:lineRule="exact"/>
            <w:rPr>
              <w:rFonts w:hint="eastAsia" w:ascii="宋体" w:hAnsi="宋体" w:eastAsia="宋体" w:cs="宋体"/>
              <w:sz w:val="24"/>
              <w:szCs w:val="24"/>
            </w:rPr>
          </w:pPr>
          <w:r>
            <w:fldChar w:fldCharType="begin"/>
          </w:r>
          <w:r>
            <w:instrText xml:space="preserve"> HYPERLINK \l "_Toc10613" </w:instrText>
          </w:r>
          <w:r>
            <w:fldChar w:fldCharType="separate"/>
          </w:r>
          <w:r>
            <w:rPr>
              <w:rFonts w:hint="eastAsia" w:ascii="仿宋_GB2312" w:hAnsi="仿宋_GB2312" w:eastAsia="仿宋_GB2312" w:cs="仿宋_GB2312"/>
              <w:sz w:val="24"/>
              <w:szCs w:val="24"/>
            </w:rPr>
            <w:t>第三部分 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_Toc10613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CD5DF8D">
          <w:pPr>
            <w:pStyle w:val="10"/>
            <w:tabs>
              <w:tab w:val="right" w:leader="dot" w:pos="8306"/>
              <w:tab w:val="clear" w:pos="8296"/>
            </w:tabs>
            <w:spacing w:line="440" w:lineRule="exact"/>
            <w:rPr>
              <w:rFonts w:hint="eastAsia" w:ascii="宋体" w:hAnsi="宋体" w:eastAsia="宋体" w:cs="宋体"/>
              <w:sz w:val="24"/>
              <w:szCs w:val="24"/>
            </w:rPr>
          </w:pPr>
          <w:r>
            <w:fldChar w:fldCharType="begin"/>
          </w:r>
          <w:r>
            <w:instrText xml:space="preserve"> HYPERLINK \l "_Toc25087" </w:instrText>
          </w:r>
          <w:r>
            <w:fldChar w:fldCharType="separate"/>
          </w:r>
          <w:r>
            <w:rPr>
              <w:rFonts w:hint="eastAsia" w:ascii="仿宋_GB2312" w:hAnsi="仿宋_GB2312" w:eastAsia="仿宋_GB2312" w:cs="仿宋_GB2312"/>
              <w:sz w:val="24"/>
              <w:szCs w:val="24"/>
            </w:rPr>
            <w:t>第四部分 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_Toc25087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3EDE5C9">
          <w:pPr>
            <w:pStyle w:val="10"/>
            <w:tabs>
              <w:tab w:val="right" w:leader="dot" w:pos="8306"/>
              <w:tab w:val="clear" w:pos="8296"/>
            </w:tabs>
            <w:spacing w:line="440" w:lineRule="exact"/>
            <w:rPr>
              <w:rFonts w:hint="eastAsia" w:ascii="宋体" w:hAnsi="宋体" w:eastAsia="宋体" w:cs="宋体"/>
              <w:sz w:val="24"/>
              <w:szCs w:val="24"/>
              <w:lang w:val="en-US" w:eastAsia="zh-CN"/>
            </w:rPr>
          </w:pPr>
          <w:r>
            <w:fldChar w:fldCharType="begin"/>
          </w:r>
          <w:r>
            <w:instrText xml:space="preserve"> HYPERLINK \l "_Toc31790" </w:instrText>
          </w:r>
          <w:r>
            <w:fldChar w:fldCharType="separate"/>
          </w:r>
          <w:r>
            <w:rPr>
              <w:rFonts w:hint="eastAsia" w:ascii="仿宋_GB2312" w:hAnsi="仿宋_GB2312" w:eastAsia="仿宋_GB2312" w:cs="仿宋_GB2312"/>
              <w:sz w:val="24"/>
              <w:szCs w:val="24"/>
            </w:rPr>
            <w:t>第五部分 附表</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w:t>
          </w:r>
        </w:p>
        <w:p w14:paraId="68952762">
          <w:pPr>
            <w:pStyle w:val="11"/>
            <w:tabs>
              <w:tab w:val="right" w:leader="dot" w:pos="8306"/>
              <w:tab w:val="clear" w:pos="8296"/>
            </w:tabs>
            <w:spacing w:line="440" w:lineRule="exact"/>
            <w:rPr>
              <w:rFonts w:hint="eastAsia" w:ascii="宋体" w:hAnsi="宋体" w:eastAsia="宋体" w:cs="宋体"/>
              <w:sz w:val="24"/>
              <w:lang w:val="en-US" w:eastAsia="zh-CN"/>
            </w:rPr>
          </w:pPr>
          <w:r>
            <w:fldChar w:fldCharType="begin"/>
          </w:r>
          <w:r>
            <w:instrText xml:space="preserve"> HYPERLINK \l "_Toc21540" </w:instrText>
          </w:r>
          <w:r>
            <w:fldChar w:fldCharType="separate"/>
          </w:r>
          <w:r>
            <w:rPr>
              <w:rFonts w:hint="eastAsia" w:ascii="宋体" w:hAnsi="宋体" w:cs="宋体"/>
              <w:sz w:val="24"/>
            </w:rPr>
            <w:t>一、收入支出决算总表</w:t>
          </w:r>
          <w:r>
            <w:rPr>
              <w:rFonts w:hint="eastAsia" w:ascii="宋体" w:hAnsi="宋体" w:cs="宋体"/>
              <w:sz w:val="24"/>
            </w:rPr>
            <w:tab/>
          </w:r>
          <w:r>
            <w:rPr>
              <w:rFonts w:hint="eastAsia" w:ascii="宋体" w:hAnsi="宋体" w:cs="宋体"/>
              <w:sz w:val="24"/>
              <w:lang w:val="en-US" w:eastAsia="zh-CN"/>
            </w:rPr>
            <w:t>2</w:t>
          </w:r>
          <w:r>
            <w:rPr>
              <w:rFonts w:hint="eastAsia" w:ascii="宋体" w:hAnsi="宋体" w:cs="宋体"/>
              <w:sz w:val="24"/>
            </w:rPr>
            <w:fldChar w:fldCharType="end"/>
          </w:r>
          <w:r>
            <w:rPr>
              <w:rFonts w:hint="eastAsia" w:ascii="宋体" w:hAnsi="宋体" w:cs="宋体"/>
              <w:sz w:val="24"/>
              <w:lang w:val="en-US" w:eastAsia="zh-CN"/>
            </w:rPr>
            <w:t>5</w:t>
          </w:r>
        </w:p>
        <w:p w14:paraId="3D14D2DD">
          <w:pPr>
            <w:pStyle w:val="11"/>
            <w:tabs>
              <w:tab w:val="right" w:leader="dot" w:pos="8306"/>
              <w:tab w:val="clear" w:pos="8296"/>
            </w:tabs>
            <w:spacing w:line="440" w:lineRule="exact"/>
            <w:rPr>
              <w:rFonts w:hint="eastAsia" w:ascii="宋体" w:hAnsi="宋体" w:eastAsia="宋体" w:cs="宋体"/>
              <w:sz w:val="24"/>
              <w:lang w:val="en-US" w:eastAsia="zh-CN"/>
            </w:rPr>
          </w:pPr>
          <w:r>
            <w:fldChar w:fldCharType="begin"/>
          </w:r>
          <w:r>
            <w:instrText xml:space="preserve"> HYPERLINK \l "_Toc14740" </w:instrText>
          </w:r>
          <w:r>
            <w:fldChar w:fldCharType="separate"/>
          </w:r>
          <w:r>
            <w:rPr>
              <w:rFonts w:hint="eastAsia" w:ascii="宋体" w:hAnsi="宋体" w:cs="宋体"/>
              <w:sz w:val="24"/>
            </w:rPr>
            <w:t>二、收入决算表</w:t>
          </w:r>
          <w:r>
            <w:rPr>
              <w:rFonts w:hint="eastAsia" w:ascii="宋体" w:hAnsi="宋体" w:cs="宋体"/>
              <w:sz w:val="24"/>
            </w:rPr>
            <w:tab/>
          </w:r>
          <w:r>
            <w:rPr>
              <w:rFonts w:hint="eastAsia" w:ascii="宋体" w:hAnsi="宋体" w:cs="宋体"/>
              <w:sz w:val="24"/>
              <w:lang w:val="en-US" w:eastAsia="zh-CN"/>
            </w:rPr>
            <w:t>2</w:t>
          </w:r>
          <w:r>
            <w:rPr>
              <w:rFonts w:hint="eastAsia" w:ascii="宋体" w:hAnsi="宋体" w:cs="宋体"/>
              <w:sz w:val="24"/>
            </w:rPr>
            <w:fldChar w:fldCharType="end"/>
          </w:r>
          <w:r>
            <w:rPr>
              <w:rFonts w:hint="eastAsia" w:ascii="宋体" w:hAnsi="宋体" w:cs="宋体"/>
              <w:sz w:val="24"/>
              <w:lang w:val="en-US" w:eastAsia="zh-CN"/>
            </w:rPr>
            <w:t>5</w:t>
          </w:r>
        </w:p>
        <w:p w14:paraId="62EA3037">
          <w:pPr>
            <w:pStyle w:val="11"/>
            <w:tabs>
              <w:tab w:val="right" w:leader="dot" w:pos="8306"/>
              <w:tab w:val="clear" w:pos="8296"/>
            </w:tabs>
            <w:spacing w:line="440" w:lineRule="exact"/>
            <w:rPr>
              <w:rFonts w:hint="eastAsia" w:ascii="宋体" w:hAnsi="宋体" w:eastAsia="宋体" w:cs="宋体"/>
              <w:sz w:val="24"/>
              <w:lang w:val="en-US" w:eastAsia="zh-CN"/>
            </w:rPr>
          </w:pPr>
          <w:r>
            <w:fldChar w:fldCharType="begin"/>
          </w:r>
          <w:r>
            <w:instrText xml:space="preserve"> HYPERLINK \l "_Toc26490" </w:instrText>
          </w:r>
          <w:r>
            <w:fldChar w:fldCharType="separate"/>
          </w:r>
          <w:r>
            <w:rPr>
              <w:rFonts w:hint="eastAsia" w:ascii="宋体" w:hAnsi="宋体" w:cs="宋体"/>
              <w:sz w:val="24"/>
            </w:rPr>
            <w:t>三、支出决算表</w:t>
          </w:r>
          <w:r>
            <w:rPr>
              <w:rFonts w:hint="eastAsia" w:ascii="宋体" w:hAnsi="宋体" w:cs="宋体"/>
              <w:sz w:val="24"/>
            </w:rPr>
            <w:tab/>
          </w:r>
          <w:r>
            <w:rPr>
              <w:rFonts w:hint="eastAsia" w:ascii="宋体" w:hAnsi="宋体" w:cs="宋体"/>
              <w:sz w:val="24"/>
              <w:lang w:val="en-US" w:eastAsia="zh-CN"/>
            </w:rPr>
            <w:t>2</w:t>
          </w:r>
          <w:r>
            <w:rPr>
              <w:rFonts w:hint="eastAsia" w:ascii="宋体" w:hAnsi="宋体" w:cs="宋体"/>
              <w:sz w:val="24"/>
            </w:rPr>
            <w:fldChar w:fldCharType="end"/>
          </w:r>
          <w:r>
            <w:rPr>
              <w:rFonts w:hint="eastAsia" w:ascii="宋体" w:hAnsi="宋体" w:cs="宋体"/>
              <w:sz w:val="24"/>
              <w:lang w:val="en-US" w:eastAsia="zh-CN"/>
            </w:rPr>
            <w:t>5</w:t>
          </w:r>
        </w:p>
        <w:p w14:paraId="4D489635">
          <w:pPr>
            <w:pStyle w:val="11"/>
            <w:tabs>
              <w:tab w:val="right" w:leader="dot" w:pos="8306"/>
              <w:tab w:val="clear" w:pos="8296"/>
            </w:tabs>
            <w:spacing w:line="440" w:lineRule="exact"/>
            <w:rPr>
              <w:rFonts w:hint="eastAsia" w:ascii="宋体" w:hAnsi="宋体" w:eastAsia="宋体" w:cs="宋体"/>
              <w:sz w:val="24"/>
              <w:lang w:val="en-US" w:eastAsia="zh-CN"/>
            </w:rPr>
          </w:pPr>
          <w:r>
            <w:fldChar w:fldCharType="begin"/>
          </w:r>
          <w:r>
            <w:instrText xml:space="preserve"> HYPERLINK \l "_Toc4249" </w:instrText>
          </w:r>
          <w:r>
            <w:fldChar w:fldCharType="separate"/>
          </w:r>
          <w:r>
            <w:rPr>
              <w:rFonts w:hint="eastAsia" w:ascii="宋体" w:hAnsi="宋体" w:cs="宋体"/>
              <w:sz w:val="24"/>
            </w:rPr>
            <w:t>四、财政拨款收入支出决算总表</w:t>
          </w:r>
          <w:r>
            <w:rPr>
              <w:rFonts w:hint="eastAsia" w:ascii="宋体" w:hAnsi="宋体" w:cs="宋体"/>
              <w:sz w:val="24"/>
            </w:rPr>
            <w:tab/>
          </w:r>
          <w:r>
            <w:rPr>
              <w:rFonts w:hint="eastAsia" w:ascii="宋体" w:hAnsi="宋体" w:cs="宋体"/>
              <w:sz w:val="24"/>
              <w:lang w:val="en-US" w:eastAsia="zh-CN"/>
            </w:rPr>
            <w:t>2</w:t>
          </w:r>
          <w:r>
            <w:rPr>
              <w:rFonts w:hint="eastAsia" w:ascii="宋体" w:hAnsi="宋体" w:cs="宋体"/>
              <w:sz w:val="24"/>
            </w:rPr>
            <w:fldChar w:fldCharType="end"/>
          </w:r>
          <w:r>
            <w:rPr>
              <w:rFonts w:hint="eastAsia" w:ascii="宋体" w:hAnsi="宋体" w:cs="宋体"/>
              <w:sz w:val="24"/>
              <w:lang w:val="en-US" w:eastAsia="zh-CN"/>
            </w:rPr>
            <w:t>5</w:t>
          </w:r>
        </w:p>
        <w:p w14:paraId="74B73C21">
          <w:pPr>
            <w:pStyle w:val="11"/>
            <w:tabs>
              <w:tab w:val="right" w:leader="dot" w:pos="8306"/>
              <w:tab w:val="clear" w:pos="8296"/>
            </w:tabs>
            <w:spacing w:line="440" w:lineRule="exact"/>
            <w:rPr>
              <w:rFonts w:hint="eastAsia" w:ascii="宋体" w:hAnsi="宋体" w:eastAsia="宋体" w:cs="宋体"/>
              <w:sz w:val="24"/>
              <w:lang w:val="en-US" w:eastAsia="zh-CN"/>
            </w:rPr>
          </w:pPr>
          <w:r>
            <w:fldChar w:fldCharType="begin"/>
          </w:r>
          <w:r>
            <w:instrText xml:space="preserve"> HYPERLINK \l "_Toc21621" </w:instrText>
          </w:r>
          <w:r>
            <w:fldChar w:fldCharType="separate"/>
          </w:r>
          <w:r>
            <w:rPr>
              <w:rFonts w:hint="eastAsia" w:ascii="宋体" w:hAnsi="宋体" w:cs="宋体"/>
              <w:sz w:val="24"/>
            </w:rPr>
            <w:t>五、财政拨款支出决算明细表</w:t>
          </w:r>
          <w:r>
            <w:rPr>
              <w:rFonts w:hint="eastAsia" w:ascii="宋体" w:hAnsi="宋体" w:cs="宋体"/>
              <w:sz w:val="24"/>
            </w:rPr>
            <w:tab/>
          </w:r>
          <w:r>
            <w:rPr>
              <w:rFonts w:hint="eastAsia" w:ascii="宋体" w:hAnsi="宋体" w:cs="宋体"/>
              <w:sz w:val="24"/>
              <w:lang w:val="en-US" w:eastAsia="zh-CN"/>
            </w:rPr>
            <w:t>2</w:t>
          </w:r>
          <w:r>
            <w:rPr>
              <w:rFonts w:hint="eastAsia" w:ascii="宋体" w:hAnsi="宋体" w:cs="宋体"/>
              <w:sz w:val="24"/>
            </w:rPr>
            <w:fldChar w:fldCharType="end"/>
          </w:r>
          <w:r>
            <w:rPr>
              <w:rFonts w:hint="eastAsia" w:ascii="宋体" w:hAnsi="宋体" w:cs="宋体"/>
              <w:sz w:val="24"/>
              <w:lang w:val="en-US" w:eastAsia="zh-CN"/>
            </w:rPr>
            <w:t>5</w:t>
          </w:r>
        </w:p>
        <w:p w14:paraId="348AA5C4">
          <w:pPr>
            <w:pStyle w:val="11"/>
            <w:tabs>
              <w:tab w:val="right" w:leader="dot" w:pos="8306"/>
              <w:tab w:val="clear" w:pos="8296"/>
            </w:tabs>
            <w:spacing w:line="440" w:lineRule="exact"/>
            <w:rPr>
              <w:rFonts w:hint="eastAsia" w:ascii="宋体" w:hAnsi="宋体" w:eastAsia="宋体" w:cs="宋体"/>
              <w:sz w:val="24"/>
              <w:lang w:val="en-US" w:eastAsia="zh-CN"/>
            </w:rPr>
          </w:pPr>
          <w:r>
            <w:fldChar w:fldCharType="begin"/>
          </w:r>
          <w:r>
            <w:instrText xml:space="preserve"> HYPERLINK \l "_Toc1061" </w:instrText>
          </w:r>
          <w:r>
            <w:fldChar w:fldCharType="separate"/>
          </w:r>
          <w:r>
            <w:rPr>
              <w:rFonts w:hint="eastAsia" w:ascii="宋体" w:hAnsi="宋体" w:cs="宋体"/>
              <w:sz w:val="24"/>
            </w:rPr>
            <w:t>六、一般公共预算财政拨款支出决算表</w:t>
          </w:r>
          <w:r>
            <w:rPr>
              <w:rFonts w:hint="eastAsia" w:ascii="宋体" w:hAnsi="宋体" w:cs="宋体"/>
              <w:sz w:val="24"/>
            </w:rPr>
            <w:tab/>
          </w:r>
          <w:r>
            <w:rPr>
              <w:rFonts w:hint="eastAsia" w:ascii="宋体" w:hAnsi="宋体" w:cs="宋体"/>
              <w:sz w:val="24"/>
              <w:lang w:val="en-US" w:eastAsia="zh-CN"/>
            </w:rPr>
            <w:t>2</w:t>
          </w:r>
          <w:r>
            <w:rPr>
              <w:rFonts w:hint="eastAsia" w:ascii="宋体" w:hAnsi="宋体" w:cs="宋体"/>
              <w:sz w:val="24"/>
            </w:rPr>
            <w:fldChar w:fldCharType="end"/>
          </w:r>
          <w:r>
            <w:rPr>
              <w:rFonts w:hint="eastAsia" w:ascii="宋体" w:hAnsi="宋体" w:cs="宋体"/>
              <w:sz w:val="24"/>
              <w:lang w:val="en-US" w:eastAsia="zh-CN"/>
            </w:rPr>
            <w:t>5</w:t>
          </w:r>
        </w:p>
        <w:p w14:paraId="460619B5">
          <w:pPr>
            <w:pStyle w:val="11"/>
            <w:tabs>
              <w:tab w:val="right" w:leader="dot" w:pos="8306"/>
              <w:tab w:val="clear" w:pos="8296"/>
            </w:tabs>
            <w:spacing w:line="440" w:lineRule="exact"/>
            <w:rPr>
              <w:rFonts w:hint="eastAsia" w:ascii="宋体" w:hAnsi="宋体" w:eastAsia="宋体" w:cs="宋体"/>
              <w:sz w:val="24"/>
              <w:lang w:val="en-US" w:eastAsia="zh-CN"/>
            </w:rPr>
          </w:pPr>
          <w:r>
            <w:fldChar w:fldCharType="begin"/>
          </w:r>
          <w:r>
            <w:instrText xml:space="preserve"> HYPERLINK \l "_Toc6268" </w:instrText>
          </w:r>
          <w:r>
            <w:fldChar w:fldCharType="separate"/>
          </w:r>
          <w:r>
            <w:rPr>
              <w:rFonts w:hint="eastAsia" w:ascii="宋体" w:hAnsi="宋体" w:cs="宋体"/>
              <w:sz w:val="24"/>
            </w:rPr>
            <w:t>七、一般公共预算财政拨款支出决算明细表</w:t>
          </w:r>
          <w:r>
            <w:rPr>
              <w:rFonts w:hint="eastAsia" w:ascii="宋体" w:hAnsi="宋体" w:cs="宋体"/>
              <w:sz w:val="24"/>
            </w:rPr>
            <w:tab/>
          </w:r>
          <w:r>
            <w:rPr>
              <w:rFonts w:hint="eastAsia" w:ascii="宋体" w:hAnsi="宋体" w:cs="宋体"/>
              <w:sz w:val="24"/>
              <w:lang w:val="en-US" w:eastAsia="zh-CN"/>
            </w:rPr>
            <w:t>2</w:t>
          </w:r>
          <w:r>
            <w:rPr>
              <w:rFonts w:hint="eastAsia" w:ascii="宋体" w:hAnsi="宋体" w:cs="宋体"/>
              <w:sz w:val="24"/>
            </w:rPr>
            <w:fldChar w:fldCharType="end"/>
          </w:r>
          <w:r>
            <w:rPr>
              <w:rFonts w:hint="eastAsia" w:ascii="宋体" w:hAnsi="宋体" w:cs="宋体"/>
              <w:sz w:val="24"/>
              <w:lang w:val="en-US" w:eastAsia="zh-CN"/>
            </w:rPr>
            <w:t>5</w:t>
          </w:r>
        </w:p>
        <w:p w14:paraId="731515DC">
          <w:pPr>
            <w:pStyle w:val="11"/>
            <w:tabs>
              <w:tab w:val="right" w:leader="dot" w:pos="8306"/>
              <w:tab w:val="clear" w:pos="8296"/>
            </w:tabs>
            <w:spacing w:line="440" w:lineRule="exact"/>
            <w:rPr>
              <w:rFonts w:hint="eastAsia" w:ascii="宋体" w:hAnsi="宋体" w:eastAsia="宋体" w:cs="宋体"/>
              <w:sz w:val="24"/>
              <w:lang w:val="en-US" w:eastAsia="zh-CN"/>
            </w:rPr>
          </w:pPr>
          <w:r>
            <w:fldChar w:fldCharType="begin"/>
          </w:r>
          <w:r>
            <w:instrText xml:space="preserve"> HYPERLINK \l "_Toc29111" </w:instrText>
          </w:r>
          <w:r>
            <w:fldChar w:fldCharType="separate"/>
          </w:r>
          <w:r>
            <w:rPr>
              <w:rFonts w:hint="eastAsia" w:ascii="宋体" w:hAnsi="宋体" w:cs="宋体"/>
              <w:sz w:val="24"/>
            </w:rPr>
            <w:t>八、一般公共预算财政拨款基本支出决算表</w:t>
          </w:r>
          <w:r>
            <w:rPr>
              <w:rFonts w:hint="eastAsia" w:ascii="宋体" w:hAnsi="宋体" w:cs="宋体"/>
              <w:sz w:val="24"/>
            </w:rPr>
            <w:tab/>
          </w:r>
          <w:r>
            <w:rPr>
              <w:rFonts w:hint="eastAsia" w:ascii="宋体" w:hAnsi="宋体" w:cs="宋体"/>
              <w:sz w:val="24"/>
              <w:lang w:val="en-US" w:eastAsia="zh-CN"/>
            </w:rPr>
            <w:t>2</w:t>
          </w:r>
          <w:r>
            <w:rPr>
              <w:rFonts w:hint="eastAsia" w:ascii="宋体" w:hAnsi="宋体" w:cs="宋体"/>
              <w:sz w:val="24"/>
            </w:rPr>
            <w:fldChar w:fldCharType="end"/>
          </w:r>
          <w:r>
            <w:rPr>
              <w:rFonts w:hint="eastAsia" w:ascii="宋体" w:hAnsi="宋体" w:cs="宋体"/>
              <w:sz w:val="24"/>
              <w:lang w:val="en-US" w:eastAsia="zh-CN"/>
            </w:rPr>
            <w:t>5</w:t>
          </w:r>
        </w:p>
        <w:p w14:paraId="0AF48259">
          <w:pPr>
            <w:pStyle w:val="11"/>
            <w:tabs>
              <w:tab w:val="right" w:leader="dot" w:pos="8306"/>
              <w:tab w:val="clear" w:pos="8296"/>
            </w:tabs>
            <w:spacing w:line="440" w:lineRule="exact"/>
            <w:rPr>
              <w:rFonts w:hint="eastAsia" w:ascii="宋体" w:hAnsi="宋体" w:eastAsia="宋体" w:cs="宋体"/>
              <w:sz w:val="24"/>
              <w:lang w:val="en-US" w:eastAsia="zh-CN"/>
            </w:rPr>
          </w:pPr>
          <w:r>
            <w:fldChar w:fldCharType="begin"/>
          </w:r>
          <w:r>
            <w:instrText xml:space="preserve"> HYPERLINK \l "_Toc25077" </w:instrText>
          </w:r>
          <w:r>
            <w:fldChar w:fldCharType="separate"/>
          </w:r>
          <w:r>
            <w:rPr>
              <w:rFonts w:hint="eastAsia" w:ascii="宋体" w:hAnsi="宋体" w:cs="宋体"/>
              <w:sz w:val="24"/>
            </w:rPr>
            <w:t>九、一般公共预算财政拨款项目支出决算表</w:t>
          </w:r>
          <w:r>
            <w:rPr>
              <w:rFonts w:hint="eastAsia" w:ascii="宋体" w:hAnsi="宋体" w:cs="宋体"/>
              <w:sz w:val="24"/>
            </w:rPr>
            <w:tab/>
          </w:r>
          <w:r>
            <w:rPr>
              <w:rFonts w:hint="eastAsia" w:ascii="宋体" w:hAnsi="宋体" w:cs="宋体"/>
              <w:sz w:val="24"/>
              <w:lang w:val="en-US" w:eastAsia="zh-CN"/>
            </w:rPr>
            <w:t>2</w:t>
          </w:r>
          <w:r>
            <w:rPr>
              <w:rFonts w:hint="eastAsia" w:ascii="宋体" w:hAnsi="宋体" w:cs="宋体"/>
              <w:sz w:val="24"/>
            </w:rPr>
            <w:fldChar w:fldCharType="end"/>
          </w:r>
          <w:r>
            <w:rPr>
              <w:rFonts w:hint="eastAsia" w:ascii="宋体" w:hAnsi="宋体" w:cs="宋体"/>
              <w:sz w:val="24"/>
              <w:lang w:val="en-US" w:eastAsia="zh-CN"/>
            </w:rPr>
            <w:t>5</w:t>
          </w:r>
        </w:p>
        <w:p w14:paraId="613959AF">
          <w:pPr>
            <w:pStyle w:val="11"/>
            <w:tabs>
              <w:tab w:val="right" w:leader="dot" w:pos="8306"/>
              <w:tab w:val="clear" w:pos="8296"/>
            </w:tabs>
            <w:spacing w:line="440" w:lineRule="exact"/>
            <w:rPr>
              <w:rFonts w:hint="eastAsia" w:ascii="宋体" w:hAnsi="宋体" w:eastAsia="宋体" w:cs="宋体"/>
              <w:sz w:val="24"/>
              <w:lang w:val="en-US" w:eastAsia="zh-CN"/>
            </w:rPr>
          </w:pPr>
          <w:r>
            <w:fldChar w:fldCharType="begin"/>
          </w:r>
          <w:r>
            <w:instrText xml:space="preserve"> HYPERLINK \l "_Toc8538" </w:instrText>
          </w:r>
          <w:r>
            <w:fldChar w:fldCharType="separate"/>
          </w:r>
          <w:r>
            <w:rPr>
              <w:rFonts w:hint="eastAsia" w:ascii="宋体" w:hAnsi="宋体" w:cs="宋体"/>
              <w:sz w:val="24"/>
            </w:rPr>
            <w:t>十、政府性基金预算财政拨款收入支出决算表</w:t>
          </w:r>
          <w:r>
            <w:rPr>
              <w:rFonts w:hint="eastAsia" w:ascii="宋体" w:hAnsi="宋体" w:cs="宋体"/>
              <w:sz w:val="24"/>
            </w:rPr>
            <w:tab/>
          </w:r>
          <w:r>
            <w:rPr>
              <w:rFonts w:hint="eastAsia" w:ascii="宋体" w:hAnsi="宋体" w:cs="宋体"/>
              <w:sz w:val="24"/>
              <w:lang w:val="en-US" w:eastAsia="zh-CN"/>
            </w:rPr>
            <w:t>2</w:t>
          </w:r>
          <w:r>
            <w:rPr>
              <w:rFonts w:hint="eastAsia" w:ascii="宋体" w:hAnsi="宋体" w:cs="宋体"/>
              <w:sz w:val="24"/>
            </w:rPr>
            <w:fldChar w:fldCharType="end"/>
          </w:r>
          <w:r>
            <w:rPr>
              <w:rFonts w:hint="eastAsia" w:ascii="宋体" w:hAnsi="宋体" w:cs="宋体"/>
              <w:sz w:val="24"/>
              <w:lang w:val="en-US" w:eastAsia="zh-CN"/>
            </w:rPr>
            <w:t>5</w:t>
          </w:r>
        </w:p>
        <w:p w14:paraId="7032881B">
          <w:pPr>
            <w:pStyle w:val="11"/>
            <w:tabs>
              <w:tab w:val="right" w:leader="dot" w:pos="8306"/>
              <w:tab w:val="clear" w:pos="8296"/>
            </w:tabs>
            <w:spacing w:line="440" w:lineRule="exact"/>
            <w:rPr>
              <w:rFonts w:hint="eastAsia" w:ascii="宋体" w:hAnsi="宋体" w:eastAsia="宋体" w:cs="宋体"/>
              <w:sz w:val="24"/>
              <w:lang w:val="en-US" w:eastAsia="zh-CN"/>
            </w:rPr>
          </w:pPr>
          <w:r>
            <w:fldChar w:fldCharType="begin"/>
          </w:r>
          <w:r>
            <w:instrText xml:space="preserve"> HYPERLINK \l "_Toc26365" </w:instrText>
          </w:r>
          <w:r>
            <w:fldChar w:fldCharType="separate"/>
          </w:r>
          <w:r>
            <w:rPr>
              <w:rFonts w:hint="eastAsia" w:ascii="宋体" w:hAnsi="宋体" w:cs="宋体"/>
              <w:sz w:val="24"/>
            </w:rPr>
            <w:t>十一、国有资本经营预算财政拨款收入支出决算表</w:t>
          </w:r>
          <w:r>
            <w:rPr>
              <w:rFonts w:hint="eastAsia" w:ascii="宋体" w:hAnsi="宋体" w:cs="宋体"/>
              <w:sz w:val="24"/>
            </w:rPr>
            <w:tab/>
          </w:r>
          <w:r>
            <w:rPr>
              <w:rFonts w:hint="eastAsia" w:ascii="宋体" w:hAnsi="宋体" w:cs="宋体"/>
              <w:sz w:val="24"/>
              <w:lang w:val="en-US" w:eastAsia="zh-CN"/>
            </w:rPr>
            <w:t>2</w:t>
          </w:r>
          <w:r>
            <w:rPr>
              <w:rFonts w:hint="eastAsia" w:ascii="宋体" w:hAnsi="宋体" w:cs="宋体"/>
              <w:sz w:val="24"/>
            </w:rPr>
            <w:fldChar w:fldCharType="end"/>
          </w:r>
          <w:r>
            <w:rPr>
              <w:rFonts w:hint="eastAsia" w:ascii="宋体" w:hAnsi="宋体" w:cs="宋体"/>
              <w:sz w:val="24"/>
              <w:lang w:val="en-US" w:eastAsia="zh-CN"/>
            </w:rPr>
            <w:t>5</w:t>
          </w:r>
        </w:p>
        <w:p w14:paraId="5D9C6579">
          <w:pPr>
            <w:pStyle w:val="11"/>
            <w:tabs>
              <w:tab w:val="right" w:leader="dot" w:pos="8306"/>
              <w:tab w:val="clear" w:pos="8296"/>
            </w:tabs>
            <w:spacing w:line="440" w:lineRule="exact"/>
            <w:rPr>
              <w:rFonts w:hint="default" w:ascii="宋体" w:hAnsi="宋体" w:eastAsia="宋体" w:cs="宋体"/>
              <w:sz w:val="24"/>
              <w:lang w:val="en-US" w:eastAsia="zh-CN"/>
            </w:rPr>
          </w:pPr>
          <w:r>
            <w:fldChar w:fldCharType="begin"/>
          </w:r>
          <w:r>
            <w:instrText xml:space="preserve"> HYPERLINK \l "_Toc11791" </w:instrText>
          </w:r>
          <w:r>
            <w:fldChar w:fldCharType="separate"/>
          </w:r>
          <w:r>
            <w:rPr>
              <w:rFonts w:hint="eastAsia" w:ascii="宋体" w:hAnsi="宋体" w:cs="宋体"/>
              <w:sz w:val="24"/>
            </w:rPr>
            <w:t>十二、国有资本经营预算财政拨款支出决算表</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lang w:val="en-US" w:eastAsia="zh-CN"/>
            </w:rPr>
            <w:t>25</w:t>
          </w:r>
        </w:p>
        <w:p w14:paraId="53EDC1ED">
          <w:pPr>
            <w:pStyle w:val="11"/>
            <w:tabs>
              <w:tab w:val="right" w:leader="dot" w:pos="8306"/>
              <w:tab w:val="clear" w:pos="8296"/>
            </w:tabs>
            <w:spacing w:line="440" w:lineRule="exact"/>
            <w:rPr>
              <w:rFonts w:hint="default" w:eastAsia="宋体"/>
              <w:lang w:val="en-US" w:eastAsia="zh-CN"/>
            </w:rPr>
          </w:pPr>
          <w:r>
            <w:fldChar w:fldCharType="begin"/>
          </w:r>
          <w:r>
            <w:instrText xml:space="preserve"> HYPERLINK \l "_Toc26267" </w:instrText>
          </w:r>
          <w:r>
            <w:fldChar w:fldCharType="separate"/>
          </w:r>
          <w:r>
            <w:rPr>
              <w:rFonts w:hint="eastAsia" w:ascii="宋体" w:hAnsi="宋体" w:cs="宋体"/>
              <w:sz w:val="24"/>
            </w:rPr>
            <w:t>十三、财政拨款“三公”经费支出决算表</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lang w:val="en-US" w:eastAsia="zh-CN"/>
            </w:rPr>
            <w:t>25</w:t>
          </w:r>
        </w:p>
        <w:p w14:paraId="63357B4F">
          <w:r>
            <w:rPr>
              <w:rFonts w:hint="eastAsia" w:ascii="仿宋_GB2312" w:hAnsi="仿宋_GB2312" w:eastAsia="仿宋_GB2312" w:cs="仿宋_GB2312"/>
              <w:szCs w:val="28"/>
            </w:rPr>
            <w:fldChar w:fldCharType="end"/>
          </w:r>
        </w:p>
      </w:sdtContent>
    </w:sdt>
    <w:p w14:paraId="15C87A37">
      <w:pPr>
        <w:widowControl/>
        <w:spacing w:line="440" w:lineRule="exact"/>
        <w:jc w:val="left"/>
        <w:rPr>
          <w:rFonts w:hint="eastAsia" w:ascii="仿宋" w:hAnsi="仿宋" w:eastAsia="仿宋"/>
          <w:bCs/>
          <w:kern w:val="44"/>
          <w:sz w:val="24"/>
        </w:rPr>
      </w:pPr>
      <w:r>
        <w:rPr>
          <w:rFonts w:ascii="仿宋" w:hAnsi="仿宋" w:eastAsia="仿宋"/>
          <w:b/>
          <w:sz w:val="24"/>
        </w:rPr>
        <w:br w:type="page"/>
      </w:r>
    </w:p>
    <w:p w14:paraId="470554C4">
      <w:pPr>
        <w:pStyle w:val="2"/>
        <w:jc w:val="center"/>
        <w:rPr>
          <w:rStyle w:val="24"/>
          <w:rFonts w:hint="eastAsia" w:ascii="黑体" w:hAnsi="黑体" w:eastAsia="黑体"/>
          <w:b/>
          <w:bCs w:val="0"/>
        </w:rPr>
      </w:pPr>
      <w:bookmarkStart w:id="24" w:name="_Toc13859"/>
      <w:r>
        <w:rPr>
          <w:rFonts w:hint="eastAsia" w:ascii="黑体" w:hAnsi="黑体" w:eastAsia="黑体"/>
          <w:b w:val="0"/>
        </w:rPr>
        <w:t>第一部分 单位</w:t>
      </w:r>
      <w:r>
        <w:rPr>
          <w:rStyle w:val="24"/>
          <w:rFonts w:hint="eastAsia" w:ascii="黑体" w:hAnsi="黑体" w:eastAsia="黑体"/>
          <w:b w:val="0"/>
          <w:bCs w:val="0"/>
        </w:rPr>
        <w:t>概况</w:t>
      </w:r>
      <w:bookmarkEnd w:id="24"/>
    </w:p>
    <w:p w14:paraId="3291B34D">
      <w:pPr>
        <w:widowControl/>
        <w:jc w:val="left"/>
        <w:rPr>
          <w:rFonts w:ascii="黑体" w:eastAsia="黑体"/>
          <w:sz w:val="32"/>
          <w:szCs w:val="32"/>
        </w:rPr>
      </w:pPr>
    </w:p>
    <w:p w14:paraId="1A98717C">
      <w:pPr>
        <w:pStyle w:val="3"/>
        <w:numPr>
          <w:ilvl w:val="0"/>
          <w:numId w:val="1"/>
        </w:numPr>
        <w:rPr>
          <w:rStyle w:val="25"/>
          <w:rFonts w:hint="eastAsia" w:ascii="黑体" w:hAnsi="黑体" w:eastAsia="黑体"/>
          <w:b w:val="0"/>
          <w:bCs w:val="0"/>
        </w:rPr>
      </w:pPr>
      <w:bookmarkStart w:id="25" w:name="_Toc28917"/>
      <w:bookmarkStart w:id="26" w:name="_Toc15377197"/>
      <w:bookmarkStart w:id="27" w:name="_Toc15396600"/>
      <w:r>
        <w:rPr>
          <w:rStyle w:val="25"/>
          <w:rFonts w:hint="eastAsia" w:ascii="黑体" w:hAnsi="黑体" w:eastAsia="黑体"/>
          <w:b w:val="0"/>
          <w:bCs w:val="0"/>
        </w:rPr>
        <w:t>职能简介</w:t>
      </w:r>
      <w:bookmarkEnd w:id="25"/>
    </w:p>
    <w:p w14:paraId="654653B9">
      <w:pPr>
        <w:pStyle w:val="3"/>
        <w:ind w:firstLine="640" w:firstLineChars="200"/>
        <w:rPr>
          <w:rFonts w:hint="eastAsia" w:ascii="仿宋" w:hAnsi="仿宋" w:eastAsia="仿宋"/>
          <w:b w:val="0"/>
          <w:bCs w:val="0"/>
          <w:color w:val="000000"/>
        </w:rPr>
      </w:pPr>
      <w:bookmarkStart w:id="28" w:name="_Toc25859"/>
      <w:r>
        <w:rPr>
          <w:rFonts w:ascii="仿宋" w:hAnsi="仿宋" w:eastAsia="仿宋"/>
          <w:b w:val="0"/>
          <w:bCs w:val="0"/>
          <w:color w:val="000000"/>
        </w:rPr>
        <w:t>大竹县高穴中学是大竹县教育局举办的一所初级中学，属于全额拨款事业单位，工作职能及主要工作是贯彻执行国家教育方针政策，承担本辖区内中学7-9年级教育教学职责，实施义务教育，促进基础教育发展及学历教育。</w:t>
      </w:r>
    </w:p>
    <w:p w14:paraId="5606CA74">
      <w:pPr>
        <w:pStyle w:val="3"/>
        <w:rPr>
          <w:rFonts w:hint="eastAsia" w:ascii="黑体" w:hAnsi="黑体" w:eastAsia="黑体"/>
          <w:b w:val="0"/>
        </w:rPr>
      </w:pPr>
      <w:r>
        <w:rPr>
          <w:rFonts w:hint="eastAsia" w:ascii="黑体" w:hAnsi="黑体" w:eastAsia="黑体"/>
          <w:b w:val="0"/>
        </w:rPr>
        <w:t>二、</w:t>
      </w:r>
      <w:bookmarkEnd w:id="26"/>
      <w:bookmarkEnd w:id="27"/>
      <w:r>
        <w:rPr>
          <w:rFonts w:hint="eastAsia" w:ascii="黑体" w:hAnsi="黑体" w:eastAsia="黑体"/>
          <w:b w:val="0"/>
        </w:rPr>
        <w:t>机构设置</w:t>
      </w:r>
      <w:bookmarkEnd w:id="28"/>
    </w:p>
    <w:p w14:paraId="5D91B3B5">
      <w:pPr>
        <w:widowControl/>
        <w:ind w:firstLine="640" w:firstLineChars="200"/>
        <w:jc w:val="left"/>
        <w:rPr>
          <w:rFonts w:hint="eastAsia" w:ascii="仿宋" w:hAnsi="仿宋" w:eastAsia="仿宋"/>
          <w:kern w:val="0"/>
          <w:sz w:val="32"/>
          <w:szCs w:val="32"/>
        </w:rPr>
      </w:pPr>
      <w:r>
        <w:rPr>
          <w:rFonts w:ascii="仿宋" w:hAnsi="仿宋" w:eastAsia="仿宋"/>
          <w:color w:val="000000"/>
          <w:sz w:val="32"/>
          <w:szCs w:val="32"/>
        </w:rPr>
        <w:t>大竹县高穴中学下属二级单位0个，其中行政单位0个，参照公务员法管理的事业单位0个，其他事业单位0个。</w:t>
      </w:r>
      <w:r>
        <w:rPr>
          <w:rFonts w:ascii="仿宋" w:hAnsi="仿宋" w:eastAsia="仿宋"/>
          <w:color w:val="000000"/>
          <w:sz w:val="32"/>
          <w:szCs w:val="32"/>
        </w:rPr>
        <w:cr/>
      </w:r>
      <w:r>
        <w:rPr>
          <w:rFonts w:hint="eastAsia" w:ascii="仿宋" w:hAnsi="仿宋" w:eastAsia="仿宋"/>
          <w:color w:val="000000"/>
          <w:sz w:val="32"/>
          <w:szCs w:val="32"/>
        </w:rPr>
        <w:t xml:space="preserve">    </w:t>
      </w:r>
      <w:r>
        <w:rPr>
          <w:rFonts w:ascii="仿宋" w:hAnsi="仿宋" w:eastAsia="仿宋"/>
          <w:color w:val="000000"/>
          <w:sz w:val="32"/>
          <w:szCs w:val="32"/>
        </w:rPr>
        <w:t>纳入大竹县高穴中学</w:t>
      </w:r>
      <w:r>
        <w:rPr>
          <w:rFonts w:hint="eastAsia" w:ascii="仿宋" w:hAnsi="仿宋" w:eastAsia="仿宋"/>
          <w:color w:val="000000"/>
          <w:sz w:val="32"/>
          <w:szCs w:val="32"/>
        </w:rPr>
        <w:t>2023</w:t>
      </w:r>
      <w:r>
        <w:rPr>
          <w:rFonts w:ascii="仿宋" w:hAnsi="仿宋" w:eastAsia="仿宋"/>
          <w:color w:val="000000"/>
          <w:sz w:val="32"/>
          <w:szCs w:val="32"/>
        </w:rPr>
        <w:t>年度部门决算编制范围的二级预算单位包括：</w:t>
      </w:r>
      <w:r>
        <w:rPr>
          <w:rFonts w:ascii="仿宋" w:hAnsi="仿宋" w:eastAsia="仿宋"/>
          <w:color w:val="000000"/>
          <w:sz w:val="32"/>
          <w:szCs w:val="32"/>
        </w:rPr>
        <w:cr/>
      </w:r>
      <w:r>
        <w:rPr>
          <w:rFonts w:hint="eastAsia" w:ascii="仿宋" w:hAnsi="仿宋" w:eastAsia="仿宋"/>
          <w:color w:val="000000"/>
          <w:sz w:val="32"/>
          <w:szCs w:val="32"/>
        </w:rPr>
        <w:t xml:space="preserve">    </w:t>
      </w:r>
      <w:r>
        <w:rPr>
          <w:rFonts w:ascii="仿宋" w:hAnsi="仿宋" w:eastAsia="仿宋"/>
          <w:color w:val="000000"/>
          <w:sz w:val="32"/>
          <w:szCs w:val="32"/>
        </w:rPr>
        <w:t>无。</w:t>
      </w:r>
    </w:p>
    <w:p w14:paraId="39A8125A">
      <w:pPr>
        <w:pStyle w:val="2"/>
        <w:keepNext w:val="0"/>
        <w:keepLines w:val="0"/>
        <w:spacing w:line="579" w:lineRule="auto"/>
        <w:ind w:right="442"/>
        <w:jc w:val="center"/>
        <w:rPr>
          <w:rFonts w:hint="eastAsia" w:ascii="黑体" w:hAnsi="黑体" w:eastAsia="黑体"/>
          <w:b w:val="0"/>
        </w:rPr>
      </w:pPr>
      <w:bookmarkStart w:id="29" w:name="_Toc31162"/>
      <w:bookmarkStart w:id="30" w:name="_Toc15377204"/>
      <w:bookmarkStart w:id="31" w:name="_Toc15396602"/>
    </w:p>
    <w:p w14:paraId="7FD4DA3D">
      <w:pPr>
        <w:pStyle w:val="2"/>
        <w:keepNext w:val="0"/>
        <w:keepLines w:val="0"/>
        <w:spacing w:line="579" w:lineRule="auto"/>
        <w:ind w:right="442"/>
        <w:jc w:val="center"/>
        <w:rPr>
          <w:rFonts w:hint="eastAsia" w:ascii="黑体" w:hAnsi="黑体" w:eastAsia="黑体"/>
          <w:b w:val="0"/>
        </w:rPr>
      </w:pPr>
    </w:p>
    <w:p w14:paraId="23C5444F">
      <w:pPr>
        <w:pStyle w:val="2"/>
        <w:keepNext w:val="0"/>
        <w:keepLines w:val="0"/>
        <w:spacing w:line="579" w:lineRule="auto"/>
        <w:ind w:right="442"/>
        <w:jc w:val="center"/>
        <w:rPr>
          <w:rFonts w:hint="eastAsia" w:ascii="黑体" w:hAnsi="黑体" w:eastAsia="黑体"/>
          <w:b w:val="0"/>
        </w:rPr>
      </w:pPr>
    </w:p>
    <w:p w14:paraId="61DA3EC6">
      <w:pPr>
        <w:pStyle w:val="2"/>
        <w:ind w:right="440"/>
        <w:jc w:val="center"/>
        <w:rPr>
          <w:rStyle w:val="24"/>
          <w:rFonts w:hint="eastAsia" w:ascii="黑体" w:hAnsi="黑体" w:eastAsia="黑体"/>
          <w:b w:val="0"/>
          <w:bCs/>
        </w:rPr>
      </w:pPr>
      <w:r>
        <w:rPr>
          <w:rFonts w:hint="eastAsia" w:ascii="黑体" w:hAnsi="黑体" w:eastAsia="黑体"/>
          <w:b w:val="0"/>
        </w:rPr>
        <w:t>第二部分 2023年度</w:t>
      </w:r>
      <w:r>
        <w:rPr>
          <w:rStyle w:val="24"/>
          <w:rFonts w:hint="eastAsia" w:ascii="黑体" w:hAnsi="黑体" w:eastAsia="黑体"/>
          <w:b w:val="0"/>
          <w:bCs/>
        </w:rPr>
        <w:t>单位决算情况说明</w:t>
      </w:r>
      <w:bookmarkEnd w:id="29"/>
      <w:bookmarkEnd w:id="30"/>
      <w:bookmarkEnd w:id="31"/>
    </w:p>
    <w:p w14:paraId="0CA714FD"/>
    <w:p w14:paraId="00DCE656">
      <w:pPr>
        <w:pStyle w:val="23"/>
        <w:numPr>
          <w:ilvl w:val="0"/>
          <w:numId w:val="2"/>
        </w:numPr>
        <w:spacing w:line="600" w:lineRule="exact"/>
        <w:ind w:firstLineChars="0"/>
        <w:outlineLvl w:val="1"/>
        <w:rPr>
          <w:rStyle w:val="25"/>
          <w:rFonts w:hint="eastAsia" w:ascii="黑体" w:hAnsi="黑体" w:eastAsia="黑体"/>
          <w:b w:val="0"/>
        </w:rPr>
      </w:pPr>
      <w:bookmarkStart w:id="32" w:name="_Toc15377205"/>
      <w:bookmarkStart w:id="33" w:name="_Toc15396603"/>
      <w:bookmarkStart w:id="34" w:name="_Toc3488"/>
      <w:r>
        <w:rPr>
          <w:rFonts w:hint="eastAsia" w:ascii="黑体" w:hAnsi="黑体" w:eastAsia="黑体"/>
          <w:sz w:val="32"/>
          <w:szCs w:val="32"/>
        </w:rPr>
        <w:t>收</w:t>
      </w:r>
      <w:r>
        <w:rPr>
          <w:rStyle w:val="25"/>
          <w:rFonts w:hint="eastAsia" w:ascii="黑体" w:hAnsi="黑体" w:eastAsia="黑体"/>
          <w:b w:val="0"/>
        </w:rPr>
        <w:t>入支出决算总体情况说明</w:t>
      </w:r>
      <w:bookmarkEnd w:id="32"/>
      <w:bookmarkEnd w:id="33"/>
      <w:bookmarkEnd w:id="34"/>
    </w:p>
    <w:p w14:paraId="357D1C1A">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2023年度收、支总计1025.60万元。与2022年相比，收、支总计各增加128.48万元，增加14.32</w:t>
      </w:r>
      <w:r>
        <w:rPr>
          <w:rFonts w:ascii="仿宋" w:hAnsi="仿宋" w:eastAsia="仿宋"/>
          <w:sz w:val="32"/>
          <w:szCs w:val="32"/>
        </w:rPr>
        <w:t>%</w:t>
      </w:r>
      <w:r>
        <w:rPr>
          <w:rFonts w:hint="eastAsia" w:ascii="仿宋" w:hAnsi="仿宋" w:eastAsia="仿宋"/>
          <w:sz w:val="32"/>
          <w:szCs w:val="32"/>
        </w:rPr>
        <w:t>。主要变动原因是本年支付上年度存量资金五险一金欠缴部分。</w:t>
      </w:r>
    </w:p>
    <w:p w14:paraId="1BABE764">
      <w:pPr>
        <w:pStyle w:val="5"/>
        <w:spacing w:before="93"/>
        <w:rPr>
          <w:rFonts w:hint="eastAsia" w:ascii="仿宋" w:hAnsi="仿宋" w:eastAsia="仿宋"/>
          <w:sz w:val="32"/>
          <w:szCs w:val="32"/>
        </w:rPr>
      </w:pPr>
    </w:p>
    <w:p w14:paraId="2CD8B362">
      <w:pPr>
        <w:pStyle w:val="5"/>
        <w:spacing w:before="93"/>
        <w:jc w:val="center"/>
        <w:rPr>
          <w:rFonts w:hint="eastAsia" w:ascii="仿宋" w:hAnsi="仿宋" w:eastAsia="仿宋"/>
          <w:sz w:val="32"/>
          <w:szCs w:val="32"/>
        </w:rPr>
      </w:pPr>
      <w:r>
        <w:rPr>
          <w:rFonts w:hint="eastAsia" w:ascii="仿宋" w:hAnsi="仿宋" w:eastAsia="仿宋"/>
          <w:sz w:val="32"/>
          <w:szCs w:val="32"/>
        </w:rPr>
        <w:drawing>
          <wp:inline distT="0" distB="0" distL="114300" distR="114300">
            <wp:extent cx="4109085" cy="2743200"/>
            <wp:effectExtent l="4445" t="4445" r="16510"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667818">
      <w:pPr>
        <w:pStyle w:val="5"/>
        <w:spacing w:before="93"/>
        <w:jc w:val="center"/>
        <w:rPr>
          <w:rFonts w:hint="eastAsia" w:ascii="仿宋" w:hAnsi="仿宋" w:eastAsia="仿宋"/>
          <w:sz w:val="32"/>
          <w:szCs w:val="32"/>
        </w:rPr>
      </w:pPr>
      <w:r>
        <w:rPr>
          <w:rFonts w:hint="eastAsia" w:ascii="仿宋" w:hAnsi="仿宋" w:eastAsia="仿宋"/>
          <w:sz w:val="32"/>
          <w:szCs w:val="32"/>
        </w:rPr>
        <w:t>（图1：收、支决算总计变动情况图）</w:t>
      </w:r>
    </w:p>
    <w:p w14:paraId="4619DAC1">
      <w:pPr>
        <w:pStyle w:val="23"/>
        <w:numPr>
          <w:ilvl w:val="0"/>
          <w:numId w:val="2"/>
        </w:numPr>
        <w:spacing w:line="600" w:lineRule="exact"/>
        <w:ind w:firstLineChars="0"/>
        <w:outlineLvl w:val="1"/>
        <w:rPr>
          <w:rStyle w:val="25"/>
          <w:rFonts w:hint="eastAsia" w:ascii="黑体" w:hAnsi="黑体" w:eastAsia="黑体"/>
          <w:b w:val="0"/>
        </w:rPr>
      </w:pPr>
      <w:bookmarkStart w:id="35" w:name="_Toc15377206"/>
      <w:bookmarkStart w:id="36" w:name="_Toc11707"/>
      <w:bookmarkStart w:id="37" w:name="_Toc15396604"/>
      <w:r>
        <w:rPr>
          <w:rFonts w:hint="eastAsia" w:ascii="黑体" w:hAnsi="黑体" w:eastAsia="黑体"/>
          <w:sz w:val="32"/>
          <w:szCs w:val="32"/>
        </w:rPr>
        <w:t>收</w:t>
      </w:r>
      <w:r>
        <w:rPr>
          <w:rStyle w:val="25"/>
          <w:rFonts w:hint="eastAsia" w:ascii="黑体" w:hAnsi="黑体" w:eastAsia="黑体"/>
          <w:b w:val="0"/>
        </w:rPr>
        <w:t>入决算情况说明</w:t>
      </w:r>
      <w:bookmarkEnd w:id="35"/>
      <w:bookmarkEnd w:id="36"/>
      <w:bookmarkEnd w:id="37"/>
    </w:p>
    <w:p w14:paraId="68E9F421">
      <w:pPr>
        <w:ind w:firstLine="640" w:firstLineChars="200"/>
        <w:outlineLvl w:val="1"/>
        <w:rPr>
          <w:rFonts w:hint="eastAsia" w:ascii="仿宋" w:hAnsi="仿宋" w:eastAsia="仿宋" w:cs="仿宋"/>
          <w:sz w:val="32"/>
          <w:szCs w:val="32"/>
        </w:rPr>
      </w:pPr>
      <w:bookmarkStart w:id="38" w:name="_Toc8417"/>
      <w:bookmarkStart w:id="39" w:name="_Toc1077"/>
      <w:bookmarkStart w:id="40" w:name="_Toc27653"/>
      <w:r>
        <w:rPr>
          <w:rFonts w:hint="eastAsia" w:ascii="仿宋" w:hAnsi="仿宋" w:eastAsia="仿宋" w:cs="仿宋"/>
          <w:sz w:val="32"/>
          <w:szCs w:val="32"/>
        </w:rPr>
        <w:t>2023年本年收入合计1019.81万元，其中：一般公共预算财政拨款收入1019.81万元，占100%。</w:t>
      </w:r>
      <w:bookmarkEnd w:id="38"/>
      <w:bookmarkEnd w:id="39"/>
      <w:bookmarkEnd w:id="40"/>
    </w:p>
    <w:p w14:paraId="724783E8">
      <w:pPr>
        <w:ind w:firstLine="640" w:firstLineChars="200"/>
        <w:jc w:val="center"/>
        <w:rPr>
          <w:rFonts w:hint="eastAsia" w:ascii="仿宋" w:hAnsi="仿宋" w:eastAsia="仿宋"/>
          <w:sz w:val="32"/>
          <w:szCs w:val="32"/>
        </w:rPr>
      </w:pPr>
      <w:r>
        <w:rPr>
          <w:rFonts w:hint="eastAsia" w:ascii="仿宋" w:hAnsi="仿宋" w:eastAsia="仿宋"/>
          <w:sz w:val="32"/>
          <w:szCs w:val="32"/>
        </w:rPr>
        <w:drawing>
          <wp:inline distT="0" distB="0" distL="114300" distR="114300">
            <wp:extent cx="3890010" cy="2734310"/>
            <wp:effectExtent l="0" t="0" r="15240" b="889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9C4707">
      <w:pPr>
        <w:spacing w:line="600" w:lineRule="exact"/>
        <w:ind w:firstLine="640" w:firstLineChars="200"/>
        <w:jc w:val="center"/>
        <w:rPr>
          <w:rFonts w:ascii="仿宋_GB2312" w:eastAsia="仿宋_GB2312"/>
          <w:sz w:val="32"/>
          <w:szCs w:val="32"/>
        </w:rPr>
      </w:pPr>
      <w:r>
        <w:rPr>
          <w:rFonts w:hint="eastAsia" w:ascii="仿宋_GB2312" w:eastAsia="仿宋_GB2312"/>
          <w:sz w:val="32"/>
          <w:szCs w:val="32"/>
        </w:rPr>
        <w:t>（图2：收入决算结构图）</w:t>
      </w:r>
    </w:p>
    <w:p w14:paraId="525DB92C">
      <w:pPr>
        <w:pStyle w:val="23"/>
        <w:numPr>
          <w:ilvl w:val="0"/>
          <w:numId w:val="2"/>
        </w:numPr>
        <w:spacing w:line="600" w:lineRule="exact"/>
        <w:ind w:firstLineChars="0"/>
        <w:outlineLvl w:val="1"/>
        <w:rPr>
          <w:rStyle w:val="25"/>
          <w:rFonts w:hint="eastAsia" w:ascii="黑体" w:hAnsi="黑体" w:eastAsia="黑体"/>
          <w:b w:val="0"/>
        </w:rPr>
      </w:pPr>
      <w:bookmarkStart w:id="41" w:name="_Toc15834"/>
      <w:bookmarkStart w:id="42" w:name="_Toc15396605"/>
      <w:bookmarkStart w:id="43" w:name="_Toc15377207"/>
      <w:r>
        <w:rPr>
          <w:rFonts w:hint="eastAsia" w:ascii="黑体" w:hAnsi="黑体" w:eastAsia="黑体"/>
          <w:sz w:val="32"/>
          <w:szCs w:val="32"/>
        </w:rPr>
        <w:t>支</w:t>
      </w:r>
      <w:r>
        <w:rPr>
          <w:rStyle w:val="25"/>
          <w:rFonts w:hint="eastAsia" w:ascii="黑体" w:hAnsi="黑体" w:eastAsia="黑体"/>
          <w:b w:val="0"/>
        </w:rPr>
        <w:t>出决算情况说明</w:t>
      </w:r>
      <w:bookmarkEnd w:id="41"/>
      <w:bookmarkEnd w:id="42"/>
      <w:bookmarkEnd w:id="43"/>
    </w:p>
    <w:p w14:paraId="7095C0D2">
      <w:pPr>
        <w:spacing w:line="600" w:lineRule="exact"/>
        <w:ind w:firstLine="640" w:firstLineChars="200"/>
        <w:outlineLvl w:val="1"/>
      </w:pPr>
      <w:bookmarkStart w:id="44" w:name="_Toc10252"/>
      <w:bookmarkStart w:id="45" w:name="_Toc30049"/>
      <w:bookmarkStart w:id="46" w:name="_Toc7571"/>
      <w:r>
        <w:rPr>
          <w:rFonts w:hint="eastAsia" w:ascii="仿宋" w:hAnsi="仿宋" w:eastAsia="仿宋"/>
          <w:sz w:val="32"/>
          <w:szCs w:val="32"/>
        </w:rPr>
        <w:t>2023年本年支出合计1025.60万元，其中：基本支出957.52万元，占93.36</w:t>
      </w:r>
      <w:r>
        <w:rPr>
          <w:rFonts w:ascii="仿宋" w:hAnsi="仿宋" w:eastAsia="仿宋"/>
          <w:sz w:val="32"/>
          <w:szCs w:val="32"/>
        </w:rPr>
        <w:t>%</w:t>
      </w:r>
      <w:r>
        <w:rPr>
          <w:rFonts w:hint="eastAsia" w:ascii="仿宋" w:hAnsi="仿宋" w:eastAsia="仿宋"/>
          <w:sz w:val="32"/>
          <w:szCs w:val="32"/>
        </w:rPr>
        <w:t>；项目支出68.08万元，占6.64</w:t>
      </w:r>
      <w:r>
        <w:rPr>
          <w:rFonts w:ascii="仿宋" w:hAnsi="仿宋" w:eastAsia="仿宋"/>
          <w:sz w:val="32"/>
          <w:szCs w:val="32"/>
        </w:rPr>
        <w:t>%</w:t>
      </w:r>
      <w:r>
        <w:rPr>
          <w:rFonts w:hint="eastAsia" w:ascii="仿宋" w:hAnsi="仿宋" w:eastAsia="仿宋"/>
          <w:sz w:val="32"/>
          <w:szCs w:val="32"/>
        </w:rPr>
        <w:t>。</w:t>
      </w:r>
      <w:bookmarkEnd w:id="44"/>
      <w:bookmarkEnd w:id="45"/>
      <w:bookmarkEnd w:id="46"/>
    </w:p>
    <w:p w14:paraId="3C133173">
      <w:pPr>
        <w:ind w:firstLine="640" w:firstLineChars="200"/>
        <w:jc w:val="center"/>
        <w:rPr>
          <w:rFonts w:ascii="仿宋_GB2312" w:eastAsia="仿宋_GB2312"/>
          <w:sz w:val="32"/>
          <w:szCs w:val="32"/>
        </w:rPr>
      </w:pPr>
      <w:r>
        <w:rPr>
          <w:rFonts w:hint="eastAsia" w:ascii="仿宋_GB2312" w:eastAsia="仿宋_GB2312"/>
          <w:sz w:val="32"/>
          <w:szCs w:val="32"/>
        </w:rPr>
        <w:drawing>
          <wp:inline distT="0" distB="0" distL="114300" distR="114300">
            <wp:extent cx="4157980" cy="2818765"/>
            <wp:effectExtent l="4445" t="4445" r="9525" b="152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5CD7AD">
      <w:pPr>
        <w:pStyle w:val="5"/>
        <w:spacing w:before="93"/>
        <w:jc w:val="center"/>
      </w:pPr>
      <w:r>
        <w:rPr>
          <w:rFonts w:hint="eastAsia"/>
        </w:rPr>
        <w:t>（图3：支出决算结构图）</w:t>
      </w:r>
    </w:p>
    <w:p w14:paraId="4FCAEBF4">
      <w:pPr>
        <w:spacing w:line="600" w:lineRule="exact"/>
        <w:ind w:firstLine="640" w:firstLineChars="200"/>
        <w:outlineLvl w:val="1"/>
        <w:rPr>
          <w:rStyle w:val="25"/>
          <w:rFonts w:hint="eastAsia" w:ascii="黑体" w:hAnsi="黑体" w:eastAsia="黑体"/>
          <w:b w:val="0"/>
        </w:rPr>
      </w:pPr>
      <w:bookmarkStart w:id="47" w:name="_Toc15377208"/>
      <w:bookmarkStart w:id="48" w:name="_Toc15396606"/>
      <w:bookmarkStart w:id="49" w:name="_Toc3674"/>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47"/>
      <w:bookmarkEnd w:id="48"/>
      <w:bookmarkEnd w:id="49"/>
    </w:p>
    <w:p w14:paraId="36CABCE5">
      <w:pPr>
        <w:ind w:firstLine="640" w:firstLineChars="200"/>
        <w:rPr>
          <w:rFonts w:hint="eastAsia" w:ascii="仿宋" w:hAnsi="仿宋" w:eastAsia="仿宋"/>
          <w:sz w:val="32"/>
          <w:szCs w:val="32"/>
        </w:rPr>
      </w:pPr>
      <w:r>
        <w:rPr>
          <w:rFonts w:hint="eastAsia" w:ascii="仿宋" w:hAnsi="仿宋" w:eastAsia="仿宋"/>
          <w:sz w:val="32"/>
          <w:szCs w:val="32"/>
        </w:rPr>
        <w:t>2023年度收、支总计1025.60万元。与2022年相比，收</w:t>
      </w:r>
      <w:r>
        <w:rPr>
          <w:rFonts w:hint="eastAsia" w:ascii="仿宋" w:hAnsi="仿宋" w:eastAsia="仿宋" w:cs="仿宋"/>
          <w:sz w:val="32"/>
          <w:szCs w:val="32"/>
        </w:rPr>
        <w:t>、支总计各增加128.48万元，增加14.32%。主要变动原因是本年支付</w:t>
      </w:r>
      <w:r>
        <w:rPr>
          <w:rFonts w:hint="eastAsia" w:ascii="仿宋" w:hAnsi="仿宋" w:eastAsia="仿宋"/>
          <w:sz w:val="32"/>
          <w:szCs w:val="32"/>
        </w:rPr>
        <w:t>上年度存量资金五险一金欠缴部分。</w:t>
      </w:r>
      <w:r>
        <w:rPr>
          <w:rFonts w:hint="eastAsia" w:ascii="仿宋" w:hAnsi="仿宋" w:eastAsia="仿宋"/>
          <w:sz w:val="32"/>
          <w:szCs w:val="32"/>
        </w:rPr>
        <w:drawing>
          <wp:inline distT="0" distB="0" distL="114300" distR="114300">
            <wp:extent cx="4933950" cy="2616835"/>
            <wp:effectExtent l="4445" t="4445" r="14605" b="762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ABD5B16">
      <w:pPr>
        <w:pStyle w:val="5"/>
        <w:spacing w:before="93"/>
        <w:jc w:val="center"/>
      </w:pPr>
      <w:r>
        <w:rPr>
          <w:rFonts w:hint="eastAsia"/>
        </w:rPr>
        <w:t>（图4：财政拨款收、支决算总计变动情况）</w:t>
      </w:r>
    </w:p>
    <w:p w14:paraId="6D5C0FD0">
      <w:pPr>
        <w:ind w:firstLine="640" w:firstLineChars="200"/>
        <w:outlineLvl w:val="1"/>
        <w:rPr>
          <w:rStyle w:val="25"/>
          <w:rFonts w:hint="eastAsia" w:ascii="黑体" w:hAnsi="黑体" w:eastAsia="黑体"/>
          <w:b w:val="0"/>
        </w:rPr>
      </w:pPr>
      <w:bookmarkStart w:id="50" w:name="_Toc15396607"/>
      <w:bookmarkStart w:id="51" w:name="_Toc15377209"/>
      <w:bookmarkStart w:id="52" w:name="_Toc3224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50"/>
      <w:bookmarkEnd w:id="51"/>
      <w:bookmarkEnd w:id="52"/>
    </w:p>
    <w:p w14:paraId="7FD7A0EF">
      <w:pPr>
        <w:spacing w:line="600" w:lineRule="exact"/>
        <w:ind w:firstLine="643" w:firstLineChars="200"/>
        <w:outlineLvl w:val="2"/>
        <w:rPr>
          <w:rFonts w:hint="eastAsia" w:ascii="仿宋" w:hAnsi="仿宋" w:eastAsia="仿宋"/>
          <w:b/>
          <w:sz w:val="32"/>
          <w:szCs w:val="32"/>
        </w:rPr>
      </w:pPr>
      <w:bookmarkStart w:id="53" w:name="_Toc15377210"/>
      <w:r>
        <w:rPr>
          <w:rFonts w:hint="eastAsia" w:ascii="仿宋" w:hAnsi="仿宋" w:eastAsia="仿宋"/>
          <w:b/>
          <w:sz w:val="32"/>
          <w:szCs w:val="32"/>
        </w:rPr>
        <w:t>（一）一般公共预算财政拨款支出决算总体情况</w:t>
      </w:r>
      <w:bookmarkEnd w:id="53"/>
    </w:p>
    <w:p w14:paraId="0E45F321">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2023年一般公共预算财政拨款支出1025.60万元，占本年支出合计的100</w:t>
      </w:r>
      <w:r>
        <w:rPr>
          <w:rFonts w:ascii="仿宋" w:hAnsi="仿宋" w:eastAsia="仿宋"/>
          <w:sz w:val="32"/>
          <w:szCs w:val="32"/>
        </w:rPr>
        <w:t>%</w:t>
      </w:r>
      <w:r>
        <w:rPr>
          <w:rFonts w:hint="eastAsia" w:ascii="仿宋" w:hAnsi="仿宋" w:eastAsia="仿宋"/>
          <w:sz w:val="32"/>
          <w:szCs w:val="32"/>
        </w:rPr>
        <w:t>。与2022年相比，一般公共预算财政拨款增加128.48万元，增加14.32%。主要变动原因是</w:t>
      </w:r>
      <w:r>
        <w:rPr>
          <w:rFonts w:hint="eastAsia" w:ascii="仿宋" w:hAnsi="仿宋" w:eastAsia="仿宋" w:cs="仿宋"/>
          <w:sz w:val="32"/>
          <w:szCs w:val="32"/>
        </w:rPr>
        <w:t>本年支付</w:t>
      </w:r>
      <w:r>
        <w:rPr>
          <w:rFonts w:hint="eastAsia" w:ascii="仿宋" w:hAnsi="仿宋" w:eastAsia="仿宋"/>
          <w:sz w:val="32"/>
          <w:szCs w:val="32"/>
        </w:rPr>
        <w:t>上年度存量资金五险一金欠缴部分。</w:t>
      </w:r>
    </w:p>
    <w:p w14:paraId="2C8CE7AC">
      <w:pPr>
        <w:pStyle w:val="5"/>
        <w:spacing w:before="93"/>
        <w:jc w:val="center"/>
        <w:rPr>
          <w:rFonts w:hint="eastAsia" w:ascii="仿宋" w:hAnsi="仿宋" w:eastAsia="仿宋"/>
          <w:sz w:val="32"/>
          <w:szCs w:val="32"/>
        </w:rPr>
      </w:pPr>
      <w:r>
        <w:rPr>
          <w:rFonts w:hint="eastAsia" w:ascii="仿宋" w:hAnsi="仿宋" w:eastAsia="仿宋"/>
          <w:sz w:val="32"/>
          <w:szCs w:val="32"/>
        </w:rPr>
        <w:drawing>
          <wp:inline distT="0" distB="0" distL="114300" distR="114300">
            <wp:extent cx="4074795" cy="2148840"/>
            <wp:effectExtent l="5080" t="4445" r="15875" b="1841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A06B2E">
      <w:pPr>
        <w:pStyle w:val="5"/>
        <w:spacing w:before="93"/>
        <w:jc w:val="center"/>
        <w:rPr>
          <w:rFonts w:hint="eastAsia" w:ascii="仿宋" w:hAnsi="仿宋" w:eastAsia="仿宋"/>
          <w:sz w:val="32"/>
          <w:szCs w:val="32"/>
        </w:rPr>
      </w:pPr>
      <w:r>
        <w:rPr>
          <w:rFonts w:hint="eastAsia" w:ascii="仿宋" w:hAnsi="仿宋" w:eastAsia="仿宋"/>
          <w:sz w:val="32"/>
          <w:szCs w:val="32"/>
        </w:rPr>
        <w:t>（图5：一般公共预算财政拨款支出决算变动情况）</w:t>
      </w:r>
    </w:p>
    <w:p w14:paraId="093C984F">
      <w:pPr>
        <w:spacing w:line="600" w:lineRule="exact"/>
        <w:ind w:firstLine="643" w:firstLineChars="200"/>
        <w:outlineLvl w:val="2"/>
        <w:rPr>
          <w:rFonts w:hint="eastAsia" w:ascii="仿宋" w:hAnsi="仿宋" w:eastAsia="仿宋"/>
          <w:b/>
          <w:sz w:val="32"/>
          <w:szCs w:val="32"/>
        </w:rPr>
      </w:pPr>
      <w:bookmarkStart w:id="54" w:name="_Toc15377211"/>
      <w:r>
        <w:rPr>
          <w:rFonts w:hint="eastAsia" w:ascii="仿宋" w:hAnsi="仿宋" w:eastAsia="仿宋"/>
          <w:b/>
          <w:sz w:val="32"/>
          <w:szCs w:val="32"/>
        </w:rPr>
        <w:t>（二）一般公共预算财政拨款支出决算结构情况</w:t>
      </w:r>
      <w:bookmarkEnd w:id="54"/>
    </w:p>
    <w:p w14:paraId="74ABC4F2">
      <w:pPr>
        <w:spacing w:line="600" w:lineRule="exact"/>
        <w:ind w:firstLine="640"/>
        <w:rPr>
          <w:rFonts w:hint="eastAsia" w:ascii="仿宋" w:hAnsi="仿宋" w:eastAsia="仿宋"/>
          <w:bCs/>
          <w:sz w:val="32"/>
          <w:szCs w:val="32"/>
        </w:rPr>
      </w:pPr>
      <w:r>
        <w:rPr>
          <w:rFonts w:hint="eastAsia" w:ascii="仿宋" w:hAnsi="仿宋" w:eastAsia="仿宋"/>
          <w:sz w:val="32"/>
          <w:szCs w:val="32"/>
        </w:rPr>
        <w:t>2023年一般公共预算财政拨款支出1025.60万元，主要用于以下方面</w:t>
      </w:r>
      <w:r>
        <w:rPr>
          <w:rFonts w:ascii="仿宋" w:hAnsi="仿宋" w:eastAsia="仿宋"/>
          <w:sz w:val="32"/>
          <w:szCs w:val="32"/>
        </w:rPr>
        <w:t>:</w:t>
      </w:r>
      <w:r>
        <w:rPr>
          <w:rFonts w:hint="eastAsia" w:ascii="仿宋" w:hAnsi="仿宋" w:eastAsia="仿宋"/>
          <w:bCs/>
          <w:sz w:val="32"/>
          <w:szCs w:val="32"/>
        </w:rPr>
        <w:t>教育支出735.84万元，占71.75</w:t>
      </w:r>
      <w:r>
        <w:rPr>
          <w:rFonts w:ascii="仿宋" w:hAnsi="仿宋" w:eastAsia="仿宋"/>
          <w:bCs/>
          <w:sz w:val="32"/>
          <w:szCs w:val="32"/>
        </w:rPr>
        <w:t>%</w:t>
      </w:r>
      <w:r>
        <w:rPr>
          <w:rFonts w:hint="eastAsia" w:ascii="仿宋" w:hAnsi="仿宋" w:eastAsia="仿宋"/>
          <w:bCs/>
          <w:sz w:val="32"/>
          <w:szCs w:val="32"/>
        </w:rPr>
        <w:t>；社会保障和就业支出208.12万元，占20.29</w:t>
      </w:r>
      <w:r>
        <w:rPr>
          <w:rFonts w:ascii="仿宋" w:hAnsi="仿宋" w:eastAsia="仿宋"/>
          <w:bCs/>
          <w:sz w:val="32"/>
          <w:szCs w:val="32"/>
        </w:rPr>
        <w:t>%</w:t>
      </w:r>
      <w:r>
        <w:rPr>
          <w:rFonts w:hint="eastAsia" w:ascii="仿宋" w:hAnsi="仿宋" w:eastAsia="仿宋"/>
          <w:bCs/>
          <w:sz w:val="32"/>
          <w:szCs w:val="32"/>
        </w:rPr>
        <w:t>；卫生健康支出30.57万元，占2.98</w:t>
      </w:r>
      <w:r>
        <w:rPr>
          <w:rFonts w:ascii="仿宋" w:hAnsi="仿宋" w:eastAsia="仿宋"/>
          <w:bCs/>
          <w:sz w:val="32"/>
          <w:szCs w:val="32"/>
        </w:rPr>
        <w:t>%</w:t>
      </w:r>
      <w:r>
        <w:rPr>
          <w:rFonts w:hint="eastAsia" w:ascii="仿宋" w:hAnsi="仿宋" w:eastAsia="仿宋"/>
          <w:bCs/>
          <w:sz w:val="32"/>
          <w:szCs w:val="32"/>
        </w:rPr>
        <w:t>；住房保障支出51.07万元，占4.98</w:t>
      </w:r>
      <w:r>
        <w:rPr>
          <w:rFonts w:ascii="仿宋" w:hAnsi="仿宋" w:eastAsia="仿宋"/>
          <w:bCs/>
          <w:sz w:val="32"/>
          <w:szCs w:val="32"/>
        </w:rPr>
        <w:t>%</w:t>
      </w:r>
      <w:r>
        <w:rPr>
          <w:rFonts w:hint="eastAsia" w:ascii="仿宋" w:hAnsi="仿宋" w:eastAsia="仿宋"/>
          <w:bCs/>
          <w:sz w:val="32"/>
          <w:szCs w:val="32"/>
        </w:rPr>
        <w:t>。</w:t>
      </w:r>
    </w:p>
    <w:p w14:paraId="7CAF653B">
      <w:pPr>
        <w:spacing w:line="600" w:lineRule="exact"/>
        <w:ind w:firstLine="640"/>
        <w:rPr>
          <w:rFonts w:hint="eastAsia" w:ascii="仿宋" w:hAnsi="仿宋" w:eastAsia="仿宋"/>
          <w:bCs/>
          <w:sz w:val="32"/>
          <w:szCs w:val="32"/>
        </w:rPr>
      </w:pPr>
    </w:p>
    <w:p w14:paraId="6FCB893C">
      <w:pPr>
        <w:ind w:firstLine="641"/>
        <w:rPr>
          <w:rFonts w:hint="eastAsia" w:ascii="仿宋" w:hAnsi="仿宋" w:eastAsia="仿宋"/>
          <w:bCs/>
          <w:sz w:val="32"/>
          <w:szCs w:val="32"/>
        </w:rPr>
      </w:pPr>
      <w:r>
        <w:rPr>
          <w:rFonts w:hint="eastAsia" w:ascii="仿宋" w:hAnsi="仿宋" w:eastAsia="仿宋"/>
          <w:bCs/>
          <w:sz w:val="32"/>
          <w:szCs w:val="32"/>
        </w:rPr>
        <w:drawing>
          <wp:inline distT="0" distB="0" distL="114300" distR="114300">
            <wp:extent cx="5256530" cy="2988310"/>
            <wp:effectExtent l="5080" t="4445" r="11430"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5CA5ED">
      <w:pPr>
        <w:ind w:firstLine="640" w:firstLineChars="200"/>
        <w:jc w:val="center"/>
        <w:rPr>
          <w:rFonts w:hint="eastAsia" w:ascii="仿宋" w:hAnsi="仿宋" w:eastAsia="仿宋"/>
          <w:sz w:val="32"/>
          <w:szCs w:val="32"/>
        </w:rPr>
      </w:pPr>
      <w:r>
        <w:rPr>
          <w:rFonts w:hint="eastAsia" w:ascii="仿宋" w:hAnsi="仿宋" w:eastAsia="仿宋"/>
          <w:sz w:val="32"/>
          <w:szCs w:val="32"/>
        </w:rPr>
        <w:t>（图6：一般公共预算财政拨款支出决算结构  ）</w:t>
      </w:r>
    </w:p>
    <w:p w14:paraId="73565AEC">
      <w:pPr>
        <w:spacing w:line="600" w:lineRule="exact"/>
        <w:ind w:firstLine="643" w:firstLineChars="200"/>
        <w:outlineLvl w:val="2"/>
        <w:rPr>
          <w:rFonts w:hint="eastAsia" w:ascii="仿宋" w:hAnsi="仿宋" w:eastAsia="仿宋"/>
          <w:b/>
          <w:sz w:val="32"/>
          <w:szCs w:val="32"/>
        </w:rPr>
      </w:pPr>
      <w:bookmarkStart w:id="55" w:name="_Toc15377212"/>
      <w:r>
        <w:rPr>
          <w:rFonts w:hint="eastAsia" w:ascii="仿宋" w:hAnsi="仿宋" w:eastAsia="仿宋"/>
          <w:b/>
          <w:sz w:val="32"/>
          <w:szCs w:val="32"/>
        </w:rPr>
        <w:t>（三）一般公共预算财政拨款支出决算具体情况</w:t>
      </w:r>
      <w:bookmarkEnd w:id="55"/>
    </w:p>
    <w:p w14:paraId="52EB0A3E">
      <w:pPr>
        <w:spacing w:line="600" w:lineRule="exact"/>
        <w:ind w:firstLine="640" w:firstLineChars="200"/>
        <w:rPr>
          <w:rStyle w:val="14"/>
          <w:rFonts w:hint="eastAsia" w:ascii="仿宋" w:hAnsi="仿宋" w:eastAsia="仿宋"/>
          <w:b w:val="0"/>
          <w:bCs/>
          <w:sz w:val="32"/>
          <w:szCs w:val="32"/>
        </w:rPr>
      </w:pPr>
      <w:bookmarkStart w:id="56" w:name="_Toc15377213"/>
      <w:bookmarkStart w:id="57" w:name="_Toc15377444"/>
      <w:bookmarkStart w:id="58" w:name="_Toc15378460"/>
      <w:r>
        <w:rPr>
          <w:rStyle w:val="14"/>
          <w:rFonts w:hint="eastAsia" w:ascii="仿宋" w:hAnsi="仿宋" w:eastAsia="仿宋"/>
          <w:b w:val="0"/>
          <w:bCs/>
          <w:sz w:val="32"/>
          <w:szCs w:val="32"/>
        </w:rPr>
        <w:t>2023年一般公共预算支出决算数为1025.6万元，完成预算100%。其中：</w:t>
      </w:r>
      <w:bookmarkEnd w:id="56"/>
      <w:bookmarkEnd w:id="57"/>
      <w:bookmarkEnd w:id="58"/>
    </w:p>
    <w:p w14:paraId="1DF4C5C4">
      <w:pPr>
        <w:numPr>
          <w:ilvl w:val="0"/>
          <w:numId w:val="3"/>
        </w:numPr>
        <w:spacing w:line="600" w:lineRule="exact"/>
        <w:ind w:firstLine="640" w:firstLineChars="200"/>
        <w:rPr>
          <w:rStyle w:val="14"/>
          <w:rFonts w:hint="eastAsia" w:ascii="仿宋" w:hAnsi="仿宋" w:eastAsia="仿宋"/>
          <w:b w:val="0"/>
          <w:sz w:val="32"/>
          <w:szCs w:val="32"/>
        </w:rPr>
      </w:pPr>
      <w:r>
        <w:rPr>
          <w:rStyle w:val="14"/>
          <w:rFonts w:hint="eastAsia" w:ascii="仿宋" w:hAnsi="仿宋" w:eastAsia="仿宋"/>
          <w:b w:val="0"/>
          <w:sz w:val="32"/>
          <w:szCs w:val="32"/>
        </w:rPr>
        <w:t>教育（205）基础教育（02）初中教育（03）</w:t>
      </w:r>
      <w:r>
        <w:rPr>
          <w:rStyle w:val="14"/>
          <w:rFonts w:ascii="仿宋" w:hAnsi="仿宋" w:eastAsia="仿宋"/>
          <w:b w:val="0"/>
          <w:sz w:val="32"/>
          <w:szCs w:val="32"/>
        </w:rPr>
        <w:t>:</w:t>
      </w:r>
      <w:r>
        <w:rPr>
          <w:rStyle w:val="14"/>
          <w:rFonts w:hint="eastAsia" w:ascii="仿宋" w:hAnsi="仿宋" w:eastAsia="仿宋"/>
          <w:b w:val="0"/>
          <w:sz w:val="32"/>
          <w:szCs w:val="32"/>
        </w:rPr>
        <w:t>支出决算为735.84万元，完成预算100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14:paraId="5253B07E">
      <w:pPr>
        <w:spacing w:line="600" w:lineRule="exact"/>
        <w:ind w:firstLine="640" w:firstLineChars="200"/>
        <w:rPr>
          <w:rStyle w:val="14"/>
          <w:rFonts w:hint="eastAsia" w:ascii="仿宋" w:hAnsi="仿宋" w:eastAsia="仿宋"/>
          <w:b w:val="0"/>
          <w:sz w:val="32"/>
          <w:szCs w:val="32"/>
        </w:rPr>
      </w:pPr>
      <w:r>
        <w:rPr>
          <w:rStyle w:val="14"/>
          <w:rFonts w:hint="eastAsia" w:ascii="仿宋" w:hAnsi="仿宋" w:eastAsia="仿宋"/>
          <w:b w:val="0"/>
          <w:sz w:val="32"/>
          <w:szCs w:val="32"/>
        </w:rPr>
        <w:t>2</w:t>
      </w:r>
      <w:r>
        <w:rPr>
          <w:rStyle w:val="14"/>
          <w:rFonts w:ascii="仿宋" w:hAnsi="仿宋" w:eastAsia="仿宋"/>
          <w:b w:val="0"/>
          <w:sz w:val="32"/>
          <w:szCs w:val="32"/>
        </w:rPr>
        <w:t>.</w:t>
      </w:r>
      <w:r>
        <w:rPr>
          <w:rStyle w:val="14"/>
          <w:rFonts w:hint="eastAsia" w:ascii="仿宋" w:hAnsi="仿宋" w:eastAsia="仿宋"/>
          <w:b w:val="0"/>
          <w:sz w:val="32"/>
          <w:szCs w:val="32"/>
        </w:rPr>
        <w:t>社会保障和就业（208）行政事业单位养老支出（05）事业单位离退休（02）:支出决算为45.98万元，完成预算100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14:paraId="6FA6A5C4">
      <w:pPr>
        <w:pStyle w:val="5"/>
        <w:spacing w:before="93"/>
        <w:ind w:firstLine="640" w:firstLineChars="200"/>
        <w:rPr>
          <w:rStyle w:val="14"/>
          <w:rFonts w:hint="eastAsia" w:ascii="仿宋" w:hAnsi="仿宋" w:eastAsia="仿宋"/>
          <w:b w:val="0"/>
          <w:sz w:val="32"/>
          <w:szCs w:val="32"/>
        </w:rPr>
      </w:pPr>
      <w:r>
        <w:rPr>
          <w:rStyle w:val="14"/>
          <w:rFonts w:hint="eastAsia" w:ascii="仿宋" w:hAnsi="仿宋" w:eastAsia="仿宋"/>
          <w:b w:val="0"/>
          <w:sz w:val="32"/>
          <w:szCs w:val="32"/>
        </w:rPr>
        <w:t>3.社会保障和就业（208）行政事业单位养老支出（05）机关事业单位基本养老保险缴费支出（05）</w:t>
      </w:r>
      <w:r>
        <w:rPr>
          <w:rStyle w:val="14"/>
          <w:rFonts w:ascii="仿宋" w:hAnsi="仿宋" w:eastAsia="仿宋"/>
          <w:b w:val="0"/>
          <w:sz w:val="32"/>
          <w:szCs w:val="32"/>
        </w:rPr>
        <w:t>:</w:t>
      </w:r>
      <w:r>
        <w:rPr>
          <w:rStyle w:val="14"/>
          <w:rFonts w:hint="eastAsia" w:ascii="仿宋" w:hAnsi="仿宋" w:eastAsia="仿宋"/>
          <w:b w:val="0"/>
          <w:sz w:val="32"/>
          <w:szCs w:val="32"/>
        </w:rPr>
        <w:t>支出决算为49.67万元，完成预算100%。</w:t>
      </w:r>
    </w:p>
    <w:p w14:paraId="673241CB">
      <w:pPr>
        <w:pStyle w:val="5"/>
        <w:spacing w:before="93"/>
        <w:ind w:firstLine="640" w:firstLineChars="200"/>
        <w:rPr>
          <w:rStyle w:val="14"/>
          <w:rFonts w:hint="eastAsia" w:ascii="仿宋" w:hAnsi="仿宋" w:eastAsia="仿宋"/>
          <w:b w:val="0"/>
          <w:sz w:val="32"/>
          <w:szCs w:val="32"/>
        </w:rPr>
      </w:pPr>
      <w:r>
        <w:rPr>
          <w:rStyle w:val="14"/>
          <w:rFonts w:hint="eastAsia" w:ascii="仿宋" w:hAnsi="仿宋" w:eastAsia="仿宋"/>
          <w:b w:val="0"/>
          <w:sz w:val="32"/>
          <w:szCs w:val="32"/>
        </w:rPr>
        <w:t>4.社会保障和就业（208）行政事业单位养老支出（05）机关事业单位职业年金缴费支出（06）</w:t>
      </w:r>
      <w:r>
        <w:rPr>
          <w:rStyle w:val="14"/>
          <w:rFonts w:ascii="仿宋" w:hAnsi="仿宋" w:eastAsia="仿宋"/>
          <w:b w:val="0"/>
          <w:sz w:val="32"/>
          <w:szCs w:val="32"/>
        </w:rPr>
        <w:t>:</w:t>
      </w:r>
      <w:r>
        <w:rPr>
          <w:rStyle w:val="14"/>
          <w:rFonts w:hint="eastAsia" w:ascii="仿宋" w:hAnsi="仿宋" w:eastAsia="仿宋"/>
          <w:b w:val="0"/>
          <w:sz w:val="32"/>
          <w:szCs w:val="32"/>
        </w:rPr>
        <w:t>支出决算为11.34万元，完成预算100%。</w:t>
      </w:r>
    </w:p>
    <w:p w14:paraId="0E12F0AD">
      <w:pPr>
        <w:pStyle w:val="5"/>
        <w:spacing w:before="93"/>
        <w:ind w:firstLine="640" w:firstLineChars="200"/>
        <w:rPr>
          <w:rStyle w:val="14"/>
          <w:rFonts w:hint="eastAsia" w:ascii="仿宋" w:hAnsi="仿宋" w:eastAsia="仿宋"/>
          <w:b w:val="0"/>
          <w:sz w:val="32"/>
          <w:szCs w:val="32"/>
        </w:rPr>
      </w:pPr>
      <w:r>
        <w:rPr>
          <w:rStyle w:val="14"/>
          <w:rFonts w:hint="eastAsia" w:ascii="仿宋" w:hAnsi="仿宋" w:eastAsia="仿宋"/>
          <w:b w:val="0"/>
          <w:sz w:val="32"/>
          <w:szCs w:val="32"/>
        </w:rPr>
        <w:t>5.社会保障和就业（208）行政事业单位养老支出（05）其他行政事业单位养老支出（99）</w:t>
      </w:r>
      <w:r>
        <w:rPr>
          <w:rStyle w:val="14"/>
          <w:rFonts w:ascii="仿宋" w:hAnsi="仿宋" w:eastAsia="仿宋"/>
          <w:b w:val="0"/>
          <w:sz w:val="32"/>
          <w:szCs w:val="32"/>
        </w:rPr>
        <w:t>:</w:t>
      </w:r>
      <w:r>
        <w:rPr>
          <w:rStyle w:val="14"/>
          <w:rFonts w:hint="eastAsia" w:ascii="仿宋" w:hAnsi="仿宋" w:eastAsia="仿宋"/>
          <w:b w:val="0"/>
          <w:sz w:val="32"/>
          <w:szCs w:val="32"/>
        </w:rPr>
        <w:t>支出决算为90.54万元，完成预算100%。</w:t>
      </w:r>
    </w:p>
    <w:p w14:paraId="07A7CDDB">
      <w:pPr>
        <w:pStyle w:val="5"/>
        <w:spacing w:before="93"/>
        <w:ind w:firstLine="640" w:firstLineChars="200"/>
        <w:rPr>
          <w:rStyle w:val="14"/>
          <w:rFonts w:hint="eastAsia" w:ascii="仿宋" w:hAnsi="仿宋" w:eastAsia="仿宋"/>
          <w:b w:val="0"/>
          <w:sz w:val="32"/>
          <w:szCs w:val="32"/>
        </w:rPr>
      </w:pPr>
      <w:r>
        <w:rPr>
          <w:rStyle w:val="14"/>
          <w:rFonts w:hint="eastAsia" w:ascii="仿宋" w:hAnsi="仿宋" w:eastAsia="仿宋"/>
          <w:b w:val="0"/>
          <w:sz w:val="32"/>
          <w:szCs w:val="32"/>
        </w:rPr>
        <w:t>6.社会保障和就业（208）抚恤（08）死亡抚恤（01）</w:t>
      </w:r>
      <w:r>
        <w:rPr>
          <w:rStyle w:val="14"/>
          <w:rFonts w:ascii="仿宋" w:hAnsi="仿宋" w:eastAsia="仿宋"/>
          <w:b w:val="0"/>
          <w:sz w:val="32"/>
          <w:szCs w:val="32"/>
        </w:rPr>
        <w:t>:</w:t>
      </w:r>
      <w:r>
        <w:rPr>
          <w:rStyle w:val="14"/>
          <w:rFonts w:hint="eastAsia" w:ascii="仿宋" w:hAnsi="仿宋" w:eastAsia="仿宋"/>
          <w:b w:val="0"/>
          <w:sz w:val="32"/>
          <w:szCs w:val="32"/>
        </w:rPr>
        <w:t>支出决算为10.58万元，完成预算100%。</w:t>
      </w:r>
    </w:p>
    <w:p w14:paraId="4B90F617">
      <w:pPr>
        <w:pStyle w:val="5"/>
        <w:spacing w:before="93"/>
        <w:ind w:firstLine="640" w:firstLineChars="200"/>
        <w:rPr>
          <w:rStyle w:val="14"/>
          <w:rFonts w:hint="eastAsia" w:ascii="仿宋" w:hAnsi="仿宋" w:eastAsia="仿宋"/>
          <w:b w:val="0"/>
          <w:sz w:val="32"/>
          <w:szCs w:val="32"/>
        </w:rPr>
      </w:pPr>
      <w:r>
        <w:rPr>
          <w:rStyle w:val="14"/>
          <w:rFonts w:hint="eastAsia" w:ascii="仿宋" w:hAnsi="仿宋" w:eastAsia="仿宋"/>
          <w:b w:val="0"/>
          <w:sz w:val="32"/>
          <w:szCs w:val="32"/>
        </w:rPr>
        <w:t>7.</w:t>
      </w:r>
      <w:r>
        <w:rPr>
          <w:rFonts w:hint="eastAsia" w:ascii="仿宋" w:hAnsi="仿宋" w:eastAsia="仿宋"/>
          <w:sz w:val="32"/>
          <w:szCs w:val="32"/>
        </w:rPr>
        <w:t>卫生健康支出</w:t>
      </w:r>
      <w:r>
        <w:rPr>
          <w:rStyle w:val="14"/>
          <w:rFonts w:hint="eastAsia" w:ascii="仿宋" w:hAnsi="仿宋" w:eastAsia="仿宋"/>
          <w:b w:val="0"/>
          <w:sz w:val="32"/>
          <w:szCs w:val="32"/>
        </w:rPr>
        <w:t>（2</w:t>
      </w:r>
      <w:r>
        <w:rPr>
          <w:rStyle w:val="14"/>
          <w:rFonts w:ascii="仿宋" w:hAnsi="仿宋" w:eastAsia="仿宋"/>
          <w:b w:val="0"/>
          <w:sz w:val="32"/>
          <w:szCs w:val="32"/>
        </w:rPr>
        <w:t>10</w:t>
      </w:r>
      <w:r>
        <w:rPr>
          <w:rStyle w:val="14"/>
          <w:rFonts w:hint="eastAsia" w:ascii="仿宋" w:hAnsi="仿宋" w:eastAsia="仿宋"/>
          <w:b w:val="0"/>
          <w:sz w:val="32"/>
          <w:szCs w:val="32"/>
        </w:rPr>
        <w:t>）行政事业单位医疗（1</w:t>
      </w:r>
      <w:r>
        <w:rPr>
          <w:rStyle w:val="14"/>
          <w:rFonts w:ascii="仿宋" w:hAnsi="仿宋" w:eastAsia="仿宋"/>
          <w:b w:val="0"/>
          <w:sz w:val="32"/>
          <w:szCs w:val="32"/>
        </w:rPr>
        <w:t>1</w:t>
      </w:r>
      <w:r>
        <w:rPr>
          <w:rStyle w:val="14"/>
          <w:rFonts w:hint="eastAsia" w:ascii="仿宋" w:hAnsi="仿宋" w:eastAsia="仿宋"/>
          <w:b w:val="0"/>
          <w:sz w:val="32"/>
          <w:szCs w:val="32"/>
        </w:rPr>
        <w:t>）事业单位医疗（0</w:t>
      </w:r>
      <w:r>
        <w:rPr>
          <w:rStyle w:val="14"/>
          <w:rFonts w:ascii="仿宋" w:hAnsi="仿宋" w:eastAsia="仿宋"/>
          <w:b w:val="0"/>
          <w:sz w:val="32"/>
          <w:szCs w:val="32"/>
        </w:rPr>
        <w:t>2</w:t>
      </w:r>
      <w:r>
        <w:rPr>
          <w:rStyle w:val="14"/>
          <w:rFonts w:hint="eastAsia" w:ascii="仿宋" w:hAnsi="仿宋" w:eastAsia="仿宋"/>
          <w:b w:val="0"/>
          <w:sz w:val="32"/>
          <w:szCs w:val="32"/>
        </w:rPr>
        <w:t>）</w:t>
      </w:r>
      <w:r>
        <w:rPr>
          <w:rStyle w:val="14"/>
          <w:rFonts w:ascii="仿宋" w:hAnsi="仿宋" w:eastAsia="仿宋"/>
          <w:b w:val="0"/>
          <w:sz w:val="32"/>
          <w:szCs w:val="32"/>
        </w:rPr>
        <w:t>:</w:t>
      </w:r>
      <w:r>
        <w:rPr>
          <w:rStyle w:val="14"/>
          <w:rFonts w:hint="eastAsia" w:ascii="仿宋" w:hAnsi="仿宋" w:eastAsia="仿宋"/>
          <w:b w:val="0"/>
          <w:sz w:val="32"/>
          <w:szCs w:val="32"/>
        </w:rPr>
        <w:t>支出决算为30.57万元，完成预算100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14:paraId="133DBEA7">
      <w:pPr>
        <w:spacing w:line="600" w:lineRule="exact"/>
        <w:ind w:firstLine="640" w:firstLineChars="200"/>
        <w:rPr>
          <w:rFonts w:hint="eastAsia" w:ascii="仿宋" w:hAnsi="仿宋" w:eastAsia="仿宋"/>
          <w:sz w:val="32"/>
          <w:szCs w:val="32"/>
        </w:rPr>
      </w:pPr>
      <w:r>
        <w:rPr>
          <w:rStyle w:val="14"/>
          <w:rFonts w:hint="eastAsia" w:ascii="仿宋" w:hAnsi="仿宋" w:eastAsia="仿宋"/>
          <w:b w:val="0"/>
          <w:sz w:val="32"/>
          <w:szCs w:val="40"/>
        </w:rPr>
        <w:t>8</w:t>
      </w:r>
      <w:r>
        <w:rPr>
          <w:rStyle w:val="14"/>
          <w:rFonts w:ascii="仿宋" w:hAnsi="仿宋" w:eastAsia="仿宋"/>
          <w:b w:val="0"/>
          <w:sz w:val="32"/>
          <w:szCs w:val="40"/>
        </w:rPr>
        <w:t>.</w:t>
      </w:r>
      <w:r>
        <w:rPr>
          <w:rStyle w:val="14"/>
          <w:rFonts w:hint="eastAsia" w:ascii="仿宋" w:hAnsi="仿宋" w:eastAsia="仿宋"/>
          <w:b w:val="0"/>
          <w:sz w:val="32"/>
          <w:szCs w:val="40"/>
        </w:rPr>
        <w:t>住房保障支出（221）住房改革支出（02）住房公积金（01）:</w:t>
      </w:r>
      <w:r>
        <w:rPr>
          <w:rFonts w:hint="eastAsia" w:ascii="仿宋" w:hAnsi="仿宋" w:eastAsia="仿宋"/>
          <w:sz w:val="32"/>
          <w:szCs w:val="32"/>
        </w:rPr>
        <w:t>支出决算为51.07万元，完成预算100%。</w:t>
      </w:r>
    </w:p>
    <w:p w14:paraId="42C7CE88">
      <w:pPr>
        <w:tabs>
          <w:tab w:val="right" w:pos="8306"/>
        </w:tabs>
        <w:spacing w:line="600" w:lineRule="exact"/>
        <w:ind w:firstLine="640"/>
        <w:outlineLvl w:val="1"/>
        <w:rPr>
          <w:rStyle w:val="25"/>
        </w:rPr>
      </w:pPr>
      <w:bookmarkStart w:id="59" w:name="_Toc15396608"/>
      <w:bookmarkStart w:id="60" w:name="_Toc21484"/>
      <w:bookmarkStart w:id="6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59"/>
      <w:bookmarkEnd w:id="60"/>
      <w:bookmarkEnd w:id="61"/>
      <w:r>
        <w:rPr>
          <w:rStyle w:val="25"/>
          <w:rFonts w:ascii="黑体" w:hAnsi="黑体" w:eastAsia="黑体"/>
          <w:b w:val="0"/>
        </w:rPr>
        <w:tab/>
      </w:r>
    </w:p>
    <w:p w14:paraId="064B0449">
      <w:pPr>
        <w:spacing w:line="600" w:lineRule="exact"/>
        <w:ind w:firstLine="645"/>
        <w:rPr>
          <w:rFonts w:hint="eastAsia" w:ascii="仿宋" w:hAnsi="仿宋" w:eastAsia="仿宋"/>
          <w:sz w:val="32"/>
          <w:szCs w:val="32"/>
        </w:rPr>
      </w:pPr>
      <w:r>
        <w:rPr>
          <w:rFonts w:hint="eastAsia" w:ascii="仿宋" w:hAnsi="仿宋" w:eastAsia="仿宋"/>
          <w:sz w:val="32"/>
          <w:szCs w:val="32"/>
        </w:rPr>
        <w:t>2023年一般公共预算财政拨款基本支出1025.60万元，其中：</w:t>
      </w:r>
    </w:p>
    <w:p w14:paraId="06F025F0">
      <w:pPr>
        <w:spacing w:line="600" w:lineRule="exact"/>
        <w:ind w:firstLine="645"/>
        <w:rPr>
          <w:rFonts w:hint="eastAsia" w:ascii="仿宋" w:hAnsi="仿宋" w:eastAsia="仿宋"/>
          <w:color w:val="FF0000"/>
          <w:sz w:val="32"/>
          <w:szCs w:val="32"/>
          <w:highlight w:val="yellow"/>
        </w:rPr>
      </w:pPr>
      <w:r>
        <w:rPr>
          <w:rFonts w:hint="eastAsia" w:ascii="仿宋" w:hAnsi="仿宋" w:eastAsia="仿宋"/>
          <w:sz w:val="32"/>
          <w:szCs w:val="32"/>
        </w:rPr>
        <w:t>人员经费873.41万元，主要包括：基本工资251.23万元、津贴补贴37.40万元、绩效工资136.07万元、机关事业单位基本养老保险缴费49.67万元、职业年金缴费11.34万元、职工基本医疗保险缴费30.57万元、其他工资福利支出158.91万元、抚恤金10.58万元、生活补助90.54万元、奖励金0.04万元、住房公积金51.07万元。</w:t>
      </w:r>
    </w:p>
    <w:p w14:paraId="45EC0B41">
      <w:pPr>
        <w:spacing w:line="600" w:lineRule="exact"/>
        <w:ind w:firstLine="645"/>
        <w:rPr>
          <w:rFonts w:hint="eastAsia" w:ascii="仿宋" w:hAnsi="仿宋" w:eastAsia="仿宋"/>
          <w:b/>
          <w:sz w:val="32"/>
          <w:szCs w:val="32"/>
          <w:highlight w:val="yellow"/>
        </w:rPr>
      </w:pPr>
      <w:r>
        <w:rPr>
          <w:rFonts w:hint="eastAsia" w:ascii="仿宋" w:hAnsi="仿宋" w:eastAsia="仿宋"/>
          <w:sz w:val="32"/>
          <w:szCs w:val="32"/>
        </w:rPr>
        <w:t>公用经费84.11万元，主要包括：办公费16.39万元、水费1.08万元、电费2.39万元、邮电费2.41万元、差旅费6.05万元、会议费1.83、培训费1.91万元、工会经费11.22万元、福利费19.03万元、劳务费5.44万元、其他商品和服务支出15.46万元、</w:t>
      </w:r>
      <w:r>
        <w:rPr>
          <w:rFonts w:hint="eastAsia" w:ascii="仿宋" w:hAnsi="仿宋" w:eastAsia="仿宋"/>
          <w:color w:val="auto"/>
          <w:sz w:val="32"/>
          <w:szCs w:val="32"/>
          <w:highlight w:val="none"/>
        </w:rPr>
        <w:t>公务接待费0.9万元</w:t>
      </w:r>
      <w:r>
        <w:rPr>
          <w:rFonts w:hint="eastAsia" w:ascii="仿宋" w:hAnsi="仿宋" w:eastAsia="仿宋"/>
          <w:color w:val="auto"/>
          <w:sz w:val="32"/>
          <w:szCs w:val="32"/>
        </w:rPr>
        <w:t>。</w:t>
      </w:r>
    </w:p>
    <w:p w14:paraId="2C3C314C">
      <w:pPr>
        <w:spacing w:line="600" w:lineRule="exact"/>
        <w:ind w:firstLine="640"/>
        <w:outlineLvl w:val="1"/>
        <w:rPr>
          <w:rStyle w:val="25"/>
          <w:rFonts w:hint="eastAsia" w:ascii="黑体" w:hAnsi="黑体" w:eastAsia="黑体"/>
          <w:b w:val="0"/>
        </w:rPr>
      </w:pPr>
      <w:bookmarkStart w:id="62" w:name="_Toc15377215"/>
      <w:bookmarkStart w:id="63" w:name="_Toc15396609"/>
      <w:bookmarkStart w:id="64" w:name="_Toc9808"/>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62"/>
      <w:bookmarkEnd w:id="63"/>
      <w:bookmarkEnd w:id="64"/>
    </w:p>
    <w:p w14:paraId="1C3BF984">
      <w:pPr>
        <w:spacing w:line="600" w:lineRule="exact"/>
        <w:ind w:firstLine="640"/>
        <w:outlineLvl w:val="2"/>
        <w:rPr>
          <w:rFonts w:hint="eastAsia" w:ascii="仿宋" w:hAnsi="仿宋" w:eastAsia="仿宋"/>
          <w:b/>
          <w:sz w:val="32"/>
          <w:szCs w:val="32"/>
        </w:rPr>
      </w:pPr>
      <w:bookmarkStart w:id="65" w:name="_Toc15377216"/>
      <w:r>
        <w:rPr>
          <w:rFonts w:hint="eastAsia" w:ascii="仿宋" w:hAnsi="仿宋" w:eastAsia="仿宋"/>
          <w:b/>
          <w:sz w:val="32"/>
          <w:szCs w:val="32"/>
        </w:rPr>
        <w:t>（一）“三公”经费财政拨款支出决算总体情况说明</w:t>
      </w:r>
      <w:bookmarkEnd w:id="65"/>
    </w:p>
    <w:p w14:paraId="43E00CAD">
      <w:pPr>
        <w:spacing w:line="600" w:lineRule="exact"/>
        <w:ind w:firstLine="640"/>
        <w:rPr>
          <w:rFonts w:hint="eastAsia" w:ascii="仿宋" w:hAnsi="仿宋" w:eastAsia="仿宋"/>
          <w:sz w:val="32"/>
          <w:szCs w:val="32"/>
        </w:rPr>
      </w:pPr>
      <w:r>
        <w:rPr>
          <w:rFonts w:hint="eastAsia" w:ascii="仿宋" w:hAnsi="仿宋" w:eastAsia="仿宋"/>
          <w:sz w:val="32"/>
          <w:szCs w:val="32"/>
        </w:rPr>
        <w:t>2023年“三公”经费财政拨款支出决算为0.9万元，完成预算100</w:t>
      </w:r>
      <w:r>
        <w:rPr>
          <w:rFonts w:ascii="仿宋" w:hAnsi="仿宋" w:eastAsia="仿宋"/>
          <w:sz w:val="32"/>
          <w:szCs w:val="32"/>
        </w:rPr>
        <w:t>%</w:t>
      </w:r>
      <w:r>
        <w:rPr>
          <w:rFonts w:hint="eastAsia" w:ascii="仿宋" w:hAnsi="仿宋" w:eastAsia="仿宋"/>
          <w:sz w:val="32"/>
          <w:szCs w:val="32"/>
        </w:rPr>
        <w:t>。</w:t>
      </w:r>
    </w:p>
    <w:p w14:paraId="05532CE1">
      <w:pPr>
        <w:spacing w:line="600" w:lineRule="exact"/>
        <w:ind w:firstLine="640"/>
        <w:outlineLvl w:val="2"/>
        <w:rPr>
          <w:rFonts w:hint="eastAsia" w:ascii="仿宋" w:hAnsi="仿宋" w:eastAsia="仿宋"/>
          <w:b/>
          <w:sz w:val="32"/>
          <w:szCs w:val="32"/>
        </w:rPr>
      </w:pPr>
      <w:bookmarkStart w:id="66" w:name="_Toc15377217"/>
      <w:r>
        <w:rPr>
          <w:rFonts w:hint="eastAsia" w:ascii="仿宋" w:hAnsi="仿宋" w:eastAsia="仿宋"/>
          <w:b/>
          <w:sz w:val="32"/>
          <w:szCs w:val="32"/>
        </w:rPr>
        <w:t>（二）“三公”经费财政拨款支出决算具体情况说明</w:t>
      </w:r>
      <w:bookmarkEnd w:id="66"/>
    </w:p>
    <w:p w14:paraId="62ED7A05">
      <w:pPr>
        <w:spacing w:line="600" w:lineRule="exact"/>
        <w:ind w:firstLine="640"/>
        <w:rPr>
          <w:rFonts w:hint="eastAsia" w:ascii="仿宋" w:hAnsi="仿宋" w:eastAsia="仿宋"/>
          <w:sz w:val="32"/>
          <w:szCs w:val="32"/>
        </w:rPr>
      </w:pPr>
      <w:r>
        <w:rPr>
          <w:rFonts w:hint="eastAsia" w:ascii="仿宋" w:hAnsi="仿宋" w:eastAsia="仿宋"/>
          <w:sz w:val="32"/>
          <w:szCs w:val="32"/>
        </w:rPr>
        <w:t>2023年“三公”经费财政拨款支出决算中，因公出国（境）费支出决算0万元，占0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；公务接待费支出决算0.9万元，占100</w:t>
      </w:r>
      <w:r>
        <w:rPr>
          <w:rFonts w:ascii="仿宋" w:hAnsi="仿宋" w:eastAsia="仿宋"/>
          <w:sz w:val="32"/>
          <w:szCs w:val="32"/>
        </w:rPr>
        <w:t>%</w:t>
      </w:r>
      <w:r>
        <w:rPr>
          <w:rFonts w:hint="eastAsia" w:ascii="仿宋" w:hAnsi="仿宋" w:eastAsia="仿宋"/>
          <w:sz w:val="32"/>
          <w:szCs w:val="32"/>
        </w:rPr>
        <w:t>。具体情况如下：</w:t>
      </w:r>
    </w:p>
    <w:p w14:paraId="4B6EFA31">
      <w:pPr>
        <w:ind w:firstLine="641"/>
        <w:jc w:val="center"/>
        <w:rPr>
          <w:rFonts w:ascii="仿宋_GB2312" w:eastAsia="仿宋_GB2312"/>
          <w:b/>
          <w:sz w:val="32"/>
          <w:szCs w:val="32"/>
        </w:rPr>
      </w:pPr>
      <w:r>
        <w:rPr>
          <w:rFonts w:hint="eastAsia" w:ascii="仿宋" w:hAnsi="仿宋" w:eastAsia="仿宋"/>
          <w:sz w:val="32"/>
          <w:szCs w:val="32"/>
        </w:rPr>
        <w:drawing>
          <wp:inline distT="0" distB="0" distL="114300" distR="114300">
            <wp:extent cx="3938270" cy="2753360"/>
            <wp:effectExtent l="4445" t="4445" r="6985" b="107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B81049C">
      <w:pPr>
        <w:ind w:firstLine="641"/>
        <w:jc w:val="center"/>
        <w:rPr>
          <w:rFonts w:ascii="仿宋_GB2312" w:eastAsia="仿宋_GB2312"/>
          <w:b/>
          <w:sz w:val="32"/>
          <w:szCs w:val="32"/>
        </w:rPr>
      </w:pPr>
      <w:r>
        <w:rPr>
          <w:rFonts w:hint="eastAsia" w:ascii="仿宋" w:hAnsi="仿宋" w:eastAsia="仿宋"/>
          <w:sz w:val="32"/>
          <w:szCs w:val="32"/>
        </w:rPr>
        <w:t>（图7：“三公”经费财政拨款支出结构）</w:t>
      </w:r>
    </w:p>
    <w:p w14:paraId="1F9ADA92">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全年安排因公出国（境）团组0次，出国（境）0人。因公出国（境）支出决算与2022年持平。</w:t>
      </w:r>
    </w:p>
    <w:p w14:paraId="12BFDD4C">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公务用车购置及运行维护费支出决算与2022年持平。</w:t>
      </w:r>
    </w:p>
    <w:p w14:paraId="6599604F">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0万元。全年按规定更新购置公务用车0辆，其中：轿车0辆、金额0万元，越野车0辆、金额0万元，载客汽车0辆、金额0万元。截至2023年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48109D47">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公务用车运行维护费支出0</w:t>
      </w:r>
      <w:r>
        <w:rPr>
          <w:rFonts w:hint="eastAsia" w:ascii="仿宋_GB2312" w:eastAsia="仿宋_GB2312"/>
          <w:sz w:val="32"/>
          <w:szCs w:val="32"/>
        </w:rPr>
        <w:t>万元。</w:t>
      </w:r>
    </w:p>
    <w:p w14:paraId="406E79D2">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0.9万元，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公务接待费支出决算较2022年降低5.26%。其中：</w:t>
      </w:r>
    </w:p>
    <w:p w14:paraId="69443CA3">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0.9</w:t>
      </w:r>
      <w:r>
        <w:rPr>
          <w:rFonts w:hint="eastAsia" w:ascii="仿宋_GB2312" w:eastAsia="仿宋_GB2312"/>
          <w:sz w:val="32"/>
          <w:szCs w:val="32"/>
        </w:rPr>
        <w:t>万元，主要用于开展业务活动开支的用餐费。国内公务接待30批次，120人次（不包括陪同人员），共计支出0.9万元，具体内容包括：学校春秋开学迎检接待费，安全检查，党建工作迎检接待费。</w:t>
      </w:r>
    </w:p>
    <w:p w14:paraId="79D720C3">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14:paraId="4D10DA17">
      <w:pPr>
        <w:spacing w:line="600" w:lineRule="exact"/>
        <w:ind w:firstLine="640"/>
        <w:outlineLvl w:val="1"/>
        <w:rPr>
          <w:rStyle w:val="25"/>
          <w:rFonts w:hint="eastAsia" w:ascii="黑体" w:hAnsi="黑体" w:eastAsia="黑体"/>
        </w:rPr>
      </w:pPr>
      <w:bookmarkStart w:id="67" w:name="_Toc10844"/>
      <w:bookmarkStart w:id="68" w:name="_Toc15396610"/>
      <w:bookmarkStart w:id="69" w:name="_Toc15377218"/>
      <w:r>
        <w:rPr>
          <w:rFonts w:hint="eastAsia" w:ascii="黑体" w:eastAsia="黑体"/>
          <w:sz w:val="32"/>
          <w:szCs w:val="32"/>
        </w:rPr>
        <w:t>八、</w:t>
      </w:r>
      <w:r>
        <w:rPr>
          <w:rStyle w:val="25"/>
          <w:rFonts w:hint="eastAsia" w:ascii="黑体" w:hAnsi="黑体" w:eastAsia="黑体"/>
          <w:b w:val="0"/>
        </w:rPr>
        <w:t>政府性基金预算支出决算情况说明</w:t>
      </w:r>
      <w:bookmarkEnd w:id="67"/>
      <w:bookmarkEnd w:id="68"/>
      <w:bookmarkEnd w:id="69"/>
    </w:p>
    <w:p w14:paraId="1A8B8AEF">
      <w:pPr>
        <w:spacing w:line="600" w:lineRule="exact"/>
        <w:ind w:firstLine="640"/>
        <w:rPr>
          <w:rFonts w:ascii="仿宋_GB2312" w:eastAsia="仿宋_GB2312"/>
          <w:sz w:val="32"/>
          <w:szCs w:val="32"/>
        </w:rPr>
      </w:pPr>
      <w:r>
        <w:rPr>
          <w:rFonts w:hint="eastAsia" w:ascii="仿宋_GB2312" w:eastAsia="仿宋_GB2312"/>
          <w:sz w:val="32"/>
          <w:szCs w:val="32"/>
        </w:rPr>
        <w:t>2023年政府性基金预算财政拨款支出0万元。</w:t>
      </w:r>
    </w:p>
    <w:p w14:paraId="765DBFD9">
      <w:pPr>
        <w:numPr>
          <w:ilvl w:val="0"/>
          <w:numId w:val="4"/>
        </w:numPr>
        <w:spacing w:line="600" w:lineRule="exact"/>
        <w:ind w:firstLine="640"/>
        <w:outlineLvl w:val="1"/>
        <w:rPr>
          <w:rStyle w:val="25"/>
          <w:rFonts w:hint="eastAsia" w:ascii="黑体" w:hAnsi="黑体" w:eastAsia="黑体"/>
          <w:b w:val="0"/>
        </w:rPr>
      </w:pPr>
      <w:bookmarkStart w:id="70" w:name="_Toc1214"/>
      <w:bookmarkStart w:id="71" w:name="_Toc15377219"/>
      <w:bookmarkStart w:id="72" w:name="_Toc15396611"/>
      <w:r>
        <w:rPr>
          <w:rStyle w:val="25"/>
          <w:rFonts w:hint="eastAsia" w:ascii="黑体" w:hAnsi="黑体" w:eastAsia="黑体"/>
          <w:b w:val="0"/>
        </w:rPr>
        <w:t>国有资本经营预算支出决算情况说明</w:t>
      </w:r>
      <w:bookmarkEnd w:id="70"/>
      <w:bookmarkEnd w:id="71"/>
      <w:bookmarkEnd w:id="72"/>
    </w:p>
    <w:p w14:paraId="0595DD8C">
      <w:pPr>
        <w:spacing w:line="600" w:lineRule="exact"/>
        <w:ind w:firstLine="640"/>
        <w:rPr>
          <w:rFonts w:ascii="仿宋_GB2312" w:eastAsia="仿宋_GB2312"/>
          <w:sz w:val="32"/>
          <w:szCs w:val="32"/>
        </w:rPr>
      </w:pPr>
      <w:r>
        <w:rPr>
          <w:rFonts w:hint="eastAsia" w:ascii="仿宋_GB2312" w:eastAsia="仿宋_GB2312"/>
          <w:sz w:val="32"/>
          <w:szCs w:val="32"/>
        </w:rPr>
        <w:t>2023年国有资本经营预算财政拨款支出0万元。</w:t>
      </w:r>
    </w:p>
    <w:p w14:paraId="6161051F">
      <w:pPr>
        <w:numPr>
          <w:ilvl w:val="0"/>
          <w:numId w:val="4"/>
        </w:numPr>
        <w:spacing w:line="600" w:lineRule="exact"/>
        <w:ind w:firstLine="640"/>
        <w:outlineLvl w:val="1"/>
        <w:rPr>
          <w:rStyle w:val="25"/>
          <w:rFonts w:hint="eastAsia" w:ascii="黑体" w:hAnsi="黑体" w:eastAsia="黑体"/>
          <w:b w:val="0"/>
        </w:rPr>
      </w:pPr>
      <w:bookmarkStart w:id="73" w:name="_Toc31091"/>
      <w:bookmarkStart w:id="74" w:name="_Toc15396612"/>
      <w:bookmarkStart w:id="75" w:name="_Toc15377221"/>
      <w:r>
        <w:rPr>
          <w:rStyle w:val="25"/>
          <w:rFonts w:hint="eastAsia" w:ascii="黑体" w:hAnsi="黑体" w:eastAsia="黑体"/>
          <w:b w:val="0"/>
        </w:rPr>
        <w:t>其他重要事项的情况说明</w:t>
      </w:r>
      <w:bookmarkEnd w:id="73"/>
      <w:bookmarkEnd w:id="74"/>
      <w:bookmarkEnd w:id="75"/>
    </w:p>
    <w:p w14:paraId="620E581E">
      <w:pPr>
        <w:spacing w:line="600" w:lineRule="exact"/>
        <w:ind w:firstLine="643" w:firstLineChars="200"/>
        <w:outlineLvl w:val="2"/>
        <w:rPr>
          <w:rFonts w:hint="eastAsia" w:ascii="仿宋" w:hAnsi="仿宋" w:eastAsia="仿宋"/>
          <w:sz w:val="32"/>
          <w:szCs w:val="32"/>
        </w:rPr>
      </w:pPr>
      <w:bookmarkStart w:id="76" w:name="_Toc15377222"/>
      <w:r>
        <w:rPr>
          <w:rFonts w:hint="eastAsia" w:ascii="仿宋" w:hAnsi="仿宋" w:eastAsia="仿宋"/>
          <w:b/>
          <w:sz w:val="32"/>
          <w:szCs w:val="32"/>
        </w:rPr>
        <w:t>（一）机关运行经费支出情况</w:t>
      </w:r>
      <w:bookmarkEnd w:id="76"/>
    </w:p>
    <w:p w14:paraId="5B575947">
      <w:pPr>
        <w:spacing w:line="600" w:lineRule="exact"/>
        <w:ind w:firstLine="640" w:firstLineChars="200"/>
        <w:rPr>
          <w:rFonts w:hint="eastAsia" w:ascii="仿宋" w:hAnsi="仿宋" w:eastAsia="仿宋"/>
          <w:b/>
          <w:sz w:val="32"/>
          <w:szCs w:val="32"/>
        </w:rPr>
      </w:pPr>
      <w:r>
        <w:rPr>
          <w:rFonts w:hint="eastAsia" w:ascii="仿宋_GB2312" w:eastAsia="仿宋_GB2312"/>
          <w:sz w:val="32"/>
          <w:szCs w:val="32"/>
        </w:rPr>
        <w:t>我单位为事业单位（学校），执行政府会计制度，无机关运行经费。</w:t>
      </w:r>
    </w:p>
    <w:p w14:paraId="4108E597">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77" w:name="_Toc15377223"/>
      <w:r>
        <w:rPr>
          <w:rFonts w:hint="eastAsia" w:ascii="仿宋" w:hAnsi="仿宋" w:eastAsia="仿宋"/>
          <w:b/>
          <w:sz w:val="32"/>
          <w:szCs w:val="32"/>
        </w:rPr>
        <w:t>（二）政府采购支出情况</w:t>
      </w:r>
      <w:bookmarkEnd w:id="77"/>
    </w:p>
    <w:p w14:paraId="0D5CA1CF">
      <w:pPr>
        <w:spacing w:line="600" w:lineRule="exact"/>
        <w:ind w:firstLine="640" w:firstLineChars="200"/>
        <w:rPr>
          <w:rFonts w:ascii="仿宋_GB2312" w:eastAsia="仿宋_GB2312"/>
          <w:sz w:val="32"/>
          <w:szCs w:val="32"/>
        </w:rPr>
      </w:pPr>
      <w:r>
        <w:rPr>
          <w:rFonts w:hint="eastAsia" w:ascii="仿宋_GB2312" w:eastAsia="仿宋_GB2312"/>
          <w:sz w:val="32"/>
          <w:szCs w:val="32"/>
        </w:rPr>
        <w:t>2023年，大竹县高穴中学政府采购支出总额</w:t>
      </w:r>
      <w:r>
        <w:rPr>
          <w:rFonts w:ascii="仿宋_GB2312" w:eastAsia="仿宋_GB2312"/>
          <w:sz w:val="32"/>
          <w:szCs w:val="32"/>
        </w:rPr>
        <w:t>0</w:t>
      </w:r>
      <w:r>
        <w:rPr>
          <w:rFonts w:hint="eastAsia" w:ascii="仿宋_GB2312" w:eastAsia="仿宋_GB2312"/>
          <w:sz w:val="32"/>
          <w:szCs w:val="32"/>
        </w:rPr>
        <w:t>万元。</w:t>
      </w:r>
    </w:p>
    <w:p w14:paraId="35B82E68">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78" w:name="_Toc15377224"/>
      <w:r>
        <w:rPr>
          <w:rFonts w:hint="eastAsia" w:ascii="仿宋" w:hAnsi="仿宋" w:eastAsia="仿宋"/>
          <w:b/>
          <w:sz w:val="32"/>
          <w:szCs w:val="32"/>
        </w:rPr>
        <w:t>（三）国有资产占有使用情况</w:t>
      </w:r>
      <w:bookmarkEnd w:id="78"/>
    </w:p>
    <w:p w14:paraId="75D92C10">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日，大竹县高穴中学共有车辆</w:t>
      </w:r>
      <w:r>
        <w:rPr>
          <w:rFonts w:ascii="仿宋_GB2312" w:eastAsia="仿宋_GB2312"/>
          <w:sz w:val="32"/>
          <w:szCs w:val="32"/>
        </w:rPr>
        <w:t>0</w:t>
      </w:r>
      <w:r>
        <w:rPr>
          <w:rFonts w:hint="eastAsia" w:ascii="仿宋_GB2312" w:eastAsia="仿宋_GB2312"/>
          <w:sz w:val="32"/>
          <w:szCs w:val="32"/>
        </w:rPr>
        <w:t>辆，其中：主要领导干部用车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0</w:t>
      </w:r>
      <w:r>
        <w:rPr>
          <w:rFonts w:hint="eastAsia" w:ascii="仿宋_GB2312" w:eastAsia="仿宋_GB2312"/>
          <w:sz w:val="32"/>
          <w:szCs w:val="32"/>
        </w:rPr>
        <w:t>辆.单价</w:t>
      </w:r>
      <w:r>
        <w:rPr>
          <w:rFonts w:ascii="仿宋_GB2312" w:eastAsia="仿宋_GB2312"/>
          <w:sz w:val="32"/>
          <w:szCs w:val="32"/>
        </w:rPr>
        <w:t>50</w:t>
      </w:r>
      <w:r>
        <w:rPr>
          <w:rFonts w:hint="eastAsia" w:ascii="仿宋_GB2312" w:eastAsia="仿宋_GB2312"/>
          <w:sz w:val="32"/>
          <w:szCs w:val="32"/>
        </w:rPr>
        <w:t>万元以上通用设备</w:t>
      </w:r>
      <w:r>
        <w:rPr>
          <w:rFonts w:ascii="仿宋_GB2312" w:eastAsia="仿宋_GB2312"/>
          <w:sz w:val="32"/>
          <w:szCs w:val="32"/>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14:paraId="277C4B50">
      <w:pPr>
        <w:autoSpaceDE w:val="0"/>
        <w:autoSpaceDN w:val="0"/>
        <w:adjustRightInd w:val="0"/>
        <w:spacing w:line="600" w:lineRule="exact"/>
        <w:ind w:firstLine="643" w:firstLineChars="200"/>
        <w:jc w:val="left"/>
        <w:outlineLvl w:val="2"/>
        <w:rPr>
          <w:rFonts w:hint="eastAsia" w:ascii="仿宋" w:hAnsi="仿宋" w:eastAsia="仿宋"/>
          <w:b/>
          <w:sz w:val="32"/>
          <w:szCs w:val="32"/>
        </w:rPr>
      </w:pPr>
      <w:r>
        <w:rPr>
          <w:rFonts w:hint="eastAsia" w:ascii="仿宋" w:hAnsi="仿宋" w:eastAsia="仿宋"/>
          <w:b/>
          <w:sz w:val="32"/>
          <w:szCs w:val="32"/>
        </w:rPr>
        <w:t>（四）预算绩效管理情况</w:t>
      </w:r>
    </w:p>
    <w:p w14:paraId="66620C4F">
      <w:pPr>
        <w:spacing w:line="580" w:lineRule="exact"/>
        <w:ind w:firstLine="640" w:firstLineChars="200"/>
        <w:rPr>
          <w:rFonts w:ascii="仿宋_GB2312" w:eastAsia="仿宋_GB2312"/>
          <w:b/>
          <w:sz w:val="32"/>
          <w:szCs w:val="32"/>
        </w:rPr>
      </w:pPr>
      <w:r>
        <w:rPr>
          <w:rFonts w:hint="eastAsia" w:ascii="仿宋_GB2312" w:hAnsi="仿宋_GB2312" w:eastAsia="仿宋_GB2312" w:cs="仿宋_GB2312"/>
          <w:sz w:val="32"/>
          <w:szCs w:val="32"/>
        </w:rPr>
        <w:t>根据预算绩效管理要求，本单位在2023年度预算编制阶段，组织对0个预算项目开展了预算事前绩效评估，对5个项目编制了绩效目标，预算执行过程中，选取5个项目开展绩效监控，组织对5个预算项目开展绩效自评，绩效自评表详见第四部分附件。</w:t>
      </w:r>
    </w:p>
    <w:p w14:paraId="5A7F2124">
      <w:pPr>
        <w:pStyle w:val="5"/>
        <w:spacing w:before="93"/>
      </w:pPr>
    </w:p>
    <w:p w14:paraId="5A27583D">
      <w:pPr>
        <w:widowControl/>
        <w:jc w:val="left"/>
        <w:rPr>
          <w:rFonts w:ascii="仿宋_GB2312" w:eastAsia="仿宋_GB2312"/>
          <w:b/>
          <w:sz w:val="32"/>
          <w:szCs w:val="32"/>
        </w:rPr>
      </w:pPr>
      <w:r>
        <w:rPr>
          <w:rFonts w:ascii="仿宋_GB2312" w:eastAsia="仿宋_GB2312"/>
          <w:b/>
          <w:sz w:val="32"/>
          <w:szCs w:val="32"/>
        </w:rPr>
        <w:br w:type="page"/>
      </w:r>
    </w:p>
    <w:p w14:paraId="32710729">
      <w:pPr>
        <w:numPr>
          <w:ilvl w:val="0"/>
          <w:numId w:val="5"/>
        </w:numPr>
        <w:spacing w:line="600" w:lineRule="exact"/>
        <w:ind w:firstLine="660" w:firstLineChars="150"/>
        <w:jc w:val="center"/>
        <w:outlineLvl w:val="0"/>
        <w:rPr>
          <w:rStyle w:val="24"/>
          <w:rFonts w:hint="eastAsia" w:ascii="黑体" w:hAnsi="黑体" w:eastAsia="黑体"/>
          <w:b w:val="0"/>
        </w:rPr>
      </w:pPr>
      <w:bookmarkStart w:id="79" w:name="_Toc10613"/>
      <w:bookmarkStart w:id="80" w:name="_Toc15377225"/>
      <w:bookmarkStart w:id="81" w:name="_Toc15396613"/>
      <w:r>
        <w:rPr>
          <w:rFonts w:hint="eastAsia" w:ascii="黑体" w:hAnsi="黑体" w:eastAsia="黑体"/>
          <w:sz w:val="44"/>
          <w:szCs w:val="44"/>
        </w:rPr>
        <w:t>名</w:t>
      </w:r>
      <w:r>
        <w:rPr>
          <w:rStyle w:val="24"/>
          <w:rFonts w:hint="eastAsia" w:ascii="黑体" w:hAnsi="黑体" w:eastAsia="黑体"/>
          <w:b w:val="0"/>
        </w:rPr>
        <w:t>词解释</w:t>
      </w:r>
      <w:bookmarkEnd w:id="79"/>
      <w:bookmarkEnd w:id="80"/>
      <w:bookmarkEnd w:id="81"/>
    </w:p>
    <w:p w14:paraId="352C720F">
      <w:pPr>
        <w:spacing w:line="600" w:lineRule="exact"/>
        <w:jc w:val="left"/>
        <w:rPr>
          <w:rFonts w:ascii="宋体"/>
          <w:b/>
          <w:sz w:val="44"/>
          <w:szCs w:val="44"/>
        </w:rPr>
      </w:pPr>
    </w:p>
    <w:p w14:paraId="05206BD7">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1.财政拨款收入：指单位从同级财政部门取得的财政预算资金。</w:t>
      </w:r>
    </w:p>
    <w:p w14:paraId="47D5C809">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2.事业收入：指事业单位开展专业业务活动及辅助活动取得的收入。</w:t>
      </w:r>
    </w:p>
    <w:p w14:paraId="6F67CC32">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3.年初结转和结余：指以前年度尚未完成、结转到本年按有关规定继续使用的资金。 </w:t>
      </w:r>
    </w:p>
    <w:p w14:paraId="7C118C94">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4.结余分配：指事业单位按照事业单位会计制度的规定从非财政补助结余中分配的事业基金和职工福利基金等。</w:t>
      </w:r>
    </w:p>
    <w:p w14:paraId="484AF1B1">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5、年末结转和结余：指单位按有关规定结转到下年或以后年度继续使用的资金。</w:t>
      </w:r>
    </w:p>
    <w:p w14:paraId="7E26EABD">
      <w:pPr>
        <w:ind w:firstLine="640" w:firstLineChars="200"/>
      </w:pPr>
      <w:r>
        <w:rPr>
          <w:rFonts w:hint="eastAsia" w:ascii="仿宋_GB2312" w:hAnsi="Calibri" w:eastAsia="仿宋_GB2312" w:cs="仿宋"/>
          <w:kern w:val="0"/>
          <w:sz w:val="32"/>
          <w:szCs w:val="32"/>
        </w:rPr>
        <w:t>6.教育（205）基础教育（02）学前教育（01）：反映各部门举办的学前教育支出。政府各部门对社会组织等举办的幼儿园的资助，如捐赠、补贴等，也在本科目中反映。</w:t>
      </w:r>
    </w:p>
    <w:p w14:paraId="360853E4">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7.教育（205）基础教育（02）小学教育（02）：反映各部门举办的小学教育支出。政府各部门对社会组织等举办的小学的资助，如捐赠、补贴等，也在本科目中反映。</w:t>
      </w:r>
    </w:p>
    <w:p w14:paraId="788715C9">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8. 社会保障和就业（208）行政事业单位养老支出（05）事业单位离退休（02）：反映事业单位的离退休经费。</w:t>
      </w:r>
    </w:p>
    <w:p w14:paraId="715BB68E">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9. 社会保障和就业（208）行政事业单位养老支出（05）机关事业单位基本养老保险缴费支出（05）：反映机关事业单位实施养老保险制度由单位缴纳的基本养老保险费支出。</w:t>
      </w:r>
    </w:p>
    <w:p w14:paraId="66774D36">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10. 社会保障和就业（208）行政事业单位养老支出（05）机关事业单位职业年金缴费支出（06）：反映机关事业单位实施养老保险制度由单位缴纳的职业年金支出。</w:t>
      </w:r>
    </w:p>
    <w:p w14:paraId="09D9F28D">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11. 社会保障和就业（208）行政事业单位养老支出（05）其他行政事业单位养老支出（99）：反映除上述项目以外其他用于行政事业单位养老方面的支出。</w:t>
      </w:r>
    </w:p>
    <w:p w14:paraId="093ACE36">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12. 社会保障和就业（208）抚恤（08）死亡抚恤（01）：反映按规定用于烈士和牺牲、病故人员家属的一次性和定期抚恤金以及丧葬补助费。</w:t>
      </w:r>
    </w:p>
    <w:p w14:paraId="3005AFEE">
      <w:pPr>
        <w:ind w:firstLine="640" w:firstLineChars="200"/>
      </w:pPr>
      <w:r>
        <w:rPr>
          <w:rFonts w:hint="eastAsia" w:ascii="仿宋_GB2312" w:hAnsi="Calibri" w:eastAsia="仿宋_GB2312" w:cs="仿宋"/>
          <w:kern w:val="0"/>
          <w:sz w:val="32"/>
          <w:szCs w:val="32"/>
        </w:rPr>
        <w:t xml:space="preserve">13. </w:t>
      </w:r>
      <w:r>
        <w:rPr>
          <w:rFonts w:hint="eastAsia" w:ascii="仿宋" w:hAnsi="仿宋" w:eastAsia="仿宋"/>
          <w:sz w:val="32"/>
          <w:szCs w:val="32"/>
        </w:rPr>
        <w:t>卫生健康支出（210）行政事业单位医疗（11）事业单位医疗（02）</w:t>
      </w:r>
      <w:r>
        <w:rPr>
          <w:rFonts w:hint="eastAsia" w:ascii="仿宋_GB2312" w:hAnsi="Calibri" w:eastAsia="仿宋_GB2312" w:cs="仿宋"/>
          <w:kern w:val="0"/>
          <w:sz w:val="32"/>
          <w:szCs w:val="32"/>
        </w:rPr>
        <w:t>：反映财政部门安排的事业单位基本医疗保险缴费经费，未参加医疗保险的事业单位的公费医疗经费，按国家规定享受离休人员待遇的医疗经费。</w:t>
      </w:r>
    </w:p>
    <w:p w14:paraId="653B0DC8">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14. 住房保障支出（221）住房改革支出（02）住房公积金（01）：反正行政事业单位按人力资源和社会保障部、财政部规定的基本工资和津贴补贴以及规定比例为职工缴纳的住房公积金。</w:t>
      </w:r>
    </w:p>
    <w:p w14:paraId="258CA712">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15.基本支出：指为保障机构正常运转、完成日常工作任务而发生的人员支出和公用支出。</w:t>
      </w:r>
    </w:p>
    <w:p w14:paraId="1FF22938">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16.项目支出：指在基本支出之外为完成特定行政任务和事业发展目标所发生的支出。 </w:t>
      </w:r>
    </w:p>
    <w:p w14:paraId="28240E5B">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17.经营支出：指事业单位在专业业务活动及其辅助活动之外开展非独立核算经营活动发生的支出。</w:t>
      </w:r>
    </w:p>
    <w:p w14:paraId="0A4777B4">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2C7E22B">
      <w:pPr>
        <w:spacing w:line="600" w:lineRule="exact"/>
        <w:ind w:firstLine="640"/>
        <w:rPr>
          <w:rFonts w:ascii="仿宋_GB2312" w:hAnsi="Calibri" w:eastAsia="仿宋_GB2312" w:cs="仿宋"/>
          <w:kern w:val="0"/>
          <w:sz w:val="32"/>
          <w:szCs w:val="32"/>
        </w:rPr>
      </w:pPr>
      <w:r>
        <w:rPr>
          <w:rFonts w:hint="eastAsia" w:ascii="仿宋_GB2312" w:hAnsi="Calibri" w:eastAsia="仿宋_GB2312" w:cs="仿宋"/>
          <w:kern w:val="0"/>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82" w:name="_Toc15396614"/>
      <w:bookmarkStart w:id="83" w:name="_Toc15377226"/>
    </w:p>
    <w:p w14:paraId="793C8B25">
      <w:pPr>
        <w:spacing w:line="600" w:lineRule="exact"/>
        <w:ind w:firstLine="640"/>
        <w:rPr>
          <w:rFonts w:ascii="仿宋_GB2312" w:hAnsi="Calibri" w:eastAsia="仿宋_GB2312" w:cs="仿宋"/>
          <w:kern w:val="0"/>
          <w:sz w:val="32"/>
          <w:szCs w:val="32"/>
        </w:rPr>
      </w:pPr>
    </w:p>
    <w:p w14:paraId="22B310A4">
      <w:pPr>
        <w:spacing w:line="600" w:lineRule="exact"/>
        <w:ind w:firstLine="640"/>
        <w:rPr>
          <w:rFonts w:ascii="仿宋_GB2312" w:hAnsi="Calibri" w:eastAsia="仿宋_GB2312" w:cs="仿宋"/>
          <w:kern w:val="0"/>
          <w:sz w:val="32"/>
          <w:szCs w:val="32"/>
        </w:rPr>
      </w:pPr>
    </w:p>
    <w:p w14:paraId="4A922357">
      <w:pPr>
        <w:spacing w:line="600" w:lineRule="exact"/>
        <w:ind w:firstLine="640"/>
        <w:rPr>
          <w:rFonts w:ascii="仿宋_GB2312" w:hAnsi="Calibri" w:eastAsia="仿宋_GB2312" w:cs="仿宋"/>
          <w:kern w:val="0"/>
          <w:sz w:val="32"/>
          <w:szCs w:val="32"/>
        </w:rPr>
      </w:pPr>
    </w:p>
    <w:p w14:paraId="6362B08C">
      <w:pPr>
        <w:spacing w:line="600" w:lineRule="exact"/>
        <w:ind w:firstLine="640"/>
        <w:rPr>
          <w:rFonts w:ascii="仿宋_GB2312" w:hAnsi="Calibri" w:eastAsia="仿宋_GB2312" w:cs="仿宋"/>
          <w:kern w:val="0"/>
          <w:sz w:val="32"/>
          <w:szCs w:val="32"/>
        </w:rPr>
      </w:pPr>
    </w:p>
    <w:p w14:paraId="5C1BD2EF">
      <w:pPr>
        <w:spacing w:line="600" w:lineRule="exact"/>
        <w:ind w:firstLine="640"/>
        <w:rPr>
          <w:rFonts w:ascii="仿宋_GB2312" w:hAnsi="Calibri" w:eastAsia="仿宋_GB2312" w:cs="仿宋"/>
          <w:kern w:val="0"/>
          <w:sz w:val="32"/>
          <w:szCs w:val="32"/>
        </w:rPr>
      </w:pPr>
    </w:p>
    <w:bookmarkEnd w:id="82"/>
    <w:p w14:paraId="47D63B67">
      <w:pPr>
        <w:spacing w:line="600" w:lineRule="exact"/>
        <w:jc w:val="center"/>
        <w:outlineLvl w:val="0"/>
        <w:rPr>
          <w:rFonts w:hint="eastAsia" w:ascii="黑体" w:hAnsi="黑体" w:eastAsia="黑体"/>
          <w:sz w:val="44"/>
          <w:szCs w:val="44"/>
        </w:rPr>
        <w:sectPr>
          <w:footerReference r:id="rId9" w:type="first"/>
          <w:footerReference r:id="rId8" w:type="default"/>
          <w:pgSz w:w="11906" w:h="16838"/>
          <w:pgMar w:top="1440" w:right="1800" w:bottom="1440" w:left="1800" w:header="851" w:footer="992" w:gutter="0"/>
          <w:pgNumType w:fmt="decimal" w:start="1"/>
          <w:cols w:space="0" w:num="1"/>
          <w:docGrid w:type="lines" w:linePitch="312" w:charSpace="0"/>
        </w:sectPr>
      </w:pPr>
      <w:bookmarkStart w:id="84" w:name="_Toc25087"/>
      <w:bookmarkStart w:id="85" w:name="_Toc15396618"/>
    </w:p>
    <w:p w14:paraId="40A9BBA5">
      <w:pPr>
        <w:numPr>
          <w:ilvl w:val="0"/>
          <w:numId w:val="5"/>
        </w:numPr>
        <w:spacing w:line="600" w:lineRule="exact"/>
        <w:ind w:firstLine="660" w:firstLineChars="150"/>
        <w:jc w:val="center"/>
        <w:outlineLvl w:val="0"/>
        <w:rPr>
          <w:rStyle w:val="24"/>
          <w:rFonts w:hint="eastAsia" w:ascii="黑体" w:hAnsi="黑体" w:eastAsia="黑体"/>
          <w:b w:val="0"/>
        </w:rPr>
      </w:pPr>
      <w:r>
        <w:rPr>
          <w:rStyle w:val="24"/>
          <w:rFonts w:hint="eastAsia" w:ascii="黑体" w:hAnsi="黑体" w:eastAsia="黑体"/>
          <w:b w:val="0"/>
        </w:rPr>
        <w:t>附件</w:t>
      </w:r>
      <w:bookmarkEnd w:id="84"/>
    </w:p>
    <w:p w14:paraId="4A90719F">
      <w:pPr>
        <w:spacing w:line="600" w:lineRule="exact"/>
        <w:jc w:val="center"/>
        <w:outlineLvl w:val="0"/>
        <w:rPr>
          <w:rStyle w:val="24"/>
          <w:rFonts w:hint="eastAsia" w:ascii="黑体" w:hAnsi="黑体" w:eastAsia="黑体"/>
          <w:b w:val="0"/>
        </w:rPr>
      </w:pPr>
    </w:p>
    <w:tbl>
      <w:tblPr>
        <w:tblStyle w:val="12"/>
        <w:tblW w:w="13411" w:type="dxa"/>
        <w:tblInd w:w="96" w:type="dxa"/>
        <w:tblLayout w:type="autofit"/>
        <w:tblCellMar>
          <w:top w:w="0" w:type="dxa"/>
          <w:left w:w="108" w:type="dxa"/>
          <w:bottom w:w="0" w:type="dxa"/>
          <w:right w:w="108" w:type="dxa"/>
        </w:tblCellMar>
      </w:tblPr>
      <w:tblGrid>
        <w:gridCol w:w="1321"/>
        <w:gridCol w:w="1660"/>
        <w:gridCol w:w="1660"/>
        <w:gridCol w:w="2550"/>
        <w:gridCol w:w="1322"/>
        <w:gridCol w:w="1552"/>
        <w:gridCol w:w="998"/>
        <w:gridCol w:w="1174"/>
        <w:gridCol w:w="1174"/>
      </w:tblGrid>
      <w:tr w14:paraId="68142AF1">
        <w:tblPrEx>
          <w:tblCellMar>
            <w:top w:w="0" w:type="dxa"/>
            <w:left w:w="108" w:type="dxa"/>
            <w:bottom w:w="0" w:type="dxa"/>
            <w:right w:w="108" w:type="dxa"/>
          </w:tblCellMar>
        </w:tblPrEx>
        <w:trPr>
          <w:trHeight w:val="904" w:hRule="atLeast"/>
        </w:trPr>
        <w:tc>
          <w:tcPr>
            <w:tcW w:w="13411" w:type="dxa"/>
            <w:gridSpan w:val="9"/>
            <w:tcBorders>
              <w:top w:val="nil"/>
              <w:left w:val="nil"/>
              <w:bottom w:val="nil"/>
              <w:right w:val="nil"/>
            </w:tcBorders>
            <w:shd w:val="clear" w:color="auto" w:fill="auto"/>
            <w:vAlign w:val="center"/>
          </w:tcPr>
          <w:p w14:paraId="2263C1F2">
            <w:pPr>
              <w:widowControl/>
              <w:jc w:val="center"/>
              <w:textAlignment w:val="center"/>
              <w:rPr>
                <w:rFonts w:hint="eastAsia" w:ascii="黑体" w:hAnsi="宋体" w:eastAsia="黑体" w:cs="黑体"/>
                <w:color w:val="000000"/>
                <w:sz w:val="30"/>
                <w:szCs w:val="30"/>
              </w:rPr>
            </w:pPr>
            <w:r>
              <w:rPr>
                <w:rFonts w:hint="eastAsia" w:ascii="黑体" w:hAnsi="宋体" w:eastAsia="黑体" w:cs="黑体"/>
                <w:color w:val="000000"/>
                <w:kern w:val="0"/>
                <w:sz w:val="30"/>
                <w:szCs w:val="30"/>
                <w:lang w:bidi="ar"/>
              </w:rPr>
              <w:t>部门整体支出绩效目标</w:t>
            </w:r>
            <w:r>
              <w:rPr>
                <w:rFonts w:hint="eastAsia" w:ascii="黑体" w:hAnsi="宋体" w:eastAsia="黑体" w:cs="黑体"/>
                <w:color w:val="000000"/>
                <w:kern w:val="0"/>
                <w:sz w:val="30"/>
                <w:szCs w:val="30"/>
                <w:lang w:val="en-US" w:eastAsia="zh-CN" w:bidi="ar"/>
              </w:rPr>
              <w:t>完成情况自评</w:t>
            </w:r>
            <w:r>
              <w:rPr>
                <w:rFonts w:hint="eastAsia" w:ascii="黑体" w:hAnsi="宋体" w:eastAsia="黑体" w:cs="黑体"/>
                <w:color w:val="000000"/>
                <w:kern w:val="0"/>
                <w:sz w:val="30"/>
                <w:szCs w:val="30"/>
                <w:lang w:bidi="ar"/>
              </w:rPr>
              <w:t>表</w:t>
            </w:r>
            <w:bookmarkStart w:id="113" w:name="_GoBack"/>
            <w:bookmarkEnd w:id="113"/>
          </w:p>
        </w:tc>
      </w:tr>
      <w:tr w14:paraId="340CE47B">
        <w:tblPrEx>
          <w:tblCellMar>
            <w:top w:w="0" w:type="dxa"/>
            <w:left w:w="108" w:type="dxa"/>
            <w:bottom w:w="0" w:type="dxa"/>
            <w:right w:w="108" w:type="dxa"/>
          </w:tblCellMar>
        </w:tblPrEx>
        <w:trPr>
          <w:trHeight w:val="285" w:hRule="atLeast"/>
        </w:trPr>
        <w:tc>
          <w:tcPr>
            <w:tcW w:w="13411" w:type="dxa"/>
            <w:gridSpan w:val="9"/>
            <w:tcBorders>
              <w:top w:val="nil"/>
              <w:left w:val="nil"/>
              <w:bottom w:val="nil"/>
              <w:right w:val="nil"/>
            </w:tcBorders>
            <w:shd w:val="clear" w:color="auto" w:fill="auto"/>
            <w:vAlign w:val="center"/>
          </w:tcPr>
          <w:p w14:paraId="68C04B1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（2023年度）</w:t>
            </w:r>
          </w:p>
        </w:tc>
      </w:tr>
      <w:tr w14:paraId="168A6A69">
        <w:tblPrEx>
          <w:tblCellMar>
            <w:top w:w="0" w:type="dxa"/>
            <w:left w:w="108" w:type="dxa"/>
            <w:bottom w:w="0" w:type="dxa"/>
            <w:right w:w="108" w:type="dxa"/>
          </w:tblCellMar>
        </w:tblPrEx>
        <w:trPr>
          <w:trHeight w:val="285" w:hRule="atLeast"/>
        </w:trPr>
        <w:tc>
          <w:tcPr>
            <w:tcW w:w="13411" w:type="dxa"/>
            <w:gridSpan w:val="9"/>
            <w:tcBorders>
              <w:top w:val="nil"/>
              <w:left w:val="nil"/>
              <w:bottom w:val="single" w:color="000000" w:sz="4" w:space="0"/>
              <w:right w:val="nil"/>
            </w:tcBorders>
            <w:shd w:val="clear" w:color="auto" w:fill="auto"/>
            <w:vAlign w:val="center"/>
          </w:tcPr>
          <w:p w14:paraId="6DA60E95">
            <w:pPr>
              <w:widowControl/>
              <w:jc w:val="right"/>
              <w:textAlignment w:val="center"/>
              <w:rPr>
                <w:rFonts w:hint="eastAsia" w:ascii="宋体" w:hAnsi="宋体" w:cs="宋体"/>
                <w:color w:val="000000"/>
                <w:sz w:val="18"/>
                <w:szCs w:val="18"/>
              </w:rPr>
            </w:pPr>
            <w:r>
              <w:rPr>
                <w:rFonts w:ascii="宋体" w:hAnsi="宋体" w:cs="宋体"/>
                <w:color w:val="000000"/>
                <w:kern w:val="0"/>
                <w:sz w:val="18"/>
                <w:szCs w:val="18"/>
                <w:lang w:bidi="ar"/>
              </w:rPr>
              <w:t>单位：万元</w:t>
            </w:r>
          </w:p>
        </w:tc>
      </w:tr>
      <w:tr w14:paraId="0D4F0777">
        <w:tblPrEx>
          <w:tblCellMar>
            <w:top w:w="0" w:type="dxa"/>
            <w:left w:w="108" w:type="dxa"/>
            <w:bottom w:w="0" w:type="dxa"/>
            <w:right w:w="108" w:type="dxa"/>
          </w:tblCellMar>
        </w:tblPrEx>
        <w:trPr>
          <w:trHeight w:val="570" w:hRule="atLeast"/>
        </w:trPr>
        <w:tc>
          <w:tcPr>
            <w:tcW w:w="46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20F06C">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部门名称</w:t>
            </w:r>
          </w:p>
        </w:tc>
        <w:tc>
          <w:tcPr>
            <w:tcW w:w="87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B4348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大竹县高穴中学部门</w:t>
            </w:r>
          </w:p>
        </w:tc>
      </w:tr>
      <w:tr w14:paraId="3FB941AE">
        <w:tblPrEx>
          <w:tblCellMar>
            <w:top w:w="0" w:type="dxa"/>
            <w:left w:w="108" w:type="dxa"/>
            <w:bottom w:w="0" w:type="dxa"/>
            <w:right w:w="108" w:type="dxa"/>
          </w:tblCellMar>
        </w:tblPrEx>
        <w:trPr>
          <w:trHeight w:val="570" w:hRule="atLeast"/>
        </w:trPr>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E2877">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年度部门整体支出预算</w:t>
            </w: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3149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资金总额</w:t>
            </w:r>
          </w:p>
        </w:tc>
        <w:tc>
          <w:tcPr>
            <w:tcW w:w="3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A3AB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财政拨款</w:t>
            </w:r>
          </w:p>
        </w:tc>
        <w:tc>
          <w:tcPr>
            <w:tcW w:w="4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AACE4C">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其他资金</w:t>
            </w:r>
          </w:p>
        </w:tc>
      </w:tr>
      <w:tr w14:paraId="2F9CABBF">
        <w:tblPrEx>
          <w:tblCellMar>
            <w:top w:w="0" w:type="dxa"/>
            <w:left w:w="108" w:type="dxa"/>
            <w:bottom w:w="0" w:type="dxa"/>
            <w:right w:w="108" w:type="dxa"/>
          </w:tblCellMar>
        </w:tblPrEx>
        <w:trPr>
          <w:trHeight w:val="570" w:hRule="atLeast"/>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984A8">
            <w:pPr>
              <w:jc w:val="center"/>
              <w:rPr>
                <w:rFonts w:hint="eastAsia" w:ascii="宋体" w:hAnsi="宋体" w:cs="宋体"/>
                <w:color w:val="000000"/>
                <w:sz w:val="18"/>
                <w:szCs w:val="18"/>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2EFB6">
            <w:pPr>
              <w:widowControl/>
              <w:jc w:val="righ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1025.60</w:t>
            </w:r>
          </w:p>
        </w:tc>
        <w:tc>
          <w:tcPr>
            <w:tcW w:w="3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2C1F5">
            <w:pPr>
              <w:widowControl/>
              <w:jc w:val="right"/>
              <w:textAlignment w:val="center"/>
              <w:rPr>
                <w:rFonts w:hint="default" w:ascii="宋体" w:hAnsi="宋体" w:cs="宋体"/>
                <w:color w:val="000000"/>
                <w:sz w:val="18"/>
                <w:szCs w:val="18"/>
                <w:lang w:val="en-US"/>
              </w:rPr>
            </w:pPr>
            <w:r>
              <w:rPr>
                <w:rFonts w:hint="eastAsia" w:ascii="宋体" w:hAnsi="宋体" w:cs="宋体"/>
                <w:color w:val="000000"/>
                <w:kern w:val="0"/>
                <w:sz w:val="18"/>
                <w:szCs w:val="18"/>
                <w:lang w:val="en-US" w:eastAsia="zh-CN" w:bidi="ar"/>
              </w:rPr>
              <w:t>1025.60</w:t>
            </w:r>
          </w:p>
        </w:tc>
        <w:tc>
          <w:tcPr>
            <w:tcW w:w="4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C78742">
            <w:pPr>
              <w:widowControl/>
              <w:jc w:val="right"/>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r>
      <w:tr w14:paraId="11B9E103">
        <w:tblPrEx>
          <w:tblCellMar>
            <w:top w:w="0" w:type="dxa"/>
            <w:left w:w="108" w:type="dxa"/>
            <w:bottom w:w="0" w:type="dxa"/>
            <w:right w:w="108" w:type="dxa"/>
          </w:tblCellMar>
        </w:tblPrEx>
        <w:trPr>
          <w:trHeight w:val="1144"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7DC7">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年度总体目标</w:t>
            </w:r>
          </w:p>
        </w:tc>
        <w:tc>
          <w:tcPr>
            <w:tcW w:w="120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670865">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目标1：保障学校在职人员50人正常办公，退休人员40人正常生活。目标2：坚决执行党和国家的教育方针，关注学生健康成长。目标3：管好用好国家安排的教育经费，改善和提高教学条件。目标4：把教育事业放在首位，提高教育教学质量，让教师和学生都有幸福感，办人民满意教育。</w:t>
            </w:r>
          </w:p>
        </w:tc>
      </w:tr>
      <w:tr w14:paraId="41830F63">
        <w:tblPrEx>
          <w:tblCellMar>
            <w:top w:w="0" w:type="dxa"/>
            <w:left w:w="108" w:type="dxa"/>
            <w:bottom w:w="0" w:type="dxa"/>
            <w:right w:w="108" w:type="dxa"/>
          </w:tblCellMar>
        </w:tblPrEx>
        <w:trPr>
          <w:trHeight w:val="570" w:hRule="atLeast"/>
        </w:trPr>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9ED2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年度主要任务</w:t>
            </w: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BF2C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任务名称</w:t>
            </w:r>
          </w:p>
        </w:tc>
        <w:tc>
          <w:tcPr>
            <w:tcW w:w="87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6E38B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主要内容</w:t>
            </w:r>
          </w:p>
        </w:tc>
      </w:tr>
      <w:tr w14:paraId="5F000D88">
        <w:tblPrEx>
          <w:tblCellMar>
            <w:top w:w="0" w:type="dxa"/>
            <w:left w:w="108" w:type="dxa"/>
            <w:bottom w:w="0" w:type="dxa"/>
            <w:right w:w="108" w:type="dxa"/>
          </w:tblCellMar>
        </w:tblPrEx>
        <w:trPr>
          <w:trHeight w:val="570" w:hRule="atLeast"/>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21E4F">
            <w:pPr>
              <w:jc w:val="center"/>
              <w:rPr>
                <w:rFonts w:hint="eastAsia" w:ascii="宋体" w:hAnsi="宋体" w:cs="宋体"/>
                <w:color w:val="000000"/>
                <w:sz w:val="18"/>
                <w:szCs w:val="18"/>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19244">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加强学生成才教育</w:t>
            </w:r>
          </w:p>
        </w:tc>
        <w:tc>
          <w:tcPr>
            <w:tcW w:w="87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D5252C">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加强学生思想政治教育，培养学生爱党爱国。</w:t>
            </w:r>
          </w:p>
        </w:tc>
      </w:tr>
      <w:tr w14:paraId="74CB3A7D">
        <w:tblPrEx>
          <w:tblCellMar>
            <w:top w:w="0" w:type="dxa"/>
            <w:left w:w="108" w:type="dxa"/>
            <w:bottom w:w="0" w:type="dxa"/>
            <w:right w:w="108" w:type="dxa"/>
          </w:tblCellMar>
        </w:tblPrEx>
        <w:trPr>
          <w:trHeight w:val="570" w:hRule="atLeast"/>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400B0">
            <w:pPr>
              <w:jc w:val="center"/>
              <w:rPr>
                <w:rFonts w:hint="eastAsia" w:ascii="宋体" w:hAnsi="宋体" w:cs="宋体"/>
                <w:color w:val="000000"/>
                <w:sz w:val="18"/>
                <w:szCs w:val="18"/>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B1117">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保障学校各项工作正常运行</w:t>
            </w:r>
          </w:p>
        </w:tc>
        <w:tc>
          <w:tcPr>
            <w:tcW w:w="87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7B7F31">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依法办学，严格执行党和国家教育方针、政策。确保各项工作正常有序开展。</w:t>
            </w:r>
          </w:p>
        </w:tc>
      </w:tr>
      <w:tr w14:paraId="74E332B2">
        <w:tblPrEx>
          <w:tblCellMar>
            <w:top w:w="0" w:type="dxa"/>
            <w:left w:w="108" w:type="dxa"/>
            <w:bottom w:w="0" w:type="dxa"/>
            <w:right w:w="108" w:type="dxa"/>
          </w:tblCellMar>
        </w:tblPrEx>
        <w:trPr>
          <w:trHeight w:val="570" w:hRule="atLeast"/>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FB663">
            <w:pPr>
              <w:jc w:val="center"/>
              <w:rPr>
                <w:rFonts w:hint="eastAsia" w:ascii="宋体" w:hAnsi="宋体" w:cs="宋体"/>
                <w:color w:val="000000"/>
                <w:sz w:val="18"/>
                <w:szCs w:val="18"/>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4B9E0">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加强教师队伍建设</w:t>
            </w:r>
          </w:p>
        </w:tc>
        <w:tc>
          <w:tcPr>
            <w:tcW w:w="87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6B8BE8">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指导学校教师的思想政治工作，德育工作，体育卫生与艺术教育，国防教育工作，安全稳定工作，提高教师综合素质。</w:t>
            </w:r>
          </w:p>
        </w:tc>
      </w:tr>
      <w:tr w14:paraId="705B925E">
        <w:tblPrEx>
          <w:tblCellMar>
            <w:top w:w="0" w:type="dxa"/>
            <w:left w:w="108" w:type="dxa"/>
            <w:bottom w:w="0" w:type="dxa"/>
            <w:right w:w="108" w:type="dxa"/>
          </w:tblCellMar>
        </w:tblPrEx>
        <w:trPr>
          <w:trHeight w:val="570" w:hRule="atLeast"/>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CDAC3">
            <w:pPr>
              <w:jc w:val="center"/>
              <w:rPr>
                <w:rFonts w:hint="eastAsia" w:ascii="宋体" w:hAnsi="宋体" w:cs="宋体"/>
                <w:color w:val="000000"/>
                <w:sz w:val="18"/>
                <w:szCs w:val="18"/>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14DAC">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完成教育教学任务</w:t>
            </w:r>
          </w:p>
        </w:tc>
        <w:tc>
          <w:tcPr>
            <w:tcW w:w="87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0D895E">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积极完成全年的教育教学工作、任务。</w:t>
            </w:r>
          </w:p>
        </w:tc>
      </w:tr>
      <w:tr w14:paraId="1DA202E3">
        <w:tblPrEx>
          <w:tblCellMar>
            <w:top w:w="0" w:type="dxa"/>
            <w:left w:w="108" w:type="dxa"/>
            <w:bottom w:w="0" w:type="dxa"/>
            <w:right w:w="108" w:type="dxa"/>
          </w:tblCellMar>
        </w:tblPrEx>
        <w:trPr>
          <w:trHeight w:val="570" w:hRule="atLeast"/>
        </w:trPr>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B1B5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年度绩效指标</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570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一级指标</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AED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二级指标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2FC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三级指标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907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绩效指标性质</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7D9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绩效指标值</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06AF">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绩效度量单位</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58F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6823">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实际完成指标值</w:t>
            </w:r>
          </w:p>
        </w:tc>
      </w:tr>
      <w:tr w14:paraId="1F289302">
        <w:tblPrEx>
          <w:tblCellMar>
            <w:top w:w="0" w:type="dxa"/>
            <w:left w:w="108" w:type="dxa"/>
            <w:bottom w:w="0" w:type="dxa"/>
            <w:right w:w="108" w:type="dxa"/>
          </w:tblCellMar>
        </w:tblPrEx>
        <w:trPr>
          <w:trHeight w:val="570" w:hRule="atLeast"/>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CECA4">
            <w:pPr>
              <w:jc w:val="center"/>
              <w:rPr>
                <w:rFonts w:hint="eastAsia" w:ascii="宋体" w:hAnsi="宋体" w:cs="宋体"/>
                <w:color w:val="000000"/>
                <w:sz w:val="18"/>
                <w:szCs w:val="18"/>
              </w:rPr>
            </w:pP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F1C3B">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产出指标</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D64E">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数量指标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4421">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保障在校学生正常学习</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7F02">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1B1D">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218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E188">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人数</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E88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BA49">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218</w:t>
            </w:r>
          </w:p>
        </w:tc>
      </w:tr>
      <w:tr w14:paraId="788F4D57">
        <w:tblPrEx>
          <w:tblCellMar>
            <w:top w:w="0" w:type="dxa"/>
            <w:left w:w="108" w:type="dxa"/>
            <w:bottom w:w="0" w:type="dxa"/>
            <w:right w:w="108" w:type="dxa"/>
          </w:tblCellMar>
        </w:tblPrEx>
        <w:trPr>
          <w:trHeight w:val="570" w:hRule="atLeast"/>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B1C4D">
            <w:pPr>
              <w:jc w:val="center"/>
              <w:rPr>
                <w:rFonts w:hint="eastAsia" w:ascii="宋体" w:hAnsi="宋体" w:cs="宋体"/>
                <w:color w:val="000000"/>
                <w:sz w:val="18"/>
                <w:szCs w:val="18"/>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9823F">
            <w:pPr>
              <w:jc w:val="left"/>
              <w:rPr>
                <w:rFonts w:hint="eastAsia" w:ascii="宋体" w:hAnsi="宋体" w:cs="宋体"/>
                <w:color w:val="000000"/>
                <w:sz w:val="18"/>
                <w:szCs w:val="18"/>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A7A5">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质量指标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28FA">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按质按量完成教学工作，在教育局抽考中取得优异成绩</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D5F7">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2D3A">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C69C">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次</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45E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E1B4">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r>
      <w:tr w14:paraId="32CB651F">
        <w:tblPrEx>
          <w:tblCellMar>
            <w:top w:w="0" w:type="dxa"/>
            <w:left w:w="108" w:type="dxa"/>
            <w:bottom w:w="0" w:type="dxa"/>
            <w:right w:w="108" w:type="dxa"/>
          </w:tblCellMar>
        </w:tblPrEx>
        <w:trPr>
          <w:trHeight w:val="570" w:hRule="atLeast"/>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517BD">
            <w:pPr>
              <w:jc w:val="center"/>
              <w:rPr>
                <w:rFonts w:hint="eastAsia" w:ascii="宋体" w:hAnsi="宋体" w:cs="宋体"/>
                <w:color w:val="000000"/>
                <w:sz w:val="18"/>
                <w:szCs w:val="18"/>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9789">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效益指标</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2F92">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社会效益指标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D4D8">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培养高穴镇初中学生</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5662">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定性</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C75F">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优良中低差</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2BD9">
            <w:pPr>
              <w:jc w:val="left"/>
              <w:rPr>
                <w:rFonts w:hint="eastAsia" w:ascii="宋体" w:hAnsi="宋体" w:cs="宋体"/>
                <w:color w:val="000000"/>
                <w:sz w:val="18"/>
                <w:szCs w:val="18"/>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27B5">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0799">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优</w:t>
            </w:r>
          </w:p>
        </w:tc>
      </w:tr>
      <w:tr w14:paraId="6306CAD5">
        <w:tblPrEx>
          <w:tblCellMar>
            <w:top w:w="0" w:type="dxa"/>
            <w:left w:w="108" w:type="dxa"/>
            <w:bottom w:w="0" w:type="dxa"/>
            <w:right w:w="108" w:type="dxa"/>
          </w:tblCellMar>
        </w:tblPrEx>
        <w:trPr>
          <w:trHeight w:val="570" w:hRule="atLeast"/>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26DAB">
            <w:pPr>
              <w:jc w:val="center"/>
              <w:rPr>
                <w:rFonts w:hint="eastAsia" w:ascii="宋体" w:hAnsi="宋体" w:cs="宋体"/>
                <w:color w:val="000000"/>
                <w:sz w:val="18"/>
                <w:szCs w:val="18"/>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04E0">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满意度指标</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D159">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满意度指标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4A94">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教师学生满意度</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E45C">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7A08">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90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723B">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F56E">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930B">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90</w:t>
            </w:r>
          </w:p>
        </w:tc>
      </w:tr>
      <w:tr w14:paraId="22390229">
        <w:tblPrEx>
          <w:tblCellMar>
            <w:top w:w="0" w:type="dxa"/>
            <w:left w:w="108" w:type="dxa"/>
            <w:bottom w:w="0" w:type="dxa"/>
            <w:right w:w="108" w:type="dxa"/>
          </w:tblCellMar>
        </w:tblPrEx>
        <w:trPr>
          <w:trHeight w:val="570" w:hRule="atLeast"/>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FC21F">
            <w:pPr>
              <w:jc w:val="center"/>
              <w:rPr>
                <w:rFonts w:hint="eastAsia" w:ascii="宋体" w:hAnsi="宋体" w:cs="宋体"/>
                <w:color w:val="000000"/>
                <w:sz w:val="18"/>
                <w:szCs w:val="18"/>
              </w:rPr>
            </w:pP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71D71">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成本指标</w:t>
            </w: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14D65">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经济成本指标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F143">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初中教育公用经费</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5B74">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28E3">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343597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6BB4">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元</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86B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0C47">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r>
      <w:tr w14:paraId="7D1E3458">
        <w:tblPrEx>
          <w:tblCellMar>
            <w:top w:w="0" w:type="dxa"/>
            <w:left w:w="108" w:type="dxa"/>
            <w:bottom w:w="0" w:type="dxa"/>
            <w:right w:w="108" w:type="dxa"/>
          </w:tblCellMar>
        </w:tblPrEx>
        <w:trPr>
          <w:trHeight w:val="570" w:hRule="atLeast"/>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4B9CC">
            <w:pPr>
              <w:jc w:val="center"/>
              <w:rPr>
                <w:rFonts w:hint="eastAsia" w:ascii="宋体" w:hAnsi="宋体" w:cs="宋体"/>
                <w:color w:val="000000"/>
                <w:sz w:val="18"/>
                <w:szCs w:val="18"/>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8A8D1">
            <w:pPr>
              <w:jc w:val="left"/>
              <w:rPr>
                <w:rFonts w:hint="eastAsia" w:ascii="宋体" w:hAnsi="宋体" w:cs="宋体"/>
                <w:color w:val="000000"/>
                <w:sz w:val="18"/>
                <w:szCs w:val="18"/>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12E5F">
            <w:pPr>
              <w:jc w:val="left"/>
              <w:rPr>
                <w:rFonts w:hint="eastAsia" w:ascii="宋体" w:hAnsi="宋体" w:cs="宋体"/>
                <w:color w:val="000000"/>
                <w:sz w:val="18"/>
                <w:szCs w:val="18"/>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C12F">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初中教育人员经费</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1DA4">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CFD4">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8494029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DB25">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元</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003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5C0C">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r>
    </w:tbl>
    <w:p w14:paraId="78DA4604">
      <w:pPr>
        <w:spacing w:line="600" w:lineRule="exact"/>
        <w:jc w:val="center"/>
        <w:outlineLvl w:val="0"/>
        <w:rPr>
          <w:rStyle w:val="24"/>
          <w:rFonts w:hint="eastAsia" w:ascii="黑体" w:hAnsi="黑体" w:eastAsia="黑体"/>
          <w:b w:val="0"/>
        </w:rPr>
      </w:pPr>
    </w:p>
    <w:p w14:paraId="68BD113E">
      <w:pPr>
        <w:spacing w:line="600" w:lineRule="exact"/>
        <w:jc w:val="center"/>
        <w:outlineLvl w:val="0"/>
        <w:rPr>
          <w:rStyle w:val="24"/>
          <w:rFonts w:hint="eastAsia" w:ascii="黑体" w:hAnsi="黑体" w:eastAsia="黑体"/>
          <w:b w:val="0"/>
        </w:rPr>
      </w:pPr>
    </w:p>
    <w:p w14:paraId="384B793A">
      <w:pPr>
        <w:spacing w:line="600" w:lineRule="exact"/>
        <w:jc w:val="center"/>
        <w:outlineLvl w:val="0"/>
        <w:rPr>
          <w:rStyle w:val="24"/>
          <w:rFonts w:hint="eastAsia" w:ascii="黑体" w:hAnsi="黑体" w:eastAsia="黑体"/>
          <w:b w:val="0"/>
        </w:rPr>
      </w:pPr>
    </w:p>
    <w:p w14:paraId="427669A8">
      <w:pPr>
        <w:spacing w:line="600" w:lineRule="exact"/>
        <w:jc w:val="center"/>
        <w:outlineLvl w:val="0"/>
        <w:rPr>
          <w:rStyle w:val="24"/>
          <w:rFonts w:hint="eastAsia" w:ascii="黑体" w:hAnsi="黑体" w:eastAsia="黑体"/>
          <w:b w:val="0"/>
        </w:rPr>
      </w:pPr>
    </w:p>
    <w:tbl>
      <w:tblPr>
        <w:tblStyle w:val="12"/>
        <w:tblW w:w="13435" w:type="dxa"/>
        <w:tblInd w:w="96" w:type="dxa"/>
        <w:tblLayout w:type="autofit"/>
        <w:tblCellMar>
          <w:top w:w="0" w:type="dxa"/>
          <w:left w:w="108" w:type="dxa"/>
          <w:bottom w:w="0" w:type="dxa"/>
          <w:right w:w="108" w:type="dxa"/>
        </w:tblCellMar>
      </w:tblPr>
      <w:tblGrid>
        <w:gridCol w:w="621"/>
        <w:gridCol w:w="1841"/>
        <w:gridCol w:w="1586"/>
        <w:gridCol w:w="2029"/>
        <w:gridCol w:w="473"/>
        <w:gridCol w:w="1504"/>
        <w:gridCol w:w="472"/>
        <w:gridCol w:w="985"/>
        <w:gridCol w:w="486"/>
        <w:gridCol w:w="405"/>
        <w:gridCol w:w="3033"/>
      </w:tblGrid>
      <w:tr w14:paraId="0F71F45C">
        <w:tblPrEx>
          <w:tblCellMar>
            <w:top w:w="0" w:type="dxa"/>
            <w:left w:w="108" w:type="dxa"/>
            <w:bottom w:w="0" w:type="dxa"/>
            <w:right w:w="108" w:type="dxa"/>
          </w:tblCellMar>
        </w:tblPrEx>
        <w:trPr>
          <w:trHeight w:val="409" w:hRule="atLeast"/>
        </w:trPr>
        <w:tc>
          <w:tcPr>
            <w:tcW w:w="6077" w:type="dxa"/>
            <w:gridSpan w:val="4"/>
            <w:tcBorders>
              <w:top w:val="nil"/>
              <w:left w:val="nil"/>
              <w:bottom w:val="nil"/>
              <w:right w:val="nil"/>
            </w:tcBorders>
            <w:shd w:val="clear" w:color="auto" w:fill="auto"/>
            <w:vAlign w:val="center"/>
          </w:tcPr>
          <w:p w14:paraId="53C025BA">
            <w:pPr>
              <w:widowControl/>
              <w:jc w:val="left"/>
              <w:textAlignment w:val="center"/>
              <w:rPr>
                <w:rFonts w:hint="eastAsia" w:ascii="宋体" w:hAnsi="宋体" w:cs="宋体"/>
                <w:color w:val="C0C0C0"/>
                <w:sz w:val="20"/>
                <w:szCs w:val="20"/>
              </w:rPr>
            </w:pPr>
            <w:r>
              <w:rPr>
                <w:rFonts w:ascii="宋体" w:hAnsi="宋体" w:cs="宋体"/>
                <w:color w:val="C0C0C0"/>
                <w:kern w:val="0"/>
                <w:sz w:val="20"/>
                <w:szCs w:val="20"/>
                <w:lang w:bidi="ar"/>
              </w:rPr>
              <w:t>报表编号：510000_0013zp</w:t>
            </w:r>
          </w:p>
        </w:tc>
        <w:tc>
          <w:tcPr>
            <w:tcW w:w="473" w:type="dxa"/>
            <w:tcBorders>
              <w:top w:val="nil"/>
              <w:left w:val="nil"/>
              <w:bottom w:val="nil"/>
              <w:right w:val="nil"/>
            </w:tcBorders>
            <w:shd w:val="clear" w:color="auto" w:fill="auto"/>
            <w:noWrap/>
            <w:vAlign w:val="center"/>
          </w:tcPr>
          <w:p w14:paraId="0D74264B">
            <w:pPr>
              <w:rPr>
                <w:rFonts w:hint="eastAsia" w:ascii="宋体" w:hAnsi="宋体" w:cs="宋体"/>
                <w:color w:val="000000"/>
                <w:sz w:val="22"/>
                <w:szCs w:val="22"/>
              </w:rPr>
            </w:pPr>
          </w:p>
        </w:tc>
        <w:tc>
          <w:tcPr>
            <w:tcW w:w="2961" w:type="dxa"/>
            <w:gridSpan w:val="3"/>
            <w:tcBorders>
              <w:top w:val="nil"/>
              <w:left w:val="nil"/>
              <w:bottom w:val="nil"/>
              <w:right w:val="nil"/>
            </w:tcBorders>
            <w:shd w:val="clear" w:color="auto" w:fill="auto"/>
            <w:vAlign w:val="center"/>
          </w:tcPr>
          <w:p w14:paraId="3BEDB6EE">
            <w:pPr>
              <w:rPr>
                <w:rFonts w:hint="eastAsia" w:ascii="宋体" w:hAnsi="宋体" w:cs="宋体"/>
                <w:color w:val="000000"/>
                <w:sz w:val="20"/>
                <w:szCs w:val="20"/>
              </w:rPr>
            </w:pPr>
          </w:p>
        </w:tc>
        <w:tc>
          <w:tcPr>
            <w:tcW w:w="486" w:type="dxa"/>
            <w:tcBorders>
              <w:top w:val="nil"/>
              <w:left w:val="nil"/>
              <w:bottom w:val="nil"/>
              <w:right w:val="nil"/>
            </w:tcBorders>
            <w:shd w:val="clear" w:color="auto" w:fill="auto"/>
            <w:noWrap/>
            <w:vAlign w:val="center"/>
          </w:tcPr>
          <w:p w14:paraId="298F9E55">
            <w:pPr>
              <w:rPr>
                <w:rFonts w:hint="eastAsia" w:ascii="宋体" w:hAnsi="宋体" w:cs="宋体"/>
                <w:color w:val="000000"/>
                <w:sz w:val="22"/>
                <w:szCs w:val="22"/>
              </w:rPr>
            </w:pPr>
          </w:p>
        </w:tc>
        <w:tc>
          <w:tcPr>
            <w:tcW w:w="405" w:type="dxa"/>
            <w:tcBorders>
              <w:top w:val="nil"/>
              <w:left w:val="nil"/>
              <w:bottom w:val="nil"/>
              <w:right w:val="nil"/>
            </w:tcBorders>
            <w:shd w:val="clear" w:color="auto" w:fill="auto"/>
            <w:noWrap/>
            <w:vAlign w:val="center"/>
          </w:tcPr>
          <w:p w14:paraId="05B9DC81">
            <w:pPr>
              <w:rPr>
                <w:rFonts w:hint="eastAsia" w:ascii="宋体" w:hAnsi="宋体" w:cs="宋体"/>
                <w:color w:val="000000"/>
                <w:sz w:val="22"/>
                <w:szCs w:val="22"/>
              </w:rPr>
            </w:pPr>
          </w:p>
        </w:tc>
        <w:tc>
          <w:tcPr>
            <w:tcW w:w="3033" w:type="dxa"/>
            <w:tcBorders>
              <w:top w:val="nil"/>
              <w:left w:val="nil"/>
              <w:bottom w:val="nil"/>
              <w:right w:val="nil"/>
            </w:tcBorders>
            <w:shd w:val="clear" w:color="auto" w:fill="auto"/>
            <w:noWrap/>
            <w:vAlign w:val="center"/>
          </w:tcPr>
          <w:p w14:paraId="464CE820">
            <w:pPr>
              <w:rPr>
                <w:rFonts w:hint="eastAsia" w:ascii="宋体" w:hAnsi="宋体" w:cs="宋体"/>
                <w:color w:val="000000"/>
                <w:sz w:val="22"/>
                <w:szCs w:val="22"/>
              </w:rPr>
            </w:pPr>
          </w:p>
        </w:tc>
      </w:tr>
      <w:tr w14:paraId="32AFE840">
        <w:tblPrEx>
          <w:tblCellMar>
            <w:top w:w="0" w:type="dxa"/>
            <w:left w:w="108" w:type="dxa"/>
            <w:bottom w:w="0" w:type="dxa"/>
            <w:right w:w="108" w:type="dxa"/>
          </w:tblCellMar>
        </w:tblPrEx>
        <w:trPr>
          <w:trHeight w:val="904" w:hRule="atLeast"/>
        </w:trPr>
        <w:tc>
          <w:tcPr>
            <w:tcW w:w="134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B83402">
            <w:pPr>
              <w:widowControl/>
              <w:jc w:val="center"/>
              <w:textAlignment w:val="center"/>
              <w:rPr>
                <w:rFonts w:hint="eastAsia"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76DA3B90">
        <w:tblPrEx>
          <w:tblCellMar>
            <w:top w:w="0" w:type="dxa"/>
            <w:left w:w="108" w:type="dxa"/>
            <w:bottom w:w="0" w:type="dxa"/>
            <w:right w:w="108" w:type="dxa"/>
          </w:tblCellMar>
        </w:tblPrEx>
        <w:trPr>
          <w:trHeight w:val="285" w:hRule="atLeast"/>
        </w:trPr>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DA995">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项目名称</w:t>
            </w:r>
          </w:p>
        </w:tc>
        <w:tc>
          <w:tcPr>
            <w:tcW w:w="109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70F73CD">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51172422T000005724244-营养餐</w:t>
            </w:r>
          </w:p>
        </w:tc>
      </w:tr>
      <w:tr w14:paraId="002DF27E">
        <w:tblPrEx>
          <w:tblCellMar>
            <w:top w:w="0" w:type="dxa"/>
            <w:left w:w="108" w:type="dxa"/>
            <w:bottom w:w="0" w:type="dxa"/>
            <w:right w:w="108" w:type="dxa"/>
          </w:tblCellMar>
        </w:tblPrEx>
        <w:trPr>
          <w:trHeight w:val="514" w:hRule="atLeast"/>
        </w:trPr>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BF714">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主管部门</w:t>
            </w:r>
          </w:p>
        </w:tc>
        <w:tc>
          <w:tcPr>
            <w:tcW w:w="60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B2862C">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大竹县高穴中学部门</w:t>
            </w:r>
          </w:p>
        </w:tc>
        <w:tc>
          <w:tcPr>
            <w:tcW w:w="985" w:type="dxa"/>
            <w:tcBorders>
              <w:top w:val="nil"/>
              <w:left w:val="nil"/>
              <w:bottom w:val="nil"/>
              <w:right w:val="nil"/>
            </w:tcBorders>
            <w:shd w:val="clear" w:color="auto" w:fill="auto"/>
            <w:vAlign w:val="center"/>
          </w:tcPr>
          <w:p w14:paraId="7DD1F988">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3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ED56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大竹县高穴中学</w:t>
            </w:r>
          </w:p>
        </w:tc>
      </w:tr>
      <w:tr w14:paraId="680B404A">
        <w:tblPrEx>
          <w:tblCellMar>
            <w:top w:w="0" w:type="dxa"/>
            <w:left w:w="108" w:type="dxa"/>
            <w:bottom w:w="0" w:type="dxa"/>
            <w:right w:w="108" w:type="dxa"/>
          </w:tblCellMar>
        </w:tblPrEx>
        <w:trPr>
          <w:trHeight w:val="285"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C7B0D">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项目基本情况</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9932A">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1.项目年度目标完成情况</w:t>
            </w:r>
          </w:p>
        </w:tc>
        <w:tc>
          <w:tcPr>
            <w:tcW w:w="60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1F9AA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项目年度目标</w:t>
            </w:r>
          </w:p>
        </w:tc>
        <w:tc>
          <w:tcPr>
            <w:tcW w:w="49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7C13AA">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1A236D8B">
        <w:tblPrEx>
          <w:tblCellMar>
            <w:top w:w="0" w:type="dxa"/>
            <w:left w:w="108" w:type="dxa"/>
            <w:bottom w:w="0" w:type="dxa"/>
            <w:right w:w="108" w:type="dxa"/>
          </w:tblCellMar>
        </w:tblPrEx>
        <w:trPr>
          <w:trHeight w:val="70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E476E">
            <w:pPr>
              <w:rPr>
                <w:rFonts w:hint="eastAsia" w:ascii="宋体" w:hAnsi="宋体" w:cs="宋体"/>
                <w:color w:val="000000"/>
                <w:sz w:val="18"/>
                <w:szCs w:val="18"/>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6F3B1">
            <w:pPr>
              <w:rPr>
                <w:rFonts w:hint="eastAsia" w:ascii="宋体" w:hAnsi="宋体" w:cs="宋体"/>
                <w:color w:val="000000"/>
                <w:sz w:val="18"/>
                <w:szCs w:val="18"/>
              </w:rPr>
            </w:pPr>
          </w:p>
        </w:tc>
        <w:tc>
          <w:tcPr>
            <w:tcW w:w="60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EFB800">
            <w:pPr>
              <w:rPr>
                <w:rFonts w:hint="eastAsia" w:ascii="宋体" w:hAnsi="宋体" w:cs="宋体"/>
                <w:color w:val="000000"/>
                <w:sz w:val="18"/>
                <w:szCs w:val="18"/>
              </w:rPr>
            </w:pPr>
            <w:r>
              <w:rPr>
                <w:rFonts w:ascii="宋体" w:hAnsi="宋体" w:cs="宋体"/>
                <w:color w:val="000000"/>
                <w:kern w:val="0"/>
                <w:sz w:val="18"/>
                <w:szCs w:val="18"/>
                <w:lang w:bidi="ar"/>
              </w:rPr>
              <w:t>严格执行相关政策，保障学生营养餐工作顺利实施，预算编制科学合理，减少结余资金</w:t>
            </w:r>
          </w:p>
        </w:tc>
        <w:tc>
          <w:tcPr>
            <w:tcW w:w="49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72A4A8">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严格执行相关政策，及时申请营养餐资金，并及时拨付到位。</w:t>
            </w:r>
          </w:p>
        </w:tc>
      </w:tr>
      <w:tr w14:paraId="53F87D97">
        <w:tblPrEx>
          <w:tblCellMar>
            <w:top w:w="0" w:type="dxa"/>
            <w:left w:w="108" w:type="dxa"/>
            <w:bottom w:w="0" w:type="dxa"/>
            <w:right w:w="108" w:type="dxa"/>
          </w:tblCellMar>
        </w:tblPrEx>
        <w:trPr>
          <w:trHeight w:val="694"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E1CED">
            <w:pP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891C">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109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50EF47">
            <w:pPr>
              <w:rPr>
                <w:rFonts w:hint="eastAsia" w:ascii="宋体" w:hAnsi="宋体" w:cs="宋体"/>
                <w:color w:val="000000"/>
                <w:sz w:val="18"/>
                <w:szCs w:val="18"/>
              </w:rPr>
            </w:pPr>
            <w:r>
              <w:rPr>
                <w:rFonts w:ascii="宋体" w:hAnsi="宋体" w:cs="宋体"/>
                <w:color w:val="000000"/>
                <w:kern w:val="0"/>
                <w:sz w:val="18"/>
                <w:szCs w:val="18"/>
                <w:lang w:bidi="ar"/>
              </w:rPr>
              <w:t>该资金全部用于学生营养餐支出，由单位向上级单位上报实际学生人数，财政按学生人数拨款，再由学校申请资金，拨付到食材供应商。</w:t>
            </w:r>
          </w:p>
        </w:tc>
      </w:tr>
      <w:tr w14:paraId="4A89E54A">
        <w:tblPrEx>
          <w:tblCellMar>
            <w:top w:w="0" w:type="dxa"/>
            <w:left w:w="108" w:type="dxa"/>
            <w:bottom w:w="0" w:type="dxa"/>
            <w:right w:w="108" w:type="dxa"/>
          </w:tblCellMar>
        </w:tblPrEx>
        <w:trPr>
          <w:trHeight w:val="360"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6DB0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预算执行情况（10分）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845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年度预算数（万元）</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C277">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年初预算</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264C">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调整后预算数</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C0DFE">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预算执行数</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C80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8174">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F3B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872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原因</w:t>
            </w:r>
          </w:p>
        </w:tc>
      </w:tr>
      <w:tr w14:paraId="6DADBDF9">
        <w:tblPrEx>
          <w:tblCellMar>
            <w:top w:w="0" w:type="dxa"/>
            <w:left w:w="108" w:type="dxa"/>
            <w:bottom w:w="0" w:type="dxa"/>
            <w:right w:w="108" w:type="dxa"/>
          </w:tblCellMar>
        </w:tblPrEx>
        <w:trPr>
          <w:trHeight w:val="34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E1BBB">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923A">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总额</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84DF">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5BFF">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15.22</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EBF83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14.90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20C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97.91%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96F4">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FEBB">
            <w:pPr>
              <w:jc w:val="center"/>
              <w:rPr>
                <w:rFonts w:hint="eastAsia" w:ascii="宋体" w:hAnsi="宋体" w:cs="宋体"/>
                <w:color w:val="000000"/>
                <w:sz w:val="18"/>
                <w:szCs w:val="18"/>
              </w:rPr>
            </w:pPr>
            <w:r>
              <w:rPr>
                <w:rFonts w:hint="eastAsia" w:ascii="宋体" w:hAnsi="宋体" w:cs="宋体"/>
                <w:color w:val="000000"/>
                <w:sz w:val="18"/>
                <w:szCs w:val="18"/>
              </w:rPr>
              <w:t>9</w:t>
            </w:r>
          </w:p>
        </w:tc>
        <w:tc>
          <w:tcPr>
            <w:tcW w:w="3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B41F3">
            <w:pPr>
              <w:widowControl/>
              <w:jc w:val="left"/>
              <w:textAlignment w:val="center"/>
              <w:rPr>
                <w:rFonts w:hint="eastAsia" w:ascii="黑体" w:hAnsi="黑体" w:eastAsia="黑体" w:cs="黑体"/>
                <w:i/>
                <w:iCs/>
                <w:color w:val="000000"/>
                <w:sz w:val="18"/>
                <w:szCs w:val="18"/>
              </w:rPr>
            </w:pPr>
            <w:r>
              <w:rPr>
                <w:rFonts w:hint="eastAsia" w:ascii="黑体" w:hAnsi="黑体" w:eastAsia="黑体" w:cs="黑体"/>
                <w:i/>
                <w:iCs/>
                <w:color w:val="000000"/>
                <w:kern w:val="0"/>
                <w:sz w:val="18"/>
                <w:szCs w:val="18"/>
                <w:lang w:bidi="ar"/>
              </w:rPr>
              <w:t>年初未预算，后追加预算。</w:t>
            </w:r>
          </w:p>
        </w:tc>
      </w:tr>
      <w:tr w14:paraId="44567220">
        <w:tblPrEx>
          <w:tblCellMar>
            <w:top w:w="0" w:type="dxa"/>
            <w:left w:w="108" w:type="dxa"/>
            <w:bottom w:w="0" w:type="dxa"/>
            <w:right w:w="108" w:type="dxa"/>
          </w:tblCellMar>
        </w:tblPrEx>
        <w:trPr>
          <w:trHeight w:val="39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DEA3A">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8BB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其中：财政资金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9A6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969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15.22</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3700E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14.90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A20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97.91%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563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18A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3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D947D">
            <w:pPr>
              <w:rPr>
                <w:rFonts w:hint="eastAsia" w:ascii="黑体" w:hAnsi="黑体" w:eastAsia="黑体" w:cs="黑体"/>
                <w:i/>
                <w:iCs/>
                <w:color w:val="000000"/>
                <w:sz w:val="18"/>
                <w:szCs w:val="18"/>
              </w:rPr>
            </w:pPr>
          </w:p>
        </w:tc>
      </w:tr>
      <w:tr w14:paraId="1338E0AE">
        <w:tblPrEx>
          <w:tblCellMar>
            <w:top w:w="0" w:type="dxa"/>
            <w:left w:w="108" w:type="dxa"/>
            <w:bottom w:w="0" w:type="dxa"/>
            <w:right w:w="108" w:type="dxa"/>
          </w:tblCellMar>
        </w:tblPrEx>
        <w:trPr>
          <w:trHeight w:val="40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51310">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13B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财政专户管理资金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670F">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8AA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97318F">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35AF">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424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977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3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FFC8F">
            <w:pPr>
              <w:rPr>
                <w:rFonts w:hint="eastAsia" w:ascii="黑体" w:hAnsi="黑体" w:eastAsia="黑体" w:cs="黑体"/>
                <w:i/>
                <w:iCs/>
                <w:color w:val="000000"/>
                <w:sz w:val="18"/>
                <w:szCs w:val="18"/>
              </w:rPr>
            </w:pPr>
          </w:p>
        </w:tc>
      </w:tr>
      <w:tr w14:paraId="4B5B4060">
        <w:tblPrEx>
          <w:tblCellMar>
            <w:top w:w="0" w:type="dxa"/>
            <w:left w:w="108" w:type="dxa"/>
            <w:bottom w:w="0" w:type="dxa"/>
            <w:right w:w="108" w:type="dxa"/>
          </w:tblCellMar>
        </w:tblPrEx>
        <w:trPr>
          <w:trHeight w:val="36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027E4">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FD8A">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单位资金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7B5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805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50A2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9E57">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221C">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4FF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3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C38C9">
            <w:pPr>
              <w:rPr>
                <w:rFonts w:hint="eastAsia" w:ascii="黑体" w:hAnsi="黑体" w:eastAsia="黑体" w:cs="黑体"/>
                <w:i/>
                <w:iCs/>
                <w:color w:val="000000"/>
                <w:sz w:val="18"/>
                <w:szCs w:val="18"/>
              </w:rPr>
            </w:pPr>
          </w:p>
        </w:tc>
      </w:tr>
      <w:tr w14:paraId="0957CBB9">
        <w:tblPrEx>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1760D">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75AA">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其他资金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C34A">
            <w:pPr>
              <w:jc w:val="center"/>
              <w:rPr>
                <w:rFonts w:hint="eastAsia" w:ascii="微软雅黑" w:hAnsi="微软雅黑" w:eastAsia="微软雅黑" w:cs="微软雅黑"/>
                <w:i/>
                <w:iCs/>
                <w:color w:val="000000"/>
                <w:sz w:val="16"/>
                <w:szCs w:val="16"/>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C120">
            <w:pPr>
              <w:jc w:val="center"/>
              <w:rPr>
                <w:rFonts w:hint="eastAsia" w:ascii="微软雅黑" w:hAnsi="微软雅黑" w:eastAsia="微软雅黑" w:cs="微软雅黑"/>
                <w:i/>
                <w:iCs/>
                <w:color w:val="000000"/>
                <w:sz w:val="16"/>
                <w:szCs w:val="16"/>
              </w:rPr>
            </w:pP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DE142">
            <w:pPr>
              <w:jc w:val="center"/>
              <w:rPr>
                <w:rFonts w:hint="eastAsia" w:ascii="微软雅黑" w:hAnsi="微软雅黑" w:eastAsia="微软雅黑" w:cs="微软雅黑"/>
                <w:i/>
                <w:iCs/>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8BC0">
            <w:pPr>
              <w:jc w:val="center"/>
              <w:rPr>
                <w:rFonts w:hint="eastAsia"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185E">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C34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3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7B781">
            <w:pPr>
              <w:rPr>
                <w:rFonts w:hint="eastAsia" w:ascii="黑体" w:hAnsi="黑体" w:eastAsia="黑体" w:cs="黑体"/>
                <w:i/>
                <w:iCs/>
                <w:color w:val="000000"/>
                <w:sz w:val="18"/>
                <w:szCs w:val="18"/>
              </w:rPr>
            </w:pPr>
          </w:p>
        </w:tc>
      </w:tr>
      <w:tr w14:paraId="07EE238A">
        <w:tblPrEx>
          <w:tblCellMar>
            <w:top w:w="0" w:type="dxa"/>
            <w:left w:w="108" w:type="dxa"/>
            <w:bottom w:w="0" w:type="dxa"/>
            <w:right w:w="108" w:type="dxa"/>
          </w:tblCellMar>
        </w:tblPrEx>
        <w:trPr>
          <w:trHeight w:val="454"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F356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绩效指标（90分）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597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一级指标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D21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二级指标</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886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BF8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指标性质</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E3DA">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指标值</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106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度量单位</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93D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772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B0B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3F8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未完成原因分析</w:t>
            </w:r>
          </w:p>
        </w:tc>
      </w:tr>
      <w:tr w14:paraId="028650B3">
        <w:tblPrEx>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61948">
            <w:pPr>
              <w:jc w:val="center"/>
              <w:rPr>
                <w:rFonts w:hint="eastAsia" w:ascii="宋体" w:hAnsi="宋体" w:cs="宋体"/>
                <w:color w:val="000000"/>
                <w:sz w:val="18"/>
                <w:szCs w:val="18"/>
              </w:rPr>
            </w:pPr>
          </w:p>
        </w:tc>
        <w:tc>
          <w:tcPr>
            <w:tcW w:w="1841" w:type="dxa"/>
            <w:vMerge w:val="restart"/>
            <w:tcBorders>
              <w:top w:val="single" w:color="000000" w:sz="4" w:space="0"/>
              <w:left w:val="single" w:color="000000" w:sz="4" w:space="0"/>
              <w:right w:val="single" w:color="000000" w:sz="4" w:space="0"/>
            </w:tcBorders>
            <w:shd w:val="clear" w:color="auto" w:fill="auto"/>
            <w:vAlign w:val="center"/>
          </w:tcPr>
          <w:p w14:paraId="1194C92F">
            <w:pPr>
              <w:jc w:val="center"/>
              <w:rPr>
                <w:rFonts w:hint="eastAsia" w:ascii="宋体" w:hAnsi="宋体" w:cs="宋体"/>
                <w:color w:val="000000"/>
                <w:sz w:val="18"/>
                <w:szCs w:val="18"/>
              </w:rPr>
            </w:pPr>
            <w:r>
              <w:rPr>
                <w:rFonts w:ascii="宋体" w:hAnsi="宋体" w:cs="宋体"/>
                <w:color w:val="000000"/>
                <w:kern w:val="0"/>
                <w:sz w:val="18"/>
                <w:szCs w:val="18"/>
                <w:lang w:bidi="ar"/>
              </w:rPr>
              <w:t>产出指标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C46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数量指标</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687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拨付率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BC6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A795">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F0DE">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6AA9">
            <w:pPr>
              <w:jc w:val="center"/>
              <w:rPr>
                <w:rFonts w:hint="eastAsia"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B287">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DCC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18</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A22C">
            <w:pPr>
              <w:jc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学生人数减少，支出减少。</w:t>
            </w:r>
          </w:p>
        </w:tc>
      </w:tr>
      <w:tr w14:paraId="4B988D3E">
        <w:tblPrEx>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286EA">
            <w:pPr>
              <w:jc w:val="center"/>
              <w:rPr>
                <w:rFonts w:hint="eastAsia" w:ascii="宋体" w:hAnsi="宋体" w:cs="宋体"/>
                <w:color w:val="000000"/>
                <w:sz w:val="18"/>
                <w:szCs w:val="18"/>
              </w:rPr>
            </w:pPr>
          </w:p>
        </w:tc>
        <w:tc>
          <w:tcPr>
            <w:tcW w:w="1841" w:type="dxa"/>
            <w:vMerge w:val="continue"/>
            <w:tcBorders>
              <w:left w:val="single" w:color="000000" w:sz="4" w:space="0"/>
              <w:right w:val="single" w:color="000000" w:sz="4" w:space="0"/>
            </w:tcBorders>
            <w:shd w:val="clear" w:color="auto" w:fill="auto"/>
            <w:vAlign w:val="center"/>
          </w:tcPr>
          <w:p w14:paraId="288EBF70">
            <w:pPr>
              <w:jc w:val="center"/>
              <w:rPr>
                <w:rFonts w:hint="eastAsia" w:ascii="宋体" w:hAnsi="宋体" w:cs="宋体"/>
                <w:color w:val="000000"/>
                <w:sz w:val="18"/>
                <w:szCs w:val="18"/>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02FC">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质量指标</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221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及时足额拨付</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7E95">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定性</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285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高中低</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8884">
            <w:pPr>
              <w:jc w:val="center"/>
              <w:rPr>
                <w:rFonts w:hint="eastAsia" w:ascii="宋体" w:hAnsi="宋体" w:cs="宋体"/>
                <w:color w:val="000000"/>
                <w:sz w:val="18"/>
                <w:szCs w:val="18"/>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13E9">
            <w:pPr>
              <w:jc w:val="center"/>
              <w:rPr>
                <w:rFonts w:hint="eastAsia"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90F5">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F38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20</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4FF1">
            <w:pPr>
              <w:jc w:val="center"/>
              <w:rPr>
                <w:rFonts w:hint="eastAsia" w:ascii="微软雅黑" w:hAnsi="微软雅黑" w:eastAsia="微软雅黑" w:cs="微软雅黑"/>
                <w:i/>
                <w:iCs/>
                <w:color w:val="000000"/>
                <w:sz w:val="16"/>
                <w:szCs w:val="16"/>
              </w:rPr>
            </w:pPr>
          </w:p>
        </w:tc>
      </w:tr>
      <w:tr w14:paraId="1574DFBC">
        <w:tblPrEx>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F624F">
            <w:pPr>
              <w:jc w:val="center"/>
              <w:rPr>
                <w:rFonts w:hint="eastAsia" w:ascii="宋体" w:hAnsi="宋体" w:cs="宋体"/>
                <w:color w:val="000000"/>
                <w:sz w:val="18"/>
                <w:szCs w:val="18"/>
              </w:rPr>
            </w:pPr>
          </w:p>
        </w:tc>
        <w:tc>
          <w:tcPr>
            <w:tcW w:w="1841" w:type="dxa"/>
            <w:vMerge w:val="continue"/>
            <w:tcBorders>
              <w:left w:val="single" w:color="000000" w:sz="4" w:space="0"/>
              <w:bottom w:val="single" w:color="000000" w:sz="4" w:space="0"/>
              <w:right w:val="single" w:color="000000" w:sz="4" w:space="0"/>
            </w:tcBorders>
            <w:shd w:val="clear" w:color="auto" w:fill="auto"/>
            <w:vAlign w:val="center"/>
          </w:tcPr>
          <w:p w14:paraId="6A1B41EB">
            <w:pPr>
              <w:jc w:val="center"/>
              <w:rPr>
                <w:rFonts w:hint="eastAsia" w:ascii="宋体" w:hAnsi="宋体" w:cs="宋体"/>
                <w:color w:val="000000"/>
                <w:sz w:val="18"/>
                <w:szCs w:val="18"/>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D0AE">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时效指标</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63C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项目实施时限</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78F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EFE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4085">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1DF6">
            <w:pPr>
              <w:jc w:val="center"/>
              <w:rPr>
                <w:rFonts w:hint="eastAsia"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329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DA7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CF62">
            <w:pPr>
              <w:jc w:val="center"/>
              <w:rPr>
                <w:rFonts w:hint="eastAsia" w:ascii="微软雅黑" w:hAnsi="微软雅黑" w:eastAsia="微软雅黑" w:cs="微软雅黑"/>
                <w:i/>
                <w:iCs/>
                <w:color w:val="000000"/>
                <w:sz w:val="16"/>
                <w:szCs w:val="16"/>
              </w:rPr>
            </w:pPr>
          </w:p>
        </w:tc>
      </w:tr>
      <w:tr w14:paraId="5783599E">
        <w:tblPrEx>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7EFF6">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80D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效益指标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9517">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社会效益指标</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7D2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减轻学生家庭负担</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2D4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定性</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4DD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高中低</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28EB">
            <w:pPr>
              <w:jc w:val="center"/>
              <w:rPr>
                <w:rFonts w:hint="eastAsia" w:ascii="宋体" w:hAnsi="宋体" w:cs="宋体"/>
                <w:color w:val="000000"/>
                <w:sz w:val="18"/>
                <w:szCs w:val="18"/>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83DC">
            <w:pPr>
              <w:jc w:val="center"/>
              <w:rPr>
                <w:rFonts w:hint="eastAsia"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432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30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D37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30</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1FDE">
            <w:pPr>
              <w:jc w:val="center"/>
              <w:rPr>
                <w:rFonts w:hint="eastAsia" w:ascii="微软雅黑" w:hAnsi="微软雅黑" w:eastAsia="微软雅黑" w:cs="微软雅黑"/>
                <w:i/>
                <w:iCs/>
                <w:color w:val="000000"/>
                <w:sz w:val="16"/>
                <w:szCs w:val="16"/>
              </w:rPr>
            </w:pPr>
          </w:p>
        </w:tc>
      </w:tr>
      <w:tr w14:paraId="1E310716">
        <w:tblPrEx>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1F7A9">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F27F">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满意度指标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E5C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服务对象满意度指标</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DB14">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学生、家长、社会满意度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706C">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B72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95</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22F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22A2">
            <w:pPr>
              <w:jc w:val="center"/>
              <w:rPr>
                <w:rFonts w:hint="eastAsia"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8BB4">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2C9E">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7406">
            <w:pPr>
              <w:jc w:val="center"/>
              <w:rPr>
                <w:rFonts w:hint="eastAsia" w:ascii="微软雅黑" w:hAnsi="微软雅黑" w:eastAsia="微软雅黑" w:cs="微软雅黑"/>
                <w:i/>
                <w:iCs/>
                <w:color w:val="000000"/>
                <w:sz w:val="16"/>
                <w:szCs w:val="16"/>
              </w:rPr>
            </w:pPr>
          </w:p>
        </w:tc>
      </w:tr>
      <w:tr w14:paraId="604BEC2F">
        <w:tblPrEx>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9A90A">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BA7F">
            <w:pPr>
              <w:jc w:val="center"/>
              <w:rPr>
                <w:rFonts w:hint="eastAsia" w:ascii="宋体" w:hAnsi="宋体" w:cs="宋体"/>
                <w:color w:val="000000"/>
                <w:sz w:val="18"/>
                <w:szCs w:val="18"/>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A07C">
            <w:pPr>
              <w:jc w:val="center"/>
              <w:rPr>
                <w:rFonts w:hint="eastAsia" w:ascii="宋体" w:hAnsi="宋体" w:cs="宋体"/>
                <w:color w:val="000000"/>
                <w:sz w:val="18"/>
                <w:szCs w:val="18"/>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82C0">
            <w:pPr>
              <w:jc w:val="center"/>
              <w:rPr>
                <w:rFonts w:hint="eastAsia" w:ascii="宋体" w:hAnsi="宋体" w:cs="宋体"/>
                <w:color w:val="000000"/>
                <w:sz w:val="18"/>
                <w:szCs w:val="18"/>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C116">
            <w:pPr>
              <w:jc w:val="center"/>
              <w:rPr>
                <w:rFonts w:hint="eastAsia" w:ascii="宋体" w:hAnsi="宋体" w:cs="宋体"/>
                <w:color w:val="000000"/>
                <w:sz w:val="18"/>
                <w:szCs w:val="18"/>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51D2">
            <w:pPr>
              <w:jc w:val="center"/>
              <w:rPr>
                <w:rFonts w:hint="eastAsia" w:ascii="宋体" w:hAnsi="宋体" w:cs="宋体"/>
                <w:color w:val="000000"/>
                <w:sz w:val="18"/>
                <w:szCs w:val="18"/>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9D2F">
            <w:pPr>
              <w:jc w:val="center"/>
              <w:rPr>
                <w:rFonts w:hint="eastAsia" w:ascii="宋体" w:hAnsi="宋体" w:cs="宋体"/>
                <w:color w:val="000000"/>
                <w:sz w:val="18"/>
                <w:szCs w:val="18"/>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013F">
            <w:pPr>
              <w:jc w:val="center"/>
              <w:rPr>
                <w:rFonts w:hint="eastAsia"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B151">
            <w:pPr>
              <w:jc w:val="center"/>
              <w:rPr>
                <w:rFonts w:hint="eastAsia" w:ascii="宋体" w:hAnsi="宋体" w:cs="宋体"/>
                <w:color w:val="000000"/>
                <w:sz w:val="18"/>
                <w:szCs w:val="18"/>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4BB0">
            <w:pPr>
              <w:jc w:val="center"/>
              <w:rPr>
                <w:rFonts w:hint="eastAsia" w:ascii="宋体" w:hAnsi="宋体" w:cs="宋体"/>
                <w:color w:val="000000"/>
                <w:sz w:val="18"/>
                <w:szCs w:val="18"/>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81EA">
            <w:pPr>
              <w:jc w:val="center"/>
              <w:rPr>
                <w:rFonts w:hint="eastAsia" w:ascii="微软雅黑" w:hAnsi="微软雅黑" w:eastAsia="微软雅黑" w:cs="微软雅黑"/>
                <w:i/>
                <w:iCs/>
                <w:color w:val="000000"/>
                <w:sz w:val="16"/>
                <w:szCs w:val="16"/>
              </w:rPr>
            </w:pPr>
          </w:p>
        </w:tc>
      </w:tr>
      <w:tr w14:paraId="42821686">
        <w:tblPrEx>
          <w:tblCellMar>
            <w:top w:w="0" w:type="dxa"/>
            <w:left w:w="108" w:type="dxa"/>
            <w:bottom w:w="0" w:type="dxa"/>
            <w:right w:w="108" w:type="dxa"/>
          </w:tblCellMar>
        </w:tblPrEx>
        <w:trPr>
          <w:trHeight w:val="285" w:hRule="atLeast"/>
        </w:trPr>
        <w:tc>
          <w:tcPr>
            <w:tcW w:w="95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B0C2C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483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9D2F">
            <w:pPr>
              <w:rPr>
                <w:rFonts w:hint="eastAsia" w:ascii="宋体" w:hAnsi="宋体" w:cs="宋体"/>
                <w:color w:val="000000"/>
                <w:sz w:val="18"/>
                <w:szCs w:val="18"/>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CBD3">
            <w:pPr>
              <w:rPr>
                <w:rFonts w:hint="eastAsia" w:ascii="宋体" w:hAnsi="宋体" w:cs="宋体"/>
                <w:color w:val="000000"/>
                <w:sz w:val="18"/>
                <w:szCs w:val="18"/>
              </w:rPr>
            </w:pPr>
          </w:p>
        </w:tc>
      </w:tr>
      <w:tr w14:paraId="57C2E7D8">
        <w:tblPrEx>
          <w:tblCellMar>
            <w:top w:w="0" w:type="dxa"/>
            <w:left w:w="108" w:type="dxa"/>
            <w:bottom w:w="0" w:type="dxa"/>
            <w:right w:w="108" w:type="dxa"/>
          </w:tblCellMar>
        </w:tblPrEx>
        <w:trPr>
          <w:trHeight w:val="60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E75A">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评价结论</w:t>
            </w:r>
          </w:p>
        </w:tc>
        <w:tc>
          <w:tcPr>
            <w:tcW w:w="12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0624EA">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项目自评总分达到97分，表明项目实施取得了良好的成效。通过实施，项目达到了预期目标，解决了实际问题，取得了显著成果。</w:t>
            </w:r>
          </w:p>
        </w:tc>
      </w:tr>
      <w:tr w14:paraId="286C8FBE">
        <w:tblPrEx>
          <w:tblCellMar>
            <w:top w:w="0" w:type="dxa"/>
            <w:left w:w="108" w:type="dxa"/>
            <w:bottom w:w="0" w:type="dxa"/>
            <w:right w:w="108" w:type="dxa"/>
          </w:tblCellMar>
        </w:tblPrEx>
        <w:trPr>
          <w:trHeight w:val="57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2434">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存在问题</w:t>
            </w:r>
          </w:p>
        </w:tc>
        <w:tc>
          <w:tcPr>
            <w:tcW w:w="12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8ADDD1">
            <w:pPr>
              <w:widowControl/>
              <w:jc w:val="left"/>
              <w:textAlignment w:val="center"/>
              <w:rPr>
                <w:rFonts w:hint="eastAsia" w:ascii="微软雅黑" w:hAnsi="微软雅黑" w:eastAsia="微软雅黑" w:cs="微软雅黑"/>
                <w:i/>
                <w:iCs/>
                <w:color w:val="000000"/>
                <w:sz w:val="16"/>
                <w:szCs w:val="16"/>
              </w:rPr>
            </w:pPr>
          </w:p>
        </w:tc>
      </w:tr>
      <w:tr w14:paraId="6C616C6C">
        <w:tblPrEx>
          <w:tblCellMar>
            <w:top w:w="0" w:type="dxa"/>
            <w:left w:w="108" w:type="dxa"/>
            <w:bottom w:w="0" w:type="dxa"/>
            <w:right w:w="108" w:type="dxa"/>
          </w:tblCellMar>
        </w:tblPrEx>
        <w:trPr>
          <w:trHeight w:val="63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265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改进措施</w:t>
            </w:r>
          </w:p>
        </w:tc>
        <w:tc>
          <w:tcPr>
            <w:tcW w:w="12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71D768">
            <w:pPr>
              <w:widowControl/>
              <w:jc w:val="left"/>
              <w:textAlignment w:val="center"/>
              <w:rPr>
                <w:rFonts w:hint="eastAsia" w:ascii="微软雅黑" w:hAnsi="微软雅黑" w:eastAsia="微软雅黑" w:cs="微软雅黑"/>
                <w:i/>
                <w:iCs/>
                <w:color w:val="000000"/>
                <w:sz w:val="16"/>
                <w:szCs w:val="16"/>
              </w:rPr>
            </w:pPr>
          </w:p>
        </w:tc>
      </w:tr>
      <w:tr w14:paraId="2C4EC6F0">
        <w:tblPrEx>
          <w:tblCellMar>
            <w:top w:w="0" w:type="dxa"/>
            <w:left w:w="108" w:type="dxa"/>
            <w:bottom w:w="0" w:type="dxa"/>
            <w:right w:w="108" w:type="dxa"/>
          </w:tblCellMar>
        </w:tblPrEx>
        <w:trPr>
          <w:trHeight w:val="285" w:hRule="atLeast"/>
        </w:trPr>
        <w:tc>
          <w:tcPr>
            <w:tcW w:w="65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895B8D">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项目负责人：张华健</w:t>
            </w:r>
          </w:p>
        </w:tc>
        <w:tc>
          <w:tcPr>
            <w:tcW w:w="68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8A14DA">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财务负责人：吴小然</w:t>
            </w:r>
          </w:p>
        </w:tc>
      </w:tr>
      <w:tr w14:paraId="6E621A3C">
        <w:tblPrEx>
          <w:tblCellMar>
            <w:top w:w="0" w:type="dxa"/>
            <w:left w:w="108" w:type="dxa"/>
            <w:bottom w:w="0" w:type="dxa"/>
            <w:right w:w="108" w:type="dxa"/>
          </w:tblCellMar>
        </w:tblPrEx>
        <w:trPr>
          <w:trHeight w:val="285" w:hRule="atLeast"/>
        </w:trPr>
        <w:tc>
          <w:tcPr>
            <w:tcW w:w="621" w:type="dxa"/>
            <w:tcBorders>
              <w:top w:val="nil"/>
              <w:left w:val="nil"/>
              <w:bottom w:val="nil"/>
              <w:right w:val="nil"/>
            </w:tcBorders>
            <w:shd w:val="clear" w:color="auto" w:fill="auto"/>
            <w:vAlign w:val="center"/>
          </w:tcPr>
          <w:p w14:paraId="6532B390">
            <w:pPr>
              <w:rPr>
                <w:rFonts w:hint="eastAsia" w:ascii="宋体" w:hAnsi="宋体" w:cs="宋体"/>
                <w:color w:val="000000"/>
                <w:sz w:val="18"/>
                <w:szCs w:val="18"/>
              </w:rPr>
            </w:pPr>
          </w:p>
        </w:tc>
        <w:tc>
          <w:tcPr>
            <w:tcW w:w="1841" w:type="dxa"/>
            <w:tcBorders>
              <w:top w:val="nil"/>
              <w:left w:val="nil"/>
              <w:bottom w:val="nil"/>
              <w:right w:val="nil"/>
            </w:tcBorders>
            <w:shd w:val="clear" w:color="auto" w:fill="auto"/>
            <w:vAlign w:val="center"/>
          </w:tcPr>
          <w:p w14:paraId="651F7500">
            <w:pPr>
              <w:rPr>
                <w:rFonts w:hint="eastAsia" w:ascii="宋体" w:hAnsi="宋体" w:cs="宋体"/>
                <w:color w:val="000000"/>
                <w:sz w:val="18"/>
                <w:szCs w:val="18"/>
              </w:rPr>
            </w:pPr>
          </w:p>
        </w:tc>
        <w:tc>
          <w:tcPr>
            <w:tcW w:w="1586" w:type="dxa"/>
            <w:tcBorders>
              <w:top w:val="nil"/>
              <w:left w:val="nil"/>
              <w:bottom w:val="nil"/>
              <w:right w:val="nil"/>
            </w:tcBorders>
            <w:shd w:val="clear" w:color="auto" w:fill="auto"/>
            <w:vAlign w:val="center"/>
          </w:tcPr>
          <w:p w14:paraId="02D86B1A">
            <w:pPr>
              <w:rPr>
                <w:rFonts w:hint="eastAsia" w:ascii="宋体" w:hAnsi="宋体" w:cs="宋体"/>
                <w:color w:val="000000"/>
                <w:sz w:val="18"/>
                <w:szCs w:val="18"/>
              </w:rPr>
            </w:pPr>
          </w:p>
        </w:tc>
        <w:tc>
          <w:tcPr>
            <w:tcW w:w="2029" w:type="dxa"/>
            <w:tcBorders>
              <w:top w:val="nil"/>
              <w:left w:val="nil"/>
              <w:bottom w:val="nil"/>
              <w:right w:val="nil"/>
            </w:tcBorders>
            <w:shd w:val="clear" w:color="auto" w:fill="auto"/>
            <w:vAlign w:val="center"/>
          </w:tcPr>
          <w:p w14:paraId="43917FB7">
            <w:pPr>
              <w:rPr>
                <w:rFonts w:hint="eastAsia" w:ascii="宋体" w:hAnsi="宋体" w:cs="宋体"/>
                <w:color w:val="000000"/>
                <w:sz w:val="18"/>
                <w:szCs w:val="18"/>
              </w:rPr>
            </w:pPr>
          </w:p>
        </w:tc>
        <w:tc>
          <w:tcPr>
            <w:tcW w:w="473" w:type="dxa"/>
            <w:tcBorders>
              <w:top w:val="nil"/>
              <w:left w:val="nil"/>
              <w:bottom w:val="nil"/>
              <w:right w:val="nil"/>
            </w:tcBorders>
            <w:shd w:val="clear" w:color="auto" w:fill="auto"/>
            <w:vAlign w:val="center"/>
          </w:tcPr>
          <w:p w14:paraId="3FDD5CF6">
            <w:pPr>
              <w:rPr>
                <w:rFonts w:hint="eastAsia" w:ascii="宋体" w:hAnsi="宋体" w:cs="宋体"/>
                <w:color w:val="000000"/>
                <w:sz w:val="18"/>
                <w:szCs w:val="18"/>
              </w:rPr>
            </w:pPr>
          </w:p>
        </w:tc>
        <w:tc>
          <w:tcPr>
            <w:tcW w:w="1504" w:type="dxa"/>
            <w:tcBorders>
              <w:top w:val="nil"/>
              <w:left w:val="nil"/>
              <w:bottom w:val="nil"/>
              <w:right w:val="nil"/>
            </w:tcBorders>
            <w:shd w:val="clear" w:color="auto" w:fill="auto"/>
            <w:vAlign w:val="center"/>
          </w:tcPr>
          <w:p w14:paraId="2A440CCE">
            <w:pPr>
              <w:rPr>
                <w:rFonts w:hint="eastAsia" w:ascii="宋体" w:hAnsi="宋体" w:cs="宋体"/>
                <w:color w:val="000000"/>
                <w:sz w:val="18"/>
                <w:szCs w:val="18"/>
              </w:rPr>
            </w:pPr>
          </w:p>
        </w:tc>
        <w:tc>
          <w:tcPr>
            <w:tcW w:w="472" w:type="dxa"/>
            <w:tcBorders>
              <w:top w:val="nil"/>
              <w:left w:val="nil"/>
              <w:bottom w:val="nil"/>
              <w:right w:val="nil"/>
            </w:tcBorders>
            <w:shd w:val="clear" w:color="auto" w:fill="auto"/>
            <w:vAlign w:val="center"/>
          </w:tcPr>
          <w:p w14:paraId="0FAC0099">
            <w:pPr>
              <w:rPr>
                <w:rFonts w:hint="eastAsia" w:ascii="宋体" w:hAnsi="宋体" w:cs="宋体"/>
                <w:color w:val="000000"/>
                <w:sz w:val="18"/>
                <w:szCs w:val="18"/>
              </w:rPr>
            </w:pPr>
          </w:p>
        </w:tc>
        <w:tc>
          <w:tcPr>
            <w:tcW w:w="985" w:type="dxa"/>
            <w:tcBorders>
              <w:top w:val="nil"/>
              <w:left w:val="nil"/>
              <w:bottom w:val="nil"/>
              <w:right w:val="nil"/>
            </w:tcBorders>
            <w:shd w:val="clear" w:color="auto" w:fill="auto"/>
            <w:vAlign w:val="center"/>
          </w:tcPr>
          <w:p w14:paraId="549FA52E">
            <w:pPr>
              <w:rPr>
                <w:rFonts w:hint="eastAsia" w:ascii="宋体" w:hAnsi="宋体" w:cs="宋体"/>
                <w:color w:val="000000"/>
                <w:sz w:val="18"/>
                <w:szCs w:val="18"/>
              </w:rPr>
            </w:pPr>
          </w:p>
        </w:tc>
        <w:tc>
          <w:tcPr>
            <w:tcW w:w="486" w:type="dxa"/>
            <w:tcBorders>
              <w:top w:val="nil"/>
              <w:left w:val="nil"/>
              <w:bottom w:val="nil"/>
              <w:right w:val="nil"/>
            </w:tcBorders>
            <w:shd w:val="clear" w:color="auto" w:fill="auto"/>
            <w:vAlign w:val="center"/>
          </w:tcPr>
          <w:p w14:paraId="0B90A703">
            <w:pPr>
              <w:rPr>
                <w:rFonts w:hint="eastAsia" w:ascii="宋体" w:hAnsi="宋体" w:cs="宋体"/>
                <w:color w:val="000000"/>
                <w:sz w:val="18"/>
                <w:szCs w:val="18"/>
              </w:rPr>
            </w:pPr>
          </w:p>
        </w:tc>
        <w:tc>
          <w:tcPr>
            <w:tcW w:w="405" w:type="dxa"/>
            <w:tcBorders>
              <w:top w:val="nil"/>
              <w:left w:val="nil"/>
              <w:bottom w:val="nil"/>
              <w:right w:val="nil"/>
            </w:tcBorders>
            <w:shd w:val="clear" w:color="auto" w:fill="auto"/>
            <w:vAlign w:val="center"/>
          </w:tcPr>
          <w:p w14:paraId="4763D4A3">
            <w:pPr>
              <w:rPr>
                <w:rFonts w:hint="eastAsia" w:ascii="宋体" w:hAnsi="宋体" w:cs="宋体"/>
                <w:color w:val="000000"/>
                <w:sz w:val="18"/>
                <w:szCs w:val="18"/>
              </w:rPr>
            </w:pPr>
          </w:p>
        </w:tc>
        <w:tc>
          <w:tcPr>
            <w:tcW w:w="3033" w:type="dxa"/>
            <w:tcBorders>
              <w:top w:val="nil"/>
              <w:left w:val="nil"/>
              <w:bottom w:val="nil"/>
              <w:right w:val="nil"/>
            </w:tcBorders>
            <w:shd w:val="clear" w:color="auto" w:fill="auto"/>
            <w:vAlign w:val="center"/>
          </w:tcPr>
          <w:p w14:paraId="5BE1540B">
            <w:pPr>
              <w:rPr>
                <w:rFonts w:hint="eastAsia" w:ascii="宋体" w:hAnsi="宋体" w:cs="宋体"/>
                <w:color w:val="000000"/>
                <w:sz w:val="18"/>
                <w:szCs w:val="18"/>
              </w:rPr>
            </w:pPr>
          </w:p>
        </w:tc>
      </w:tr>
      <w:tr w14:paraId="34863B48">
        <w:tblPrEx>
          <w:tblCellMar>
            <w:top w:w="0" w:type="dxa"/>
            <w:left w:w="108" w:type="dxa"/>
            <w:bottom w:w="0" w:type="dxa"/>
            <w:right w:w="108" w:type="dxa"/>
          </w:tblCellMar>
        </w:tblPrEx>
        <w:trPr>
          <w:trHeight w:val="904" w:hRule="atLeast"/>
        </w:trPr>
        <w:tc>
          <w:tcPr>
            <w:tcW w:w="134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9573BF">
            <w:pPr>
              <w:widowControl/>
              <w:jc w:val="center"/>
              <w:textAlignment w:val="center"/>
              <w:rPr>
                <w:rFonts w:hint="eastAsia"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0D1B1F5B">
        <w:tblPrEx>
          <w:tblCellMar>
            <w:top w:w="0" w:type="dxa"/>
            <w:left w:w="108" w:type="dxa"/>
            <w:bottom w:w="0" w:type="dxa"/>
            <w:right w:w="108" w:type="dxa"/>
          </w:tblCellMar>
        </w:tblPrEx>
        <w:trPr>
          <w:trHeight w:val="285" w:hRule="atLeast"/>
        </w:trPr>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D0B48">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项目名称</w:t>
            </w:r>
          </w:p>
        </w:tc>
        <w:tc>
          <w:tcPr>
            <w:tcW w:w="109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C67FA1">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51172422T000005832524-堡坎维修项目（存量）</w:t>
            </w:r>
          </w:p>
        </w:tc>
      </w:tr>
      <w:tr w14:paraId="4EE0DA3E">
        <w:tblPrEx>
          <w:tblCellMar>
            <w:top w:w="0" w:type="dxa"/>
            <w:left w:w="108" w:type="dxa"/>
            <w:bottom w:w="0" w:type="dxa"/>
            <w:right w:w="108" w:type="dxa"/>
          </w:tblCellMar>
        </w:tblPrEx>
        <w:trPr>
          <w:trHeight w:val="514" w:hRule="atLeast"/>
        </w:trPr>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E8DB2">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主管部门</w:t>
            </w:r>
          </w:p>
        </w:tc>
        <w:tc>
          <w:tcPr>
            <w:tcW w:w="60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DEC2E0">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大竹县高穴中学部门</w:t>
            </w:r>
          </w:p>
        </w:tc>
        <w:tc>
          <w:tcPr>
            <w:tcW w:w="985" w:type="dxa"/>
            <w:tcBorders>
              <w:top w:val="nil"/>
              <w:left w:val="nil"/>
              <w:bottom w:val="nil"/>
              <w:right w:val="nil"/>
            </w:tcBorders>
            <w:shd w:val="clear" w:color="auto" w:fill="auto"/>
            <w:vAlign w:val="center"/>
          </w:tcPr>
          <w:p w14:paraId="3BE6E3B7">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3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BAC33E">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大竹县高穴中学</w:t>
            </w:r>
          </w:p>
        </w:tc>
      </w:tr>
      <w:tr w14:paraId="11E37189">
        <w:tblPrEx>
          <w:tblCellMar>
            <w:top w:w="0" w:type="dxa"/>
            <w:left w:w="108" w:type="dxa"/>
            <w:bottom w:w="0" w:type="dxa"/>
            <w:right w:w="108" w:type="dxa"/>
          </w:tblCellMar>
        </w:tblPrEx>
        <w:trPr>
          <w:trHeight w:val="285"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1699F">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项目基本情况</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DBE38">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1.项目年度目标完成情况</w:t>
            </w:r>
          </w:p>
        </w:tc>
        <w:tc>
          <w:tcPr>
            <w:tcW w:w="60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D752CA">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项目年度目标</w:t>
            </w:r>
          </w:p>
        </w:tc>
        <w:tc>
          <w:tcPr>
            <w:tcW w:w="49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901786">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201B188B">
        <w:tblPrEx>
          <w:tblCellMar>
            <w:top w:w="0" w:type="dxa"/>
            <w:left w:w="108" w:type="dxa"/>
            <w:bottom w:w="0" w:type="dxa"/>
            <w:right w:w="108" w:type="dxa"/>
          </w:tblCellMar>
        </w:tblPrEx>
        <w:trPr>
          <w:trHeight w:val="70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74000">
            <w:pPr>
              <w:rPr>
                <w:rFonts w:hint="eastAsia" w:ascii="宋体" w:hAnsi="宋体" w:cs="宋体"/>
                <w:color w:val="000000"/>
                <w:sz w:val="18"/>
                <w:szCs w:val="18"/>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F38C9">
            <w:pPr>
              <w:rPr>
                <w:rFonts w:hint="eastAsia" w:ascii="宋体" w:hAnsi="宋体" w:cs="宋体"/>
                <w:color w:val="000000"/>
                <w:sz w:val="18"/>
                <w:szCs w:val="18"/>
              </w:rPr>
            </w:pPr>
          </w:p>
        </w:tc>
        <w:tc>
          <w:tcPr>
            <w:tcW w:w="60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22495D">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严格执行相关政策，保障校舍维修顺利实施，预算编制科学合理，减少结余资金</w:t>
            </w:r>
          </w:p>
        </w:tc>
        <w:tc>
          <w:tcPr>
            <w:tcW w:w="49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656686">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严格执行相关政策，保障校舍维修顺利实施。</w:t>
            </w:r>
          </w:p>
        </w:tc>
      </w:tr>
      <w:tr w14:paraId="2F5CEE7D">
        <w:tblPrEx>
          <w:tblCellMar>
            <w:top w:w="0" w:type="dxa"/>
            <w:left w:w="108" w:type="dxa"/>
            <w:bottom w:w="0" w:type="dxa"/>
            <w:right w:w="108" w:type="dxa"/>
          </w:tblCellMar>
        </w:tblPrEx>
        <w:trPr>
          <w:trHeight w:val="694"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95BB2">
            <w:pP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9548">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109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5EA7ED">
            <w:pPr>
              <w:rPr>
                <w:rFonts w:hint="eastAsia" w:ascii="宋体" w:hAnsi="宋体" w:cs="宋体"/>
                <w:color w:val="000000"/>
                <w:sz w:val="18"/>
                <w:szCs w:val="18"/>
              </w:rPr>
            </w:pPr>
            <w:r>
              <w:rPr>
                <w:rFonts w:ascii="宋体" w:hAnsi="宋体" w:cs="宋体"/>
                <w:color w:val="000000"/>
                <w:kern w:val="0"/>
                <w:sz w:val="18"/>
                <w:szCs w:val="18"/>
                <w:lang w:bidi="ar"/>
              </w:rPr>
              <w:t>该资金全部用于学校校舍维修改造，验收合格，并支付完成。</w:t>
            </w:r>
          </w:p>
        </w:tc>
      </w:tr>
      <w:tr w14:paraId="2BE35374">
        <w:tblPrEx>
          <w:tblCellMar>
            <w:top w:w="0" w:type="dxa"/>
            <w:left w:w="108" w:type="dxa"/>
            <w:bottom w:w="0" w:type="dxa"/>
            <w:right w:w="108" w:type="dxa"/>
          </w:tblCellMar>
        </w:tblPrEx>
        <w:trPr>
          <w:trHeight w:val="360"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5FE84">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预算执行情况（10分）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BDE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年度预算数（万元）</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50B7">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年初预算</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316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调整后预算数</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B44B7">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预算执行数</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FF4E">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14D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B30E">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CFD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原因</w:t>
            </w:r>
          </w:p>
        </w:tc>
      </w:tr>
      <w:tr w14:paraId="778855B4">
        <w:tblPrEx>
          <w:tblCellMar>
            <w:top w:w="0" w:type="dxa"/>
            <w:left w:w="108" w:type="dxa"/>
            <w:bottom w:w="0" w:type="dxa"/>
            <w:right w:w="108" w:type="dxa"/>
          </w:tblCellMar>
        </w:tblPrEx>
        <w:trPr>
          <w:trHeight w:val="34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54A67">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3347">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总额</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E6D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7FFF">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1.40</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592995">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1.40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321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703F">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F1F6">
            <w:pPr>
              <w:jc w:val="center"/>
              <w:rPr>
                <w:rFonts w:hint="eastAsia" w:ascii="宋体" w:hAnsi="宋体" w:cs="宋体"/>
                <w:color w:val="000000"/>
                <w:sz w:val="18"/>
                <w:szCs w:val="18"/>
              </w:rPr>
            </w:pPr>
            <w:r>
              <w:rPr>
                <w:rFonts w:hint="eastAsia" w:ascii="宋体" w:hAnsi="宋体" w:cs="宋体"/>
                <w:color w:val="000000"/>
                <w:sz w:val="18"/>
                <w:szCs w:val="18"/>
              </w:rPr>
              <w:t>10</w:t>
            </w:r>
          </w:p>
        </w:tc>
        <w:tc>
          <w:tcPr>
            <w:tcW w:w="3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B3260">
            <w:pPr>
              <w:widowControl/>
              <w:jc w:val="left"/>
              <w:textAlignment w:val="center"/>
              <w:rPr>
                <w:rFonts w:hint="eastAsia" w:ascii="黑体" w:hAnsi="黑体" w:eastAsia="黑体" w:cs="黑体"/>
                <w:i/>
                <w:iCs/>
                <w:color w:val="000000"/>
                <w:sz w:val="18"/>
                <w:szCs w:val="18"/>
              </w:rPr>
            </w:pPr>
            <w:r>
              <w:rPr>
                <w:rFonts w:hint="eastAsia" w:ascii="黑体" w:hAnsi="黑体" w:eastAsia="黑体" w:cs="宋体"/>
                <w:i/>
                <w:iCs/>
                <w:color w:val="000000"/>
                <w:sz w:val="18"/>
                <w:szCs w:val="18"/>
              </w:rPr>
              <w:t>　严格按预算使用</w:t>
            </w:r>
            <w:r>
              <w:rPr>
                <w:rFonts w:hint="eastAsia" w:ascii="黑体" w:hAnsi="黑体" w:eastAsia="黑体" w:cs="宋体"/>
                <w:color w:val="000000"/>
                <w:sz w:val="18"/>
                <w:szCs w:val="18"/>
              </w:rPr>
              <w:t>学校堡坎维修资金</w:t>
            </w:r>
          </w:p>
        </w:tc>
      </w:tr>
      <w:tr w14:paraId="58D31F5A">
        <w:tblPrEx>
          <w:tblCellMar>
            <w:top w:w="0" w:type="dxa"/>
            <w:left w:w="108" w:type="dxa"/>
            <w:bottom w:w="0" w:type="dxa"/>
            <w:right w:w="108" w:type="dxa"/>
          </w:tblCellMar>
        </w:tblPrEx>
        <w:trPr>
          <w:trHeight w:val="39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CC982">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687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其中：财政资金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F705">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3C3C">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1.40</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126CD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1.40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346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0E6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EA05">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3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AC924">
            <w:pPr>
              <w:rPr>
                <w:rFonts w:hint="eastAsia" w:ascii="黑体" w:hAnsi="黑体" w:eastAsia="黑体" w:cs="黑体"/>
                <w:i/>
                <w:iCs/>
                <w:color w:val="000000"/>
                <w:sz w:val="18"/>
                <w:szCs w:val="18"/>
              </w:rPr>
            </w:pPr>
          </w:p>
        </w:tc>
      </w:tr>
      <w:tr w14:paraId="55370EBF">
        <w:tblPrEx>
          <w:tblCellMar>
            <w:top w:w="0" w:type="dxa"/>
            <w:left w:w="108" w:type="dxa"/>
            <w:bottom w:w="0" w:type="dxa"/>
            <w:right w:w="108" w:type="dxa"/>
          </w:tblCellMar>
        </w:tblPrEx>
        <w:trPr>
          <w:trHeight w:val="40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69F28">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84BF">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财政专户管理资金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443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C27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9CDF3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4EF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61F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89D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3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39E91">
            <w:pPr>
              <w:rPr>
                <w:rFonts w:hint="eastAsia" w:ascii="黑体" w:hAnsi="黑体" w:eastAsia="黑体" w:cs="黑体"/>
                <w:i/>
                <w:iCs/>
                <w:color w:val="000000"/>
                <w:sz w:val="18"/>
                <w:szCs w:val="18"/>
              </w:rPr>
            </w:pPr>
          </w:p>
        </w:tc>
      </w:tr>
      <w:tr w14:paraId="728336A2">
        <w:tblPrEx>
          <w:tblCellMar>
            <w:top w:w="0" w:type="dxa"/>
            <w:left w:w="108" w:type="dxa"/>
            <w:bottom w:w="0" w:type="dxa"/>
            <w:right w:w="108" w:type="dxa"/>
          </w:tblCellMar>
        </w:tblPrEx>
        <w:trPr>
          <w:trHeight w:val="36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D88B5">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60FF">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单位资金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D6EE">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161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D61F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68D7">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D77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0ED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3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2AF7D">
            <w:pPr>
              <w:rPr>
                <w:rFonts w:hint="eastAsia" w:ascii="黑体" w:hAnsi="黑体" w:eastAsia="黑体" w:cs="黑体"/>
                <w:i/>
                <w:iCs/>
                <w:color w:val="000000"/>
                <w:sz w:val="18"/>
                <w:szCs w:val="18"/>
              </w:rPr>
            </w:pPr>
          </w:p>
        </w:tc>
      </w:tr>
      <w:tr w14:paraId="10E2F9BC">
        <w:tblPrEx>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3D818">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D24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其他资金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EB86">
            <w:pPr>
              <w:jc w:val="center"/>
              <w:rPr>
                <w:rFonts w:hint="eastAsia" w:ascii="微软雅黑" w:hAnsi="微软雅黑" w:eastAsia="微软雅黑" w:cs="微软雅黑"/>
                <w:i/>
                <w:iCs/>
                <w:color w:val="000000"/>
                <w:sz w:val="16"/>
                <w:szCs w:val="16"/>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4593">
            <w:pPr>
              <w:jc w:val="center"/>
              <w:rPr>
                <w:rFonts w:hint="eastAsia" w:ascii="微软雅黑" w:hAnsi="微软雅黑" w:eastAsia="微软雅黑" w:cs="微软雅黑"/>
                <w:i/>
                <w:iCs/>
                <w:color w:val="000000"/>
                <w:sz w:val="16"/>
                <w:szCs w:val="16"/>
              </w:rPr>
            </w:pP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206B3">
            <w:pPr>
              <w:jc w:val="center"/>
              <w:rPr>
                <w:rFonts w:hint="eastAsia" w:ascii="微软雅黑" w:hAnsi="微软雅黑" w:eastAsia="微软雅黑" w:cs="微软雅黑"/>
                <w:i/>
                <w:iCs/>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C2E4">
            <w:pPr>
              <w:jc w:val="center"/>
              <w:rPr>
                <w:rFonts w:hint="eastAsia"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71B4">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EE2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3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7B121">
            <w:pPr>
              <w:rPr>
                <w:rFonts w:hint="eastAsia" w:ascii="黑体" w:hAnsi="黑体" w:eastAsia="黑体" w:cs="黑体"/>
                <w:i/>
                <w:iCs/>
                <w:color w:val="000000"/>
                <w:sz w:val="18"/>
                <w:szCs w:val="18"/>
              </w:rPr>
            </w:pPr>
          </w:p>
        </w:tc>
      </w:tr>
      <w:tr w14:paraId="77F25DBB">
        <w:tblPrEx>
          <w:tblCellMar>
            <w:top w:w="0" w:type="dxa"/>
            <w:left w:w="108" w:type="dxa"/>
            <w:bottom w:w="0" w:type="dxa"/>
            <w:right w:w="108" w:type="dxa"/>
          </w:tblCellMar>
        </w:tblPrEx>
        <w:trPr>
          <w:trHeight w:val="454"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3645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绩效指标（90分）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E6B4">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一级指标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53BF">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二级指标</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7D6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FEE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指标性质</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D555">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指标值</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DE65">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度量单位</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8B3A">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154C">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EDBC">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1924">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未完成原因分析</w:t>
            </w:r>
          </w:p>
        </w:tc>
      </w:tr>
      <w:tr w14:paraId="4EA20B85">
        <w:tblPrEx>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2BF1A">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1F24">
            <w:pPr>
              <w:jc w:val="center"/>
              <w:rPr>
                <w:rFonts w:hint="eastAsia" w:ascii="宋体" w:hAnsi="宋体" w:cs="宋体"/>
                <w:color w:val="000000"/>
                <w:sz w:val="18"/>
                <w:szCs w:val="18"/>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619F">
            <w:pPr>
              <w:jc w:val="center"/>
              <w:rPr>
                <w:rFonts w:hint="eastAsia" w:ascii="宋体" w:hAnsi="宋体" w:cs="宋体"/>
                <w:color w:val="000000"/>
                <w:sz w:val="18"/>
                <w:szCs w:val="18"/>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FDC8">
            <w:pPr>
              <w:jc w:val="center"/>
              <w:rPr>
                <w:rFonts w:hint="eastAsia" w:ascii="宋体" w:hAnsi="宋体" w:cs="宋体"/>
                <w:color w:val="000000"/>
                <w:sz w:val="18"/>
                <w:szCs w:val="18"/>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C683">
            <w:pPr>
              <w:jc w:val="center"/>
              <w:rPr>
                <w:rFonts w:hint="eastAsia" w:ascii="宋体" w:hAnsi="宋体" w:cs="宋体"/>
                <w:color w:val="000000"/>
                <w:sz w:val="18"/>
                <w:szCs w:val="18"/>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55CD">
            <w:pPr>
              <w:jc w:val="center"/>
              <w:rPr>
                <w:rFonts w:hint="eastAsia" w:ascii="宋体" w:hAnsi="宋体" w:cs="宋体"/>
                <w:color w:val="000000"/>
                <w:sz w:val="18"/>
                <w:szCs w:val="18"/>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5484">
            <w:pPr>
              <w:jc w:val="center"/>
              <w:rPr>
                <w:rFonts w:hint="eastAsia" w:ascii="宋体" w:hAnsi="宋体" w:cs="宋体"/>
                <w:color w:val="000000"/>
                <w:sz w:val="18"/>
                <w:szCs w:val="18"/>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2AE3">
            <w:pPr>
              <w:jc w:val="center"/>
              <w:rPr>
                <w:rFonts w:hint="eastAsia"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25A0">
            <w:pPr>
              <w:jc w:val="center"/>
              <w:rPr>
                <w:rFonts w:hint="eastAsia" w:ascii="宋体" w:hAnsi="宋体" w:cs="宋体"/>
                <w:color w:val="000000"/>
                <w:sz w:val="18"/>
                <w:szCs w:val="18"/>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38D4">
            <w:pPr>
              <w:jc w:val="center"/>
              <w:rPr>
                <w:rFonts w:hint="eastAsia" w:ascii="宋体" w:hAnsi="宋体" w:cs="宋体"/>
                <w:color w:val="000000"/>
                <w:sz w:val="18"/>
                <w:szCs w:val="18"/>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DE5A">
            <w:pPr>
              <w:jc w:val="center"/>
              <w:rPr>
                <w:rFonts w:hint="eastAsia" w:ascii="微软雅黑" w:hAnsi="微软雅黑" w:eastAsia="微软雅黑" w:cs="微软雅黑"/>
                <w:i/>
                <w:iCs/>
                <w:color w:val="000000"/>
                <w:sz w:val="16"/>
                <w:szCs w:val="16"/>
              </w:rPr>
            </w:pPr>
          </w:p>
        </w:tc>
      </w:tr>
      <w:tr w14:paraId="1CC9A121">
        <w:tblPrEx>
          <w:tblCellMar>
            <w:top w:w="0" w:type="dxa"/>
            <w:left w:w="108" w:type="dxa"/>
            <w:bottom w:w="0" w:type="dxa"/>
            <w:right w:w="108" w:type="dxa"/>
          </w:tblCellMar>
        </w:tblPrEx>
        <w:trPr>
          <w:trHeight w:val="285" w:hRule="atLeast"/>
        </w:trPr>
        <w:tc>
          <w:tcPr>
            <w:tcW w:w="95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9A0CB94">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B39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DAD5">
            <w:pPr>
              <w:rPr>
                <w:rFonts w:hint="eastAsia" w:ascii="宋体" w:hAnsi="宋体" w:cs="宋体"/>
                <w:color w:val="000000"/>
                <w:sz w:val="18"/>
                <w:szCs w:val="18"/>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DB58">
            <w:pPr>
              <w:rPr>
                <w:rFonts w:hint="eastAsia" w:ascii="宋体" w:hAnsi="宋体" w:cs="宋体"/>
                <w:color w:val="000000"/>
                <w:sz w:val="18"/>
                <w:szCs w:val="18"/>
              </w:rPr>
            </w:pPr>
          </w:p>
        </w:tc>
      </w:tr>
      <w:tr w14:paraId="7A32B626">
        <w:tblPrEx>
          <w:tblCellMar>
            <w:top w:w="0" w:type="dxa"/>
            <w:left w:w="108" w:type="dxa"/>
            <w:bottom w:w="0" w:type="dxa"/>
            <w:right w:w="108" w:type="dxa"/>
          </w:tblCellMar>
        </w:tblPrEx>
        <w:trPr>
          <w:trHeight w:val="60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208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评价结论</w:t>
            </w:r>
          </w:p>
        </w:tc>
        <w:tc>
          <w:tcPr>
            <w:tcW w:w="12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E74444">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宋体"/>
                <w:color w:val="000000"/>
                <w:sz w:val="16"/>
                <w:szCs w:val="16"/>
              </w:rPr>
              <w:t>项目自评部分达到100分，通过实施项目达到预期目标，解决了实际问题，取得了显著成果。</w:t>
            </w:r>
          </w:p>
        </w:tc>
      </w:tr>
      <w:tr w14:paraId="7D3B3558">
        <w:tblPrEx>
          <w:tblCellMar>
            <w:top w:w="0" w:type="dxa"/>
            <w:left w:w="108" w:type="dxa"/>
            <w:bottom w:w="0" w:type="dxa"/>
            <w:right w:w="108" w:type="dxa"/>
          </w:tblCellMar>
        </w:tblPrEx>
        <w:trPr>
          <w:trHeight w:val="57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BAA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存在问题</w:t>
            </w:r>
          </w:p>
        </w:tc>
        <w:tc>
          <w:tcPr>
            <w:tcW w:w="12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3F7368">
            <w:pPr>
              <w:widowControl/>
              <w:jc w:val="left"/>
              <w:textAlignment w:val="center"/>
              <w:rPr>
                <w:rFonts w:hint="eastAsia" w:ascii="微软雅黑" w:hAnsi="微软雅黑" w:eastAsia="微软雅黑" w:cs="微软雅黑"/>
                <w:i/>
                <w:iCs/>
                <w:color w:val="000000"/>
                <w:sz w:val="16"/>
                <w:szCs w:val="16"/>
              </w:rPr>
            </w:pPr>
          </w:p>
        </w:tc>
      </w:tr>
      <w:tr w14:paraId="4C001121">
        <w:tblPrEx>
          <w:tblCellMar>
            <w:top w:w="0" w:type="dxa"/>
            <w:left w:w="108" w:type="dxa"/>
            <w:bottom w:w="0" w:type="dxa"/>
            <w:right w:w="108" w:type="dxa"/>
          </w:tblCellMar>
        </w:tblPrEx>
        <w:trPr>
          <w:trHeight w:val="63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65A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改进措施</w:t>
            </w:r>
          </w:p>
        </w:tc>
        <w:tc>
          <w:tcPr>
            <w:tcW w:w="12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99CAA5">
            <w:pPr>
              <w:widowControl/>
              <w:jc w:val="left"/>
              <w:textAlignment w:val="center"/>
              <w:rPr>
                <w:rFonts w:hint="eastAsia" w:ascii="微软雅黑" w:hAnsi="微软雅黑" w:eastAsia="微软雅黑" w:cs="微软雅黑"/>
                <w:i/>
                <w:iCs/>
                <w:color w:val="000000"/>
                <w:sz w:val="16"/>
                <w:szCs w:val="16"/>
              </w:rPr>
            </w:pPr>
          </w:p>
        </w:tc>
      </w:tr>
      <w:tr w14:paraId="71D7A283">
        <w:tblPrEx>
          <w:tblCellMar>
            <w:top w:w="0" w:type="dxa"/>
            <w:left w:w="108" w:type="dxa"/>
            <w:bottom w:w="0" w:type="dxa"/>
            <w:right w:w="108" w:type="dxa"/>
          </w:tblCellMar>
        </w:tblPrEx>
        <w:trPr>
          <w:trHeight w:val="285" w:hRule="atLeast"/>
        </w:trPr>
        <w:tc>
          <w:tcPr>
            <w:tcW w:w="65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9DFC20">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项目负责人：张华健</w:t>
            </w:r>
          </w:p>
        </w:tc>
        <w:tc>
          <w:tcPr>
            <w:tcW w:w="68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DE28FE">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财务负责人：吴小然</w:t>
            </w:r>
          </w:p>
        </w:tc>
      </w:tr>
      <w:tr w14:paraId="1E3380C4">
        <w:tblPrEx>
          <w:tblCellMar>
            <w:top w:w="0" w:type="dxa"/>
            <w:left w:w="108" w:type="dxa"/>
            <w:bottom w:w="0" w:type="dxa"/>
            <w:right w:w="108" w:type="dxa"/>
          </w:tblCellMar>
        </w:tblPrEx>
        <w:trPr>
          <w:trHeight w:val="285" w:hRule="atLeast"/>
        </w:trPr>
        <w:tc>
          <w:tcPr>
            <w:tcW w:w="621" w:type="dxa"/>
            <w:tcBorders>
              <w:top w:val="nil"/>
              <w:left w:val="nil"/>
              <w:bottom w:val="nil"/>
              <w:right w:val="nil"/>
            </w:tcBorders>
            <w:shd w:val="clear" w:color="auto" w:fill="auto"/>
            <w:vAlign w:val="center"/>
          </w:tcPr>
          <w:p w14:paraId="788280BC">
            <w:pPr>
              <w:rPr>
                <w:rFonts w:hint="eastAsia" w:ascii="宋体" w:hAnsi="宋体" w:cs="宋体"/>
                <w:color w:val="000000"/>
                <w:sz w:val="18"/>
                <w:szCs w:val="18"/>
              </w:rPr>
            </w:pPr>
          </w:p>
        </w:tc>
        <w:tc>
          <w:tcPr>
            <w:tcW w:w="1841" w:type="dxa"/>
            <w:tcBorders>
              <w:top w:val="nil"/>
              <w:left w:val="nil"/>
              <w:bottom w:val="nil"/>
              <w:right w:val="nil"/>
            </w:tcBorders>
            <w:shd w:val="clear" w:color="auto" w:fill="auto"/>
            <w:vAlign w:val="center"/>
          </w:tcPr>
          <w:p w14:paraId="4191A3F5">
            <w:pPr>
              <w:rPr>
                <w:rFonts w:hint="eastAsia" w:ascii="宋体" w:hAnsi="宋体" w:cs="宋体"/>
                <w:color w:val="000000"/>
                <w:sz w:val="18"/>
                <w:szCs w:val="18"/>
              </w:rPr>
            </w:pPr>
          </w:p>
        </w:tc>
        <w:tc>
          <w:tcPr>
            <w:tcW w:w="1586" w:type="dxa"/>
            <w:tcBorders>
              <w:top w:val="nil"/>
              <w:left w:val="nil"/>
              <w:bottom w:val="nil"/>
              <w:right w:val="nil"/>
            </w:tcBorders>
            <w:shd w:val="clear" w:color="auto" w:fill="auto"/>
            <w:vAlign w:val="center"/>
          </w:tcPr>
          <w:p w14:paraId="0B4BCAFE">
            <w:pPr>
              <w:rPr>
                <w:rFonts w:hint="eastAsia" w:ascii="宋体" w:hAnsi="宋体" w:cs="宋体"/>
                <w:color w:val="000000"/>
                <w:sz w:val="18"/>
                <w:szCs w:val="18"/>
              </w:rPr>
            </w:pPr>
          </w:p>
        </w:tc>
        <w:tc>
          <w:tcPr>
            <w:tcW w:w="2029" w:type="dxa"/>
            <w:tcBorders>
              <w:top w:val="nil"/>
              <w:left w:val="nil"/>
              <w:bottom w:val="nil"/>
              <w:right w:val="nil"/>
            </w:tcBorders>
            <w:shd w:val="clear" w:color="auto" w:fill="auto"/>
            <w:vAlign w:val="center"/>
          </w:tcPr>
          <w:p w14:paraId="75B735B5">
            <w:pPr>
              <w:rPr>
                <w:rFonts w:hint="eastAsia" w:ascii="宋体" w:hAnsi="宋体" w:cs="宋体"/>
                <w:color w:val="000000"/>
                <w:sz w:val="18"/>
                <w:szCs w:val="18"/>
              </w:rPr>
            </w:pPr>
          </w:p>
        </w:tc>
        <w:tc>
          <w:tcPr>
            <w:tcW w:w="473" w:type="dxa"/>
            <w:tcBorders>
              <w:top w:val="nil"/>
              <w:left w:val="nil"/>
              <w:bottom w:val="nil"/>
              <w:right w:val="nil"/>
            </w:tcBorders>
            <w:shd w:val="clear" w:color="auto" w:fill="auto"/>
            <w:vAlign w:val="center"/>
          </w:tcPr>
          <w:p w14:paraId="10944CE1">
            <w:pPr>
              <w:rPr>
                <w:rFonts w:hint="eastAsia" w:ascii="宋体" w:hAnsi="宋体" w:cs="宋体"/>
                <w:color w:val="000000"/>
                <w:sz w:val="18"/>
                <w:szCs w:val="18"/>
              </w:rPr>
            </w:pPr>
          </w:p>
        </w:tc>
        <w:tc>
          <w:tcPr>
            <w:tcW w:w="1504" w:type="dxa"/>
            <w:tcBorders>
              <w:top w:val="nil"/>
              <w:left w:val="nil"/>
              <w:bottom w:val="nil"/>
              <w:right w:val="nil"/>
            </w:tcBorders>
            <w:shd w:val="clear" w:color="auto" w:fill="auto"/>
            <w:vAlign w:val="center"/>
          </w:tcPr>
          <w:p w14:paraId="24560B69">
            <w:pPr>
              <w:rPr>
                <w:rFonts w:hint="eastAsia" w:ascii="宋体" w:hAnsi="宋体" w:cs="宋体"/>
                <w:color w:val="000000"/>
                <w:sz w:val="18"/>
                <w:szCs w:val="18"/>
              </w:rPr>
            </w:pPr>
          </w:p>
        </w:tc>
        <w:tc>
          <w:tcPr>
            <w:tcW w:w="472" w:type="dxa"/>
            <w:tcBorders>
              <w:top w:val="nil"/>
              <w:left w:val="nil"/>
              <w:bottom w:val="nil"/>
              <w:right w:val="nil"/>
            </w:tcBorders>
            <w:shd w:val="clear" w:color="auto" w:fill="auto"/>
            <w:vAlign w:val="center"/>
          </w:tcPr>
          <w:p w14:paraId="1400936A">
            <w:pPr>
              <w:rPr>
                <w:rFonts w:hint="eastAsia" w:ascii="宋体" w:hAnsi="宋体" w:cs="宋体"/>
                <w:color w:val="000000"/>
                <w:sz w:val="18"/>
                <w:szCs w:val="18"/>
              </w:rPr>
            </w:pPr>
          </w:p>
        </w:tc>
        <w:tc>
          <w:tcPr>
            <w:tcW w:w="985" w:type="dxa"/>
            <w:tcBorders>
              <w:top w:val="nil"/>
              <w:left w:val="nil"/>
              <w:bottom w:val="nil"/>
              <w:right w:val="nil"/>
            </w:tcBorders>
            <w:shd w:val="clear" w:color="auto" w:fill="auto"/>
            <w:vAlign w:val="center"/>
          </w:tcPr>
          <w:p w14:paraId="7523FBEE">
            <w:pPr>
              <w:rPr>
                <w:rFonts w:hint="eastAsia" w:ascii="宋体" w:hAnsi="宋体" w:cs="宋体"/>
                <w:color w:val="000000"/>
                <w:sz w:val="18"/>
                <w:szCs w:val="18"/>
              </w:rPr>
            </w:pPr>
          </w:p>
        </w:tc>
        <w:tc>
          <w:tcPr>
            <w:tcW w:w="486" w:type="dxa"/>
            <w:tcBorders>
              <w:top w:val="nil"/>
              <w:left w:val="nil"/>
              <w:bottom w:val="nil"/>
              <w:right w:val="nil"/>
            </w:tcBorders>
            <w:shd w:val="clear" w:color="auto" w:fill="auto"/>
            <w:vAlign w:val="center"/>
          </w:tcPr>
          <w:p w14:paraId="0084E309">
            <w:pPr>
              <w:rPr>
                <w:rFonts w:hint="eastAsia" w:ascii="宋体" w:hAnsi="宋体" w:cs="宋体"/>
                <w:color w:val="000000"/>
                <w:sz w:val="18"/>
                <w:szCs w:val="18"/>
              </w:rPr>
            </w:pPr>
          </w:p>
        </w:tc>
        <w:tc>
          <w:tcPr>
            <w:tcW w:w="405" w:type="dxa"/>
            <w:tcBorders>
              <w:top w:val="nil"/>
              <w:left w:val="nil"/>
              <w:bottom w:val="nil"/>
              <w:right w:val="nil"/>
            </w:tcBorders>
            <w:shd w:val="clear" w:color="auto" w:fill="auto"/>
            <w:vAlign w:val="center"/>
          </w:tcPr>
          <w:p w14:paraId="05067045">
            <w:pPr>
              <w:rPr>
                <w:rFonts w:hint="eastAsia" w:ascii="宋体" w:hAnsi="宋体" w:cs="宋体"/>
                <w:color w:val="000000"/>
                <w:sz w:val="18"/>
                <w:szCs w:val="18"/>
              </w:rPr>
            </w:pPr>
          </w:p>
        </w:tc>
        <w:tc>
          <w:tcPr>
            <w:tcW w:w="3033" w:type="dxa"/>
            <w:tcBorders>
              <w:top w:val="nil"/>
              <w:left w:val="nil"/>
              <w:bottom w:val="nil"/>
              <w:right w:val="nil"/>
            </w:tcBorders>
            <w:shd w:val="clear" w:color="auto" w:fill="auto"/>
            <w:vAlign w:val="center"/>
          </w:tcPr>
          <w:p w14:paraId="630DA9AF">
            <w:pPr>
              <w:rPr>
                <w:rFonts w:hint="eastAsia" w:ascii="宋体" w:hAnsi="宋体" w:cs="宋体"/>
                <w:color w:val="000000"/>
                <w:sz w:val="18"/>
                <w:szCs w:val="18"/>
              </w:rPr>
            </w:pPr>
          </w:p>
        </w:tc>
      </w:tr>
      <w:tr w14:paraId="7601F83F">
        <w:tblPrEx>
          <w:tblCellMar>
            <w:top w:w="0" w:type="dxa"/>
            <w:left w:w="108" w:type="dxa"/>
            <w:bottom w:w="0" w:type="dxa"/>
            <w:right w:w="108" w:type="dxa"/>
          </w:tblCellMar>
        </w:tblPrEx>
        <w:trPr>
          <w:trHeight w:val="904" w:hRule="atLeast"/>
        </w:trPr>
        <w:tc>
          <w:tcPr>
            <w:tcW w:w="134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DF9FCB">
            <w:pPr>
              <w:widowControl/>
              <w:jc w:val="center"/>
              <w:textAlignment w:val="center"/>
              <w:rPr>
                <w:rFonts w:hint="eastAsia"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07924A55">
        <w:tblPrEx>
          <w:tblCellMar>
            <w:top w:w="0" w:type="dxa"/>
            <w:left w:w="108" w:type="dxa"/>
            <w:bottom w:w="0" w:type="dxa"/>
            <w:right w:w="108" w:type="dxa"/>
          </w:tblCellMar>
        </w:tblPrEx>
        <w:trPr>
          <w:trHeight w:val="285" w:hRule="atLeast"/>
        </w:trPr>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D905B">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项目名称</w:t>
            </w:r>
          </w:p>
        </w:tc>
        <w:tc>
          <w:tcPr>
            <w:tcW w:w="109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B7DC7B">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51172422T000006711082-项目支出项目</w:t>
            </w:r>
          </w:p>
        </w:tc>
      </w:tr>
      <w:tr w14:paraId="50DCB992">
        <w:tblPrEx>
          <w:tblCellMar>
            <w:top w:w="0" w:type="dxa"/>
            <w:left w:w="108" w:type="dxa"/>
            <w:bottom w:w="0" w:type="dxa"/>
            <w:right w:w="108" w:type="dxa"/>
          </w:tblCellMar>
        </w:tblPrEx>
        <w:trPr>
          <w:trHeight w:val="514" w:hRule="atLeast"/>
        </w:trPr>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A44DF">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主管部门</w:t>
            </w:r>
          </w:p>
        </w:tc>
        <w:tc>
          <w:tcPr>
            <w:tcW w:w="60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70D602">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大竹县高穴中学部门</w:t>
            </w:r>
          </w:p>
        </w:tc>
        <w:tc>
          <w:tcPr>
            <w:tcW w:w="985" w:type="dxa"/>
            <w:tcBorders>
              <w:top w:val="nil"/>
              <w:left w:val="nil"/>
              <w:bottom w:val="nil"/>
              <w:right w:val="nil"/>
            </w:tcBorders>
            <w:shd w:val="clear" w:color="auto" w:fill="auto"/>
            <w:vAlign w:val="center"/>
          </w:tcPr>
          <w:p w14:paraId="63CEF100">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3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008AE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大竹县高穴中学</w:t>
            </w:r>
          </w:p>
        </w:tc>
      </w:tr>
      <w:tr w14:paraId="101BCD8A">
        <w:tblPrEx>
          <w:tblCellMar>
            <w:top w:w="0" w:type="dxa"/>
            <w:left w:w="108" w:type="dxa"/>
            <w:bottom w:w="0" w:type="dxa"/>
            <w:right w:w="108" w:type="dxa"/>
          </w:tblCellMar>
        </w:tblPrEx>
        <w:trPr>
          <w:trHeight w:val="285"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7FC17">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项目基本情况</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EE755">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1.项目年度目标完成情况</w:t>
            </w:r>
          </w:p>
        </w:tc>
        <w:tc>
          <w:tcPr>
            <w:tcW w:w="60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9D6DB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项目年度目标</w:t>
            </w:r>
          </w:p>
        </w:tc>
        <w:tc>
          <w:tcPr>
            <w:tcW w:w="49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86C40C">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318A3F2F">
        <w:tblPrEx>
          <w:tblCellMar>
            <w:top w:w="0" w:type="dxa"/>
            <w:left w:w="108" w:type="dxa"/>
            <w:bottom w:w="0" w:type="dxa"/>
            <w:right w:w="108" w:type="dxa"/>
          </w:tblCellMar>
        </w:tblPrEx>
        <w:trPr>
          <w:trHeight w:val="70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8DE0F">
            <w:pPr>
              <w:rPr>
                <w:rFonts w:hint="eastAsia" w:ascii="宋体" w:hAnsi="宋体" w:cs="宋体"/>
                <w:color w:val="000000"/>
                <w:sz w:val="18"/>
                <w:szCs w:val="18"/>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B9E66">
            <w:pPr>
              <w:rPr>
                <w:rFonts w:hint="eastAsia" w:ascii="宋体" w:hAnsi="宋体" w:cs="宋体"/>
                <w:color w:val="000000"/>
                <w:sz w:val="18"/>
                <w:szCs w:val="18"/>
              </w:rPr>
            </w:pPr>
          </w:p>
        </w:tc>
        <w:tc>
          <w:tcPr>
            <w:tcW w:w="60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D86453">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严格执行相关政策，保障校舍维修顺利实施，预算编制科学合理，减少结余资金</w:t>
            </w:r>
          </w:p>
        </w:tc>
        <w:tc>
          <w:tcPr>
            <w:tcW w:w="49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8DC9F9">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严格执行相关政策，保障校舍维修顺利实施。</w:t>
            </w:r>
          </w:p>
        </w:tc>
      </w:tr>
      <w:tr w14:paraId="57DED9F8">
        <w:tblPrEx>
          <w:tblCellMar>
            <w:top w:w="0" w:type="dxa"/>
            <w:left w:w="108" w:type="dxa"/>
            <w:bottom w:w="0" w:type="dxa"/>
            <w:right w:w="108" w:type="dxa"/>
          </w:tblCellMar>
        </w:tblPrEx>
        <w:trPr>
          <w:trHeight w:val="694"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6ACDE">
            <w:pP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7C5D">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109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A9F313">
            <w:pPr>
              <w:rPr>
                <w:rFonts w:hint="eastAsia" w:ascii="宋体" w:hAnsi="宋体" w:cs="宋体"/>
                <w:color w:val="000000"/>
                <w:sz w:val="18"/>
                <w:szCs w:val="18"/>
              </w:rPr>
            </w:pPr>
            <w:r>
              <w:rPr>
                <w:rFonts w:ascii="宋体" w:hAnsi="宋体" w:cs="宋体"/>
                <w:color w:val="000000"/>
                <w:kern w:val="0"/>
                <w:sz w:val="18"/>
                <w:szCs w:val="18"/>
                <w:lang w:bidi="ar"/>
              </w:rPr>
              <w:t>该资金全部用于学校校舍维修改造，验收合格，并支付完成。</w:t>
            </w:r>
          </w:p>
        </w:tc>
      </w:tr>
      <w:tr w14:paraId="3B63DE5C">
        <w:tblPrEx>
          <w:tblCellMar>
            <w:top w:w="0" w:type="dxa"/>
            <w:left w:w="108" w:type="dxa"/>
            <w:bottom w:w="0" w:type="dxa"/>
            <w:right w:w="108" w:type="dxa"/>
          </w:tblCellMar>
        </w:tblPrEx>
        <w:trPr>
          <w:trHeight w:val="360"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CF68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预算执行情况（10分）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876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年度预算数（万元）</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B657">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年初预算</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F05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调整后预算数</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F5E19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预算执行数</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8A5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F2F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15C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F6B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原因</w:t>
            </w:r>
          </w:p>
        </w:tc>
      </w:tr>
      <w:tr w14:paraId="6F0ECBDF">
        <w:tblPrEx>
          <w:tblCellMar>
            <w:top w:w="0" w:type="dxa"/>
            <w:left w:w="108" w:type="dxa"/>
            <w:bottom w:w="0" w:type="dxa"/>
            <w:right w:w="108" w:type="dxa"/>
          </w:tblCellMar>
        </w:tblPrEx>
        <w:trPr>
          <w:trHeight w:val="34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64525">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481F">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总额</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C97E">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15.00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D23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15.00</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499A5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15.00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E574">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465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6D96">
            <w:pPr>
              <w:jc w:val="center"/>
              <w:rPr>
                <w:rFonts w:hint="eastAsia" w:ascii="宋体" w:hAnsi="宋体" w:cs="宋体"/>
                <w:color w:val="000000"/>
                <w:sz w:val="18"/>
                <w:szCs w:val="18"/>
              </w:rPr>
            </w:pPr>
          </w:p>
        </w:tc>
        <w:tc>
          <w:tcPr>
            <w:tcW w:w="3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2FD5E">
            <w:pPr>
              <w:widowControl/>
              <w:jc w:val="left"/>
              <w:textAlignment w:val="center"/>
              <w:rPr>
                <w:rFonts w:hint="eastAsia" w:ascii="黑体" w:hAnsi="黑体" w:eastAsia="黑体" w:cs="黑体"/>
                <w:i/>
                <w:iCs/>
                <w:color w:val="000000"/>
                <w:sz w:val="18"/>
                <w:szCs w:val="18"/>
              </w:rPr>
            </w:pPr>
            <w:r>
              <w:rPr>
                <w:rFonts w:hint="eastAsia" w:ascii="黑体" w:hAnsi="黑体" w:eastAsia="黑体" w:cs="宋体"/>
                <w:color w:val="000000"/>
                <w:sz w:val="18"/>
                <w:szCs w:val="18"/>
              </w:rPr>
              <w:t>严格按预算使用学校围墙维修资金</w:t>
            </w:r>
          </w:p>
        </w:tc>
      </w:tr>
      <w:tr w14:paraId="6DF2EEA9">
        <w:tblPrEx>
          <w:tblCellMar>
            <w:top w:w="0" w:type="dxa"/>
            <w:left w:w="108" w:type="dxa"/>
            <w:bottom w:w="0" w:type="dxa"/>
            <w:right w:w="108" w:type="dxa"/>
          </w:tblCellMar>
        </w:tblPrEx>
        <w:trPr>
          <w:trHeight w:val="39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02A37">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51B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其中：财政资金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2CEE">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15.00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70B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15.00</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D4F68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15.00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191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C665">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D80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3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43505">
            <w:pPr>
              <w:rPr>
                <w:rFonts w:hint="eastAsia" w:ascii="黑体" w:hAnsi="黑体" w:eastAsia="黑体" w:cs="黑体"/>
                <w:i/>
                <w:iCs/>
                <w:color w:val="000000"/>
                <w:sz w:val="18"/>
                <w:szCs w:val="18"/>
              </w:rPr>
            </w:pPr>
          </w:p>
        </w:tc>
      </w:tr>
      <w:tr w14:paraId="61772C2E">
        <w:tblPrEx>
          <w:tblCellMar>
            <w:top w:w="0" w:type="dxa"/>
            <w:left w:w="108" w:type="dxa"/>
            <w:bottom w:w="0" w:type="dxa"/>
            <w:right w:w="108" w:type="dxa"/>
          </w:tblCellMar>
        </w:tblPrEx>
        <w:trPr>
          <w:trHeight w:val="40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AAE2D">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B3A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财政专户管理资金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46E4">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7344">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E7DAC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234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929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744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3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CC891">
            <w:pPr>
              <w:rPr>
                <w:rFonts w:hint="eastAsia" w:ascii="黑体" w:hAnsi="黑体" w:eastAsia="黑体" w:cs="黑体"/>
                <w:i/>
                <w:iCs/>
                <w:color w:val="000000"/>
                <w:sz w:val="18"/>
                <w:szCs w:val="18"/>
              </w:rPr>
            </w:pPr>
          </w:p>
        </w:tc>
      </w:tr>
      <w:tr w14:paraId="6DA29DA3">
        <w:tblPrEx>
          <w:tblCellMar>
            <w:top w:w="0" w:type="dxa"/>
            <w:left w:w="108" w:type="dxa"/>
            <w:bottom w:w="0" w:type="dxa"/>
            <w:right w:w="108" w:type="dxa"/>
          </w:tblCellMar>
        </w:tblPrEx>
        <w:trPr>
          <w:trHeight w:val="36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6C1D2">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585A">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单位资金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3DFA">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6C0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D2F19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8F7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9F0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8384">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3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5217D">
            <w:pPr>
              <w:rPr>
                <w:rFonts w:hint="eastAsia" w:ascii="黑体" w:hAnsi="黑体" w:eastAsia="黑体" w:cs="黑体"/>
                <w:i/>
                <w:iCs/>
                <w:color w:val="000000"/>
                <w:sz w:val="18"/>
                <w:szCs w:val="18"/>
              </w:rPr>
            </w:pPr>
          </w:p>
        </w:tc>
      </w:tr>
      <w:tr w14:paraId="7AC6AE43">
        <w:tblPrEx>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65F44">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80A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其他资金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7569">
            <w:pPr>
              <w:jc w:val="center"/>
              <w:rPr>
                <w:rFonts w:hint="eastAsia" w:ascii="微软雅黑" w:hAnsi="微软雅黑" w:eastAsia="微软雅黑" w:cs="微软雅黑"/>
                <w:i/>
                <w:iCs/>
                <w:color w:val="000000"/>
                <w:sz w:val="16"/>
                <w:szCs w:val="16"/>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28D1">
            <w:pPr>
              <w:jc w:val="center"/>
              <w:rPr>
                <w:rFonts w:hint="eastAsia" w:ascii="微软雅黑" w:hAnsi="微软雅黑" w:eastAsia="微软雅黑" w:cs="微软雅黑"/>
                <w:i/>
                <w:iCs/>
                <w:color w:val="000000"/>
                <w:sz w:val="16"/>
                <w:szCs w:val="16"/>
              </w:rPr>
            </w:pP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14B483">
            <w:pPr>
              <w:jc w:val="center"/>
              <w:rPr>
                <w:rFonts w:hint="eastAsia" w:ascii="微软雅黑" w:hAnsi="微软雅黑" w:eastAsia="微软雅黑" w:cs="微软雅黑"/>
                <w:i/>
                <w:iCs/>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F696">
            <w:pPr>
              <w:jc w:val="center"/>
              <w:rPr>
                <w:rFonts w:hint="eastAsia"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88A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0075">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3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7578D">
            <w:pPr>
              <w:rPr>
                <w:rFonts w:hint="eastAsia" w:ascii="黑体" w:hAnsi="黑体" w:eastAsia="黑体" w:cs="黑体"/>
                <w:i/>
                <w:iCs/>
                <w:color w:val="000000"/>
                <w:sz w:val="18"/>
                <w:szCs w:val="18"/>
              </w:rPr>
            </w:pPr>
          </w:p>
        </w:tc>
      </w:tr>
      <w:tr w14:paraId="070B002C">
        <w:tblPrEx>
          <w:tblCellMar>
            <w:top w:w="0" w:type="dxa"/>
            <w:left w:w="108" w:type="dxa"/>
            <w:bottom w:w="0" w:type="dxa"/>
            <w:right w:w="108" w:type="dxa"/>
          </w:tblCellMar>
        </w:tblPrEx>
        <w:trPr>
          <w:trHeight w:val="454"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82BB7">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绩效指标（90分）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CA3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一级指标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BB4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二级指标</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67D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5CE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指标性质</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D8F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指标值</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47AE">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度量单位</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A58C">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9C57">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7D17">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99C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未完成原因分析</w:t>
            </w:r>
          </w:p>
        </w:tc>
      </w:tr>
      <w:tr w14:paraId="606F90B2">
        <w:tblPrEx>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25726">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2B5C">
            <w:pPr>
              <w:jc w:val="center"/>
              <w:rPr>
                <w:rFonts w:hint="eastAsia" w:ascii="宋体" w:hAnsi="宋体" w:cs="宋体"/>
                <w:color w:val="000000"/>
                <w:sz w:val="18"/>
                <w:szCs w:val="18"/>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7177">
            <w:pPr>
              <w:jc w:val="center"/>
              <w:rPr>
                <w:rFonts w:hint="eastAsia" w:ascii="宋体" w:hAnsi="宋体" w:cs="宋体"/>
                <w:color w:val="000000"/>
                <w:sz w:val="18"/>
                <w:szCs w:val="18"/>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C49C">
            <w:pPr>
              <w:jc w:val="center"/>
              <w:rPr>
                <w:rFonts w:hint="eastAsia" w:ascii="宋体" w:hAnsi="宋体" w:cs="宋体"/>
                <w:color w:val="000000"/>
                <w:sz w:val="18"/>
                <w:szCs w:val="18"/>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8177">
            <w:pPr>
              <w:jc w:val="center"/>
              <w:rPr>
                <w:rFonts w:hint="eastAsia" w:ascii="宋体" w:hAnsi="宋体" w:cs="宋体"/>
                <w:color w:val="000000"/>
                <w:sz w:val="18"/>
                <w:szCs w:val="18"/>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A88C">
            <w:pPr>
              <w:jc w:val="center"/>
              <w:rPr>
                <w:rFonts w:hint="eastAsia" w:ascii="宋体" w:hAnsi="宋体" w:cs="宋体"/>
                <w:color w:val="000000"/>
                <w:sz w:val="18"/>
                <w:szCs w:val="18"/>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AF11">
            <w:pPr>
              <w:jc w:val="center"/>
              <w:rPr>
                <w:rFonts w:hint="eastAsia" w:ascii="宋体" w:hAnsi="宋体" w:cs="宋体"/>
                <w:color w:val="000000"/>
                <w:sz w:val="18"/>
                <w:szCs w:val="18"/>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FF76">
            <w:pPr>
              <w:jc w:val="center"/>
              <w:rPr>
                <w:rFonts w:hint="eastAsia"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1500">
            <w:pPr>
              <w:jc w:val="center"/>
              <w:rPr>
                <w:rFonts w:hint="eastAsia" w:ascii="宋体" w:hAnsi="宋体" w:cs="宋体"/>
                <w:color w:val="000000"/>
                <w:sz w:val="18"/>
                <w:szCs w:val="18"/>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979D">
            <w:pPr>
              <w:jc w:val="center"/>
              <w:rPr>
                <w:rFonts w:hint="eastAsia" w:ascii="宋体" w:hAnsi="宋体" w:cs="宋体"/>
                <w:color w:val="000000"/>
                <w:sz w:val="18"/>
                <w:szCs w:val="18"/>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2A1E">
            <w:pPr>
              <w:jc w:val="center"/>
              <w:rPr>
                <w:rFonts w:hint="eastAsia" w:ascii="微软雅黑" w:hAnsi="微软雅黑" w:eastAsia="微软雅黑" w:cs="微软雅黑"/>
                <w:i/>
                <w:iCs/>
                <w:color w:val="000000"/>
                <w:sz w:val="16"/>
                <w:szCs w:val="16"/>
              </w:rPr>
            </w:pPr>
          </w:p>
        </w:tc>
      </w:tr>
      <w:tr w14:paraId="5E3FFC83">
        <w:tblPrEx>
          <w:tblCellMar>
            <w:top w:w="0" w:type="dxa"/>
            <w:left w:w="108" w:type="dxa"/>
            <w:bottom w:w="0" w:type="dxa"/>
            <w:right w:w="108" w:type="dxa"/>
          </w:tblCellMar>
        </w:tblPrEx>
        <w:trPr>
          <w:trHeight w:val="285" w:hRule="atLeast"/>
        </w:trPr>
        <w:tc>
          <w:tcPr>
            <w:tcW w:w="95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0EE7AA">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26E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EE20">
            <w:pPr>
              <w:rPr>
                <w:rFonts w:hint="eastAsia" w:ascii="宋体" w:hAnsi="宋体" w:cs="宋体"/>
                <w:color w:val="000000"/>
                <w:sz w:val="18"/>
                <w:szCs w:val="18"/>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F28E">
            <w:pPr>
              <w:rPr>
                <w:rFonts w:hint="eastAsia" w:ascii="宋体" w:hAnsi="宋体" w:cs="宋体"/>
                <w:color w:val="000000"/>
                <w:sz w:val="18"/>
                <w:szCs w:val="18"/>
              </w:rPr>
            </w:pPr>
          </w:p>
        </w:tc>
      </w:tr>
      <w:tr w14:paraId="2CDF4461">
        <w:tblPrEx>
          <w:tblCellMar>
            <w:top w:w="0" w:type="dxa"/>
            <w:left w:w="108" w:type="dxa"/>
            <w:bottom w:w="0" w:type="dxa"/>
            <w:right w:w="108" w:type="dxa"/>
          </w:tblCellMar>
        </w:tblPrEx>
        <w:trPr>
          <w:trHeight w:val="60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200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评价结论</w:t>
            </w:r>
          </w:p>
        </w:tc>
        <w:tc>
          <w:tcPr>
            <w:tcW w:w="12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23AE38">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宋体"/>
                <w:color w:val="000000"/>
                <w:sz w:val="16"/>
                <w:szCs w:val="16"/>
              </w:rPr>
              <w:t>项目自评部分达到100分，通过实施项目达到预期目标，解决了实际问题，取得了显著成果。</w:t>
            </w:r>
          </w:p>
        </w:tc>
      </w:tr>
      <w:tr w14:paraId="07DC5728">
        <w:tblPrEx>
          <w:tblCellMar>
            <w:top w:w="0" w:type="dxa"/>
            <w:left w:w="108" w:type="dxa"/>
            <w:bottom w:w="0" w:type="dxa"/>
            <w:right w:w="108" w:type="dxa"/>
          </w:tblCellMar>
        </w:tblPrEx>
        <w:trPr>
          <w:trHeight w:val="57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134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存在问题</w:t>
            </w:r>
          </w:p>
        </w:tc>
        <w:tc>
          <w:tcPr>
            <w:tcW w:w="12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A29288">
            <w:pPr>
              <w:widowControl/>
              <w:jc w:val="left"/>
              <w:textAlignment w:val="center"/>
              <w:rPr>
                <w:rFonts w:hint="eastAsia" w:ascii="微软雅黑" w:hAnsi="微软雅黑" w:eastAsia="微软雅黑" w:cs="微软雅黑"/>
                <w:i/>
                <w:iCs/>
                <w:color w:val="000000"/>
                <w:sz w:val="16"/>
                <w:szCs w:val="16"/>
              </w:rPr>
            </w:pPr>
          </w:p>
        </w:tc>
      </w:tr>
      <w:tr w14:paraId="2EBFAE4B">
        <w:tblPrEx>
          <w:tblCellMar>
            <w:top w:w="0" w:type="dxa"/>
            <w:left w:w="108" w:type="dxa"/>
            <w:bottom w:w="0" w:type="dxa"/>
            <w:right w:w="108" w:type="dxa"/>
          </w:tblCellMar>
        </w:tblPrEx>
        <w:trPr>
          <w:trHeight w:val="63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54A7">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改进措施</w:t>
            </w:r>
          </w:p>
        </w:tc>
        <w:tc>
          <w:tcPr>
            <w:tcW w:w="12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A44A34">
            <w:pPr>
              <w:widowControl/>
              <w:jc w:val="left"/>
              <w:textAlignment w:val="center"/>
              <w:rPr>
                <w:rFonts w:hint="eastAsia" w:ascii="微软雅黑" w:hAnsi="微软雅黑" w:eastAsia="微软雅黑" w:cs="微软雅黑"/>
                <w:i/>
                <w:iCs/>
                <w:color w:val="000000"/>
                <w:sz w:val="16"/>
                <w:szCs w:val="16"/>
              </w:rPr>
            </w:pPr>
          </w:p>
        </w:tc>
      </w:tr>
      <w:tr w14:paraId="6CF9CA34">
        <w:tblPrEx>
          <w:tblCellMar>
            <w:top w:w="0" w:type="dxa"/>
            <w:left w:w="108" w:type="dxa"/>
            <w:bottom w:w="0" w:type="dxa"/>
            <w:right w:w="108" w:type="dxa"/>
          </w:tblCellMar>
        </w:tblPrEx>
        <w:trPr>
          <w:trHeight w:val="285" w:hRule="atLeast"/>
        </w:trPr>
        <w:tc>
          <w:tcPr>
            <w:tcW w:w="65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8E4166">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项目负责人：张华健</w:t>
            </w:r>
          </w:p>
        </w:tc>
        <w:tc>
          <w:tcPr>
            <w:tcW w:w="68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6FAAD8">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财务负责人：吴小然</w:t>
            </w:r>
          </w:p>
        </w:tc>
      </w:tr>
      <w:tr w14:paraId="52EFDF9C">
        <w:tblPrEx>
          <w:tblCellMar>
            <w:top w:w="0" w:type="dxa"/>
            <w:left w:w="108" w:type="dxa"/>
            <w:bottom w:w="0" w:type="dxa"/>
            <w:right w:w="108" w:type="dxa"/>
          </w:tblCellMar>
        </w:tblPrEx>
        <w:trPr>
          <w:trHeight w:val="285" w:hRule="atLeast"/>
        </w:trPr>
        <w:tc>
          <w:tcPr>
            <w:tcW w:w="621" w:type="dxa"/>
            <w:tcBorders>
              <w:top w:val="nil"/>
              <w:left w:val="nil"/>
              <w:bottom w:val="nil"/>
              <w:right w:val="nil"/>
            </w:tcBorders>
            <w:shd w:val="clear" w:color="auto" w:fill="auto"/>
            <w:vAlign w:val="center"/>
          </w:tcPr>
          <w:p w14:paraId="45CF0D66">
            <w:pPr>
              <w:rPr>
                <w:rFonts w:hint="eastAsia" w:ascii="宋体" w:hAnsi="宋体" w:cs="宋体"/>
                <w:color w:val="000000"/>
                <w:sz w:val="18"/>
                <w:szCs w:val="18"/>
              </w:rPr>
            </w:pPr>
          </w:p>
        </w:tc>
        <w:tc>
          <w:tcPr>
            <w:tcW w:w="1841" w:type="dxa"/>
            <w:tcBorders>
              <w:top w:val="nil"/>
              <w:left w:val="nil"/>
              <w:bottom w:val="nil"/>
              <w:right w:val="nil"/>
            </w:tcBorders>
            <w:shd w:val="clear" w:color="auto" w:fill="auto"/>
            <w:vAlign w:val="center"/>
          </w:tcPr>
          <w:p w14:paraId="3341DA19">
            <w:pPr>
              <w:rPr>
                <w:rFonts w:hint="eastAsia" w:ascii="宋体" w:hAnsi="宋体" w:cs="宋体"/>
                <w:color w:val="000000"/>
                <w:sz w:val="18"/>
                <w:szCs w:val="18"/>
              </w:rPr>
            </w:pPr>
          </w:p>
        </w:tc>
        <w:tc>
          <w:tcPr>
            <w:tcW w:w="1586" w:type="dxa"/>
            <w:tcBorders>
              <w:top w:val="nil"/>
              <w:left w:val="nil"/>
              <w:bottom w:val="nil"/>
              <w:right w:val="nil"/>
            </w:tcBorders>
            <w:shd w:val="clear" w:color="auto" w:fill="auto"/>
            <w:vAlign w:val="center"/>
          </w:tcPr>
          <w:p w14:paraId="0058B4F9">
            <w:pPr>
              <w:rPr>
                <w:rFonts w:hint="eastAsia" w:ascii="宋体" w:hAnsi="宋体" w:cs="宋体"/>
                <w:color w:val="000000"/>
                <w:sz w:val="18"/>
                <w:szCs w:val="18"/>
              </w:rPr>
            </w:pPr>
          </w:p>
        </w:tc>
        <w:tc>
          <w:tcPr>
            <w:tcW w:w="2029" w:type="dxa"/>
            <w:tcBorders>
              <w:top w:val="nil"/>
              <w:left w:val="nil"/>
              <w:bottom w:val="nil"/>
              <w:right w:val="nil"/>
            </w:tcBorders>
            <w:shd w:val="clear" w:color="auto" w:fill="auto"/>
            <w:vAlign w:val="center"/>
          </w:tcPr>
          <w:p w14:paraId="6623574C">
            <w:pPr>
              <w:rPr>
                <w:rFonts w:hint="eastAsia" w:ascii="宋体" w:hAnsi="宋体" w:cs="宋体"/>
                <w:color w:val="000000"/>
                <w:sz w:val="18"/>
                <w:szCs w:val="18"/>
              </w:rPr>
            </w:pPr>
          </w:p>
        </w:tc>
        <w:tc>
          <w:tcPr>
            <w:tcW w:w="473" w:type="dxa"/>
            <w:tcBorders>
              <w:top w:val="nil"/>
              <w:left w:val="nil"/>
              <w:bottom w:val="nil"/>
              <w:right w:val="nil"/>
            </w:tcBorders>
            <w:shd w:val="clear" w:color="auto" w:fill="auto"/>
            <w:vAlign w:val="center"/>
          </w:tcPr>
          <w:p w14:paraId="74D8EA34">
            <w:pPr>
              <w:rPr>
                <w:rFonts w:hint="eastAsia" w:ascii="宋体" w:hAnsi="宋体" w:cs="宋体"/>
                <w:color w:val="000000"/>
                <w:sz w:val="18"/>
                <w:szCs w:val="18"/>
              </w:rPr>
            </w:pPr>
          </w:p>
        </w:tc>
        <w:tc>
          <w:tcPr>
            <w:tcW w:w="1504" w:type="dxa"/>
            <w:tcBorders>
              <w:top w:val="nil"/>
              <w:left w:val="nil"/>
              <w:bottom w:val="nil"/>
              <w:right w:val="nil"/>
            </w:tcBorders>
            <w:shd w:val="clear" w:color="auto" w:fill="auto"/>
            <w:vAlign w:val="center"/>
          </w:tcPr>
          <w:p w14:paraId="409DD52F">
            <w:pPr>
              <w:rPr>
                <w:rFonts w:hint="eastAsia" w:ascii="宋体" w:hAnsi="宋体" w:cs="宋体"/>
                <w:color w:val="000000"/>
                <w:sz w:val="18"/>
                <w:szCs w:val="18"/>
              </w:rPr>
            </w:pPr>
          </w:p>
        </w:tc>
        <w:tc>
          <w:tcPr>
            <w:tcW w:w="472" w:type="dxa"/>
            <w:tcBorders>
              <w:top w:val="nil"/>
              <w:left w:val="nil"/>
              <w:bottom w:val="nil"/>
              <w:right w:val="nil"/>
            </w:tcBorders>
            <w:shd w:val="clear" w:color="auto" w:fill="auto"/>
            <w:vAlign w:val="center"/>
          </w:tcPr>
          <w:p w14:paraId="02085581">
            <w:pPr>
              <w:rPr>
                <w:rFonts w:hint="eastAsia" w:ascii="宋体" w:hAnsi="宋体" w:cs="宋体"/>
                <w:color w:val="000000"/>
                <w:sz w:val="18"/>
                <w:szCs w:val="18"/>
              </w:rPr>
            </w:pPr>
          </w:p>
        </w:tc>
        <w:tc>
          <w:tcPr>
            <w:tcW w:w="985" w:type="dxa"/>
            <w:tcBorders>
              <w:top w:val="nil"/>
              <w:left w:val="nil"/>
              <w:bottom w:val="nil"/>
              <w:right w:val="nil"/>
            </w:tcBorders>
            <w:shd w:val="clear" w:color="auto" w:fill="auto"/>
            <w:vAlign w:val="center"/>
          </w:tcPr>
          <w:p w14:paraId="14C4D8C8">
            <w:pPr>
              <w:rPr>
                <w:rFonts w:hint="eastAsia" w:ascii="宋体" w:hAnsi="宋体" w:cs="宋体"/>
                <w:color w:val="000000"/>
                <w:sz w:val="18"/>
                <w:szCs w:val="18"/>
              </w:rPr>
            </w:pPr>
          </w:p>
        </w:tc>
        <w:tc>
          <w:tcPr>
            <w:tcW w:w="486" w:type="dxa"/>
            <w:tcBorders>
              <w:top w:val="nil"/>
              <w:left w:val="nil"/>
              <w:bottom w:val="nil"/>
              <w:right w:val="nil"/>
            </w:tcBorders>
            <w:shd w:val="clear" w:color="auto" w:fill="auto"/>
            <w:vAlign w:val="center"/>
          </w:tcPr>
          <w:p w14:paraId="5EBD3CDC">
            <w:pPr>
              <w:rPr>
                <w:rFonts w:hint="eastAsia" w:ascii="宋体" w:hAnsi="宋体" w:cs="宋体"/>
                <w:color w:val="000000"/>
                <w:sz w:val="18"/>
                <w:szCs w:val="18"/>
              </w:rPr>
            </w:pPr>
          </w:p>
        </w:tc>
        <w:tc>
          <w:tcPr>
            <w:tcW w:w="405" w:type="dxa"/>
            <w:tcBorders>
              <w:top w:val="nil"/>
              <w:left w:val="nil"/>
              <w:bottom w:val="nil"/>
              <w:right w:val="nil"/>
            </w:tcBorders>
            <w:shd w:val="clear" w:color="auto" w:fill="auto"/>
            <w:vAlign w:val="center"/>
          </w:tcPr>
          <w:p w14:paraId="1CD4AA5A">
            <w:pPr>
              <w:rPr>
                <w:rFonts w:hint="eastAsia" w:ascii="宋体" w:hAnsi="宋体" w:cs="宋体"/>
                <w:color w:val="000000"/>
                <w:sz w:val="18"/>
                <w:szCs w:val="18"/>
              </w:rPr>
            </w:pPr>
          </w:p>
        </w:tc>
        <w:tc>
          <w:tcPr>
            <w:tcW w:w="3033" w:type="dxa"/>
            <w:tcBorders>
              <w:top w:val="nil"/>
              <w:left w:val="nil"/>
              <w:bottom w:val="nil"/>
              <w:right w:val="nil"/>
            </w:tcBorders>
            <w:shd w:val="clear" w:color="auto" w:fill="auto"/>
            <w:vAlign w:val="center"/>
          </w:tcPr>
          <w:p w14:paraId="2597FDC9">
            <w:pPr>
              <w:rPr>
                <w:rFonts w:hint="eastAsia" w:ascii="宋体" w:hAnsi="宋体" w:cs="宋体"/>
                <w:color w:val="000000"/>
                <w:sz w:val="18"/>
                <w:szCs w:val="18"/>
              </w:rPr>
            </w:pPr>
          </w:p>
        </w:tc>
      </w:tr>
      <w:tr w14:paraId="70CFE5E3">
        <w:tblPrEx>
          <w:tblCellMar>
            <w:top w:w="0" w:type="dxa"/>
            <w:left w:w="108" w:type="dxa"/>
            <w:bottom w:w="0" w:type="dxa"/>
            <w:right w:w="108" w:type="dxa"/>
          </w:tblCellMar>
        </w:tblPrEx>
        <w:trPr>
          <w:trHeight w:val="904" w:hRule="atLeast"/>
        </w:trPr>
        <w:tc>
          <w:tcPr>
            <w:tcW w:w="134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7624A79">
            <w:pPr>
              <w:widowControl/>
              <w:jc w:val="center"/>
              <w:textAlignment w:val="center"/>
              <w:rPr>
                <w:rFonts w:hint="eastAsia"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32DF864D">
        <w:tblPrEx>
          <w:tblCellMar>
            <w:top w:w="0" w:type="dxa"/>
            <w:left w:w="108" w:type="dxa"/>
            <w:bottom w:w="0" w:type="dxa"/>
            <w:right w:w="108" w:type="dxa"/>
          </w:tblCellMar>
        </w:tblPrEx>
        <w:trPr>
          <w:trHeight w:val="285" w:hRule="atLeast"/>
        </w:trPr>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31ED0">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项目名称</w:t>
            </w:r>
          </w:p>
        </w:tc>
        <w:tc>
          <w:tcPr>
            <w:tcW w:w="109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B1FA63">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51172423T000007775229-围墙维修</w:t>
            </w:r>
          </w:p>
        </w:tc>
      </w:tr>
      <w:tr w14:paraId="19962292">
        <w:tblPrEx>
          <w:tblCellMar>
            <w:top w:w="0" w:type="dxa"/>
            <w:left w:w="108" w:type="dxa"/>
            <w:bottom w:w="0" w:type="dxa"/>
            <w:right w:w="108" w:type="dxa"/>
          </w:tblCellMar>
        </w:tblPrEx>
        <w:trPr>
          <w:trHeight w:val="514" w:hRule="atLeast"/>
        </w:trPr>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005C0">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主管部门</w:t>
            </w:r>
          </w:p>
        </w:tc>
        <w:tc>
          <w:tcPr>
            <w:tcW w:w="60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595F0F">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大竹县高穴中学部门</w:t>
            </w:r>
          </w:p>
        </w:tc>
        <w:tc>
          <w:tcPr>
            <w:tcW w:w="985" w:type="dxa"/>
            <w:tcBorders>
              <w:top w:val="nil"/>
              <w:left w:val="nil"/>
              <w:bottom w:val="nil"/>
              <w:right w:val="nil"/>
            </w:tcBorders>
            <w:shd w:val="clear" w:color="auto" w:fill="auto"/>
            <w:vAlign w:val="center"/>
          </w:tcPr>
          <w:p w14:paraId="5CA080CA">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3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9A405">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大竹县高穴中学</w:t>
            </w:r>
          </w:p>
        </w:tc>
      </w:tr>
      <w:tr w14:paraId="2BFCEB62">
        <w:tblPrEx>
          <w:tblCellMar>
            <w:top w:w="0" w:type="dxa"/>
            <w:left w:w="108" w:type="dxa"/>
            <w:bottom w:w="0" w:type="dxa"/>
            <w:right w:w="108" w:type="dxa"/>
          </w:tblCellMar>
        </w:tblPrEx>
        <w:trPr>
          <w:trHeight w:val="285"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8EAD8">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项目基本情况</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635F6">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1.项目年度目标完成情况</w:t>
            </w:r>
          </w:p>
        </w:tc>
        <w:tc>
          <w:tcPr>
            <w:tcW w:w="60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2101DF">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项目年度目标</w:t>
            </w:r>
          </w:p>
        </w:tc>
        <w:tc>
          <w:tcPr>
            <w:tcW w:w="49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51AA3E">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72A307D5">
        <w:tblPrEx>
          <w:tblCellMar>
            <w:top w:w="0" w:type="dxa"/>
            <w:left w:w="108" w:type="dxa"/>
            <w:bottom w:w="0" w:type="dxa"/>
            <w:right w:w="108" w:type="dxa"/>
          </w:tblCellMar>
        </w:tblPrEx>
        <w:trPr>
          <w:trHeight w:val="70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EE6CB">
            <w:pPr>
              <w:rPr>
                <w:rFonts w:hint="eastAsia" w:ascii="宋体" w:hAnsi="宋体" w:cs="宋体"/>
                <w:color w:val="000000"/>
                <w:sz w:val="18"/>
                <w:szCs w:val="18"/>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8CB92">
            <w:pPr>
              <w:rPr>
                <w:rFonts w:hint="eastAsia" w:ascii="宋体" w:hAnsi="宋体" w:cs="宋体"/>
                <w:color w:val="000000"/>
                <w:sz w:val="18"/>
                <w:szCs w:val="18"/>
              </w:rPr>
            </w:pPr>
          </w:p>
        </w:tc>
        <w:tc>
          <w:tcPr>
            <w:tcW w:w="60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B66100">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严格执行相关政策，保障校舍维修顺利实施，预算编制科学合理，减少结余资金</w:t>
            </w:r>
          </w:p>
        </w:tc>
        <w:tc>
          <w:tcPr>
            <w:tcW w:w="49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B42959">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严格执行相关政策，保障校舍维修顺利实施。</w:t>
            </w:r>
          </w:p>
        </w:tc>
      </w:tr>
      <w:tr w14:paraId="14AA6BD0">
        <w:tblPrEx>
          <w:tblCellMar>
            <w:top w:w="0" w:type="dxa"/>
            <w:left w:w="108" w:type="dxa"/>
            <w:bottom w:w="0" w:type="dxa"/>
            <w:right w:w="108" w:type="dxa"/>
          </w:tblCellMar>
        </w:tblPrEx>
        <w:trPr>
          <w:trHeight w:val="694"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061AC">
            <w:pP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07E2">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109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1B4171">
            <w:pPr>
              <w:rPr>
                <w:rFonts w:hint="eastAsia" w:ascii="宋体" w:hAnsi="宋体" w:cs="宋体"/>
                <w:color w:val="000000"/>
                <w:sz w:val="18"/>
                <w:szCs w:val="18"/>
              </w:rPr>
            </w:pPr>
            <w:r>
              <w:rPr>
                <w:rFonts w:ascii="宋体" w:hAnsi="宋体" w:cs="宋体"/>
                <w:color w:val="000000"/>
                <w:kern w:val="0"/>
                <w:sz w:val="18"/>
                <w:szCs w:val="18"/>
                <w:lang w:bidi="ar"/>
              </w:rPr>
              <w:t>该资金全部用于学校校舍维修改造，验收合格，并支付完成。</w:t>
            </w:r>
          </w:p>
        </w:tc>
      </w:tr>
      <w:tr w14:paraId="2976F8D7">
        <w:tblPrEx>
          <w:tblCellMar>
            <w:top w:w="0" w:type="dxa"/>
            <w:left w:w="108" w:type="dxa"/>
            <w:bottom w:w="0" w:type="dxa"/>
            <w:right w:w="108" w:type="dxa"/>
          </w:tblCellMar>
        </w:tblPrEx>
        <w:trPr>
          <w:trHeight w:val="360"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6C34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预算执行情况（10分）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8E4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年度预算数（万元）</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191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年初预算</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AFFE">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调整后预算数</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765EB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预算执行数</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87B7">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420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22D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8E9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原因</w:t>
            </w:r>
          </w:p>
        </w:tc>
      </w:tr>
      <w:tr w14:paraId="104383E9">
        <w:tblPrEx>
          <w:tblCellMar>
            <w:top w:w="0" w:type="dxa"/>
            <w:left w:w="108" w:type="dxa"/>
            <w:bottom w:w="0" w:type="dxa"/>
            <w:right w:w="108" w:type="dxa"/>
          </w:tblCellMar>
        </w:tblPrEx>
        <w:trPr>
          <w:trHeight w:val="34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5115E">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250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总额</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79BE">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5AD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36.38</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7FA3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36.38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C8BC">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8E3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BD7B">
            <w:pPr>
              <w:jc w:val="center"/>
              <w:rPr>
                <w:rFonts w:hint="eastAsia" w:ascii="宋体" w:hAnsi="宋体" w:cs="宋体"/>
                <w:color w:val="000000"/>
                <w:sz w:val="18"/>
                <w:szCs w:val="18"/>
              </w:rPr>
            </w:pPr>
          </w:p>
        </w:tc>
        <w:tc>
          <w:tcPr>
            <w:tcW w:w="3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9E7EE">
            <w:pPr>
              <w:widowControl/>
              <w:jc w:val="left"/>
              <w:textAlignment w:val="center"/>
              <w:rPr>
                <w:rFonts w:hint="eastAsia" w:ascii="黑体" w:hAnsi="黑体" w:eastAsia="黑体" w:cs="黑体"/>
                <w:i/>
                <w:iCs/>
                <w:color w:val="000000"/>
                <w:sz w:val="18"/>
                <w:szCs w:val="18"/>
              </w:rPr>
            </w:pPr>
            <w:r>
              <w:rPr>
                <w:rFonts w:hint="eastAsia" w:ascii="黑体" w:hAnsi="黑体" w:eastAsia="黑体" w:cs="宋体"/>
                <w:color w:val="000000"/>
                <w:sz w:val="18"/>
                <w:szCs w:val="18"/>
              </w:rPr>
              <w:t>年初预算少了，财政追加学校围墙维修资金</w:t>
            </w:r>
          </w:p>
        </w:tc>
      </w:tr>
      <w:tr w14:paraId="197765A2">
        <w:tblPrEx>
          <w:tblCellMar>
            <w:top w:w="0" w:type="dxa"/>
            <w:left w:w="108" w:type="dxa"/>
            <w:bottom w:w="0" w:type="dxa"/>
            <w:right w:w="108" w:type="dxa"/>
          </w:tblCellMar>
        </w:tblPrEx>
        <w:trPr>
          <w:trHeight w:val="39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82B3C">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490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其中：财政资金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8BA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227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36.38</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8194C">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36.38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672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33D5">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39DC">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3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991B4">
            <w:pPr>
              <w:rPr>
                <w:rFonts w:hint="eastAsia" w:ascii="黑体" w:hAnsi="黑体" w:eastAsia="黑体" w:cs="黑体"/>
                <w:i/>
                <w:iCs/>
                <w:color w:val="000000"/>
                <w:sz w:val="18"/>
                <w:szCs w:val="18"/>
              </w:rPr>
            </w:pPr>
          </w:p>
        </w:tc>
      </w:tr>
      <w:tr w14:paraId="2F938737">
        <w:tblPrEx>
          <w:tblCellMar>
            <w:top w:w="0" w:type="dxa"/>
            <w:left w:w="108" w:type="dxa"/>
            <w:bottom w:w="0" w:type="dxa"/>
            <w:right w:w="108" w:type="dxa"/>
          </w:tblCellMar>
        </w:tblPrEx>
        <w:trPr>
          <w:trHeight w:val="40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2B705">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F30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财政专户管理资金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9CC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13F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7717B5">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711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6BD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3E8A">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3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41982">
            <w:pPr>
              <w:rPr>
                <w:rFonts w:hint="eastAsia" w:ascii="黑体" w:hAnsi="黑体" w:eastAsia="黑体" w:cs="黑体"/>
                <w:i/>
                <w:iCs/>
                <w:color w:val="000000"/>
                <w:sz w:val="18"/>
                <w:szCs w:val="18"/>
              </w:rPr>
            </w:pPr>
          </w:p>
        </w:tc>
      </w:tr>
      <w:tr w14:paraId="7FE62E32">
        <w:tblPrEx>
          <w:tblCellMar>
            <w:top w:w="0" w:type="dxa"/>
            <w:left w:w="108" w:type="dxa"/>
            <w:bottom w:w="0" w:type="dxa"/>
            <w:right w:w="108" w:type="dxa"/>
          </w:tblCellMar>
        </w:tblPrEx>
        <w:trPr>
          <w:trHeight w:val="36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70D8A">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48B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单位资金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74CF">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001E">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B4D5A">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2FF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E2E4">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007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3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BEBE9">
            <w:pPr>
              <w:rPr>
                <w:rFonts w:hint="eastAsia" w:ascii="黑体" w:hAnsi="黑体" w:eastAsia="黑体" w:cs="黑体"/>
                <w:i/>
                <w:iCs/>
                <w:color w:val="000000"/>
                <w:sz w:val="18"/>
                <w:szCs w:val="18"/>
              </w:rPr>
            </w:pPr>
          </w:p>
        </w:tc>
      </w:tr>
      <w:tr w14:paraId="79622A85">
        <w:tblPrEx>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72B3A">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1BA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其他资金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79E4">
            <w:pPr>
              <w:jc w:val="center"/>
              <w:rPr>
                <w:rFonts w:hint="eastAsia" w:ascii="微软雅黑" w:hAnsi="微软雅黑" w:eastAsia="微软雅黑" w:cs="微软雅黑"/>
                <w:i/>
                <w:iCs/>
                <w:color w:val="000000"/>
                <w:sz w:val="16"/>
                <w:szCs w:val="16"/>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E298">
            <w:pPr>
              <w:jc w:val="center"/>
              <w:rPr>
                <w:rFonts w:hint="eastAsia" w:ascii="微软雅黑" w:hAnsi="微软雅黑" w:eastAsia="微软雅黑" w:cs="微软雅黑"/>
                <w:i/>
                <w:iCs/>
                <w:color w:val="000000"/>
                <w:sz w:val="16"/>
                <w:szCs w:val="16"/>
              </w:rPr>
            </w:pP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2D8EA0">
            <w:pPr>
              <w:jc w:val="center"/>
              <w:rPr>
                <w:rFonts w:hint="eastAsia" w:ascii="微软雅黑" w:hAnsi="微软雅黑" w:eastAsia="微软雅黑" w:cs="微软雅黑"/>
                <w:i/>
                <w:iCs/>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6CD0">
            <w:pPr>
              <w:jc w:val="center"/>
              <w:rPr>
                <w:rFonts w:hint="eastAsia"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357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D2A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3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A2D21">
            <w:pPr>
              <w:rPr>
                <w:rFonts w:hint="eastAsia" w:ascii="黑体" w:hAnsi="黑体" w:eastAsia="黑体" w:cs="黑体"/>
                <w:i/>
                <w:iCs/>
                <w:color w:val="000000"/>
                <w:sz w:val="18"/>
                <w:szCs w:val="18"/>
              </w:rPr>
            </w:pPr>
          </w:p>
        </w:tc>
      </w:tr>
      <w:tr w14:paraId="0FD4A00E">
        <w:tblPrEx>
          <w:tblCellMar>
            <w:top w:w="0" w:type="dxa"/>
            <w:left w:w="108" w:type="dxa"/>
            <w:bottom w:w="0" w:type="dxa"/>
            <w:right w:w="108" w:type="dxa"/>
          </w:tblCellMar>
        </w:tblPrEx>
        <w:trPr>
          <w:trHeight w:val="454"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620DC">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绩效指标（90分）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6B2A">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一级指标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22E5">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二级指标</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6FC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FA4F">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指标性质</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6F5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指标值</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DAE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度量单位</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093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646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08E7">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3ECA">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未完成原因分析</w:t>
            </w:r>
          </w:p>
        </w:tc>
      </w:tr>
      <w:tr w14:paraId="6F36368A">
        <w:tblPrEx>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CF64D">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D12B">
            <w:pPr>
              <w:jc w:val="center"/>
              <w:rPr>
                <w:rFonts w:hint="eastAsia" w:ascii="宋体" w:hAnsi="宋体" w:cs="宋体"/>
                <w:color w:val="000000"/>
                <w:sz w:val="18"/>
                <w:szCs w:val="18"/>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5FB9">
            <w:pPr>
              <w:jc w:val="center"/>
              <w:rPr>
                <w:rFonts w:hint="eastAsia" w:ascii="宋体" w:hAnsi="宋体" w:cs="宋体"/>
                <w:color w:val="000000"/>
                <w:sz w:val="18"/>
                <w:szCs w:val="18"/>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14D8">
            <w:pPr>
              <w:jc w:val="center"/>
              <w:rPr>
                <w:rFonts w:hint="eastAsia" w:ascii="宋体" w:hAnsi="宋体" w:cs="宋体"/>
                <w:color w:val="000000"/>
                <w:sz w:val="18"/>
                <w:szCs w:val="18"/>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9E19">
            <w:pPr>
              <w:jc w:val="center"/>
              <w:rPr>
                <w:rFonts w:hint="eastAsia" w:ascii="宋体" w:hAnsi="宋体" w:cs="宋体"/>
                <w:color w:val="000000"/>
                <w:sz w:val="18"/>
                <w:szCs w:val="18"/>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1A33">
            <w:pPr>
              <w:jc w:val="center"/>
              <w:rPr>
                <w:rFonts w:hint="eastAsia" w:ascii="宋体" w:hAnsi="宋体" w:cs="宋体"/>
                <w:color w:val="000000"/>
                <w:sz w:val="18"/>
                <w:szCs w:val="18"/>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C668">
            <w:pPr>
              <w:jc w:val="center"/>
              <w:rPr>
                <w:rFonts w:hint="eastAsia" w:ascii="宋体" w:hAnsi="宋体" w:cs="宋体"/>
                <w:color w:val="000000"/>
                <w:sz w:val="18"/>
                <w:szCs w:val="18"/>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603E">
            <w:pPr>
              <w:jc w:val="center"/>
              <w:rPr>
                <w:rFonts w:hint="eastAsia"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20E8">
            <w:pPr>
              <w:jc w:val="center"/>
              <w:rPr>
                <w:rFonts w:hint="eastAsia" w:ascii="宋体" w:hAnsi="宋体" w:cs="宋体"/>
                <w:color w:val="000000"/>
                <w:sz w:val="18"/>
                <w:szCs w:val="18"/>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6430">
            <w:pPr>
              <w:jc w:val="center"/>
              <w:rPr>
                <w:rFonts w:hint="eastAsia" w:ascii="宋体" w:hAnsi="宋体" w:cs="宋体"/>
                <w:color w:val="000000"/>
                <w:sz w:val="18"/>
                <w:szCs w:val="18"/>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3B4F">
            <w:pPr>
              <w:jc w:val="center"/>
              <w:rPr>
                <w:rFonts w:hint="eastAsia" w:ascii="微软雅黑" w:hAnsi="微软雅黑" w:eastAsia="微软雅黑" w:cs="微软雅黑"/>
                <w:i/>
                <w:iCs/>
                <w:color w:val="000000"/>
                <w:sz w:val="16"/>
                <w:szCs w:val="16"/>
              </w:rPr>
            </w:pPr>
          </w:p>
        </w:tc>
      </w:tr>
      <w:tr w14:paraId="6E9CBAFA">
        <w:tblPrEx>
          <w:tblCellMar>
            <w:top w:w="0" w:type="dxa"/>
            <w:left w:w="108" w:type="dxa"/>
            <w:bottom w:w="0" w:type="dxa"/>
            <w:right w:w="108" w:type="dxa"/>
          </w:tblCellMar>
        </w:tblPrEx>
        <w:trPr>
          <w:trHeight w:val="285" w:hRule="atLeast"/>
        </w:trPr>
        <w:tc>
          <w:tcPr>
            <w:tcW w:w="95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D73B4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EE7A">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8B33">
            <w:pPr>
              <w:rPr>
                <w:rFonts w:hint="eastAsia" w:ascii="宋体" w:hAnsi="宋体" w:cs="宋体"/>
                <w:color w:val="000000"/>
                <w:sz w:val="18"/>
                <w:szCs w:val="18"/>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E4F1">
            <w:pPr>
              <w:rPr>
                <w:rFonts w:hint="eastAsia" w:ascii="宋体" w:hAnsi="宋体" w:cs="宋体"/>
                <w:color w:val="000000"/>
                <w:sz w:val="18"/>
                <w:szCs w:val="18"/>
              </w:rPr>
            </w:pPr>
          </w:p>
        </w:tc>
      </w:tr>
      <w:tr w14:paraId="7F499804">
        <w:tblPrEx>
          <w:tblCellMar>
            <w:top w:w="0" w:type="dxa"/>
            <w:left w:w="108" w:type="dxa"/>
            <w:bottom w:w="0" w:type="dxa"/>
            <w:right w:w="108" w:type="dxa"/>
          </w:tblCellMar>
        </w:tblPrEx>
        <w:trPr>
          <w:trHeight w:val="60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095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评价结论</w:t>
            </w:r>
          </w:p>
        </w:tc>
        <w:tc>
          <w:tcPr>
            <w:tcW w:w="12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787C69">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宋体"/>
                <w:color w:val="000000"/>
                <w:sz w:val="16"/>
                <w:szCs w:val="16"/>
              </w:rPr>
              <w:t>项目自评部分达到100分，通过实施项目达到预期目标，解决了实际问题，取得了显著成果。</w:t>
            </w:r>
          </w:p>
        </w:tc>
      </w:tr>
      <w:tr w14:paraId="753B7A6C">
        <w:tblPrEx>
          <w:tblCellMar>
            <w:top w:w="0" w:type="dxa"/>
            <w:left w:w="108" w:type="dxa"/>
            <w:bottom w:w="0" w:type="dxa"/>
            <w:right w:w="108" w:type="dxa"/>
          </w:tblCellMar>
        </w:tblPrEx>
        <w:trPr>
          <w:trHeight w:val="57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C36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存在问题</w:t>
            </w:r>
          </w:p>
        </w:tc>
        <w:tc>
          <w:tcPr>
            <w:tcW w:w="12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AAC45A">
            <w:pPr>
              <w:widowControl/>
              <w:jc w:val="left"/>
              <w:textAlignment w:val="center"/>
              <w:rPr>
                <w:rFonts w:hint="eastAsia" w:ascii="微软雅黑" w:hAnsi="微软雅黑" w:eastAsia="微软雅黑" w:cs="微软雅黑"/>
                <w:i/>
                <w:iCs/>
                <w:color w:val="000000"/>
                <w:sz w:val="16"/>
                <w:szCs w:val="16"/>
              </w:rPr>
            </w:pPr>
          </w:p>
        </w:tc>
      </w:tr>
      <w:tr w14:paraId="7A687C8C">
        <w:tblPrEx>
          <w:tblCellMar>
            <w:top w:w="0" w:type="dxa"/>
            <w:left w:w="108" w:type="dxa"/>
            <w:bottom w:w="0" w:type="dxa"/>
            <w:right w:w="108" w:type="dxa"/>
          </w:tblCellMar>
        </w:tblPrEx>
        <w:trPr>
          <w:trHeight w:val="63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774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改进措施</w:t>
            </w:r>
          </w:p>
        </w:tc>
        <w:tc>
          <w:tcPr>
            <w:tcW w:w="12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EF8906">
            <w:pPr>
              <w:widowControl/>
              <w:jc w:val="left"/>
              <w:textAlignment w:val="center"/>
              <w:rPr>
                <w:rFonts w:hint="eastAsia" w:ascii="微软雅黑" w:hAnsi="微软雅黑" w:eastAsia="微软雅黑" w:cs="微软雅黑"/>
                <w:i/>
                <w:iCs/>
                <w:color w:val="000000"/>
                <w:sz w:val="16"/>
                <w:szCs w:val="16"/>
              </w:rPr>
            </w:pPr>
          </w:p>
        </w:tc>
      </w:tr>
      <w:tr w14:paraId="4C9635A8">
        <w:tblPrEx>
          <w:tblCellMar>
            <w:top w:w="0" w:type="dxa"/>
            <w:left w:w="108" w:type="dxa"/>
            <w:bottom w:w="0" w:type="dxa"/>
            <w:right w:w="108" w:type="dxa"/>
          </w:tblCellMar>
        </w:tblPrEx>
        <w:trPr>
          <w:trHeight w:val="285" w:hRule="atLeast"/>
        </w:trPr>
        <w:tc>
          <w:tcPr>
            <w:tcW w:w="65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7F111B">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项目负责人：张华健</w:t>
            </w:r>
          </w:p>
        </w:tc>
        <w:tc>
          <w:tcPr>
            <w:tcW w:w="68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BFF13B">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财务负责人：吴小然</w:t>
            </w:r>
          </w:p>
        </w:tc>
      </w:tr>
      <w:tr w14:paraId="07F24F16">
        <w:tblPrEx>
          <w:tblCellMar>
            <w:top w:w="0" w:type="dxa"/>
            <w:left w:w="108" w:type="dxa"/>
            <w:bottom w:w="0" w:type="dxa"/>
            <w:right w:w="108" w:type="dxa"/>
          </w:tblCellMar>
        </w:tblPrEx>
        <w:trPr>
          <w:trHeight w:val="285" w:hRule="atLeast"/>
        </w:trPr>
        <w:tc>
          <w:tcPr>
            <w:tcW w:w="621" w:type="dxa"/>
            <w:tcBorders>
              <w:top w:val="nil"/>
              <w:left w:val="nil"/>
              <w:bottom w:val="nil"/>
              <w:right w:val="nil"/>
            </w:tcBorders>
            <w:shd w:val="clear" w:color="auto" w:fill="auto"/>
            <w:vAlign w:val="center"/>
          </w:tcPr>
          <w:p w14:paraId="399543FA">
            <w:pPr>
              <w:rPr>
                <w:rFonts w:hint="eastAsia" w:ascii="宋体" w:hAnsi="宋体" w:cs="宋体"/>
                <w:color w:val="000000"/>
                <w:sz w:val="18"/>
                <w:szCs w:val="18"/>
              </w:rPr>
            </w:pPr>
          </w:p>
        </w:tc>
        <w:tc>
          <w:tcPr>
            <w:tcW w:w="1841" w:type="dxa"/>
            <w:tcBorders>
              <w:top w:val="nil"/>
              <w:left w:val="nil"/>
              <w:bottom w:val="nil"/>
              <w:right w:val="nil"/>
            </w:tcBorders>
            <w:shd w:val="clear" w:color="auto" w:fill="auto"/>
            <w:vAlign w:val="center"/>
          </w:tcPr>
          <w:p w14:paraId="2E5D8E69">
            <w:pPr>
              <w:rPr>
                <w:rFonts w:hint="eastAsia" w:ascii="宋体" w:hAnsi="宋体" w:cs="宋体"/>
                <w:color w:val="000000"/>
                <w:sz w:val="18"/>
                <w:szCs w:val="18"/>
              </w:rPr>
            </w:pPr>
          </w:p>
        </w:tc>
        <w:tc>
          <w:tcPr>
            <w:tcW w:w="1586" w:type="dxa"/>
            <w:tcBorders>
              <w:top w:val="nil"/>
              <w:left w:val="nil"/>
              <w:bottom w:val="nil"/>
              <w:right w:val="nil"/>
            </w:tcBorders>
            <w:shd w:val="clear" w:color="auto" w:fill="auto"/>
            <w:vAlign w:val="center"/>
          </w:tcPr>
          <w:p w14:paraId="562D1BA6">
            <w:pPr>
              <w:rPr>
                <w:rFonts w:hint="eastAsia" w:ascii="宋体" w:hAnsi="宋体" w:cs="宋体"/>
                <w:color w:val="000000"/>
                <w:sz w:val="18"/>
                <w:szCs w:val="18"/>
              </w:rPr>
            </w:pPr>
          </w:p>
        </w:tc>
        <w:tc>
          <w:tcPr>
            <w:tcW w:w="2029" w:type="dxa"/>
            <w:tcBorders>
              <w:top w:val="nil"/>
              <w:left w:val="nil"/>
              <w:bottom w:val="nil"/>
              <w:right w:val="nil"/>
            </w:tcBorders>
            <w:shd w:val="clear" w:color="auto" w:fill="auto"/>
            <w:vAlign w:val="center"/>
          </w:tcPr>
          <w:p w14:paraId="1B8A906A">
            <w:pPr>
              <w:rPr>
                <w:rFonts w:hint="eastAsia" w:ascii="宋体" w:hAnsi="宋体" w:cs="宋体"/>
                <w:color w:val="000000"/>
                <w:sz w:val="18"/>
                <w:szCs w:val="18"/>
              </w:rPr>
            </w:pPr>
          </w:p>
        </w:tc>
        <w:tc>
          <w:tcPr>
            <w:tcW w:w="473" w:type="dxa"/>
            <w:tcBorders>
              <w:top w:val="nil"/>
              <w:left w:val="nil"/>
              <w:bottom w:val="nil"/>
              <w:right w:val="nil"/>
            </w:tcBorders>
            <w:shd w:val="clear" w:color="auto" w:fill="auto"/>
            <w:vAlign w:val="center"/>
          </w:tcPr>
          <w:p w14:paraId="2DD2F592">
            <w:pPr>
              <w:rPr>
                <w:rFonts w:hint="eastAsia" w:ascii="宋体" w:hAnsi="宋体" w:cs="宋体"/>
                <w:color w:val="000000"/>
                <w:sz w:val="18"/>
                <w:szCs w:val="18"/>
              </w:rPr>
            </w:pPr>
          </w:p>
        </w:tc>
        <w:tc>
          <w:tcPr>
            <w:tcW w:w="1504" w:type="dxa"/>
            <w:tcBorders>
              <w:top w:val="nil"/>
              <w:left w:val="nil"/>
              <w:bottom w:val="nil"/>
              <w:right w:val="nil"/>
            </w:tcBorders>
            <w:shd w:val="clear" w:color="auto" w:fill="auto"/>
            <w:vAlign w:val="center"/>
          </w:tcPr>
          <w:p w14:paraId="1123AB52">
            <w:pPr>
              <w:rPr>
                <w:rFonts w:hint="eastAsia" w:ascii="宋体" w:hAnsi="宋体" w:cs="宋体"/>
                <w:color w:val="000000"/>
                <w:sz w:val="18"/>
                <w:szCs w:val="18"/>
              </w:rPr>
            </w:pPr>
          </w:p>
        </w:tc>
        <w:tc>
          <w:tcPr>
            <w:tcW w:w="472" w:type="dxa"/>
            <w:tcBorders>
              <w:top w:val="nil"/>
              <w:left w:val="nil"/>
              <w:bottom w:val="nil"/>
              <w:right w:val="nil"/>
            </w:tcBorders>
            <w:shd w:val="clear" w:color="auto" w:fill="auto"/>
            <w:vAlign w:val="center"/>
          </w:tcPr>
          <w:p w14:paraId="207034FE">
            <w:pPr>
              <w:rPr>
                <w:rFonts w:hint="eastAsia" w:ascii="宋体" w:hAnsi="宋体" w:cs="宋体"/>
                <w:color w:val="000000"/>
                <w:sz w:val="18"/>
                <w:szCs w:val="18"/>
              </w:rPr>
            </w:pPr>
          </w:p>
        </w:tc>
        <w:tc>
          <w:tcPr>
            <w:tcW w:w="985" w:type="dxa"/>
            <w:tcBorders>
              <w:top w:val="nil"/>
              <w:left w:val="nil"/>
              <w:bottom w:val="nil"/>
              <w:right w:val="nil"/>
            </w:tcBorders>
            <w:shd w:val="clear" w:color="auto" w:fill="auto"/>
            <w:vAlign w:val="center"/>
          </w:tcPr>
          <w:p w14:paraId="0BADC3B3">
            <w:pPr>
              <w:rPr>
                <w:rFonts w:hint="eastAsia" w:ascii="宋体" w:hAnsi="宋体" w:cs="宋体"/>
                <w:color w:val="000000"/>
                <w:sz w:val="18"/>
                <w:szCs w:val="18"/>
              </w:rPr>
            </w:pPr>
          </w:p>
        </w:tc>
        <w:tc>
          <w:tcPr>
            <w:tcW w:w="486" w:type="dxa"/>
            <w:tcBorders>
              <w:top w:val="nil"/>
              <w:left w:val="nil"/>
              <w:bottom w:val="nil"/>
              <w:right w:val="nil"/>
            </w:tcBorders>
            <w:shd w:val="clear" w:color="auto" w:fill="auto"/>
            <w:vAlign w:val="center"/>
          </w:tcPr>
          <w:p w14:paraId="2439722F">
            <w:pPr>
              <w:rPr>
                <w:rFonts w:hint="eastAsia" w:ascii="宋体" w:hAnsi="宋体" w:cs="宋体"/>
                <w:color w:val="000000"/>
                <w:sz w:val="18"/>
                <w:szCs w:val="18"/>
              </w:rPr>
            </w:pPr>
          </w:p>
        </w:tc>
        <w:tc>
          <w:tcPr>
            <w:tcW w:w="405" w:type="dxa"/>
            <w:tcBorders>
              <w:top w:val="nil"/>
              <w:left w:val="nil"/>
              <w:bottom w:val="nil"/>
              <w:right w:val="nil"/>
            </w:tcBorders>
            <w:shd w:val="clear" w:color="auto" w:fill="auto"/>
            <w:vAlign w:val="center"/>
          </w:tcPr>
          <w:p w14:paraId="4ADE4BD7">
            <w:pPr>
              <w:rPr>
                <w:rFonts w:hint="eastAsia" w:ascii="宋体" w:hAnsi="宋体" w:cs="宋体"/>
                <w:color w:val="000000"/>
                <w:sz w:val="18"/>
                <w:szCs w:val="18"/>
              </w:rPr>
            </w:pPr>
          </w:p>
        </w:tc>
        <w:tc>
          <w:tcPr>
            <w:tcW w:w="3033" w:type="dxa"/>
            <w:tcBorders>
              <w:top w:val="nil"/>
              <w:left w:val="nil"/>
              <w:bottom w:val="nil"/>
              <w:right w:val="nil"/>
            </w:tcBorders>
            <w:shd w:val="clear" w:color="auto" w:fill="auto"/>
            <w:vAlign w:val="center"/>
          </w:tcPr>
          <w:p w14:paraId="4D105DFB">
            <w:pPr>
              <w:rPr>
                <w:rFonts w:hint="eastAsia" w:ascii="宋体" w:hAnsi="宋体" w:cs="宋体"/>
                <w:color w:val="000000"/>
                <w:sz w:val="18"/>
                <w:szCs w:val="18"/>
              </w:rPr>
            </w:pPr>
          </w:p>
        </w:tc>
      </w:tr>
      <w:tr w14:paraId="6410639B">
        <w:tblPrEx>
          <w:tblCellMar>
            <w:top w:w="0" w:type="dxa"/>
            <w:left w:w="108" w:type="dxa"/>
            <w:bottom w:w="0" w:type="dxa"/>
            <w:right w:w="108" w:type="dxa"/>
          </w:tblCellMar>
        </w:tblPrEx>
        <w:trPr>
          <w:trHeight w:val="904" w:hRule="atLeast"/>
        </w:trPr>
        <w:tc>
          <w:tcPr>
            <w:tcW w:w="134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D0BDDB">
            <w:pPr>
              <w:widowControl/>
              <w:jc w:val="center"/>
              <w:textAlignment w:val="center"/>
              <w:rPr>
                <w:rFonts w:hint="eastAsia"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5E90FE89">
        <w:tblPrEx>
          <w:tblCellMar>
            <w:top w:w="0" w:type="dxa"/>
            <w:left w:w="108" w:type="dxa"/>
            <w:bottom w:w="0" w:type="dxa"/>
            <w:right w:w="108" w:type="dxa"/>
          </w:tblCellMar>
        </w:tblPrEx>
        <w:trPr>
          <w:trHeight w:val="285" w:hRule="atLeast"/>
        </w:trPr>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A249F">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项目名称</w:t>
            </w:r>
          </w:p>
        </w:tc>
        <w:tc>
          <w:tcPr>
            <w:tcW w:w="109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EBD681">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51172423T000007999044-校舍维修改造</w:t>
            </w:r>
          </w:p>
        </w:tc>
      </w:tr>
      <w:tr w14:paraId="2B0BE546">
        <w:tblPrEx>
          <w:tblCellMar>
            <w:top w:w="0" w:type="dxa"/>
            <w:left w:w="108" w:type="dxa"/>
            <w:bottom w:w="0" w:type="dxa"/>
            <w:right w:w="108" w:type="dxa"/>
          </w:tblCellMar>
        </w:tblPrEx>
        <w:trPr>
          <w:trHeight w:val="514" w:hRule="atLeast"/>
        </w:trPr>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1A848">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主管部门</w:t>
            </w:r>
          </w:p>
        </w:tc>
        <w:tc>
          <w:tcPr>
            <w:tcW w:w="60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21BC2E">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大竹县高穴中学部门</w:t>
            </w:r>
          </w:p>
        </w:tc>
        <w:tc>
          <w:tcPr>
            <w:tcW w:w="985" w:type="dxa"/>
            <w:tcBorders>
              <w:top w:val="nil"/>
              <w:left w:val="nil"/>
              <w:bottom w:val="nil"/>
              <w:right w:val="nil"/>
            </w:tcBorders>
            <w:shd w:val="clear" w:color="auto" w:fill="auto"/>
            <w:vAlign w:val="center"/>
          </w:tcPr>
          <w:p w14:paraId="013D0B74">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3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ED135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大竹县高穴中学</w:t>
            </w:r>
          </w:p>
        </w:tc>
      </w:tr>
      <w:tr w14:paraId="2751D48E">
        <w:tblPrEx>
          <w:tblCellMar>
            <w:top w:w="0" w:type="dxa"/>
            <w:left w:w="108" w:type="dxa"/>
            <w:bottom w:w="0" w:type="dxa"/>
            <w:right w:w="108" w:type="dxa"/>
          </w:tblCellMar>
        </w:tblPrEx>
        <w:trPr>
          <w:trHeight w:val="285"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7664B">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项目基本情况</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BFB63">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1.项目年度目标完成情况</w:t>
            </w:r>
          </w:p>
        </w:tc>
        <w:tc>
          <w:tcPr>
            <w:tcW w:w="60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77E6A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项目年度目标</w:t>
            </w:r>
          </w:p>
        </w:tc>
        <w:tc>
          <w:tcPr>
            <w:tcW w:w="49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D7CFF6">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55C80BFB">
        <w:tblPrEx>
          <w:tblCellMar>
            <w:top w:w="0" w:type="dxa"/>
            <w:left w:w="108" w:type="dxa"/>
            <w:bottom w:w="0" w:type="dxa"/>
            <w:right w:w="108" w:type="dxa"/>
          </w:tblCellMar>
        </w:tblPrEx>
        <w:trPr>
          <w:trHeight w:val="70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40A4E">
            <w:pPr>
              <w:rPr>
                <w:rFonts w:hint="eastAsia" w:ascii="宋体" w:hAnsi="宋体" w:cs="宋体"/>
                <w:color w:val="000000"/>
                <w:sz w:val="18"/>
                <w:szCs w:val="18"/>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C0715">
            <w:pPr>
              <w:rPr>
                <w:rFonts w:hint="eastAsia" w:ascii="宋体" w:hAnsi="宋体" w:cs="宋体"/>
                <w:color w:val="000000"/>
                <w:sz w:val="18"/>
                <w:szCs w:val="18"/>
              </w:rPr>
            </w:pPr>
          </w:p>
        </w:tc>
        <w:tc>
          <w:tcPr>
            <w:tcW w:w="60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48AC09">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严格执行相关政策，保障校舍维修顺利实施，预算编制科学合理，减少结余资金</w:t>
            </w:r>
          </w:p>
        </w:tc>
        <w:tc>
          <w:tcPr>
            <w:tcW w:w="49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FCB568">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严格执行相关政策，保障校舍维修顺利实施。</w:t>
            </w:r>
          </w:p>
        </w:tc>
      </w:tr>
      <w:tr w14:paraId="56789611">
        <w:tblPrEx>
          <w:tblCellMar>
            <w:top w:w="0" w:type="dxa"/>
            <w:left w:w="108" w:type="dxa"/>
            <w:bottom w:w="0" w:type="dxa"/>
            <w:right w:w="108" w:type="dxa"/>
          </w:tblCellMar>
        </w:tblPrEx>
        <w:trPr>
          <w:trHeight w:val="694"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074AC">
            <w:pP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D82E">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109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5A338E">
            <w:pPr>
              <w:rPr>
                <w:rFonts w:hint="eastAsia" w:ascii="宋体" w:hAnsi="宋体" w:cs="宋体"/>
                <w:color w:val="000000"/>
                <w:sz w:val="18"/>
                <w:szCs w:val="18"/>
              </w:rPr>
            </w:pPr>
            <w:r>
              <w:rPr>
                <w:rFonts w:ascii="宋体" w:hAnsi="宋体" w:cs="宋体"/>
                <w:color w:val="000000"/>
                <w:kern w:val="0"/>
                <w:sz w:val="18"/>
                <w:szCs w:val="18"/>
                <w:lang w:bidi="ar"/>
              </w:rPr>
              <w:t>该资金全部用于学校校舍维修改造，验收合格，并支付完成。</w:t>
            </w:r>
          </w:p>
        </w:tc>
      </w:tr>
      <w:tr w14:paraId="4393BF0B">
        <w:tblPrEx>
          <w:tblCellMar>
            <w:top w:w="0" w:type="dxa"/>
            <w:left w:w="108" w:type="dxa"/>
            <w:bottom w:w="0" w:type="dxa"/>
            <w:right w:w="108" w:type="dxa"/>
          </w:tblCellMar>
        </w:tblPrEx>
        <w:trPr>
          <w:trHeight w:val="360"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1EEF4">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预算执行情况（10分）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EC3F">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年度预算数（万元）</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EC0E">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年初预算</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8D4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调整后预算数</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F7E5D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预算执行数</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250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233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BC8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996E">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原因</w:t>
            </w:r>
          </w:p>
        </w:tc>
      </w:tr>
      <w:tr w14:paraId="03C42456">
        <w:tblPrEx>
          <w:tblCellMar>
            <w:top w:w="0" w:type="dxa"/>
            <w:left w:w="108" w:type="dxa"/>
            <w:bottom w:w="0" w:type="dxa"/>
            <w:right w:w="108" w:type="dxa"/>
          </w:tblCellMar>
        </w:tblPrEx>
        <w:trPr>
          <w:trHeight w:val="34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4D7AC">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B0AF">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总额</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033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2B9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0.40</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83F6F">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0.40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2C1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382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2D6C">
            <w:pPr>
              <w:jc w:val="center"/>
              <w:rPr>
                <w:rFonts w:hint="eastAsia" w:ascii="宋体" w:hAnsi="宋体" w:cs="宋体"/>
                <w:color w:val="000000"/>
                <w:sz w:val="18"/>
                <w:szCs w:val="18"/>
              </w:rPr>
            </w:pPr>
          </w:p>
        </w:tc>
        <w:tc>
          <w:tcPr>
            <w:tcW w:w="3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63D23">
            <w:pPr>
              <w:widowControl/>
              <w:jc w:val="left"/>
              <w:textAlignment w:val="center"/>
              <w:rPr>
                <w:rFonts w:hint="eastAsia" w:ascii="黑体" w:hAnsi="黑体" w:eastAsia="黑体" w:cs="黑体"/>
                <w:i/>
                <w:iCs/>
                <w:color w:val="000000"/>
                <w:sz w:val="18"/>
                <w:szCs w:val="18"/>
              </w:rPr>
            </w:pPr>
            <w:r>
              <w:rPr>
                <w:rFonts w:hint="eastAsia" w:ascii="黑体" w:hAnsi="黑体" w:eastAsia="黑体" w:cs="宋体"/>
                <w:color w:val="000000"/>
                <w:sz w:val="18"/>
                <w:szCs w:val="18"/>
              </w:rPr>
              <w:t>财政追加学校校舍维修资金</w:t>
            </w:r>
          </w:p>
        </w:tc>
      </w:tr>
      <w:tr w14:paraId="68725FAE">
        <w:tblPrEx>
          <w:tblCellMar>
            <w:top w:w="0" w:type="dxa"/>
            <w:left w:w="108" w:type="dxa"/>
            <w:bottom w:w="0" w:type="dxa"/>
            <w:right w:w="108" w:type="dxa"/>
          </w:tblCellMar>
        </w:tblPrEx>
        <w:trPr>
          <w:trHeight w:val="39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2A8B3">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8A0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其中：财政资金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444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DBB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0.40</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AFFF4">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0.40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12E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F00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B99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3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259B">
            <w:pPr>
              <w:rPr>
                <w:rFonts w:hint="eastAsia" w:ascii="黑体" w:hAnsi="黑体" w:eastAsia="黑体" w:cs="黑体"/>
                <w:i/>
                <w:iCs/>
                <w:color w:val="000000"/>
                <w:sz w:val="18"/>
                <w:szCs w:val="18"/>
              </w:rPr>
            </w:pPr>
          </w:p>
        </w:tc>
      </w:tr>
      <w:tr w14:paraId="46F1CF26">
        <w:tblPrEx>
          <w:tblCellMar>
            <w:top w:w="0" w:type="dxa"/>
            <w:left w:w="108" w:type="dxa"/>
            <w:bottom w:w="0" w:type="dxa"/>
            <w:right w:w="108" w:type="dxa"/>
          </w:tblCellMar>
        </w:tblPrEx>
        <w:trPr>
          <w:trHeight w:val="40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D9525">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546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财政专户管理资金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DFF5">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A83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2740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7B9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7FD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0EB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3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241C4">
            <w:pPr>
              <w:rPr>
                <w:rFonts w:hint="eastAsia" w:ascii="黑体" w:hAnsi="黑体" w:eastAsia="黑体" w:cs="黑体"/>
                <w:i/>
                <w:iCs/>
                <w:color w:val="000000"/>
                <w:sz w:val="18"/>
                <w:szCs w:val="18"/>
              </w:rPr>
            </w:pPr>
          </w:p>
        </w:tc>
      </w:tr>
      <w:tr w14:paraId="611489C8">
        <w:tblPrEx>
          <w:tblCellMar>
            <w:top w:w="0" w:type="dxa"/>
            <w:left w:w="108" w:type="dxa"/>
            <w:bottom w:w="0" w:type="dxa"/>
            <w:right w:w="108" w:type="dxa"/>
          </w:tblCellMar>
        </w:tblPrEx>
        <w:trPr>
          <w:trHeight w:val="36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4C191">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AC9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单位资金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2F2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14B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2925C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D11C">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FC6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13F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3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5E44F">
            <w:pPr>
              <w:rPr>
                <w:rFonts w:hint="eastAsia" w:ascii="黑体" w:hAnsi="黑体" w:eastAsia="黑体" w:cs="黑体"/>
                <w:i/>
                <w:iCs/>
                <w:color w:val="000000"/>
                <w:sz w:val="18"/>
                <w:szCs w:val="18"/>
              </w:rPr>
            </w:pPr>
          </w:p>
        </w:tc>
      </w:tr>
      <w:tr w14:paraId="7DFB68F1">
        <w:tblPrEx>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6AAC0">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739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其他资金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9090">
            <w:pPr>
              <w:jc w:val="center"/>
              <w:rPr>
                <w:rFonts w:hint="eastAsia" w:ascii="微软雅黑" w:hAnsi="微软雅黑" w:eastAsia="微软雅黑" w:cs="微软雅黑"/>
                <w:i/>
                <w:iCs/>
                <w:color w:val="000000"/>
                <w:sz w:val="16"/>
                <w:szCs w:val="16"/>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CD23">
            <w:pPr>
              <w:jc w:val="center"/>
              <w:rPr>
                <w:rFonts w:hint="eastAsia" w:ascii="微软雅黑" w:hAnsi="微软雅黑" w:eastAsia="微软雅黑" w:cs="微软雅黑"/>
                <w:i/>
                <w:iCs/>
                <w:color w:val="000000"/>
                <w:sz w:val="16"/>
                <w:szCs w:val="16"/>
              </w:rPr>
            </w:pP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B95FA">
            <w:pPr>
              <w:jc w:val="center"/>
              <w:rPr>
                <w:rFonts w:hint="eastAsia" w:ascii="微软雅黑" w:hAnsi="微软雅黑" w:eastAsia="微软雅黑" w:cs="微软雅黑"/>
                <w:i/>
                <w:iCs/>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5EA1">
            <w:pPr>
              <w:jc w:val="center"/>
              <w:rPr>
                <w:rFonts w:hint="eastAsia"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12E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7F57">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3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7E866">
            <w:pPr>
              <w:rPr>
                <w:rFonts w:hint="eastAsia" w:ascii="黑体" w:hAnsi="黑体" w:eastAsia="黑体" w:cs="黑体"/>
                <w:i/>
                <w:iCs/>
                <w:color w:val="000000"/>
                <w:sz w:val="18"/>
                <w:szCs w:val="18"/>
              </w:rPr>
            </w:pPr>
          </w:p>
        </w:tc>
      </w:tr>
      <w:tr w14:paraId="137806B8">
        <w:tblPrEx>
          <w:tblCellMar>
            <w:top w:w="0" w:type="dxa"/>
            <w:left w:w="108" w:type="dxa"/>
            <w:bottom w:w="0" w:type="dxa"/>
            <w:right w:w="108" w:type="dxa"/>
          </w:tblCellMar>
        </w:tblPrEx>
        <w:trPr>
          <w:trHeight w:val="454"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5E83A">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绩效指标（90分）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CA84">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一级指标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14C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二级指标</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D71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4B7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指标性质</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0498">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指标值</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0D3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度量单位</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DFB4">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BA2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779A">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3333">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未完成原因分析</w:t>
            </w:r>
          </w:p>
        </w:tc>
      </w:tr>
      <w:tr w14:paraId="71F49C08">
        <w:tblPrEx>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6767D">
            <w:pPr>
              <w:jc w:val="center"/>
              <w:rPr>
                <w:rFonts w:hint="eastAsia"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9BB6">
            <w:pPr>
              <w:jc w:val="center"/>
              <w:rPr>
                <w:rFonts w:hint="eastAsia" w:ascii="宋体" w:hAnsi="宋体" w:cs="宋体"/>
                <w:color w:val="000000"/>
                <w:sz w:val="18"/>
                <w:szCs w:val="18"/>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6A2A">
            <w:pPr>
              <w:jc w:val="center"/>
              <w:rPr>
                <w:rFonts w:hint="eastAsia" w:ascii="宋体" w:hAnsi="宋体" w:cs="宋体"/>
                <w:color w:val="000000"/>
                <w:sz w:val="18"/>
                <w:szCs w:val="18"/>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86F3">
            <w:pPr>
              <w:jc w:val="center"/>
              <w:rPr>
                <w:rFonts w:hint="eastAsia" w:ascii="宋体" w:hAnsi="宋体" w:cs="宋体"/>
                <w:color w:val="000000"/>
                <w:sz w:val="18"/>
                <w:szCs w:val="18"/>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133D">
            <w:pPr>
              <w:jc w:val="center"/>
              <w:rPr>
                <w:rFonts w:hint="eastAsia" w:ascii="宋体" w:hAnsi="宋体" w:cs="宋体"/>
                <w:color w:val="000000"/>
                <w:sz w:val="18"/>
                <w:szCs w:val="18"/>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C17B">
            <w:pPr>
              <w:jc w:val="center"/>
              <w:rPr>
                <w:rFonts w:hint="eastAsia" w:ascii="宋体" w:hAnsi="宋体" w:cs="宋体"/>
                <w:color w:val="000000"/>
                <w:sz w:val="18"/>
                <w:szCs w:val="18"/>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7FFA">
            <w:pPr>
              <w:jc w:val="center"/>
              <w:rPr>
                <w:rFonts w:hint="eastAsia" w:ascii="宋体" w:hAnsi="宋体" w:cs="宋体"/>
                <w:color w:val="000000"/>
                <w:sz w:val="18"/>
                <w:szCs w:val="18"/>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49B4">
            <w:pPr>
              <w:jc w:val="center"/>
              <w:rPr>
                <w:rFonts w:hint="eastAsia"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347E">
            <w:pPr>
              <w:jc w:val="center"/>
              <w:rPr>
                <w:rFonts w:hint="eastAsia" w:ascii="宋体" w:hAnsi="宋体" w:cs="宋体"/>
                <w:color w:val="000000"/>
                <w:sz w:val="18"/>
                <w:szCs w:val="18"/>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7ECB">
            <w:pPr>
              <w:jc w:val="center"/>
              <w:rPr>
                <w:rFonts w:hint="eastAsia" w:ascii="宋体" w:hAnsi="宋体" w:cs="宋体"/>
                <w:color w:val="000000"/>
                <w:sz w:val="18"/>
                <w:szCs w:val="18"/>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145A">
            <w:pPr>
              <w:jc w:val="center"/>
              <w:rPr>
                <w:rFonts w:hint="eastAsia" w:ascii="微软雅黑" w:hAnsi="微软雅黑" w:eastAsia="微软雅黑" w:cs="微软雅黑"/>
                <w:i/>
                <w:iCs/>
                <w:color w:val="000000"/>
                <w:sz w:val="16"/>
                <w:szCs w:val="16"/>
              </w:rPr>
            </w:pPr>
          </w:p>
        </w:tc>
      </w:tr>
      <w:tr w14:paraId="7F053C1C">
        <w:tblPrEx>
          <w:tblCellMar>
            <w:top w:w="0" w:type="dxa"/>
            <w:left w:w="108" w:type="dxa"/>
            <w:bottom w:w="0" w:type="dxa"/>
            <w:right w:w="108" w:type="dxa"/>
          </w:tblCellMar>
        </w:tblPrEx>
        <w:trPr>
          <w:trHeight w:val="285" w:hRule="atLeast"/>
        </w:trPr>
        <w:tc>
          <w:tcPr>
            <w:tcW w:w="95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12C8D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4D6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4C13">
            <w:pPr>
              <w:rPr>
                <w:rFonts w:hint="eastAsia" w:ascii="宋体" w:hAnsi="宋体" w:cs="宋体"/>
                <w:color w:val="000000"/>
                <w:sz w:val="18"/>
                <w:szCs w:val="18"/>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3EDB">
            <w:pPr>
              <w:rPr>
                <w:rFonts w:hint="eastAsia" w:ascii="宋体" w:hAnsi="宋体" w:cs="宋体"/>
                <w:color w:val="000000"/>
                <w:sz w:val="18"/>
                <w:szCs w:val="18"/>
              </w:rPr>
            </w:pPr>
          </w:p>
        </w:tc>
      </w:tr>
      <w:tr w14:paraId="36948F76">
        <w:tblPrEx>
          <w:tblCellMar>
            <w:top w:w="0" w:type="dxa"/>
            <w:left w:w="108" w:type="dxa"/>
            <w:bottom w:w="0" w:type="dxa"/>
            <w:right w:w="108" w:type="dxa"/>
          </w:tblCellMar>
        </w:tblPrEx>
        <w:trPr>
          <w:trHeight w:val="60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F53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评价结论</w:t>
            </w:r>
          </w:p>
        </w:tc>
        <w:tc>
          <w:tcPr>
            <w:tcW w:w="12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CFCA66">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宋体"/>
                <w:color w:val="000000"/>
                <w:sz w:val="16"/>
                <w:szCs w:val="16"/>
              </w:rPr>
              <w:t>项目自评部分达到100分，通过实施项目达到预期目标，解决了实际问题，取得了显著成果。</w:t>
            </w:r>
          </w:p>
        </w:tc>
      </w:tr>
      <w:tr w14:paraId="04ADE8D1">
        <w:tblPrEx>
          <w:tblCellMar>
            <w:top w:w="0" w:type="dxa"/>
            <w:left w:w="108" w:type="dxa"/>
            <w:bottom w:w="0" w:type="dxa"/>
            <w:right w:w="108" w:type="dxa"/>
          </w:tblCellMar>
        </w:tblPrEx>
        <w:trPr>
          <w:trHeight w:val="57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64A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存在问题</w:t>
            </w:r>
          </w:p>
        </w:tc>
        <w:tc>
          <w:tcPr>
            <w:tcW w:w="12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314842">
            <w:pPr>
              <w:widowControl/>
              <w:jc w:val="left"/>
              <w:textAlignment w:val="center"/>
              <w:rPr>
                <w:rFonts w:hint="eastAsia" w:ascii="微软雅黑" w:hAnsi="微软雅黑" w:eastAsia="微软雅黑" w:cs="微软雅黑"/>
                <w:i/>
                <w:iCs/>
                <w:color w:val="000000"/>
                <w:sz w:val="16"/>
                <w:szCs w:val="16"/>
              </w:rPr>
            </w:pPr>
          </w:p>
        </w:tc>
      </w:tr>
      <w:tr w14:paraId="044D88CC">
        <w:tblPrEx>
          <w:tblCellMar>
            <w:top w:w="0" w:type="dxa"/>
            <w:left w:w="108" w:type="dxa"/>
            <w:bottom w:w="0" w:type="dxa"/>
            <w:right w:w="108" w:type="dxa"/>
          </w:tblCellMar>
        </w:tblPrEx>
        <w:trPr>
          <w:trHeight w:val="63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4F6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改进措施</w:t>
            </w:r>
          </w:p>
        </w:tc>
        <w:tc>
          <w:tcPr>
            <w:tcW w:w="12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F8D699">
            <w:pPr>
              <w:widowControl/>
              <w:jc w:val="left"/>
              <w:textAlignment w:val="center"/>
              <w:rPr>
                <w:rFonts w:hint="eastAsia" w:ascii="微软雅黑" w:hAnsi="微软雅黑" w:eastAsia="微软雅黑" w:cs="微软雅黑"/>
                <w:i/>
                <w:iCs/>
                <w:color w:val="000000"/>
                <w:sz w:val="16"/>
                <w:szCs w:val="16"/>
              </w:rPr>
            </w:pPr>
          </w:p>
        </w:tc>
      </w:tr>
      <w:tr w14:paraId="185B4FD6">
        <w:tblPrEx>
          <w:tblCellMar>
            <w:top w:w="0" w:type="dxa"/>
            <w:left w:w="108" w:type="dxa"/>
            <w:bottom w:w="0" w:type="dxa"/>
            <w:right w:w="108" w:type="dxa"/>
          </w:tblCellMar>
        </w:tblPrEx>
        <w:trPr>
          <w:trHeight w:val="285" w:hRule="atLeast"/>
        </w:trPr>
        <w:tc>
          <w:tcPr>
            <w:tcW w:w="65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85AC17">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项目负责人：张华健</w:t>
            </w:r>
          </w:p>
        </w:tc>
        <w:tc>
          <w:tcPr>
            <w:tcW w:w="68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27A7BF">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财务负责人：吴小然</w:t>
            </w:r>
          </w:p>
        </w:tc>
      </w:tr>
      <w:tr w14:paraId="49C0E22C">
        <w:tblPrEx>
          <w:tblCellMar>
            <w:top w:w="0" w:type="dxa"/>
            <w:left w:w="108" w:type="dxa"/>
            <w:bottom w:w="0" w:type="dxa"/>
            <w:right w:w="108" w:type="dxa"/>
          </w:tblCellMar>
        </w:tblPrEx>
        <w:trPr>
          <w:trHeight w:val="285" w:hRule="atLeast"/>
        </w:trPr>
        <w:tc>
          <w:tcPr>
            <w:tcW w:w="621" w:type="dxa"/>
            <w:tcBorders>
              <w:top w:val="nil"/>
              <w:left w:val="nil"/>
              <w:bottom w:val="nil"/>
              <w:right w:val="nil"/>
            </w:tcBorders>
            <w:shd w:val="clear" w:color="auto" w:fill="auto"/>
            <w:vAlign w:val="center"/>
          </w:tcPr>
          <w:p w14:paraId="02128B8E">
            <w:pPr>
              <w:rPr>
                <w:rFonts w:hint="eastAsia" w:ascii="宋体" w:hAnsi="宋体" w:cs="宋体"/>
                <w:color w:val="000000"/>
                <w:sz w:val="18"/>
                <w:szCs w:val="18"/>
              </w:rPr>
            </w:pPr>
          </w:p>
        </w:tc>
        <w:tc>
          <w:tcPr>
            <w:tcW w:w="1841" w:type="dxa"/>
            <w:tcBorders>
              <w:top w:val="nil"/>
              <w:left w:val="nil"/>
              <w:bottom w:val="nil"/>
              <w:right w:val="nil"/>
            </w:tcBorders>
            <w:shd w:val="clear" w:color="auto" w:fill="auto"/>
            <w:vAlign w:val="center"/>
          </w:tcPr>
          <w:p w14:paraId="1C806CA7">
            <w:pPr>
              <w:rPr>
                <w:rFonts w:hint="eastAsia" w:ascii="宋体" w:hAnsi="宋体" w:cs="宋体"/>
                <w:color w:val="000000"/>
                <w:sz w:val="18"/>
                <w:szCs w:val="18"/>
              </w:rPr>
            </w:pPr>
          </w:p>
        </w:tc>
        <w:tc>
          <w:tcPr>
            <w:tcW w:w="1586" w:type="dxa"/>
            <w:tcBorders>
              <w:top w:val="nil"/>
              <w:left w:val="nil"/>
              <w:bottom w:val="nil"/>
              <w:right w:val="nil"/>
            </w:tcBorders>
            <w:shd w:val="clear" w:color="auto" w:fill="auto"/>
            <w:vAlign w:val="center"/>
          </w:tcPr>
          <w:p w14:paraId="05D500A4">
            <w:pPr>
              <w:rPr>
                <w:rFonts w:hint="eastAsia" w:ascii="宋体" w:hAnsi="宋体" w:cs="宋体"/>
                <w:color w:val="000000"/>
                <w:sz w:val="18"/>
                <w:szCs w:val="18"/>
              </w:rPr>
            </w:pPr>
          </w:p>
        </w:tc>
        <w:tc>
          <w:tcPr>
            <w:tcW w:w="2029" w:type="dxa"/>
            <w:tcBorders>
              <w:top w:val="nil"/>
              <w:left w:val="nil"/>
              <w:bottom w:val="nil"/>
              <w:right w:val="nil"/>
            </w:tcBorders>
            <w:shd w:val="clear" w:color="auto" w:fill="auto"/>
            <w:vAlign w:val="center"/>
          </w:tcPr>
          <w:p w14:paraId="57864002">
            <w:pPr>
              <w:rPr>
                <w:rFonts w:hint="eastAsia" w:ascii="宋体" w:hAnsi="宋体" w:cs="宋体"/>
                <w:color w:val="000000"/>
                <w:sz w:val="18"/>
                <w:szCs w:val="18"/>
              </w:rPr>
            </w:pPr>
          </w:p>
        </w:tc>
        <w:tc>
          <w:tcPr>
            <w:tcW w:w="473" w:type="dxa"/>
            <w:tcBorders>
              <w:top w:val="nil"/>
              <w:left w:val="nil"/>
              <w:bottom w:val="nil"/>
              <w:right w:val="nil"/>
            </w:tcBorders>
            <w:shd w:val="clear" w:color="auto" w:fill="auto"/>
            <w:vAlign w:val="center"/>
          </w:tcPr>
          <w:p w14:paraId="545281EA">
            <w:pPr>
              <w:rPr>
                <w:rFonts w:hint="eastAsia" w:ascii="宋体" w:hAnsi="宋体" w:cs="宋体"/>
                <w:color w:val="000000"/>
                <w:sz w:val="18"/>
                <w:szCs w:val="18"/>
              </w:rPr>
            </w:pPr>
          </w:p>
        </w:tc>
        <w:tc>
          <w:tcPr>
            <w:tcW w:w="1504" w:type="dxa"/>
            <w:tcBorders>
              <w:top w:val="nil"/>
              <w:left w:val="nil"/>
              <w:bottom w:val="nil"/>
              <w:right w:val="nil"/>
            </w:tcBorders>
            <w:shd w:val="clear" w:color="auto" w:fill="auto"/>
            <w:vAlign w:val="center"/>
          </w:tcPr>
          <w:p w14:paraId="7C4ECB24">
            <w:pPr>
              <w:rPr>
                <w:rFonts w:hint="eastAsia" w:ascii="宋体" w:hAnsi="宋体" w:cs="宋体"/>
                <w:color w:val="000000"/>
                <w:sz w:val="18"/>
                <w:szCs w:val="18"/>
              </w:rPr>
            </w:pPr>
          </w:p>
        </w:tc>
        <w:tc>
          <w:tcPr>
            <w:tcW w:w="472" w:type="dxa"/>
            <w:tcBorders>
              <w:top w:val="nil"/>
              <w:left w:val="nil"/>
              <w:bottom w:val="nil"/>
              <w:right w:val="nil"/>
            </w:tcBorders>
            <w:shd w:val="clear" w:color="auto" w:fill="auto"/>
            <w:vAlign w:val="center"/>
          </w:tcPr>
          <w:p w14:paraId="75D41BD0">
            <w:pPr>
              <w:rPr>
                <w:rFonts w:hint="eastAsia" w:ascii="宋体" w:hAnsi="宋体" w:cs="宋体"/>
                <w:color w:val="000000"/>
                <w:sz w:val="18"/>
                <w:szCs w:val="18"/>
              </w:rPr>
            </w:pPr>
          </w:p>
        </w:tc>
        <w:tc>
          <w:tcPr>
            <w:tcW w:w="985" w:type="dxa"/>
            <w:tcBorders>
              <w:top w:val="nil"/>
              <w:left w:val="nil"/>
              <w:bottom w:val="nil"/>
              <w:right w:val="nil"/>
            </w:tcBorders>
            <w:shd w:val="clear" w:color="auto" w:fill="auto"/>
            <w:vAlign w:val="center"/>
          </w:tcPr>
          <w:p w14:paraId="653BDE97">
            <w:pPr>
              <w:rPr>
                <w:rFonts w:hint="eastAsia" w:ascii="宋体" w:hAnsi="宋体" w:cs="宋体"/>
                <w:color w:val="000000"/>
                <w:sz w:val="18"/>
                <w:szCs w:val="18"/>
              </w:rPr>
            </w:pPr>
          </w:p>
        </w:tc>
        <w:tc>
          <w:tcPr>
            <w:tcW w:w="486" w:type="dxa"/>
            <w:tcBorders>
              <w:top w:val="nil"/>
              <w:left w:val="nil"/>
              <w:bottom w:val="nil"/>
              <w:right w:val="nil"/>
            </w:tcBorders>
            <w:shd w:val="clear" w:color="auto" w:fill="auto"/>
            <w:vAlign w:val="center"/>
          </w:tcPr>
          <w:p w14:paraId="44D73394">
            <w:pPr>
              <w:rPr>
                <w:rFonts w:hint="eastAsia" w:ascii="宋体" w:hAnsi="宋体" w:cs="宋体"/>
                <w:color w:val="000000"/>
                <w:sz w:val="18"/>
                <w:szCs w:val="18"/>
              </w:rPr>
            </w:pPr>
          </w:p>
        </w:tc>
        <w:tc>
          <w:tcPr>
            <w:tcW w:w="405" w:type="dxa"/>
            <w:tcBorders>
              <w:top w:val="nil"/>
              <w:left w:val="nil"/>
              <w:bottom w:val="nil"/>
              <w:right w:val="nil"/>
            </w:tcBorders>
            <w:shd w:val="clear" w:color="auto" w:fill="auto"/>
            <w:vAlign w:val="center"/>
          </w:tcPr>
          <w:p w14:paraId="0EE27DC0">
            <w:pPr>
              <w:rPr>
                <w:rFonts w:hint="eastAsia" w:ascii="宋体" w:hAnsi="宋体" w:cs="宋体"/>
                <w:color w:val="000000"/>
                <w:sz w:val="18"/>
                <w:szCs w:val="18"/>
              </w:rPr>
            </w:pPr>
          </w:p>
        </w:tc>
        <w:tc>
          <w:tcPr>
            <w:tcW w:w="3033" w:type="dxa"/>
            <w:tcBorders>
              <w:top w:val="nil"/>
              <w:left w:val="nil"/>
              <w:bottom w:val="nil"/>
              <w:right w:val="nil"/>
            </w:tcBorders>
            <w:shd w:val="clear" w:color="auto" w:fill="auto"/>
            <w:vAlign w:val="center"/>
          </w:tcPr>
          <w:p w14:paraId="21FEDF15">
            <w:pPr>
              <w:rPr>
                <w:rFonts w:hint="eastAsia" w:ascii="宋体" w:hAnsi="宋体" w:cs="宋体"/>
                <w:color w:val="000000"/>
                <w:sz w:val="18"/>
                <w:szCs w:val="18"/>
              </w:rPr>
            </w:pPr>
          </w:p>
        </w:tc>
      </w:tr>
      <w:tr w14:paraId="590ED311">
        <w:tblPrEx>
          <w:tblCellMar>
            <w:top w:w="0" w:type="dxa"/>
            <w:left w:w="108" w:type="dxa"/>
            <w:bottom w:w="0" w:type="dxa"/>
            <w:right w:w="108" w:type="dxa"/>
          </w:tblCellMar>
        </w:tblPrEx>
        <w:trPr>
          <w:trHeight w:val="285" w:hRule="atLeast"/>
        </w:trPr>
        <w:tc>
          <w:tcPr>
            <w:tcW w:w="621" w:type="dxa"/>
            <w:tcBorders>
              <w:top w:val="nil"/>
              <w:left w:val="nil"/>
              <w:bottom w:val="nil"/>
              <w:right w:val="nil"/>
            </w:tcBorders>
            <w:shd w:val="clear" w:color="auto" w:fill="auto"/>
            <w:vAlign w:val="center"/>
          </w:tcPr>
          <w:p w14:paraId="07B19F02">
            <w:pPr>
              <w:rPr>
                <w:rFonts w:hint="eastAsia" w:ascii="宋体" w:hAnsi="宋体" w:cs="宋体"/>
                <w:color w:val="000000"/>
                <w:sz w:val="18"/>
                <w:szCs w:val="18"/>
              </w:rPr>
            </w:pPr>
          </w:p>
        </w:tc>
        <w:tc>
          <w:tcPr>
            <w:tcW w:w="1841" w:type="dxa"/>
            <w:tcBorders>
              <w:top w:val="nil"/>
              <w:left w:val="nil"/>
              <w:bottom w:val="nil"/>
              <w:right w:val="nil"/>
            </w:tcBorders>
            <w:shd w:val="clear" w:color="auto" w:fill="auto"/>
            <w:vAlign w:val="center"/>
          </w:tcPr>
          <w:p w14:paraId="442DCE38">
            <w:pPr>
              <w:rPr>
                <w:rFonts w:hint="eastAsia" w:ascii="宋体" w:hAnsi="宋体" w:cs="宋体"/>
                <w:color w:val="000000"/>
                <w:sz w:val="18"/>
                <w:szCs w:val="18"/>
              </w:rPr>
            </w:pPr>
          </w:p>
        </w:tc>
        <w:tc>
          <w:tcPr>
            <w:tcW w:w="1586" w:type="dxa"/>
            <w:tcBorders>
              <w:top w:val="nil"/>
              <w:left w:val="nil"/>
              <w:bottom w:val="nil"/>
              <w:right w:val="nil"/>
            </w:tcBorders>
            <w:shd w:val="clear" w:color="auto" w:fill="auto"/>
            <w:vAlign w:val="center"/>
          </w:tcPr>
          <w:p w14:paraId="2C4D008E">
            <w:pPr>
              <w:rPr>
                <w:rFonts w:hint="eastAsia" w:ascii="宋体" w:hAnsi="宋体" w:cs="宋体"/>
                <w:color w:val="000000"/>
                <w:sz w:val="18"/>
                <w:szCs w:val="18"/>
              </w:rPr>
            </w:pPr>
          </w:p>
        </w:tc>
        <w:tc>
          <w:tcPr>
            <w:tcW w:w="2029" w:type="dxa"/>
            <w:tcBorders>
              <w:top w:val="nil"/>
              <w:left w:val="nil"/>
              <w:bottom w:val="nil"/>
              <w:right w:val="nil"/>
            </w:tcBorders>
            <w:shd w:val="clear" w:color="auto" w:fill="auto"/>
            <w:vAlign w:val="center"/>
          </w:tcPr>
          <w:p w14:paraId="211B02A2">
            <w:pPr>
              <w:rPr>
                <w:rFonts w:hint="eastAsia" w:ascii="宋体" w:hAnsi="宋体" w:cs="宋体"/>
                <w:color w:val="000000"/>
                <w:sz w:val="18"/>
                <w:szCs w:val="18"/>
              </w:rPr>
            </w:pPr>
          </w:p>
        </w:tc>
        <w:tc>
          <w:tcPr>
            <w:tcW w:w="473" w:type="dxa"/>
            <w:tcBorders>
              <w:top w:val="nil"/>
              <w:left w:val="nil"/>
              <w:bottom w:val="nil"/>
              <w:right w:val="nil"/>
            </w:tcBorders>
            <w:shd w:val="clear" w:color="auto" w:fill="auto"/>
            <w:vAlign w:val="center"/>
          </w:tcPr>
          <w:p w14:paraId="2440B96D">
            <w:pPr>
              <w:rPr>
                <w:rFonts w:hint="eastAsia" w:ascii="宋体" w:hAnsi="宋体" w:cs="宋体"/>
                <w:color w:val="000000"/>
                <w:sz w:val="18"/>
                <w:szCs w:val="18"/>
              </w:rPr>
            </w:pPr>
          </w:p>
        </w:tc>
        <w:tc>
          <w:tcPr>
            <w:tcW w:w="1504" w:type="dxa"/>
            <w:tcBorders>
              <w:top w:val="nil"/>
              <w:left w:val="nil"/>
              <w:bottom w:val="nil"/>
              <w:right w:val="nil"/>
            </w:tcBorders>
            <w:shd w:val="clear" w:color="auto" w:fill="auto"/>
            <w:vAlign w:val="center"/>
          </w:tcPr>
          <w:p w14:paraId="62164364">
            <w:pPr>
              <w:rPr>
                <w:rFonts w:hint="eastAsia" w:ascii="宋体" w:hAnsi="宋体" w:cs="宋体"/>
                <w:color w:val="000000"/>
                <w:sz w:val="18"/>
                <w:szCs w:val="18"/>
              </w:rPr>
            </w:pPr>
          </w:p>
        </w:tc>
        <w:tc>
          <w:tcPr>
            <w:tcW w:w="472" w:type="dxa"/>
            <w:tcBorders>
              <w:top w:val="nil"/>
              <w:left w:val="nil"/>
              <w:bottom w:val="nil"/>
              <w:right w:val="nil"/>
            </w:tcBorders>
            <w:shd w:val="clear" w:color="auto" w:fill="auto"/>
            <w:vAlign w:val="center"/>
          </w:tcPr>
          <w:p w14:paraId="0B244765">
            <w:pPr>
              <w:rPr>
                <w:rFonts w:hint="eastAsia" w:ascii="宋体" w:hAnsi="宋体" w:cs="宋体"/>
                <w:color w:val="000000"/>
                <w:sz w:val="18"/>
                <w:szCs w:val="18"/>
              </w:rPr>
            </w:pPr>
          </w:p>
        </w:tc>
        <w:tc>
          <w:tcPr>
            <w:tcW w:w="985" w:type="dxa"/>
            <w:tcBorders>
              <w:top w:val="nil"/>
              <w:left w:val="nil"/>
              <w:bottom w:val="nil"/>
              <w:right w:val="nil"/>
            </w:tcBorders>
            <w:shd w:val="clear" w:color="auto" w:fill="auto"/>
            <w:vAlign w:val="center"/>
          </w:tcPr>
          <w:p w14:paraId="09D3AF08">
            <w:pPr>
              <w:rPr>
                <w:rFonts w:hint="eastAsia" w:ascii="宋体" w:hAnsi="宋体" w:cs="宋体"/>
                <w:color w:val="000000"/>
                <w:sz w:val="18"/>
                <w:szCs w:val="18"/>
              </w:rPr>
            </w:pPr>
          </w:p>
        </w:tc>
        <w:tc>
          <w:tcPr>
            <w:tcW w:w="486" w:type="dxa"/>
            <w:tcBorders>
              <w:top w:val="nil"/>
              <w:left w:val="nil"/>
              <w:bottom w:val="nil"/>
              <w:right w:val="nil"/>
            </w:tcBorders>
            <w:shd w:val="clear" w:color="auto" w:fill="auto"/>
            <w:vAlign w:val="center"/>
          </w:tcPr>
          <w:p w14:paraId="18EE885F">
            <w:pPr>
              <w:rPr>
                <w:rFonts w:hint="eastAsia" w:ascii="宋体" w:hAnsi="宋体" w:cs="宋体"/>
                <w:color w:val="000000"/>
                <w:sz w:val="18"/>
                <w:szCs w:val="18"/>
              </w:rPr>
            </w:pPr>
          </w:p>
        </w:tc>
        <w:tc>
          <w:tcPr>
            <w:tcW w:w="405" w:type="dxa"/>
            <w:tcBorders>
              <w:top w:val="nil"/>
              <w:left w:val="nil"/>
              <w:bottom w:val="nil"/>
              <w:right w:val="nil"/>
            </w:tcBorders>
            <w:shd w:val="clear" w:color="auto" w:fill="auto"/>
            <w:vAlign w:val="center"/>
          </w:tcPr>
          <w:p w14:paraId="11F25C69">
            <w:pPr>
              <w:rPr>
                <w:rFonts w:hint="eastAsia" w:ascii="宋体" w:hAnsi="宋体" w:cs="宋体"/>
                <w:color w:val="000000"/>
                <w:sz w:val="18"/>
                <w:szCs w:val="18"/>
              </w:rPr>
            </w:pPr>
          </w:p>
        </w:tc>
        <w:tc>
          <w:tcPr>
            <w:tcW w:w="3033" w:type="dxa"/>
            <w:tcBorders>
              <w:top w:val="nil"/>
              <w:left w:val="nil"/>
              <w:bottom w:val="nil"/>
              <w:right w:val="nil"/>
            </w:tcBorders>
            <w:shd w:val="clear" w:color="auto" w:fill="auto"/>
            <w:vAlign w:val="center"/>
          </w:tcPr>
          <w:p w14:paraId="19CFEEF4">
            <w:pPr>
              <w:rPr>
                <w:rFonts w:hint="eastAsia" w:ascii="宋体" w:hAnsi="宋体" w:cs="宋体"/>
                <w:color w:val="000000"/>
                <w:sz w:val="18"/>
                <w:szCs w:val="18"/>
              </w:rPr>
            </w:pPr>
          </w:p>
        </w:tc>
      </w:tr>
      <w:bookmarkEnd w:id="83"/>
      <w:bookmarkEnd w:id="85"/>
    </w:tbl>
    <w:p w14:paraId="676AAEFF">
      <w:pPr>
        <w:rPr>
          <w:rStyle w:val="24"/>
          <w:rFonts w:hint="eastAsia" w:ascii="黑体" w:hAnsi="黑体" w:eastAsia="黑体"/>
          <w:b w:val="0"/>
        </w:rPr>
        <w:sectPr>
          <w:footerReference r:id="rId11" w:type="first"/>
          <w:footerReference r:id="rId10" w:type="default"/>
          <w:pgSz w:w="16838" w:h="11906" w:orient="landscape"/>
          <w:pgMar w:top="1803" w:right="1440" w:bottom="1803" w:left="1440" w:header="851" w:footer="992" w:gutter="0"/>
          <w:pgNumType w:fmt="decimal"/>
          <w:cols w:space="0" w:num="1"/>
          <w:titlePg/>
          <w:docGrid w:type="lines" w:linePitch="319" w:charSpace="0"/>
        </w:sectPr>
      </w:pPr>
    </w:p>
    <w:p w14:paraId="05C69206">
      <w:pPr>
        <w:spacing w:line="600" w:lineRule="exact"/>
        <w:jc w:val="center"/>
        <w:outlineLvl w:val="0"/>
        <w:rPr>
          <w:rFonts w:hint="eastAsia" w:ascii="仿宋" w:hAnsi="仿宋" w:eastAsia="仿宋"/>
        </w:rPr>
      </w:pPr>
      <w:bookmarkStart w:id="86" w:name="_Toc15696"/>
      <w:r>
        <w:rPr>
          <w:rFonts w:hint="eastAsia" w:ascii="黑体" w:hAnsi="黑体" w:eastAsia="黑体"/>
          <w:sz w:val="44"/>
          <w:szCs w:val="44"/>
        </w:rPr>
        <w:t>第</w:t>
      </w:r>
      <w:r>
        <w:rPr>
          <w:rStyle w:val="33"/>
          <w:rFonts w:hint="eastAsia" w:ascii="黑体" w:hAnsi="黑体" w:eastAsia="黑体"/>
          <w:b w:val="0"/>
        </w:rPr>
        <w:t>五部分 附表</w:t>
      </w:r>
      <w:bookmarkEnd w:id="86"/>
      <w:bookmarkStart w:id="87" w:name="_Toc15396619"/>
    </w:p>
    <w:p w14:paraId="2DDCA1B5">
      <w:pPr>
        <w:pStyle w:val="3"/>
        <w:bidi w:val="0"/>
        <w:rPr>
          <w:rFonts w:hint="eastAsia"/>
        </w:rPr>
      </w:pPr>
      <w:bookmarkStart w:id="88" w:name="_Toc9002"/>
      <w:r>
        <w:rPr>
          <w:rFonts w:hint="eastAsia"/>
        </w:rPr>
        <w:t>一、收入支出决算总表</w:t>
      </w:r>
      <w:bookmarkEnd w:id="87"/>
      <w:bookmarkEnd w:id="88"/>
    </w:p>
    <w:p w14:paraId="04347912">
      <w:pPr>
        <w:pStyle w:val="3"/>
        <w:bidi w:val="0"/>
        <w:rPr>
          <w:rFonts w:hint="eastAsia"/>
        </w:rPr>
      </w:pPr>
      <w:bookmarkStart w:id="89" w:name="_Toc15396620"/>
      <w:bookmarkStart w:id="90" w:name="_Toc21070"/>
      <w:r>
        <w:rPr>
          <w:rFonts w:hint="eastAsia"/>
        </w:rPr>
        <w:t>二、收入决算表</w:t>
      </w:r>
      <w:bookmarkEnd w:id="89"/>
      <w:bookmarkEnd w:id="90"/>
    </w:p>
    <w:p w14:paraId="6C15529F">
      <w:pPr>
        <w:pStyle w:val="3"/>
        <w:bidi w:val="0"/>
        <w:rPr>
          <w:rFonts w:hint="eastAsia"/>
        </w:rPr>
      </w:pPr>
      <w:bookmarkStart w:id="91" w:name="_Toc5304"/>
      <w:bookmarkStart w:id="92" w:name="_Toc15396621"/>
      <w:r>
        <w:rPr>
          <w:rFonts w:hint="eastAsia"/>
        </w:rPr>
        <w:t>三、支出决算表</w:t>
      </w:r>
      <w:bookmarkEnd w:id="91"/>
      <w:bookmarkEnd w:id="92"/>
    </w:p>
    <w:p w14:paraId="090F889D">
      <w:pPr>
        <w:pStyle w:val="3"/>
        <w:bidi w:val="0"/>
        <w:rPr>
          <w:rFonts w:hint="eastAsia"/>
        </w:rPr>
      </w:pPr>
      <w:bookmarkStart w:id="93" w:name="_Toc18475"/>
      <w:bookmarkStart w:id="94" w:name="_Toc15396622"/>
      <w:r>
        <w:rPr>
          <w:rFonts w:hint="eastAsia"/>
        </w:rPr>
        <w:t>四、财政拨款收入支出决算总表</w:t>
      </w:r>
      <w:bookmarkEnd w:id="93"/>
      <w:bookmarkEnd w:id="94"/>
    </w:p>
    <w:p w14:paraId="33F8A369">
      <w:pPr>
        <w:pStyle w:val="3"/>
        <w:bidi w:val="0"/>
        <w:rPr>
          <w:rFonts w:hint="eastAsia"/>
        </w:rPr>
      </w:pPr>
      <w:bookmarkStart w:id="95" w:name="_Toc16175"/>
      <w:bookmarkStart w:id="96" w:name="_Toc15396623"/>
      <w:r>
        <w:rPr>
          <w:rFonts w:hint="eastAsia"/>
        </w:rPr>
        <w:t>五、财政拨款支出决算明细表</w:t>
      </w:r>
      <w:bookmarkEnd w:id="95"/>
      <w:bookmarkEnd w:id="96"/>
      <w:bookmarkStart w:id="97" w:name="_Toc15396624"/>
    </w:p>
    <w:p w14:paraId="64A1CBB5">
      <w:pPr>
        <w:pStyle w:val="3"/>
        <w:bidi w:val="0"/>
        <w:rPr>
          <w:rFonts w:hint="eastAsia"/>
        </w:rPr>
      </w:pPr>
      <w:bookmarkStart w:id="98" w:name="_Toc25025"/>
      <w:r>
        <w:rPr>
          <w:rFonts w:hint="eastAsia"/>
        </w:rPr>
        <w:t>六、一般公共预算财政拨款支出决算表</w:t>
      </w:r>
      <w:bookmarkEnd w:id="97"/>
      <w:bookmarkEnd w:id="98"/>
    </w:p>
    <w:p w14:paraId="2E10D36B">
      <w:pPr>
        <w:pStyle w:val="3"/>
        <w:bidi w:val="0"/>
        <w:rPr>
          <w:rFonts w:hint="eastAsia"/>
        </w:rPr>
      </w:pPr>
      <w:bookmarkStart w:id="99" w:name="_Toc15396625"/>
      <w:bookmarkStart w:id="100" w:name="_Toc28702"/>
      <w:r>
        <w:rPr>
          <w:rFonts w:hint="eastAsia"/>
        </w:rPr>
        <w:t>七、一般公共预算财政拨款支出决算明细表</w:t>
      </w:r>
      <w:bookmarkEnd w:id="99"/>
      <w:bookmarkEnd w:id="100"/>
    </w:p>
    <w:p w14:paraId="568B8297">
      <w:pPr>
        <w:pStyle w:val="3"/>
        <w:bidi w:val="0"/>
        <w:rPr>
          <w:rFonts w:hint="eastAsia"/>
        </w:rPr>
      </w:pPr>
      <w:bookmarkStart w:id="101" w:name="_Toc15396626"/>
      <w:bookmarkStart w:id="102" w:name="_Toc31737"/>
      <w:r>
        <w:rPr>
          <w:rFonts w:hint="eastAsia"/>
        </w:rPr>
        <w:t>八、一般公共预算财政拨款基本支出决算表</w:t>
      </w:r>
      <w:bookmarkEnd w:id="101"/>
      <w:bookmarkEnd w:id="102"/>
    </w:p>
    <w:p w14:paraId="411DC913">
      <w:pPr>
        <w:pStyle w:val="3"/>
        <w:bidi w:val="0"/>
        <w:rPr>
          <w:rFonts w:hint="eastAsia"/>
        </w:rPr>
      </w:pPr>
      <w:bookmarkStart w:id="103" w:name="_Toc10240"/>
      <w:bookmarkStart w:id="104" w:name="_Toc15396627"/>
      <w:r>
        <w:rPr>
          <w:rFonts w:hint="eastAsia"/>
        </w:rPr>
        <w:t>九、一般公共预算财政拨款项目支出决算表</w:t>
      </w:r>
      <w:bookmarkEnd w:id="103"/>
      <w:bookmarkEnd w:id="104"/>
    </w:p>
    <w:p w14:paraId="2EB7BF29">
      <w:pPr>
        <w:pStyle w:val="3"/>
        <w:bidi w:val="0"/>
        <w:rPr>
          <w:rFonts w:hint="eastAsia"/>
        </w:rPr>
      </w:pPr>
      <w:bookmarkStart w:id="105" w:name="_Toc15396628"/>
      <w:bookmarkStart w:id="106" w:name="_Toc6097"/>
      <w:r>
        <w:rPr>
          <w:rFonts w:hint="eastAsia"/>
        </w:rPr>
        <w:t>十、</w:t>
      </w:r>
      <w:bookmarkEnd w:id="105"/>
      <w:r>
        <w:rPr>
          <w:rFonts w:hint="eastAsia"/>
        </w:rPr>
        <w:t>政府性基金预算财政拨款收入支出决算表</w:t>
      </w:r>
      <w:bookmarkEnd w:id="106"/>
    </w:p>
    <w:p w14:paraId="5A2D58E4">
      <w:pPr>
        <w:pStyle w:val="3"/>
        <w:bidi w:val="0"/>
        <w:rPr>
          <w:rFonts w:hint="eastAsia"/>
        </w:rPr>
      </w:pPr>
      <w:bookmarkStart w:id="107" w:name="_Toc15396629"/>
      <w:bookmarkStart w:id="108" w:name="_Toc1183"/>
      <w:r>
        <w:rPr>
          <w:rFonts w:hint="eastAsia"/>
        </w:rPr>
        <w:t>十一、</w:t>
      </w:r>
      <w:bookmarkEnd w:id="107"/>
      <w:r>
        <w:rPr>
          <w:rFonts w:hint="eastAsia"/>
        </w:rPr>
        <w:t>国有资本经营预算财政拨款收入支出决算表</w:t>
      </w:r>
      <w:bookmarkEnd w:id="108"/>
    </w:p>
    <w:p w14:paraId="18B80A3B">
      <w:pPr>
        <w:pStyle w:val="3"/>
        <w:bidi w:val="0"/>
        <w:rPr>
          <w:rFonts w:hint="eastAsia"/>
        </w:rPr>
      </w:pPr>
      <w:bookmarkStart w:id="109" w:name="_Toc15396630"/>
      <w:bookmarkStart w:id="110" w:name="_Toc419"/>
      <w:r>
        <w:rPr>
          <w:rFonts w:hint="eastAsia"/>
        </w:rPr>
        <w:t>十二、</w:t>
      </w:r>
      <w:bookmarkEnd w:id="109"/>
      <w:r>
        <w:rPr>
          <w:rFonts w:hint="eastAsia"/>
        </w:rPr>
        <w:t>国有资本经营预算财政拨款支出决算表</w:t>
      </w:r>
      <w:bookmarkEnd w:id="110"/>
    </w:p>
    <w:p w14:paraId="676D4662">
      <w:pPr>
        <w:pStyle w:val="3"/>
        <w:bidi w:val="0"/>
      </w:pPr>
      <w:bookmarkStart w:id="111" w:name="_Toc15396631"/>
      <w:bookmarkStart w:id="112" w:name="_Toc6075"/>
      <w:r>
        <w:rPr>
          <w:rFonts w:hint="eastAsia"/>
        </w:rPr>
        <w:t>十三、</w:t>
      </w:r>
      <w:bookmarkEnd w:id="111"/>
      <w:r>
        <w:rPr>
          <w:rFonts w:hint="eastAsia"/>
        </w:rPr>
        <w:t>财政拨款“三公”经费支出决算表</w:t>
      </w:r>
      <w:bookmarkEnd w:id="112"/>
    </w:p>
    <w:p w14:paraId="66320C58">
      <w:pPr>
        <w:spacing w:line="600" w:lineRule="exact"/>
        <w:jc w:val="center"/>
        <w:outlineLvl w:val="0"/>
        <w:rPr>
          <w:rStyle w:val="24"/>
          <w:rFonts w:hint="eastAsia" w:ascii="黑体" w:hAnsi="黑体" w:eastAsia="黑体"/>
          <w:b w:val="0"/>
        </w:rPr>
      </w:pPr>
    </w:p>
    <w:sectPr>
      <w:pgSz w:w="11906" w:h="16838"/>
      <w:pgMar w:top="1440" w:right="1803" w:bottom="1440" w:left="1803" w:header="851" w:footer="992" w:gutter="0"/>
      <w:pgNumType w:fmt="decimal"/>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A56B">
    <w:pPr>
      <w:pStyle w:val="8"/>
      <w:jc w:val="center"/>
    </w:pPr>
  </w:p>
  <w:p w14:paraId="7EE3B86F">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6860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E94B8">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CDE2A">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79CDE2A">
                    <w:pPr>
                      <w:pStyle w:val="8"/>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9FB53">
    <w:pPr>
      <w:pStyle w:val="8"/>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3791"/>
                            <w:docPartObj>
                              <w:docPartGallery w:val="autotext"/>
                            </w:docPartObj>
                          </w:sdtPr>
                          <w:sdtContent>
                            <w:p w14:paraId="07BF76BC">
                              <w:pPr>
                                <w:pStyle w:val="8"/>
                                <w:jc w:val="center"/>
                              </w:pPr>
                              <w:r>
                                <w:fldChar w:fldCharType="begin"/>
                              </w:r>
                              <w:r>
                                <w:instrText xml:space="preserve">PAGE   \* MERGEFORMAT</w:instrText>
                              </w:r>
                              <w:r>
                                <w:fldChar w:fldCharType="separate"/>
                              </w:r>
                              <w:r>
                                <w:rPr>
                                  <w:lang w:val="zh-CN"/>
                                </w:rPr>
                                <w:t>2</w:t>
                              </w:r>
                              <w:r>
                                <w:fldChar w:fldCharType="end"/>
                              </w:r>
                            </w:p>
                          </w:sdtContent>
                        </w:sdt>
                        <w:p w14:paraId="5F3FFE4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73791"/>
                      <w:docPartObj>
                        <w:docPartGallery w:val="autotext"/>
                      </w:docPartObj>
                    </w:sdtPr>
                    <w:sdtContent>
                      <w:p w14:paraId="07BF76BC">
                        <w:pPr>
                          <w:pStyle w:val="8"/>
                          <w:jc w:val="center"/>
                        </w:pPr>
                        <w:r>
                          <w:fldChar w:fldCharType="begin"/>
                        </w:r>
                        <w:r>
                          <w:instrText xml:space="preserve">PAGE   \* MERGEFORMAT</w:instrText>
                        </w:r>
                        <w:r>
                          <w:fldChar w:fldCharType="separate"/>
                        </w:r>
                        <w:r>
                          <w:rPr>
                            <w:lang w:val="zh-CN"/>
                          </w:rPr>
                          <w:t>2</w:t>
                        </w:r>
                        <w:r>
                          <w:fldChar w:fldCharType="end"/>
                        </w:r>
                      </w:p>
                    </w:sdtContent>
                  </w:sdt>
                  <w:p w14:paraId="5F3FFE41"/>
                </w:txbxContent>
              </v:textbox>
            </v:shape>
          </w:pict>
        </mc:Fallback>
      </mc:AlternateContent>
    </w:r>
  </w:p>
  <w:p w14:paraId="585DE72B">
    <w:pPr>
      <w:pStyle w:val="8"/>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44A29">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CFED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07CFED4">
                    <w:pPr>
                      <w:pStyle w:val="8"/>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4B149">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604B149">
                    <w:pPr>
                      <w:pStyle w:val="8"/>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95E07">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B9AD6">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9DB9AD6">
                    <w:pPr>
                      <w:pStyle w:val="8"/>
                    </w:pPr>
                    <w:r>
                      <w:fldChar w:fldCharType="begin"/>
                    </w:r>
                    <w:r>
                      <w:instrText xml:space="preserve"> PAGE  \* MERGEFORMAT </w:instrText>
                    </w:r>
                    <w:r>
                      <w:fldChar w:fldCharType="separate"/>
                    </w:r>
                    <w:r>
                      <w:t>18</w:t>
                    </w:r>
                    <w:r>
                      <w:fldChar w:fldCharType="end"/>
                    </w:r>
                  </w:p>
                </w:txbxContent>
              </v:textbox>
            </v:shape>
          </w:pict>
        </mc:Fallback>
      </mc:AlternateContent>
    </w:r>
  </w:p>
  <w:p w14:paraId="7B38F779">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43867">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2AD72">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122AD72">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402B">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9954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E49C5"/>
    <w:multiLevelType w:val="singleLevel"/>
    <w:tmpl w:val="C42E49C5"/>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3B056D9"/>
    <w:multiLevelType w:val="singleLevel"/>
    <w:tmpl w:val="63B056D9"/>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YWI4ZjdiZGZiMjBmNWNkOTk3YzE2YWQxNmQyZD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01C1"/>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A7723"/>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3ED0"/>
    <w:rsid w:val="0083706E"/>
    <w:rsid w:val="008408F6"/>
    <w:rsid w:val="008423A5"/>
    <w:rsid w:val="00850625"/>
    <w:rsid w:val="00853718"/>
    <w:rsid w:val="00855221"/>
    <w:rsid w:val="00860645"/>
    <w:rsid w:val="00871F71"/>
    <w:rsid w:val="00872FD8"/>
    <w:rsid w:val="00885AF4"/>
    <w:rsid w:val="0089364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4D36"/>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3727"/>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6058"/>
    <w:rsid w:val="00F602DF"/>
    <w:rsid w:val="00F754A1"/>
    <w:rsid w:val="00F81FD9"/>
    <w:rsid w:val="00F841AA"/>
    <w:rsid w:val="00F84A94"/>
    <w:rsid w:val="00F87E96"/>
    <w:rsid w:val="00FA23E8"/>
    <w:rsid w:val="00FD3CC1"/>
    <w:rsid w:val="00FF1E02"/>
    <w:rsid w:val="00FF30B4"/>
    <w:rsid w:val="01254BA9"/>
    <w:rsid w:val="03E07A24"/>
    <w:rsid w:val="04070C21"/>
    <w:rsid w:val="05374EDC"/>
    <w:rsid w:val="064655EB"/>
    <w:rsid w:val="06902E7C"/>
    <w:rsid w:val="06A04A2E"/>
    <w:rsid w:val="086A485C"/>
    <w:rsid w:val="08730E67"/>
    <w:rsid w:val="0A2032A3"/>
    <w:rsid w:val="0A474359"/>
    <w:rsid w:val="0A4E52DF"/>
    <w:rsid w:val="0B8A37D8"/>
    <w:rsid w:val="0BD936D7"/>
    <w:rsid w:val="0C434FF4"/>
    <w:rsid w:val="0C9900E4"/>
    <w:rsid w:val="0D520BA7"/>
    <w:rsid w:val="0EBF0E0C"/>
    <w:rsid w:val="0EC40FD8"/>
    <w:rsid w:val="0FB029A1"/>
    <w:rsid w:val="10550CA3"/>
    <w:rsid w:val="10923E54"/>
    <w:rsid w:val="10A03C51"/>
    <w:rsid w:val="10C055FF"/>
    <w:rsid w:val="10FF01BF"/>
    <w:rsid w:val="114321DA"/>
    <w:rsid w:val="11765FEF"/>
    <w:rsid w:val="118107EC"/>
    <w:rsid w:val="11DD6519"/>
    <w:rsid w:val="121A6898"/>
    <w:rsid w:val="128F2D41"/>
    <w:rsid w:val="12C0114D"/>
    <w:rsid w:val="12C86F91"/>
    <w:rsid w:val="12CE11AA"/>
    <w:rsid w:val="12E7689C"/>
    <w:rsid w:val="136151FC"/>
    <w:rsid w:val="14E54E9B"/>
    <w:rsid w:val="14EC3B64"/>
    <w:rsid w:val="15D867AD"/>
    <w:rsid w:val="160F7CF5"/>
    <w:rsid w:val="165C4B9F"/>
    <w:rsid w:val="166B57B9"/>
    <w:rsid w:val="1675334D"/>
    <w:rsid w:val="16BB723D"/>
    <w:rsid w:val="17D9176C"/>
    <w:rsid w:val="18015F3F"/>
    <w:rsid w:val="183D6D9C"/>
    <w:rsid w:val="1A462A49"/>
    <w:rsid w:val="1BE8440E"/>
    <w:rsid w:val="1C222756"/>
    <w:rsid w:val="1D155CEE"/>
    <w:rsid w:val="1D334A43"/>
    <w:rsid w:val="1DFA6CCA"/>
    <w:rsid w:val="1E2E5180"/>
    <w:rsid w:val="1E3429EF"/>
    <w:rsid w:val="1E6D7CAF"/>
    <w:rsid w:val="1F236271"/>
    <w:rsid w:val="1F274302"/>
    <w:rsid w:val="1F494278"/>
    <w:rsid w:val="20E53DA9"/>
    <w:rsid w:val="20F57F95"/>
    <w:rsid w:val="21CD2F3E"/>
    <w:rsid w:val="240371BF"/>
    <w:rsid w:val="25C741E6"/>
    <w:rsid w:val="27842671"/>
    <w:rsid w:val="28534B6C"/>
    <w:rsid w:val="29FD04D3"/>
    <w:rsid w:val="2ABE7A3E"/>
    <w:rsid w:val="2AD368C3"/>
    <w:rsid w:val="2C37559D"/>
    <w:rsid w:val="2C3826C8"/>
    <w:rsid w:val="2C695F59"/>
    <w:rsid w:val="2D4349FC"/>
    <w:rsid w:val="2E6F1761"/>
    <w:rsid w:val="2EFA178C"/>
    <w:rsid w:val="2F7075FF"/>
    <w:rsid w:val="2F7C52DE"/>
    <w:rsid w:val="2F8B61E7"/>
    <w:rsid w:val="30182170"/>
    <w:rsid w:val="30517430"/>
    <w:rsid w:val="30B46D73"/>
    <w:rsid w:val="31947FB6"/>
    <w:rsid w:val="319F7F4E"/>
    <w:rsid w:val="32A66287"/>
    <w:rsid w:val="335A484E"/>
    <w:rsid w:val="33635E53"/>
    <w:rsid w:val="33765052"/>
    <w:rsid w:val="33BD7F35"/>
    <w:rsid w:val="34441786"/>
    <w:rsid w:val="348222AE"/>
    <w:rsid w:val="348C526C"/>
    <w:rsid w:val="350073C9"/>
    <w:rsid w:val="354147E4"/>
    <w:rsid w:val="356275D2"/>
    <w:rsid w:val="35D0628E"/>
    <w:rsid w:val="36687282"/>
    <w:rsid w:val="37271146"/>
    <w:rsid w:val="37D82C7D"/>
    <w:rsid w:val="39AE70AB"/>
    <w:rsid w:val="3A4E7E58"/>
    <w:rsid w:val="3A5D4B61"/>
    <w:rsid w:val="3A640B2C"/>
    <w:rsid w:val="3AE05780"/>
    <w:rsid w:val="3B4A3072"/>
    <w:rsid w:val="3B702D0A"/>
    <w:rsid w:val="3B774508"/>
    <w:rsid w:val="3B9D352A"/>
    <w:rsid w:val="3BB074F0"/>
    <w:rsid w:val="3C0C0783"/>
    <w:rsid w:val="3E5C76CC"/>
    <w:rsid w:val="3E78202C"/>
    <w:rsid w:val="3EAD6A6C"/>
    <w:rsid w:val="3EB43064"/>
    <w:rsid w:val="3F0538C0"/>
    <w:rsid w:val="3F5C7D12"/>
    <w:rsid w:val="3F9F3A96"/>
    <w:rsid w:val="406B6A21"/>
    <w:rsid w:val="42666D6B"/>
    <w:rsid w:val="43CC52F4"/>
    <w:rsid w:val="44B82030"/>
    <w:rsid w:val="451C7BB5"/>
    <w:rsid w:val="452D47A4"/>
    <w:rsid w:val="46D85D5E"/>
    <w:rsid w:val="47994AF5"/>
    <w:rsid w:val="479B1265"/>
    <w:rsid w:val="47BF74EC"/>
    <w:rsid w:val="493C27E9"/>
    <w:rsid w:val="496F39ED"/>
    <w:rsid w:val="49FF41D3"/>
    <w:rsid w:val="4ADD7DE7"/>
    <w:rsid w:val="4B676B09"/>
    <w:rsid w:val="4BE068DB"/>
    <w:rsid w:val="4BF6002B"/>
    <w:rsid w:val="4C19348A"/>
    <w:rsid w:val="4C2D49E9"/>
    <w:rsid w:val="4C9857C3"/>
    <w:rsid w:val="4CFF4044"/>
    <w:rsid w:val="4E3046D1"/>
    <w:rsid w:val="4ECE2238"/>
    <w:rsid w:val="4EF23735"/>
    <w:rsid w:val="4F97381A"/>
    <w:rsid w:val="507212AC"/>
    <w:rsid w:val="50873ECF"/>
    <w:rsid w:val="50A767D4"/>
    <w:rsid w:val="511129C7"/>
    <w:rsid w:val="51DB4B86"/>
    <w:rsid w:val="52043EAB"/>
    <w:rsid w:val="526811C1"/>
    <w:rsid w:val="52CD109F"/>
    <w:rsid w:val="532E7431"/>
    <w:rsid w:val="55333C3E"/>
    <w:rsid w:val="55501DDF"/>
    <w:rsid w:val="558772CD"/>
    <w:rsid w:val="55F278B8"/>
    <w:rsid w:val="561A1EEF"/>
    <w:rsid w:val="58382B00"/>
    <w:rsid w:val="587C0C3F"/>
    <w:rsid w:val="589E7A36"/>
    <w:rsid w:val="5AAE5FDF"/>
    <w:rsid w:val="5B2E1D2D"/>
    <w:rsid w:val="5B372BFB"/>
    <w:rsid w:val="5BF359E5"/>
    <w:rsid w:val="5C0403D8"/>
    <w:rsid w:val="5CCC0C14"/>
    <w:rsid w:val="5D551EE5"/>
    <w:rsid w:val="5DE62663"/>
    <w:rsid w:val="5EAE7678"/>
    <w:rsid w:val="5FAC19D9"/>
    <w:rsid w:val="61F215E5"/>
    <w:rsid w:val="62AD5E80"/>
    <w:rsid w:val="62EE2739"/>
    <w:rsid w:val="63E47698"/>
    <w:rsid w:val="64486CB6"/>
    <w:rsid w:val="64BE01BC"/>
    <w:rsid w:val="64CA39A1"/>
    <w:rsid w:val="653D52B2"/>
    <w:rsid w:val="65425D45"/>
    <w:rsid w:val="656908CB"/>
    <w:rsid w:val="65DF609E"/>
    <w:rsid w:val="66855163"/>
    <w:rsid w:val="66D25ECE"/>
    <w:rsid w:val="66E22CF2"/>
    <w:rsid w:val="67087745"/>
    <w:rsid w:val="67D56C28"/>
    <w:rsid w:val="67E4410B"/>
    <w:rsid w:val="67F4570A"/>
    <w:rsid w:val="680B2274"/>
    <w:rsid w:val="682B7F8C"/>
    <w:rsid w:val="68D37C5D"/>
    <w:rsid w:val="69E83D97"/>
    <w:rsid w:val="6B9D2F4E"/>
    <w:rsid w:val="6BB26425"/>
    <w:rsid w:val="6C124464"/>
    <w:rsid w:val="6C4A05C8"/>
    <w:rsid w:val="6C8E6038"/>
    <w:rsid w:val="6CCC6553"/>
    <w:rsid w:val="6CD75DC0"/>
    <w:rsid w:val="6CF3298B"/>
    <w:rsid w:val="6EEC1D30"/>
    <w:rsid w:val="6F26325B"/>
    <w:rsid w:val="6F5917CA"/>
    <w:rsid w:val="6F773AB6"/>
    <w:rsid w:val="72734D90"/>
    <w:rsid w:val="737B2BE3"/>
    <w:rsid w:val="73A26A77"/>
    <w:rsid w:val="73CB43D1"/>
    <w:rsid w:val="74841862"/>
    <w:rsid w:val="7532637E"/>
    <w:rsid w:val="75B75ABB"/>
    <w:rsid w:val="765A164B"/>
    <w:rsid w:val="76712F46"/>
    <w:rsid w:val="7808546C"/>
    <w:rsid w:val="7891051A"/>
    <w:rsid w:val="796E4E17"/>
    <w:rsid w:val="79777F5A"/>
    <w:rsid w:val="798E2128"/>
    <w:rsid w:val="79D12015"/>
    <w:rsid w:val="79E7B28D"/>
    <w:rsid w:val="7A2111EE"/>
    <w:rsid w:val="7A21770D"/>
    <w:rsid w:val="7A5B16D3"/>
    <w:rsid w:val="7ACF29F8"/>
    <w:rsid w:val="7B876E2F"/>
    <w:rsid w:val="7C321491"/>
    <w:rsid w:val="7C606577"/>
    <w:rsid w:val="7C727ADF"/>
    <w:rsid w:val="7CCB7206"/>
    <w:rsid w:val="7CE07078"/>
    <w:rsid w:val="7CF36B46"/>
    <w:rsid w:val="7D0E502D"/>
    <w:rsid w:val="7EF713A4"/>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3399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qFormat/>
    <w:uiPriority w:val="9"/>
    <w:rPr>
      <w:rFonts w:ascii="Times New Roman" w:hAnsi="Times New Roman"/>
      <w:b/>
      <w:bCs/>
      <w:kern w:val="44"/>
      <w:sz w:val="44"/>
      <w:szCs w:val="44"/>
    </w:rPr>
  </w:style>
  <w:style w:type="character" w:customStyle="1" w:styleId="25">
    <w:name w:val="标题 2 Char"/>
    <w:basedOn w:val="1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paragraph" w:customStyle="1" w:styleId="30">
    <w:name w:val="WPSOffice手动目录 1"/>
    <w:qFormat/>
    <w:uiPriority w:val="0"/>
    <w:rPr>
      <w:rFonts w:ascii="Calibri" w:hAnsi="Calibri" w:eastAsia="宋体" w:cs="Times New Roman"/>
      <w:lang w:val="en-US" w:eastAsia="zh-CN" w:bidi="ar-SA"/>
    </w:rPr>
  </w:style>
  <w:style w:type="paragraph" w:customStyle="1" w:styleId="31">
    <w:name w:val="WPSOffice手动目录 2"/>
    <w:qFormat/>
    <w:uiPriority w:val="0"/>
    <w:pPr>
      <w:ind w:left="200" w:leftChars="200"/>
    </w:pPr>
    <w:rPr>
      <w:rFonts w:ascii="Calibri" w:hAnsi="Calibri" w:eastAsia="宋体" w:cs="Times New Roman"/>
      <w:lang w:val="en-US" w:eastAsia="zh-CN" w:bidi="ar-SA"/>
    </w:rPr>
  </w:style>
  <w:style w:type="paragraph" w:customStyle="1" w:styleId="32">
    <w:name w:val="WPSOffice手动目录 3"/>
    <w:qFormat/>
    <w:uiPriority w:val="0"/>
    <w:pPr>
      <w:ind w:left="400" w:leftChars="400"/>
    </w:pPr>
    <w:rPr>
      <w:rFonts w:ascii="Calibri" w:hAnsi="Calibri" w:eastAsia="宋体" w:cs="Times New Roman"/>
      <w:lang w:val="en-US" w:eastAsia="zh-CN" w:bidi="ar-SA"/>
    </w:rPr>
  </w:style>
  <w:style w:type="character" w:customStyle="1" w:styleId="33">
    <w:name w:val="标题 1 字符"/>
    <w:basedOn w:val="13"/>
    <w:link w:val="2"/>
    <w:qFormat/>
    <w:uiPriority w:val="9"/>
    <w:rPr>
      <w:rFonts w:ascii="Times New Roman" w:hAnsi="Times New Roman"/>
      <w:b/>
      <w:bCs/>
      <w:kern w:val="44"/>
      <w:sz w:val="44"/>
      <w:szCs w:val="44"/>
    </w:rPr>
  </w:style>
  <w:style w:type="character" w:customStyle="1" w:styleId="34">
    <w:name w:val="标题 2 字符"/>
    <w:basedOn w:val="13"/>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2022</a:t>
            </a:r>
            <a:r>
              <a:rPr lang="zh-CN" altLang="en-US" sz="1400" b="1"/>
              <a:t>年收、支决算变动情况表</a:t>
            </a:r>
            <a:endParaRPr lang="zh-CN" altLang="en-US" sz="1400" b="1"/>
          </a:p>
        </c:rich>
      </c:tx>
      <c:layout/>
      <c:overlay val="0"/>
      <c:spPr>
        <a:noFill/>
        <a:ln>
          <a:noFill/>
        </a:ln>
        <a:effectLst/>
      </c:spPr>
    </c:title>
    <c:autoTitleDeleted val="0"/>
    <c:plotArea>
      <c:layout>
        <c:manualLayout>
          <c:layoutTarget val="inner"/>
          <c:xMode val="edge"/>
          <c:yMode val="edge"/>
          <c:x val="0.0991500540874672"/>
          <c:y val="0.179861111111111"/>
          <c:w val="0.868706536856745"/>
          <c:h val="0.606111111111111"/>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manualLayout>
                  <c:x val="-0.00231803430690774"/>
                  <c:y val="0"/>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1025.60</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5901715345387"/>
                  <c:y val="0.013888888888888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897.12</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2022年</c:v>
                </c:pt>
              </c:strCache>
            </c:strRef>
          </c:cat>
          <c:val>
            <c:numRef>
              <c:f>Sheet1!$B$2:$B$3</c:f>
              <c:numCache>
                <c:formatCode>General</c:formatCode>
                <c:ptCount val="2"/>
                <c:pt idx="0">
                  <c:v>1025.6</c:v>
                </c:pt>
                <c:pt idx="1">
                  <c:v>897.12</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162262401483542"/>
                  <c:y val="0"/>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1025.60</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05980528511822"/>
                  <c:y val="0.019212962962962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897.12</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2022年</c:v>
                </c:pt>
              </c:strCache>
            </c:strRef>
          </c:cat>
          <c:val>
            <c:numRef>
              <c:f>Sheet1!$C$2:$C$3</c:f>
              <c:numCache>
                <c:formatCode>General</c:formatCode>
                <c:ptCount val="2"/>
                <c:pt idx="0">
                  <c:v>1025.6</c:v>
                </c:pt>
                <c:pt idx="1">
                  <c:v>897.12</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eea11db-608e-46f6-bb25-0109db77768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lang="zh-CN" altLang="en-US" sz="1400" b="1"/>
              <a:t>年收入决算结构图</a:t>
            </a:r>
            <a:endParaRPr lang="zh-CN" altLang="en-US" sz="1400" b="1"/>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1019.81</a:t>
                    </a:r>
                    <a:r>
                      <a:rPr lang="zh-CN" altLang="en-US"/>
                      <a:t>万元</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1019.81</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e07917a-7409-4aa8-9a01-9727acdc241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lang="zh-CN" altLang="en-US" sz="1400" b="1"/>
              <a:t>年支出决算结构图</a:t>
            </a:r>
            <a:endParaRPr lang="zh-CN" altLang="en-US" sz="1400" b="1"/>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377442839154121"/>
                  <c:y val="-0.13124073082171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957.52</a:t>
                    </a:r>
                    <a:r>
                      <a:rPr lang="zh-CN" altLang="en-US"/>
                      <a:t>万元</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68.08</a:t>
                    </a:r>
                    <a:r>
                      <a:rPr lang="zh-CN" altLang="en-US"/>
                      <a:t>万元</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Sheet1!$B$2:$B$3</c:f>
              <c:numCache>
                <c:formatCode>General</c:formatCode>
                <c:ptCount val="2"/>
                <c:pt idx="0">
                  <c:v>957.52</c:v>
                </c:pt>
                <c:pt idx="1">
                  <c:v>68.08</c:v>
                </c:pt>
              </c:numCache>
            </c:numRef>
          </c:val>
        </c:ser>
        <c:ser>
          <c:idx val="1"/>
          <c:order val="1"/>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Sheet1!$B$3</c:f>
              <c:numCache>
                <c:formatCode>General</c:formatCode>
                <c:ptCount val="1"/>
                <c:pt idx="0">
                  <c:v>68.08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0b7b5ce-142b-4377-9362-e40c2ac67b3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sz="1400" b="1"/>
              <a:t>财政拨款收、支出总体变动情况</a:t>
            </a:r>
            <a:endParaRPr lang="zh-CN" altLang="en-US" sz="1400" b="1"/>
          </a:p>
        </c:rich>
      </c:tx>
      <c:layout>
        <c:manualLayout>
          <c:xMode val="edge"/>
          <c:yMode val="edge"/>
          <c:x val="0.213181888425282"/>
          <c:y val="0.0381944444444444"/>
        </c:manualLayout>
      </c:layout>
      <c:overlay val="0"/>
      <c:spPr>
        <a:noFill/>
        <a:ln>
          <a:noFill/>
        </a:ln>
        <a:effectLst/>
      </c:spPr>
    </c:title>
    <c:autoTitleDeleted val="0"/>
    <c:plotArea>
      <c:layout>
        <c:manualLayout>
          <c:layoutTarget val="inner"/>
          <c:xMode val="edge"/>
          <c:yMode val="edge"/>
          <c:x val="0.0971305152730639"/>
          <c:y val="0.173611111111111"/>
          <c:w val="0.868929342795433"/>
          <c:h val="0.608425925925926"/>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Lbl>
              <c:idx val="0"/>
              <c:layout>
                <c:manualLayout>
                  <c:x val="0.00309071240921032"/>
                  <c:y val="0.018518518518518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1025.60</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8518518518518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1025.60</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1025.6</c:v>
                </c:pt>
                <c:pt idx="1">
                  <c:v>1025.6</c:v>
                </c:pt>
              </c:numCache>
            </c:numRef>
          </c:val>
        </c:ser>
        <c:ser>
          <c:idx val="1"/>
          <c:order val="1"/>
          <c:tx>
            <c:strRef>
              <c:f>Sheet1!$C$1</c:f>
              <c:strCache>
                <c:ptCount val="1"/>
                <c:pt idx="0">
                  <c:v>2022年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897.12</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897.12</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897.12</c:v>
                </c:pt>
                <c:pt idx="1">
                  <c:v>897.12</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manualLayout>
          <c:xMode val="edge"/>
          <c:yMode val="edge"/>
          <c:x val="0.326596729404505"/>
          <c:y val="0.909722222222222"/>
          <c:w val="0.298210428879975"/>
          <c:h val="0.06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7bf4592-6f70-4511-b2ab-9f027db4c6d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sz="1400" b="1"/>
              <a:t>一般公共预算财政拨款支出</a:t>
            </a:r>
            <a:endParaRPr lang="zh-CN" altLang="en-US" sz="1400" b="1"/>
          </a:p>
        </c:rich>
      </c:tx>
      <c:layout>
        <c:manualLayout>
          <c:xMode val="edge"/>
          <c:yMode val="edge"/>
          <c:x val="0.214729105808316"/>
          <c:y val="0.029053982173079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1025.60</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manualLayout>
                      <c:w val="0.260427620049071"/>
                      <c:h val="0.114697004875784"/>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1025.6</c:v>
                </c:pt>
              </c:numCache>
            </c:numRef>
          </c:val>
        </c:ser>
        <c:ser>
          <c:idx val="1"/>
          <c:order val="1"/>
          <c:tx>
            <c:strRef>
              <c:f>Sheet1!$C$1</c:f>
              <c:strCache>
                <c:ptCount val="1"/>
                <c:pt idx="0">
                  <c:v>2022年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897.12</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897.12</c:v>
                </c:pt>
              </c:numCache>
            </c:numRef>
          </c:val>
        </c:ser>
        <c:dLbls>
          <c:showLegendKey val="0"/>
          <c:showVal val="1"/>
          <c:showCatName val="0"/>
          <c:showSerName val="0"/>
          <c:showPercent val="0"/>
          <c:showBubbleSize val="0"/>
        </c:dLbls>
        <c:gapWidth val="212"/>
        <c:overlap val="-90"/>
        <c:axId val="523788334"/>
        <c:axId val="356841012"/>
      </c:barChart>
      <c:catAx>
        <c:axId val="523788334"/>
        <c:scaling>
          <c:orientation val="minMax"/>
        </c:scaling>
        <c:delete val="1"/>
        <c:axPos val="b"/>
        <c:numFmt formatCode="General" sourceLinked="0"/>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6841012"/>
        <c:crosses val="autoZero"/>
        <c:auto val="1"/>
        <c:lblAlgn val="ctr"/>
        <c:lblOffset val="100"/>
        <c:noMultiLvlLbl val="0"/>
      </c:catAx>
      <c:valAx>
        <c:axId val="3568410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7883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396758e-9bcd-40c4-86c4-3a602512ff5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一般公共预算财政拨款支出（万元）</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735.84</c:v>
                </c:pt>
                <c:pt idx="1">
                  <c:v>208.12</c:v>
                </c:pt>
                <c:pt idx="2">
                  <c:v>30.57</c:v>
                </c:pt>
                <c:pt idx="3">
                  <c:v>51.07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5fb6260-7e1a-4db8-bbc3-8fcc75935a2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0.9</a:t>
                    </a:r>
                    <a:r>
                      <a:rPr lang="zh-CN" altLang="en-US">
                        <a:solidFill>
                          <a:schemeClr val="bg1"/>
                        </a:solidFill>
                      </a:rPr>
                      <a:t>万元</a:t>
                    </a:r>
                    <a:endParaRPr lang="zh-CN" altLang="en-US">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3689132537891"/>
                      <c:h val="0.0638837638376384"/>
                    </c:manualLayout>
                  </c15:layout>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0.00</a:t>
                    </a:r>
                    <a:r>
                      <a:rPr lang="zh-CN" altLang="en-US"/>
                      <a:t>万元</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15:layout>
                    <c:manualLayout>
                      <c:w val="0.168332795872299"/>
                      <c:h val="0.0654981549815498"/>
                    </c:manualLayout>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因公出国（境）费</c:v>
                </c:pt>
                <c:pt idx="2">
                  <c:v>公务用车购置及运行维护费</c:v>
                </c:pt>
              </c:strCache>
            </c:strRef>
          </c:cat>
          <c:val>
            <c:numRef>
              <c:f>Sheet1!$B$2:$B$4</c:f>
              <c:numCache>
                <c:formatCode>General</c:formatCode>
                <c:ptCount val="3"/>
                <c:pt idx="0">
                  <c:v>0.9</c:v>
                </c:pt>
                <c:pt idx="1" c:formatCode="#,##0.00">
                  <c:v>0</c:v>
                </c:pt>
                <c:pt idx="2" c:formatCode="#,##0.0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01702ab-0073-4cfe-b1fd-deb80916ff2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27</Words>
  <Characters>35</Characters>
  <Lines>77</Lines>
  <Paragraphs>21</Paragraphs>
  <TotalTime>0</TotalTime>
  <ScaleCrop>false</ScaleCrop>
  <LinksUpToDate>false</LinksUpToDate>
  <CharactersWithSpaces>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Nancy</cp:lastModifiedBy>
  <cp:lastPrinted>2024-10-23T07:11:00Z</cp:lastPrinted>
  <dcterms:modified xsi:type="dcterms:W3CDTF">2024-10-25T09:31:05Z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369B2E2D082C4E6097CDED84F5012EBD_13</vt:lpwstr>
  </property>
</Properties>
</file>