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6011D">
      <w:pPr>
        <w:spacing w:line="600" w:lineRule="exact"/>
        <w:jc w:val="left"/>
        <w:outlineLvl w:val="0"/>
        <w:rPr>
          <w:rFonts w:ascii="方正小标宋简体" w:hAnsi="宋体" w:eastAsia="方正小标宋简体"/>
          <w:color w:val="auto"/>
          <w:sz w:val="21"/>
          <w:szCs w:val="21"/>
          <w:highlight w:val="none"/>
        </w:rPr>
      </w:pPr>
      <w:bookmarkStart w:id="0" w:name="_Toc15306267"/>
    </w:p>
    <w:p w14:paraId="54A2909D">
      <w:pPr>
        <w:spacing w:line="600" w:lineRule="exact"/>
        <w:jc w:val="center"/>
        <w:outlineLvl w:val="0"/>
        <w:rPr>
          <w:rFonts w:ascii="方正小标宋简体" w:hAnsi="宋体" w:eastAsia="方正小标宋简体"/>
          <w:color w:val="auto"/>
          <w:sz w:val="72"/>
          <w:szCs w:val="72"/>
          <w:highlight w:val="none"/>
        </w:rPr>
      </w:pPr>
    </w:p>
    <w:p w14:paraId="3BA43857">
      <w:pPr>
        <w:spacing w:line="600" w:lineRule="exact"/>
        <w:jc w:val="center"/>
        <w:outlineLvl w:val="0"/>
        <w:rPr>
          <w:rFonts w:ascii="方正小标宋简体" w:hAnsi="宋体" w:eastAsia="方正小标宋简体"/>
          <w:color w:val="auto"/>
          <w:sz w:val="72"/>
          <w:szCs w:val="72"/>
          <w:highlight w:val="none"/>
        </w:rPr>
      </w:pPr>
    </w:p>
    <w:p w14:paraId="2CD54EE4">
      <w:pPr>
        <w:adjustRightInd w:val="0"/>
        <w:snapToGrid w:val="0"/>
        <w:spacing w:line="360" w:lineRule="auto"/>
        <w:jc w:val="center"/>
        <w:outlineLvl w:val="0"/>
        <w:rPr>
          <w:rFonts w:hint="eastAsia" w:ascii="黑体" w:hAnsi="黑体" w:eastAsia="黑体" w:cs="Times New Roman"/>
          <w:color w:val="000000"/>
          <w:sz w:val="72"/>
          <w:szCs w:val="72"/>
        </w:rPr>
      </w:pPr>
      <w:bookmarkStart w:id="1" w:name="_Toc15396597"/>
      <w:bookmarkStart w:id="2" w:name="_Toc15396475"/>
      <w:bookmarkStart w:id="3" w:name="_Toc15378441"/>
      <w:bookmarkStart w:id="4" w:name="_Toc15377425"/>
      <w:bookmarkStart w:id="5" w:name="_Toc15377193"/>
      <w:r>
        <w:rPr>
          <w:rFonts w:hint="eastAsia" w:ascii="黑体" w:hAnsi="黑体" w:eastAsia="黑体" w:cs="Times New Roman"/>
          <w:color w:val="000000"/>
          <w:sz w:val="72"/>
          <w:szCs w:val="72"/>
        </w:rPr>
        <w:t>20</w:t>
      </w:r>
      <w:r>
        <w:rPr>
          <w:rFonts w:hint="eastAsia" w:ascii="黑体" w:hAnsi="黑体" w:eastAsia="黑体" w:cs="Times New Roman"/>
          <w:color w:val="000000"/>
          <w:sz w:val="72"/>
          <w:szCs w:val="72"/>
          <w:lang w:val="en-US" w:eastAsia="zh-CN"/>
        </w:rPr>
        <w:t>23</w:t>
      </w:r>
      <w:r>
        <w:rPr>
          <w:rFonts w:hint="eastAsia" w:ascii="黑体" w:hAnsi="黑体" w:eastAsia="黑体" w:cs="Times New Roman"/>
          <w:color w:val="000000"/>
          <w:sz w:val="72"/>
          <w:szCs w:val="72"/>
        </w:rPr>
        <w:t>年度</w:t>
      </w:r>
      <w:bookmarkEnd w:id="1"/>
      <w:bookmarkEnd w:id="2"/>
      <w:bookmarkEnd w:id="3"/>
      <w:bookmarkEnd w:id="4"/>
      <w:bookmarkEnd w:id="5"/>
    </w:p>
    <w:p w14:paraId="2295AB45">
      <w:pPr>
        <w:adjustRightInd w:val="0"/>
        <w:snapToGrid w:val="0"/>
        <w:spacing w:line="360" w:lineRule="auto"/>
        <w:jc w:val="center"/>
        <w:outlineLvl w:val="0"/>
        <w:rPr>
          <w:rFonts w:hint="eastAsia" w:ascii="黑体" w:hAnsi="黑体" w:eastAsia="黑体" w:cs="Times New Roman"/>
          <w:color w:val="000000"/>
          <w:sz w:val="72"/>
          <w:szCs w:val="72"/>
          <w:lang w:val="en-US" w:eastAsia="zh-CN"/>
        </w:rPr>
      </w:pPr>
      <w:bookmarkStart w:id="6" w:name="_Toc15396476"/>
      <w:bookmarkStart w:id="7" w:name="_Toc15377426"/>
      <w:bookmarkStart w:id="8" w:name="_Toc15378442"/>
      <w:bookmarkStart w:id="9" w:name="_Toc15377194"/>
      <w:bookmarkStart w:id="10" w:name="_Toc15396598"/>
      <w:r>
        <w:rPr>
          <w:rFonts w:hint="eastAsia" w:ascii="黑体" w:hAnsi="黑体" w:eastAsia="黑体" w:cs="Times New Roman"/>
          <w:color w:val="000000"/>
          <w:sz w:val="72"/>
          <w:szCs w:val="72"/>
          <w:lang w:eastAsia="zh-CN"/>
        </w:rPr>
        <w:t>大竹县</w:t>
      </w:r>
      <w:bookmarkEnd w:id="0"/>
      <w:bookmarkStart w:id="11" w:name="_Toc15306268"/>
      <w:r>
        <w:rPr>
          <w:rFonts w:hint="eastAsia" w:ascii="黑体" w:hAnsi="黑体" w:eastAsia="黑体" w:cs="Times New Roman"/>
          <w:color w:val="000000"/>
          <w:sz w:val="72"/>
          <w:szCs w:val="72"/>
          <w:lang w:val="en-US" w:eastAsia="zh-CN"/>
        </w:rPr>
        <w:t>杨家镇人和小学</w:t>
      </w:r>
    </w:p>
    <w:p w14:paraId="11C20572">
      <w:pPr>
        <w:adjustRightInd w:val="0"/>
        <w:snapToGrid w:val="0"/>
        <w:spacing w:line="360" w:lineRule="auto"/>
        <w:jc w:val="center"/>
        <w:outlineLvl w:val="0"/>
        <w:rPr>
          <w:rFonts w:hint="eastAsia" w:ascii="黑体" w:hAnsi="黑体" w:eastAsia="黑体" w:cs="Times New Roman"/>
          <w:color w:val="000000"/>
          <w:sz w:val="72"/>
          <w:szCs w:val="72"/>
        </w:rPr>
      </w:pPr>
      <w:r>
        <w:rPr>
          <w:rFonts w:hint="eastAsia" w:ascii="黑体" w:hAnsi="黑体" w:eastAsia="黑体" w:cs="Times New Roman"/>
          <w:color w:val="000000"/>
          <w:sz w:val="72"/>
          <w:szCs w:val="72"/>
        </w:rPr>
        <w:t>决算</w:t>
      </w:r>
      <w:bookmarkEnd w:id="6"/>
      <w:bookmarkEnd w:id="7"/>
      <w:bookmarkEnd w:id="8"/>
      <w:bookmarkEnd w:id="9"/>
      <w:bookmarkEnd w:id="10"/>
      <w:bookmarkEnd w:id="11"/>
    </w:p>
    <w:p w14:paraId="27D6D17B">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0EF7FB5D">
      <w:pPr>
        <w:widowControl/>
        <w:jc w:val="center"/>
        <w:rPr>
          <w:rFonts w:ascii="黑体" w:hAnsi="黑体" w:eastAsia="黑体" w:cstheme="minorBidi"/>
          <w:color w:val="auto"/>
          <w:sz w:val="28"/>
          <w:szCs w:val="28"/>
          <w:highlight w:val="none"/>
        </w:rPr>
      </w:pPr>
    </w:p>
    <w:p w14:paraId="61EE3378">
      <w:pPr>
        <w:pStyle w:val="10"/>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6101EDA3">
      <w:pPr>
        <w:rPr>
          <w:color w:val="auto"/>
          <w:highlight w:val="none"/>
        </w:rPr>
      </w:pPr>
    </w:p>
    <w:p w14:paraId="473344F3">
      <w:pPr>
        <w:pStyle w:val="10"/>
        <w:adjustRightInd w:val="0"/>
        <w:snapToGrid w:val="0"/>
        <w:spacing w:before="0" w:line="440" w:lineRule="exact"/>
        <w:jc w:val="left"/>
        <w:rPr>
          <w:rFonts w:hint="eastAsia"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sz w:val="24"/>
        </w:rPr>
        <w:tab/>
      </w:r>
      <w:r>
        <w:rPr>
          <w:rFonts w:hint="eastAsia"/>
          <w:sz w:val="24"/>
          <w:lang w:val="en-US" w:eastAsia="zh-CN"/>
        </w:rPr>
        <w:t>4</w:t>
      </w:r>
    </w:p>
    <w:p w14:paraId="4BC04674">
      <w:pPr>
        <w:pStyle w:val="11"/>
        <w:adjustRightInd w:val="0"/>
        <w:snapToGrid w:val="0"/>
        <w:spacing w:line="440" w:lineRule="exact"/>
        <w:jc w:val="left"/>
        <w:rPr>
          <w:rFonts w:hint="eastAsia"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sz w:val="24"/>
        </w:rPr>
        <w:tab/>
      </w:r>
      <w:r>
        <w:rPr>
          <w:rFonts w:hint="eastAsia"/>
          <w:sz w:val="24"/>
          <w:lang w:val="en-US" w:eastAsia="zh-CN"/>
        </w:rPr>
        <w:t>4</w:t>
      </w:r>
    </w:p>
    <w:p w14:paraId="435717A2">
      <w:pPr>
        <w:pStyle w:val="11"/>
        <w:adjustRightInd w:val="0"/>
        <w:snapToGrid w:val="0"/>
        <w:spacing w:line="440" w:lineRule="exact"/>
        <w:jc w:val="left"/>
        <w:rPr>
          <w:rFonts w:hint="eastAsia"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sz w:val="24"/>
        </w:rPr>
        <w:tab/>
      </w:r>
      <w:r>
        <w:rPr>
          <w:rFonts w:hint="eastAsia"/>
          <w:sz w:val="24"/>
          <w:lang w:val="en-US" w:eastAsia="zh-CN"/>
        </w:rPr>
        <w:t>4</w:t>
      </w:r>
    </w:p>
    <w:p w14:paraId="01537C74">
      <w:pPr>
        <w:pStyle w:val="10"/>
        <w:adjustRightInd w:val="0"/>
        <w:snapToGrid w:val="0"/>
        <w:spacing w:before="0" w:line="440" w:lineRule="exact"/>
        <w:jc w:val="left"/>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单位</w:t>
      </w:r>
      <w:r>
        <w:rPr>
          <w:rFonts w:hint="eastAsia"/>
          <w:color w:val="auto"/>
          <w:sz w:val="24"/>
          <w:highlight w:val="none"/>
        </w:rPr>
        <w:t>决算情况说明</w:t>
      </w:r>
      <w:r>
        <w:rPr>
          <w:sz w:val="24"/>
        </w:rPr>
        <w:tab/>
      </w:r>
      <w:r>
        <w:rPr>
          <w:rFonts w:hint="eastAsia"/>
          <w:sz w:val="24"/>
          <w:lang w:val="en-US" w:eastAsia="zh-CN"/>
        </w:rPr>
        <w:t>5</w:t>
      </w:r>
    </w:p>
    <w:p w14:paraId="0C6E229F">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sz w:val="24"/>
        </w:rPr>
        <w:tab/>
      </w:r>
      <w:r>
        <w:rPr>
          <w:rFonts w:hint="eastAsia"/>
          <w:sz w:val="24"/>
          <w:lang w:val="en-US" w:eastAsia="zh-CN"/>
        </w:rPr>
        <w:t>5</w:t>
      </w:r>
    </w:p>
    <w:p w14:paraId="3F9D3914">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二、收入决算情况说明</w:t>
      </w:r>
      <w:r>
        <w:rPr>
          <w:sz w:val="24"/>
        </w:rPr>
        <w:tab/>
      </w:r>
      <w:r>
        <w:rPr>
          <w:rFonts w:hint="eastAsia"/>
          <w:sz w:val="24"/>
          <w:lang w:val="en-US" w:eastAsia="zh-CN"/>
        </w:rPr>
        <w:t>5</w:t>
      </w:r>
    </w:p>
    <w:p w14:paraId="5EDF82BC">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三、支出决算情况说明</w:t>
      </w:r>
      <w:r>
        <w:rPr>
          <w:sz w:val="24"/>
        </w:rPr>
        <w:tab/>
      </w:r>
      <w:r>
        <w:rPr>
          <w:rFonts w:hint="eastAsia"/>
          <w:sz w:val="24"/>
          <w:lang w:val="en-US" w:eastAsia="zh-CN"/>
        </w:rPr>
        <w:t>6</w:t>
      </w:r>
    </w:p>
    <w:p w14:paraId="5CC0D6EA">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sz w:val="24"/>
        </w:rPr>
        <w:tab/>
      </w:r>
      <w:r>
        <w:rPr>
          <w:rFonts w:hint="eastAsia"/>
          <w:sz w:val="24"/>
          <w:lang w:val="en-US" w:eastAsia="zh-CN"/>
        </w:rPr>
        <w:t>7</w:t>
      </w:r>
    </w:p>
    <w:p w14:paraId="1FDCAB91">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sz w:val="24"/>
        </w:rPr>
        <w:tab/>
      </w:r>
      <w:r>
        <w:rPr>
          <w:rFonts w:hint="eastAsia"/>
          <w:sz w:val="24"/>
          <w:lang w:val="en-US" w:eastAsia="zh-CN"/>
        </w:rPr>
        <w:t>7</w:t>
      </w:r>
    </w:p>
    <w:p w14:paraId="4B984E30">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sz w:val="24"/>
        </w:rPr>
        <w:tab/>
      </w:r>
      <w:r>
        <w:rPr>
          <w:rFonts w:hint="eastAsia"/>
          <w:sz w:val="24"/>
          <w:lang w:val="en-US" w:eastAsia="zh-CN"/>
        </w:rPr>
        <w:t>10</w:t>
      </w:r>
    </w:p>
    <w:p w14:paraId="02002E10">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sz w:val="24"/>
        </w:rPr>
        <w:tab/>
      </w:r>
      <w:r>
        <w:rPr>
          <w:rFonts w:hint="eastAsia"/>
          <w:sz w:val="24"/>
          <w:lang w:val="en-US" w:eastAsia="zh-CN"/>
        </w:rPr>
        <w:t>10</w:t>
      </w:r>
    </w:p>
    <w:p w14:paraId="6F9183F2">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sz w:val="24"/>
        </w:rPr>
        <w:tab/>
      </w:r>
      <w:r>
        <w:rPr>
          <w:rFonts w:hint="eastAsia"/>
          <w:sz w:val="24"/>
          <w:lang w:val="en-US" w:eastAsia="zh-CN"/>
        </w:rPr>
        <w:t>12</w:t>
      </w:r>
    </w:p>
    <w:p w14:paraId="6AB0F985">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sz w:val="24"/>
        </w:rPr>
        <w:tab/>
      </w:r>
      <w:r>
        <w:rPr>
          <w:rFonts w:hint="eastAsia"/>
          <w:sz w:val="24"/>
          <w:lang w:val="en-US" w:eastAsia="zh-CN"/>
        </w:rPr>
        <w:t>12</w:t>
      </w:r>
    </w:p>
    <w:p w14:paraId="237CB4C3">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sz w:val="24"/>
        </w:rPr>
        <w:tab/>
      </w:r>
      <w:r>
        <w:rPr>
          <w:rFonts w:hint="eastAsia"/>
          <w:sz w:val="24"/>
          <w:lang w:val="en-US" w:eastAsia="zh-CN"/>
        </w:rPr>
        <w:t>12</w:t>
      </w:r>
    </w:p>
    <w:p w14:paraId="76998D2E">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sz w:val="24"/>
        </w:rPr>
        <w:tab/>
      </w:r>
      <w:r>
        <w:rPr>
          <w:rFonts w:hint="eastAsia"/>
          <w:sz w:val="24"/>
          <w:lang w:val="en-US" w:eastAsia="zh-CN"/>
        </w:rPr>
        <w:t>14</w:t>
      </w:r>
    </w:p>
    <w:p w14:paraId="65701A1A">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sz w:val="24"/>
        </w:rPr>
        <w:tab/>
      </w:r>
      <w:r>
        <w:rPr>
          <w:rFonts w:hint="eastAsia"/>
          <w:sz w:val="24"/>
          <w:lang w:val="en-US" w:eastAsia="zh-CN"/>
        </w:rPr>
        <w:t>17</w:t>
      </w:r>
    </w:p>
    <w:p w14:paraId="3E096BFB">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sz w:val="24"/>
        </w:rPr>
        <w:tab/>
      </w:r>
      <w:r>
        <w:rPr>
          <w:rFonts w:hint="eastAsia"/>
          <w:sz w:val="24"/>
          <w:lang w:val="en-US" w:eastAsia="zh-CN"/>
        </w:rPr>
        <w:t>22</w:t>
      </w:r>
    </w:p>
    <w:p w14:paraId="07D014C7">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sz w:val="24"/>
        </w:rPr>
        <w:tab/>
      </w:r>
      <w:r>
        <w:rPr>
          <w:rFonts w:hint="eastAsia"/>
          <w:sz w:val="24"/>
          <w:lang w:val="en-US" w:eastAsia="zh-CN"/>
        </w:rPr>
        <w:t>22</w:t>
      </w:r>
    </w:p>
    <w:p w14:paraId="299754C5">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二、收入决算表</w:t>
      </w:r>
      <w:r>
        <w:rPr>
          <w:sz w:val="24"/>
        </w:rPr>
        <w:tab/>
      </w:r>
      <w:r>
        <w:rPr>
          <w:rFonts w:hint="eastAsia"/>
          <w:sz w:val="24"/>
          <w:lang w:val="en-US" w:eastAsia="zh-CN"/>
        </w:rPr>
        <w:t>22</w:t>
      </w:r>
    </w:p>
    <w:p w14:paraId="72F61293">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三、支出决算表</w:t>
      </w:r>
      <w:r>
        <w:rPr>
          <w:sz w:val="24"/>
        </w:rPr>
        <w:tab/>
      </w:r>
      <w:r>
        <w:rPr>
          <w:rFonts w:hint="eastAsia"/>
          <w:sz w:val="24"/>
          <w:lang w:val="en-US" w:eastAsia="zh-CN"/>
        </w:rPr>
        <w:t>22</w:t>
      </w:r>
    </w:p>
    <w:p w14:paraId="7C5659CC">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r>
        <w:rPr>
          <w:sz w:val="24"/>
        </w:rPr>
        <w:tab/>
      </w:r>
      <w:r>
        <w:rPr>
          <w:rFonts w:hint="eastAsia"/>
          <w:sz w:val="24"/>
          <w:lang w:val="en-US" w:eastAsia="zh-CN"/>
        </w:rPr>
        <w:t>22</w:t>
      </w:r>
    </w:p>
    <w:p w14:paraId="4A45923B">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五、财政拨款支出决算明细表</w:t>
      </w:r>
      <w:r>
        <w:rPr>
          <w:sz w:val="24"/>
        </w:rPr>
        <w:tab/>
      </w:r>
      <w:r>
        <w:rPr>
          <w:rFonts w:hint="eastAsia"/>
          <w:sz w:val="24"/>
          <w:lang w:val="en-US" w:eastAsia="zh-CN"/>
        </w:rPr>
        <w:t>22</w:t>
      </w:r>
    </w:p>
    <w:p w14:paraId="748F92BF">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sz w:val="24"/>
        </w:rPr>
        <w:tab/>
      </w:r>
      <w:r>
        <w:rPr>
          <w:rFonts w:hint="eastAsia"/>
          <w:sz w:val="24"/>
          <w:lang w:val="en-US" w:eastAsia="zh-CN"/>
        </w:rPr>
        <w:t>22</w:t>
      </w:r>
    </w:p>
    <w:p w14:paraId="75459264">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sz w:val="24"/>
        </w:rPr>
        <w:tab/>
      </w:r>
      <w:r>
        <w:rPr>
          <w:rFonts w:hint="eastAsia"/>
          <w:sz w:val="24"/>
          <w:lang w:val="en-US" w:eastAsia="zh-CN"/>
        </w:rPr>
        <w:t>22</w:t>
      </w:r>
    </w:p>
    <w:p w14:paraId="3FB75018">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sz w:val="24"/>
        </w:rPr>
        <w:tab/>
      </w:r>
      <w:r>
        <w:rPr>
          <w:rFonts w:hint="eastAsia"/>
          <w:sz w:val="24"/>
          <w:lang w:val="en-US" w:eastAsia="zh-CN"/>
        </w:rPr>
        <w:t>22</w:t>
      </w:r>
    </w:p>
    <w:p w14:paraId="40684E7F">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sz w:val="24"/>
        </w:rPr>
        <w:tab/>
      </w:r>
      <w:r>
        <w:rPr>
          <w:rFonts w:hint="eastAsia"/>
          <w:sz w:val="24"/>
          <w:lang w:val="en-US" w:eastAsia="zh-CN"/>
        </w:rPr>
        <w:t>22</w:t>
      </w:r>
    </w:p>
    <w:p w14:paraId="676A1901">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sz w:val="24"/>
        </w:rPr>
        <w:tab/>
      </w:r>
      <w:r>
        <w:rPr>
          <w:rFonts w:hint="eastAsia"/>
          <w:sz w:val="24"/>
          <w:lang w:val="en-US" w:eastAsia="zh-CN"/>
        </w:rPr>
        <w:t>22</w:t>
      </w:r>
    </w:p>
    <w:p w14:paraId="6B75EE7D">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r>
        <w:rPr>
          <w:sz w:val="24"/>
        </w:rPr>
        <w:tab/>
      </w:r>
      <w:r>
        <w:rPr>
          <w:rFonts w:hint="eastAsia"/>
          <w:sz w:val="24"/>
          <w:lang w:val="en-US" w:eastAsia="zh-CN"/>
        </w:rPr>
        <w:t>22</w:t>
      </w:r>
    </w:p>
    <w:p w14:paraId="6A8E5045">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sz w:val="24"/>
        </w:rPr>
        <w:tab/>
      </w:r>
      <w:r>
        <w:rPr>
          <w:rFonts w:hint="eastAsia"/>
          <w:sz w:val="24"/>
          <w:lang w:val="en-US" w:eastAsia="zh-CN"/>
        </w:rPr>
        <w:t>22</w:t>
      </w:r>
    </w:p>
    <w:p w14:paraId="1FADAEDB">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十三、财政拨款“三公”经费支出决算表</w:t>
      </w:r>
      <w:r>
        <w:rPr>
          <w:sz w:val="24"/>
        </w:rPr>
        <w:tab/>
      </w:r>
      <w:r>
        <w:rPr>
          <w:rFonts w:hint="eastAsia"/>
          <w:sz w:val="24"/>
          <w:lang w:val="en-US" w:eastAsia="zh-CN"/>
        </w:rPr>
        <w:t>22</w:t>
      </w:r>
    </w:p>
    <w:p w14:paraId="5323E296">
      <w:pPr>
        <w:widowControl/>
        <w:adjustRightInd w:val="0"/>
        <w:snapToGrid w:val="0"/>
        <w:spacing w:line="440" w:lineRule="exact"/>
        <w:ind w:firstLine="1320" w:firstLineChars="550"/>
        <w:jc w:val="left"/>
        <w:rPr>
          <w:rFonts w:ascii="仿宋" w:hAnsi="仿宋" w:eastAsia="仿宋"/>
          <w:color w:val="auto"/>
          <w:sz w:val="24"/>
          <w:highlight w:val="none"/>
        </w:rPr>
      </w:pPr>
    </w:p>
    <w:p w14:paraId="16F685C8">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14:paraId="7317826D">
      <w:pPr>
        <w:pStyle w:val="2"/>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14:paraId="23770E7E">
      <w:pPr>
        <w:widowControl/>
        <w:jc w:val="left"/>
        <w:rPr>
          <w:rFonts w:ascii="黑体" w:eastAsia="黑体"/>
          <w:color w:val="auto"/>
          <w:sz w:val="32"/>
          <w:szCs w:val="32"/>
          <w:highlight w:val="none"/>
        </w:rPr>
      </w:pPr>
    </w:p>
    <w:p w14:paraId="386D9677">
      <w:pPr>
        <w:pStyle w:val="3"/>
        <w:pageBreakBefore w:val="0"/>
        <w:widowControl w:val="0"/>
        <w:numPr>
          <w:ilvl w:val="0"/>
          <w:numId w:val="1"/>
        </w:numPr>
        <w:kinsoku/>
        <w:wordWrap/>
        <w:overflowPunct/>
        <w:topLinePunct w:val="0"/>
        <w:autoSpaceDE/>
        <w:autoSpaceDN/>
        <w:bidi w:val="0"/>
        <w:spacing w:before="0" w:after="0"/>
        <w:textAlignment w:val="auto"/>
        <w:rPr>
          <w:rStyle w:val="25"/>
          <w:rFonts w:hint="eastAsia" w:ascii="黑体" w:hAnsi="黑体" w:eastAsia="黑体"/>
          <w:b w:val="0"/>
          <w:bCs w:val="0"/>
          <w:color w:val="auto"/>
          <w:highlight w:val="none"/>
          <w:lang w:eastAsia="zh-CN"/>
        </w:rPr>
      </w:pPr>
      <w:bookmarkStart w:id="14" w:name="_Toc15396600"/>
      <w:bookmarkStart w:id="15" w:name="_Toc15377197"/>
      <w:r>
        <w:rPr>
          <w:rStyle w:val="25"/>
          <w:rFonts w:hint="eastAsia" w:ascii="黑体" w:hAnsi="黑体" w:eastAsia="黑体"/>
          <w:b w:val="0"/>
          <w:bCs w:val="0"/>
          <w:color w:val="auto"/>
          <w:highlight w:val="none"/>
          <w:lang w:eastAsia="zh-CN"/>
        </w:rPr>
        <w:t>主要职责</w:t>
      </w:r>
    </w:p>
    <w:p w14:paraId="54E97838">
      <w:pPr>
        <w:pStyle w:val="5"/>
        <w:pageBreakBefore w:val="0"/>
        <w:widowControl w:val="0"/>
        <w:kinsoku/>
        <w:wordWrap/>
        <w:overflowPunct/>
        <w:topLinePunct w:val="0"/>
        <w:autoSpaceDE/>
        <w:autoSpaceDN/>
        <w:bidi w:val="0"/>
        <w:adjustRightInd w:val="0"/>
        <w:snapToGrid w:val="0"/>
        <w:spacing w:beforeLines="0" w:line="578" w:lineRule="exact"/>
        <w:ind w:firstLine="672" w:firstLineChars="210"/>
        <w:textAlignment w:val="auto"/>
        <w:outlineLvl w:val="2"/>
        <w:rPr>
          <w:rFonts w:hint="eastAsia" w:ascii="仿宋" w:hAnsi="仿宋" w:eastAsia="仿宋"/>
          <w:bCs/>
          <w:sz w:val="32"/>
          <w:szCs w:val="32"/>
        </w:rPr>
      </w:pPr>
      <w:r>
        <w:rPr>
          <w:rFonts w:hint="eastAsia" w:ascii="仿宋" w:hAnsi="仿宋" w:eastAsia="仿宋"/>
          <w:bCs/>
          <w:sz w:val="32"/>
          <w:szCs w:val="32"/>
        </w:rPr>
        <w:t>大竹县杨家镇人和小学的基本职能和主要工作是</w:t>
      </w:r>
      <w:r>
        <w:rPr>
          <w:rFonts w:hint="eastAsia" w:ascii="仿宋" w:hAnsi="仿宋" w:eastAsia="仿宋"/>
          <w:sz w:val="32"/>
          <w:szCs w:val="32"/>
        </w:rPr>
        <w:t>宣传贯彻执行党和国家的教育方针、教育政策、教育法律和教育法规，贯彻执行上级教育行政部门的行政规章。根据县委、县政府制定的教育事业发展规划，结合实际制定并组织实施本校的教育事业发展规划。</w:t>
      </w:r>
      <w:r>
        <w:rPr>
          <w:rFonts w:hint="eastAsia" w:ascii="仿宋" w:hAnsi="仿宋" w:eastAsia="仿宋"/>
          <w:bCs/>
          <w:sz w:val="32"/>
          <w:szCs w:val="32"/>
        </w:rPr>
        <w:t>实施义务教育，促进基础教育发展，</w:t>
      </w:r>
      <w:r>
        <w:rPr>
          <w:rFonts w:hint="eastAsia" w:ascii="仿宋" w:hAnsi="仿宋" w:eastAsia="仿宋"/>
          <w:sz w:val="32"/>
          <w:szCs w:val="32"/>
        </w:rPr>
        <w:t>全面推进素质教育，全面提高教育教学质量。并</w:t>
      </w:r>
      <w:r>
        <w:rPr>
          <w:rFonts w:hint="eastAsia" w:ascii="仿宋" w:hAnsi="仿宋" w:eastAsia="仿宋"/>
          <w:bCs/>
          <w:sz w:val="32"/>
          <w:szCs w:val="32"/>
        </w:rPr>
        <w:t>进行小学历教育及相关的社会活动。</w:t>
      </w:r>
    </w:p>
    <w:p w14:paraId="1C6F5385">
      <w:pPr>
        <w:pStyle w:val="5"/>
        <w:pageBreakBefore w:val="0"/>
        <w:widowControl w:val="0"/>
        <w:kinsoku/>
        <w:wordWrap/>
        <w:overflowPunct/>
        <w:topLinePunct w:val="0"/>
        <w:autoSpaceDE/>
        <w:autoSpaceDN/>
        <w:bidi w:val="0"/>
        <w:adjustRightInd w:val="0"/>
        <w:snapToGrid w:val="0"/>
        <w:spacing w:beforeLines="0" w:line="578" w:lineRule="exact"/>
        <w:ind w:firstLine="672" w:firstLineChars="210"/>
        <w:textAlignment w:val="auto"/>
        <w:outlineLvl w:val="2"/>
        <w:rPr>
          <w:rFonts w:hint="eastAsia" w:ascii="仿宋" w:hAnsi="仿宋" w:eastAsia="仿宋"/>
          <w:bCs/>
          <w:sz w:val="32"/>
          <w:szCs w:val="32"/>
          <w:lang w:eastAsia="zh-CN"/>
        </w:rPr>
      </w:pPr>
    </w:p>
    <w:p w14:paraId="1EAEA218">
      <w:pPr>
        <w:pStyle w:val="3"/>
        <w:pageBreakBefore w:val="0"/>
        <w:widowControl w:val="0"/>
        <w:numPr>
          <w:ilvl w:val="0"/>
          <w:numId w:val="0"/>
        </w:numPr>
        <w:kinsoku/>
        <w:wordWrap/>
        <w:overflowPunct/>
        <w:topLinePunct w:val="0"/>
        <w:autoSpaceDE/>
        <w:autoSpaceDN/>
        <w:bidi w:val="0"/>
        <w:spacing w:before="0" w:after="0"/>
        <w:textAlignment w:val="auto"/>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14:paraId="310478AF">
      <w:pPr>
        <w:pStyle w:val="5"/>
        <w:pageBreakBefore w:val="0"/>
        <w:widowControl w:val="0"/>
        <w:kinsoku/>
        <w:wordWrap/>
        <w:overflowPunct/>
        <w:topLinePunct w:val="0"/>
        <w:autoSpaceDE/>
        <w:autoSpaceDN/>
        <w:bidi w:val="0"/>
        <w:adjustRightInd w:val="0"/>
        <w:snapToGrid w:val="0"/>
        <w:spacing w:beforeLines="0" w:line="578" w:lineRule="exact"/>
        <w:ind w:firstLine="640" w:firstLineChars="200"/>
        <w:textAlignment w:val="auto"/>
        <w:rPr>
          <w:rFonts w:ascii="仿宋" w:hAnsi="仿宋" w:eastAsia="仿宋" w:cs="Times New Roman"/>
          <w:bCs/>
          <w:sz w:val="32"/>
          <w:szCs w:val="32"/>
        </w:rPr>
      </w:pPr>
      <w:r>
        <w:rPr>
          <w:rFonts w:hint="eastAsia" w:ascii="仿宋" w:hAnsi="仿宋" w:eastAsia="仿宋" w:cs="Times New Roman"/>
          <w:bCs/>
          <w:sz w:val="32"/>
          <w:szCs w:val="32"/>
        </w:rPr>
        <w:t>大竹县</w:t>
      </w:r>
      <w:r>
        <w:rPr>
          <w:rFonts w:hint="eastAsia" w:ascii="仿宋" w:hAnsi="仿宋" w:eastAsia="仿宋" w:cs="Times New Roman"/>
          <w:bCs/>
          <w:sz w:val="32"/>
          <w:szCs w:val="32"/>
          <w:lang w:val="en-US" w:eastAsia="zh-CN"/>
        </w:rPr>
        <w:t>杨家镇人和</w:t>
      </w:r>
      <w:r>
        <w:rPr>
          <w:rFonts w:hint="eastAsia" w:ascii="仿宋" w:hAnsi="仿宋" w:eastAsia="仿宋" w:cs="Times New Roman"/>
          <w:bCs/>
          <w:sz w:val="32"/>
          <w:szCs w:val="32"/>
        </w:rPr>
        <w:t>小学下属二级预算单位</w:t>
      </w:r>
      <w:r>
        <w:rPr>
          <w:rFonts w:ascii="仿宋" w:hAnsi="仿宋" w:eastAsia="仿宋" w:cs="Times New Roman"/>
          <w:bCs/>
          <w:sz w:val="32"/>
          <w:szCs w:val="32"/>
        </w:rPr>
        <w:t>0</w:t>
      </w:r>
      <w:r>
        <w:rPr>
          <w:rFonts w:hint="eastAsia" w:ascii="仿宋" w:hAnsi="仿宋" w:eastAsia="仿宋" w:cs="Times New Roman"/>
          <w:bCs/>
          <w:sz w:val="32"/>
          <w:szCs w:val="32"/>
        </w:rPr>
        <w:t>个，其中行政单位</w:t>
      </w:r>
      <w:r>
        <w:rPr>
          <w:rFonts w:ascii="仿宋" w:hAnsi="仿宋" w:eastAsia="仿宋" w:cs="Times New Roman"/>
          <w:bCs/>
          <w:sz w:val="32"/>
          <w:szCs w:val="32"/>
        </w:rPr>
        <w:t>0</w:t>
      </w:r>
      <w:r>
        <w:rPr>
          <w:rFonts w:hint="eastAsia" w:ascii="仿宋" w:hAnsi="仿宋" w:eastAsia="仿宋" w:cs="Times New Roman"/>
          <w:bCs/>
          <w:sz w:val="32"/>
          <w:szCs w:val="32"/>
        </w:rPr>
        <w:t>个，参照公务员法管理的事业单位</w:t>
      </w:r>
      <w:r>
        <w:rPr>
          <w:rFonts w:ascii="仿宋" w:hAnsi="仿宋" w:eastAsia="仿宋" w:cs="Times New Roman"/>
          <w:bCs/>
          <w:sz w:val="32"/>
          <w:szCs w:val="32"/>
        </w:rPr>
        <w:t>0</w:t>
      </w:r>
      <w:r>
        <w:rPr>
          <w:rFonts w:hint="eastAsia" w:ascii="仿宋" w:hAnsi="仿宋" w:eastAsia="仿宋" w:cs="Times New Roman"/>
          <w:bCs/>
          <w:sz w:val="32"/>
          <w:szCs w:val="32"/>
        </w:rPr>
        <w:t>个，其他事业单位</w:t>
      </w:r>
      <w:r>
        <w:rPr>
          <w:rFonts w:ascii="仿宋" w:hAnsi="仿宋" w:eastAsia="仿宋" w:cs="Times New Roman"/>
          <w:bCs/>
          <w:sz w:val="32"/>
          <w:szCs w:val="32"/>
        </w:rPr>
        <w:t>0</w:t>
      </w:r>
      <w:r>
        <w:rPr>
          <w:rFonts w:hint="eastAsia" w:ascii="仿宋" w:hAnsi="仿宋" w:eastAsia="仿宋" w:cs="Times New Roman"/>
          <w:bCs/>
          <w:sz w:val="32"/>
          <w:szCs w:val="32"/>
        </w:rPr>
        <w:t>个。</w:t>
      </w:r>
    </w:p>
    <w:p w14:paraId="56D256C5">
      <w:pPr>
        <w:pStyle w:val="5"/>
        <w:pageBreakBefore w:val="0"/>
        <w:widowControl w:val="0"/>
        <w:kinsoku/>
        <w:wordWrap/>
        <w:overflowPunct/>
        <w:topLinePunct w:val="0"/>
        <w:autoSpaceDE/>
        <w:autoSpaceDN/>
        <w:bidi w:val="0"/>
        <w:adjustRightInd w:val="0"/>
        <w:snapToGrid w:val="0"/>
        <w:spacing w:beforeLines="0" w:line="578" w:lineRule="exact"/>
        <w:ind w:firstLine="640" w:firstLineChars="200"/>
        <w:textAlignment w:val="auto"/>
        <w:rPr>
          <w:rFonts w:ascii="仿宋" w:hAnsi="仿宋" w:eastAsia="仿宋" w:cs="Times New Roman"/>
          <w:bCs/>
          <w:sz w:val="32"/>
          <w:szCs w:val="32"/>
        </w:rPr>
      </w:pPr>
      <w:r>
        <w:rPr>
          <w:rFonts w:hint="eastAsia" w:ascii="仿宋" w:hAnsi="仿宋" w:eastAsia="仿宋" w:cs="Times New Roman"/>
          <w:bCs/>
          <w:sz w:val="32"/>
          <w:szCs w:val="32"/>
        </w:rPr>
        <w:t>纳入大竹县</w:t>
      </w:r>
      <w:r>
        <w:rPr>
          <w:rFonts w:hint="eastAsia" w:ascii="仿宋" w:hAnsi="仿宋" w:eastAsia="仿宋" w:cs="Times New Roman"/>
          <w:bCs/>
          <w:sz w:val="32"/>
          <w:szCs w:val="32"/>
          <w:lang w:val="en-US" w:eastAsia="zh-CN"/>
        </w:rPr>
        <w:t>杨家镇人和</w:t>
      </w:r>
      <w:r>
        <w:rPr>
          <w:rFonts w:hint="eastAsia" w:ascii="仿宋" w:hAnsi="仿宋" w:eastAsia="仿宋" w:cs="Times New Roman"/>
          <w:bCs/>
          <w:sz w:val="32"/>
          <w:szCs w:val="32"/>
        </w:rPr>
        <w:t>小学</w:t>
      </w:r>
      <w:r>
        <w:rPr>
          <w:rFonts w:ascii="仿宋" w:hAnsi="仿宋" w:eastAsia="仿宋" w:cs="Times New Roman"/>
          <w:bCs/>
          <w:sz w:val="32"/>
          <w:szCs w:val="32"/>
        </w:rPr>
        <w:t>202</w:t>
      </w:r>
      <w:r>
        <w:rPr>
          <w:rFonts w:hint="eastAsia" w:ascii="仿宋" w:hAnsi="仿宋" w:eastAsia="仿宋" w:cs="Times New Roman"/>
          <w:bCs/>
          <w:sz w:val="32"/>
          <w:szCs w:val="32"/>
          <w:lang w:val="en-US" w:eastAsia="zh-CN"/>
        </w:rPr>
        <w:t>3</w:t>
      </w:r>
      <w:r>
        <w:rPr>
          <w:rFonts w:hint="eastAsia" w:ascii="仿宋" w:hAnsi="仿宋" w:eastAsia="仿宋" w:cs="Times New Roman"/>
          <w:bCs/>
          <w:sz w:val="32"/>
          <w:szCs w:val="32"/>
        </w:rPr>
        <w:t>年度部门决算编制范围的二级预算单位包括：无。</w:t>
      </w:r>
    </w:p>
    <w:p w14:paraId="6A8085D3">
      <w:pPr>
        <w:pStyle w:val="2"/>
        <w:ind w:right="440" w:firstLine="321" w:firstLineChars="100"/>
        <w:jc w:val="both"/>
        <w:rPr>
          <w:rStyle w:val="24"/>
          <w:rFonts w:ascii="黑体" w:hAnsi="黑体" w:eastAsia="黑体"/>
          <w:b w:val="0"/>
          <w:bCs w:val="0"/>
        </w:rPr>
      </w:pPr>
      <w:r>
        <w:rPr>
          <w:rFonts w:ascii="仿宋" w:hAnsi="仿宋" w:eastAsia="仿宋"/>
          <w:color w:val="auto"/>
          <w:sz w:val="32"/>
          <w:szCs w:val="32"/>
          <w:highlight w:val="none"/>
        </w:rPr>
        <w:br w:type="page"/>
      </w:r>
      <w:r>
        <w:rPr>
          <w:rFonts w:hint="eastAsia" w:ascii="黑体" w:hAnsi="黑体" w:eastAsia="黑体"/>
          <w:b w:val="0"/>
          <w:color w:val="000000"/>
        </w:rPr>
        <w:t>第二部分</w:t>
      </w:r>
      <w:r>
        <w:rPr>
          <w:rFonts w:ascii="黑体" w:hAnsi="黑体" w:eastAsia="黑体"/>
          <w:color w:val="000000"/>
        </w:rPr>
        <w:t xml:space="preserve"> </w:t>
      </w:r>
      <w:r>
        <w:rPr>
          <w:rStyle w:val="24"/>
          <w:rFonts w:ascii="黑体" w:hAnsi="黑体" w:eastAsia="黑体"/>
          <w:b w:val="0"/>
          <w:bCs w:val="0"/>
        </w:rPr>
        <w:t>202</w:t>
      </w:r>
      <w:r>
        <w:rPr>
          <w:rStyle w:val="24"/>
          <w:rFonts w:hint="eastAsia" w:ascii="黑体" w:hAnsi="黑体" w:eastAsia="黑体"/>
          <w:b w:val="0"/>
          <w:bCs w:val="0"/>
          <w:lang w:val="en-US" w:eastAsia="zh-CN"/>
        </w:rPr>
        <w:t>3</w:t>
      </w:r>
      <w:r>
        <w:rPr>
          <w:rStyle w:val="24"/>
          <w:rFonts w:hint="eastAsia" w:ascii="黑体" w:hAnsi="黑体" w:eastAsia="黑体"/>
          <w:b w:val="0"/>
          <w:bCs w:val="0"/>
        </w:rPr>
        <w:t>年度部门决算情况说明</w:t>
      </w:r>
    </w:p>
    <w:p w14:paraId="0DBC2039"/>
    <w:p w14:paraId="75129CAD">
      <w:pPr>
        <w:pStyle w:val="23"/>
        <w:numPr>
          <w:ilvl w:val="0"/>
          <w:numId w:val="2"/>
        </w:numPr>
        <w:spacing w:line="600" w:lineRule="exact"/>
        <w:ind w:firstLineChars="0"/>
        <w:outlineLvl w:val="1"/>
        <w:rPr>
          <w:rStyle w:val="25"/>
          <w:rFonts w:ascii="黑体" w:hAnsi="黑体" w:eastAsia="黑体"/>
          <w:b w:val="0"/>
        </w:rPr>
      </w:pPr>
      <w:r>
        <w:rPr>
          <w:rFonts w:hint="eastAsia" w:ascii="黑体" w:hAnsi="黑体" w:eastAsia="黑体"/>
          <w:color w:val="000000"/>
          <w:sz w:val="32"/>
          <w:szCs w:val="32"/>
        </w:rPr>
        <w:t>收</w:t>
      </w:r>
      <w:r>
        <w:rPr>
          <w:rStyle w:val="25"/>
          <w:rFonts w:hint="eastAsia" w:ascii="黑体" w:hAnsi="黑体" w:eastAsia="黑体"/>
          <w:b w:val="0"/>
        </w:rPr>
        <w:t>入支出决算总体情况说明</w:t>
      </w:r>
    </w:p>
    <w:p w14:paraId="760D22A6">
      <w:pPr>
        <w:spacing w:line="578" w:lineRule="exact"/>
        <w:ind w:left="638" w:leftChars="304"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均为715.42</w:t>
      </w:r>
      <w:r>
        <w:rPr>
          <w:rFonts w:hint="eastAsia" w:ascii="仿宋" w:hAnsi="仿宋" w:eastAsia="仿宋"/>
          <w:color w:val="000000"/>
          <w:sz w:val="32"/>
          <w:szCs w:val="32"/>
        </w:rPr>
        <w:t>万元。与20</w:t>
      </w:r>
      <w:r>
        <w:rPr>
          <w:rFonts w:ascii="仿宋" w:hAnsi="仿宋" w:eastAsia="仿宋"/>
          <w:color w:val="000000"/>
          <w:sz w:val="32"/>
          <w:szCs w:val="32"/>
        </w:rPr>
        <w:t>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年相比，收支总计各</w:t>
      </w:r>
      <w:r>
        <w:rPr>
          <w:rFonts w:hint="eastAsia" w:ascii="仿宋" w:hAnsi="仿宋" w:eastAsia="仿宋"/>
          <w:color w:val="000000"/>
          <w:sz w:val="32"/>
          <w:szCs w:val="32"/>
          <w:lang w:val="en-US" w:eastAsia="zh-CN"/>
        </w:rPr>
        <w:t>增加3.84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增加0.54</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主要变动原因是社会保障经费增加。</w:t>
      </w:r>
    </w:p>
    <w:p w14:paraId="54D8313F">
      <w:pPr>
        <w:ind w:firstLine="525" w:firstLineChars="250"/>
        <w:jc w:val="center"/>
        <w:rPr>
          <w:rFonts w:hint="eastAsia"/>
        </w:rPr>
      </w:pPr>
      <w:r>
        <w:t xml:space="preserve"> </w:t>
      </w:r>
    </w:p>
    <w:p w14:paraId="51B90AC7">
      <w:pPr>
        <w:jc w:val="both"/>
        <w:rPr>
          <w:sz w:val="21"/>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drawing>
          <wp:inline distT="0" distB="0" distL="114300" distR="114300">
            <wp:extent cx="4109085" cy="2743200"/>
            <wp:effectExtent l="4445" t="4445" r="16510"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FB1AD21">
      <w:pPr>
        <w:ind w:firstLine="525" w:firstLineChars="250"/>
        <w:jc w:val="center"/>
        <w:rPr>
          <w:rFonts w:hint="eastAsia"/>
          <w:sz w:val="21"/>
          <w:lang w:eastAsia="zh-CN"/>
        </w:rPr>
      </w:pPr>
    </w:p>
    <w:p w14:paraId="3E7EEC3C">
      <w:pPr>
        <w:ind w:firstLine="800" w:firstLineChars="250"/>
        <w:jc w:val="center"/>
        <w:rPr>
          <w:rFonts w:ascii="仿宋_GB2312" w:eastAsia="仿宋_GB2312"/>
          <w:color w:val="auto"/>
          <w:sz w:val="32"/>
          <w:szCs w:val="32"/>
          <w:highlight w:val="none"/>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709ACB2B">
      <w:pPr>
        <w:pStyle w:val="23"/>
        <w:numPr>
          <w:ilvl w:val="0"/>
          <w:numId w:val="2"/>
        </w:numPr>
        <w:spacing w:line="600" w:lineRule="exact"/>
        <w:ind w:firstLineChars="0"/>
        <w:outlineLvl w:val="1"/>
        <w:rPr>
          <w:rStyle w:val="25"/>
          <w:rFonts w:ascii="黑体" w:hAnsi="黑体" w:eastAsia="黑体"/>
          <w:b w:val="0"/>
          <w:color w:val="auto"/>
          <w:highlight w:val="none"/>
        </w:rPr>
      </w:pPr>
      <w:bookmarkStart w:id="16" w:name="_Toc15377206"/>
      <w:bookmarkStart w:id="17"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16"/>
      <w:bookmarkEnd w:id="17"/>
    </w:p>
    <w:p w14:paraId="0E2A57AD">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714.04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714.04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06E65BE8">
      <w:pPr>
        <w:spacing w:line="600" w:lineRule="exact"/>
        <w:ind w:firstLine="640" w:firstLineChars="200"/>
        <w:outlineLvl w:val="1"/>
        <w:rPr>
          <w:rFonts w:hint="eastAsia" w:ascii="仿宋" w:hAnsi="仿宋" w:eastAsia="仿宋"/>
          <w:color w:val="auto"/>
          <w:sz w:val="32"/>
          <w:szCs w:val="32"/>
          <w:highlight w:val="none"/>
          <w:lang w:eastAsia="zh-CN"/>
        </w:rPr>
      </w:pPr>
    </w:p>
    <w:p w14:paraId="54B6301F">
      <w:pPr>
        <w:spacing w:line="600" w:lineRule="exact"/>
        <w:ind w:firstLine="640" w:firstLineChars="200"/>
        <w:rPr>
          <w:rFonts w:hint="eastAsia" w:ascii="仿宋" w:hAnsi="仿宋" w:eastAsia="仿宋"/>
          <w:color w:val="auto"/>
          <w:sz w:val="32"/>
          <w:szCs w:val="32"/>
          <w:highlight w:val="none"/>
        </w:rPr>
      </w:pPr>
    </w:p>
    <w:p w14:paraId="30EF2B25">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365125</wp:posOffset>
            </wp:positionH>
            <wp:positionV relativeFrom="paragraph">
              <wp:posOffset>-71120</wp:posOffset>
            </wp:positionV>
            <wp:extent cx="4182110" cy="2926715"/>
            <wp:effectExtent l="4445" t="5080" r="19685" b="952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0DF169F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highlight w:val="none"/>
        </w:rPr>
      </w:pPr>
    </w:p>
    <w:p w14:paraId="0C2F9D90">
      <w:pPr>
        <w:spacing w:line="600" w:lineRule="exact"/>
        <w:ind w:firstLine="640" w:firstLineChars="200"/>
        <w:rPr>
          <w:rFonts w:hint="eastAsia" w:ascii="仿宋" w:hAnsi="仿宋" w:eastAsia="仿宋"/>
          <w:color w:val="000000"/>
          <w:sz w:val="32"/>
          <w:szCs w:val="32"/>
          <w:highlight w:val="none"/>
          <w14:shadow w14:blurRad="60007" w14:dist="200025" w14:dir="15000000" w14:sx="100000" w14:sy="30000" w14:kx="-1800000" w14:ky="0" w14:algn="bl">
            <w14:srgbClr w14:val="000000">
              <w14:alpha w14:val="68000"/>
            </w14:srgbClr>
          </w14:shadow>
          <w14:reflection w14:blurRad="6350" w14:stA="60000" w14:stPos="0" w14:endA="900" w14:endPos="58000" w14:dist="0" w14:dir="5400000" w14:fadeDir="5400000" w14:sx="100000" w14:sy="-100000" w14:kx="0" w14:algn="bl"/>
          <w14:textFill>
            <w14:solidFill>
              <w14:srgbClr w14:val="000000">
                <w14:alpha w14:val="12000"/>
              </w14:srgbClr>
            </w14:solidFill>
          </w14:textFill>
        </w:rPr>
      </w:pPr>
    </w:p>
    <w:p w14:paraId="6DA3AF39">
      <w:pPr>
        <w:spacing w:line="600" w:lineRule="exact"/>
        <w:ind w:firstLine="640" w:firstLineChars="200"/>
        <w:rPr>
          <w:rFonts w:hint="eastAsia" w:ascii="仿宋" w:hAnsi="仿宋" w:eastAsia="仿宋"/>
          <w:color w:val="auto"/>
          <w:sz w:val="32"/>
          <w:szCs w:val="32"/>
          <w:highlight w:val="none"/>
        </w:rPr>
      </w:pPr>
    </w:p>
    <w:p w14:paraId="28FB0C1E">
      <w:pPr>
        <w:spacing w:line="600" w:lineRule="exact"/>
        <w:ind w:firstLine="640" w:firstLineChars="200"/>
        <w:rPr>
          <w:rFonts w:hint="eastAsia" w:ascii="仿宋" w:hAnsi="仿宋" w:eastAsia="仿宋"/>
          <w:color w:val="auto"/>
          <w:sz w:val="32"/>
          <w:szCs w:val="32"/>
          <w:highlight w:val="none"/>
        </w:rPr>
      </w:pPr>
    </w:p>
    <w:p w14:paraId="07117027">
      <w:pPr>
        <w:spacing w:line="600" w:lineRule="exact"/>
        <w:ind w:firstLine="640" w:firstLineChars="200"/>
        <w:rPr>
          <w:rFonts w:hint="eastAsia" w:ascii="仿宋" w:hAnsi="仿宋" w:eastAsia="仿宋"/>
          <w:color w:val="auto"/>
          <w:sz w:val="32"/>
          <w:szCs w:val="32"/>
          <w:highlight w:val="none"/>
        </w:rPr>
      </w:pPr>
      <w:r>
        <w:rPr>
          <w:sz w:val="32"/>
        </w:rPr>
        <mc:AlternateContent>
          <mc:Choice Requires="wps">
            <w:drawing>
              <wp:anchor distT="0" distB="0" distL="114300" distR="114300" simplePos="0" relativeHeight="251660288" behindDoc="0" locked="0" layoutInCell="1" allowOverlap="1">
                <wp:simplePos x="0" y="0"/>
                <wp:positionH relativeFrom="column">
                  <wp:posOffset>2028190</wp:posOffset>
                </wp:positionH>
                <wp:positionV relativeFrom="paragraph">
                  <wp:posOffset>177800</wp:posOffset>
                </wp:positionV>
                <wp:extent cx="853440" cy="323850"/>
                <wp:effectExtent l="0" t="0" r="0" b="11430"/>
                <wp:wrapNone/>
                <wp:docPr id="8" name="文本框 8"/>
                <wp:cNvGraphicFramePr/>
                <a:graphic xmlns:a="http://schemas.openxmlformats.org/drawingml/2006/main">
                  <a:graphicData uri="http://schemas.microsoft.com/office/word/2010/wordprocessingShape">
                    <wps:wsp>
                      <wps:cNvSpPr txBox="1"/>
                      <wps:spPr>
                        <a:xfrm>
                          <a:off x="3338830" y="3065780"/>
                          <a:ext cx="853440" cy="323850"/>
                        </a:xfrm>
                        <a:prstGeom prst="rect">
                          <a:avLst/>
                        </a:prstGeom>
                      </wps:spPr>
                      <wps:style>
                        <a:lnRef idx="0">
                          <a:srgbClr val="FFFFFF"/>
                        </a:lnRef>
                        <a:fillRef idx="1">
                          <a:schemeClr val="accent1"/>
                        </a:fillRef>
                        <a:effectRef idx="0">
                          <a:srgbClr val="FFFFFF"/>
                        </a:effectRef>
                        <a:fontRef idx="minor">
                          <a:schemeClr val="lt1"/>
                        </a:fontRef>
                      </wps:style>
                      <wps:txbx>
                        <w:txbxContent>
                          <w:p w14:paraId="7C3EEC71">
                            <w:pPr>
                              <w:rPr>
                                <w:rFonts w:hint="default" w:eastAsia="宋体"/>
                                <w:lang w:val="en-US" w:eastAsia="zh-CN"/>
                              </w:rPr>
                            </w:pPr>
                            <w:r>
                              <w:rPr>
                                <w:rFonts w:hint="eastAsia"/>
                                <w:lang w:val="en-US" w:eastAsia="zh-CN"/>
                              </w:rPr>
                              <w:t>714.04万元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7pt;margin-top:14pt;height:25.5pt;width:67.2pt;z-index:251660288;mso-width-relative:page;mso-height-relative:page;" fillcolor="#4F81BD [3204]" filled="t" stroked="f" coordsize="21600,21600" o:gfxdata="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76FO51gAAAAkBAAAPAAAAAAAA&#10;AAEAIAAAACIAAABkcnMvZG93bnJldi54bWxQSwECFAAUAAAACACHTuJAbcsaPU0CAACABAAADgAA&#10;AAAAAAABACAAAAAlAQAAZHJzL2Uyb0RvYy54bWxQSwUGAAAAAAYABgBZAQAA5AUAAAAA&#10;">
                <v:fill on="t" focussize="0,0"/>
                <v:stroke on="f"/>
                <v:imagedata o:title=""/>
                <o:lock v:ext="edit" aspectratio="f"/>
                <v:textbox>
                  <w:txbxContent>
                    <w:p w14:paraId="7C3EEC71">
                      <w:pPr>
                        <w:rPr>
                          <w:rFonts w:hint="default" w:eastAsia="宋体"/>
                          <w:lang w:val="en-US" w:eastAsia="zh-CN"/>
                        </w:rPr>
                      </w:pPr>
                      <w:r>
                        <w:rPr>
                          <w:rFonts w:hint="eastAsia"/>
                          <w:lang w:val="en-US" w:eastAsia="zh-CN"/>
                        </w:rPr>
                        <w:t>714.04万元</w:t>
                      </w:r>
                    </w:p>
                  </w:txbxContent>
                </v:textbox>
              </v:shape>
            </w:pict>
          </mc:Fallback>
        </mc:AlternateContent>
      </w:r>
    </w:p>
    <w:p w14:paraId="43BBB979">
      <w:pPr>
        <w:spacing w:line="600" w:lineRule="exact"/>
        <w:ind w:firstLine="640" w:firstLineChars="200"/>
        <w:rPr>
          <w:rFonts w:hint="eastAsia" w:ascii="仿宋" w:hAnsi="仿宋" w:eastAsia="仿宋"/>
          <w:color w:val="auto"/>
          <w:sz w:val="32"/>
          <w:szCs w:val="32"/>
          <w:highlight w:val="none"/>
        </w:rPr>
      </w:pPr>
    </w:p>
    <w:p w14:paraId="6606B4DA">
      <w:pPr>
        <w:spacing w:line="600" w:lineRule="exact"/>
        <w:ind w:firstLine="2240" w:firstLineChars="7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14:paraId="245EC06E">
      <w:pPr>
        <w:spacing w:line="600" w:lineRule="exact"/>
        <w:ind w:firstLine="640" w:firstLineChars="200"/>
        <w:rPr>
          <w:rFonts w:ascii="仿宋_GB2312" w:eastAsia="仿宋_GB2312"/>
          <w:color w:val="auto"/>
          <w:sz w:val="32"/>
          <w:szCs w:val="32"/>
          <w:highlight w:val="none"/>
        </w:rPr>
      </w:pPr>
    </w:p>
    <w:p w14:paraId="270840FC">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96605"/>
      <w:bookmarkStart w:id="19"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18"/>
      <w:bookmarkEnd w:id="19"/>
    </w:p>
    <w:p w14:paraId="0D5AB252">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715.42</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701.77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98.09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13.65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1.91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4378A02">
      <w:pPr>
        <w:spacing w:line="600" w:lineRule="exact"/>
        <w:ind w:firstLine="640" w:firstLineChars="200"/>
        <w:outlineLvl w:val="1"/>
        <w:rPr>
          <w:rFonts w:ascii="仿宋" w:hAnsi="仿宋" w:eastAsia="仿宋"/>
          <w:b/>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286385</wp:posOffset>
            </wp:positionV>
            <wp:extent cx="4328160" cy="2673350"/>
            <wp:effectExtent l="4445" t="4445" r="10795" b="1968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4BF5E54">
      <w:pPr>
        <w:spacing w:line="600" w:lineRule="exact"/>
        <w:ind w:firstLine="640"/>
        <w:rPr>
          <w:rFonts w:ascii="仿宋" w:hAnsi="仿宋" w:eastAsia="仿宋"/>
          <w:color w:val="auto"/>
          <w:sz w:val="32"/>
          <w:szCs w:val="32"/>
          <w:highlight w:val="none"/>
          <w:shd w:val="pct10" w:color="auto" w:fill="FFFFFF"/>
        </w:rPr>
      </w:pPr>
    </w:p>
    <w:p w14:paraId="615FA061">
      <w:pPr>
        <w:spacing w:line="600" w:lineRule="exact"/>
        <w:ind w:firstLine="640" w:firstLineChars="200"/>
        <w:rPr>
          <w:rFonts w:hint="eastAsia" w:ascii="仿宋" w:hAnsi="仿宋" w:eastAsia="仿宋"/>
          <w:color w:val="auto"/>
          <w:sz w:val="32"/>
          <w:szCs w:val="32"/>
          <w:highlight w:val="none"/>
        </w:rPr>
      </w:pPr>
    </w:p>
    <w:p w14:paraId="6EF4050C">
      <w:pPr>
        <w:spacing w:line="600" w:lineRule="exact"/>
        <w:ind w:firstLine="640" w:firstLineChars="200"/>
        <w:rPr>
          <w:rFonts w:hint="eastAsia" w:ascii="仿宋" w:hAnsi="仿宋" w:eastAsia="仿宋"/>
          <w:color w:val="auto"/>
          <w:sz w:val="32"/>
          <w:szCs w:val="32"/>
          <w:highlight w:val="none"/>
        </w:rPr>
      </w:pPr>
    </w:p>
    <w:p w14:paraId="4F9B2268">
      <w:pPr>
        <w:spacing w:line="600" w:lineRule="exact"/>
        <w:ind w:firstLine="640" w:firstLineChars="200"/>
        <w:rPr>
          <w:rFonts w:hint="eastAsia" w:ascii="仿宋" w:hAnsi="仿宋" w:eastAsia="仿宋"/>
          <w:color w:val="auto"/>
          <w:sz w:val="32"/>
          <w:szCs w:val="32"/>
          <w:highlight w:val="none"/>
        </w:rPr>
      </w:pPr>
    </w:p>
    <w:p w14:paraId="061C25BB">
      <w:pPr>
        <w:spacing w:line="600" w:lineRule="exact"/>
        <w:ind w:firstLine="640" w:firstLineChars="200"/>
        <w:rPr>
          <w:rFonts w:hint="eastAsia" w:ascii="仿宋" w:hAnsi="仿宋" w:eastAsia="仿宋"/>
          <w:color w:val="auto"/>
          <w:sz w:val="32"/>
          <w:szCs w:val="32"/>
          <w:highlight w:val="none"/>
        </w:rPr>
      </w:pPr>
    </w:p>
    <w:p w14:paraId="4E50D779">
      <w:pPr>
        <w:spacing w:line="600" w:lineRule="exact"/>
        <w:ind w:firstLine="640" w:firstLineChars="200"/>
        <w:rPr>
          <w:rFonts w:hint="eastAsia" w:ascii="仿宋" w:hAnsi="仿宋" w:eastAsia="仿宋"/>
          <w:color w:val="auto"/>
          <w:sz w:val="32"/>
          <w:szCs w:val="32"/>
          <w:highlight w:val="none"/>
        </w:rPr>
      </w:pPr>
    </w:p>
    <w:p w14:paraId="1D223022">
      <w:pPr>
        <w:spacing w:line="600" w:lineRule="exact"/>
        <w:ind w:firstLine="640" w:firstLineChars="200"/>
        <w:jc w:val="center"/>
        <w:rPr>
          <w:rFonts w:hint="eastAsia" w:ascii="仿宋" w:hAnsi="仿宋" w:eastAsia="仿宋"/>
          <w:color w:val="auto"/>
          <w:sz w:val="32"/>
          <w:szCs w:val="32"/>
          <w:highlight w:val="none"/>
        </w:rPr>
      </w:pPr>
    </w:p>
    <w:p w14:paraId="44C5DD64">
      <w:pPr>
        <w:spacing w:line="600" w:lineRule="exact"/>
        <w:ind w:firstLine="2240" w:firstLineChars="7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14:paraId="7C014ADE">
      <w:pPr>
        <w:spacing w:line="600" w:lineRule="exact"/>
        <w:ind w:firstLine="640" w:firstLineChars="200"/>
        <w:rPr>
          <w:rFonts w:ascii="仿宋_GB2312" w:eastAsia="仿宋_GB2312"/>
          <w:color w:val="auto"/>
          <w:sz w:val="32"/>
          <w:szCs w:val="32"/>
          <w:highlight w:val="none"/>
        </w:rPr>
      </w:pPr>
    </w:p>
    <w:p w14:paraId="5E839F02">
      <w:pPr>
        <w:spacing w:line="600" w:lineRule="exact"/>
        <w:ind w:firstLine="640" w:firstLineChars="200"/>
        <w:outlineLvl w:val="1"/>
        <w:rPr>
          <w:rStyle w:val="25"/>
          <w:rFonts w:ascii="黑体" w:hAnsi="黑体" w:eastAsia="黑体"/>
          <w:b w:val="0"/>
          <w:color w:val="auto"/>
          <w:highlight w:val="none"/>
        </w:rPr>
      </w:pPr>
      <w:bookmarkStart w:id="20" w:name="_Toc15377208"/>
      <w:bookmarkStart w:id="21"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0"/>
      <w:bookmarkEnd w:id="21"/>
    </w:p>
    <w:p w14:paraId="1DEF4701">
      <w:pPr>
        <w:spacing w:line="578" w:lineRule="exact"/>
        <w:ind w:left="638" w:leftChars="304" w:firstLine="640" w:firstLineChars="200"/>
        <w:rPr>
          <w:rFonts w:hint="eastAsia" w:ascii="仿宋" w:hAnsi="仿宋" w:eastAsia="仿宋"/>
          <w:b/>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年财政拨款收、支总计</w:t>
      </w:r>
      <w:r>
        <w:rPr>
          <w:rFonts w:hint="eastAsia" w:ascii="仿宋" w:hAnsi="仿宋" w:eastAsia="仿宋"/>
          <w:color w:val="000000"/>
          <w:sz w:val="32"/>
          <w:szCs w:val="32"/>
          <w:lang w:val="en-US" w:eastAsia="zh-CN"/>
        </w:rPr>
        <w:t>715.42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年相比，财政拨款收、支总计各</w:t>
      </w:r>
      <w:r>
        <w:rPr>
          <w:rFonts w:hint="eastAsia" w:ascii="仿宋" w:hAnsi="仿宋" w:eastAsia="仿宋"/>
          <w:color w:val="000000"/>
          <w:sz w:val="32"/>
          <w:szCs w:val="32"/>
          <w:lang w:val="en-US" w:eastAsia="zh-CN"/>
        </w:rPr>
        <w:t>增加3.84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增加0.54</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主要变动原因是社会保障经费增加</w:t>
      </w:r>
      <w:r>
        <w:rPr>
          <w:rFonts w:hint="eastAsia" w:ascii="仿宋" w:hAnsi="仿宋" w:eastAsia="仿宋"/>
          <w:b/>
          <w:color w:val="auto"/>
          <w:sz w:val="32"/>
          <w:szCs w:val="32"/>
          <w:highlight w:val="none"/>
          <w:lang w:eastAsia="zh-CN"/>
        </w:rPr>
        <w:t>。</w:t>
      </w:r>
    </w:p>
    <w:p w14:paraId="3779CE0D">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647065</wp:posOffset>
            </wp:positionH>
            <wp:positionV relativeFrom="paragraph">
              <wp:posOffset>271145</wp:posOffset>
            </wp:positionV>
            <wp:extent cx="4109085" cy="2743200"/>
            <wp:effectExtent l="4445" t="4445" r="16510" b="1079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27DD917">
      <w:pPr>
        <w:spacing w:line="600" w:lineRule="exact"/>
        <w:ind w:firstLine="640" w:firstLineChars="200"/>
        <w:rPr>
          <w:rFonts w:hint="eastAsia" w:ascii="仿宋" w:hAnsi="仿宋" w:eastAsia="仿宋"/>
          <w:color w:val="auto"/>
          <w:sz w:val="32"/>
          <w:szCs w:val="32"/>
          <w:highlight w:val="none"/>
        </w:rPr>
      </w:pPr>
    </w:p>
    <w:p w14:paraId="47A82BC4">
      <w:pPr>
        <w:spacing w:line="600" w:lineRule="exact"/>
        <w:ind w:firstLine="640" w:firstLineChars="200"/>
        <w:rPr>
          <w:rFonts w:hint="eastAsia" w:ascii="仿宋" w:hAnsi="仿宋" w:eastAsia="仿宋"/>
          <w:color w:val="auto"/>
          <w:sz w:val="32"/>
          <w:szCs w:val="32"/>
          <w:highlight w:val="none"/>
        </w:rPr>
      </w:pPr>
    </w:p>
    <w:p w14:paraId="6AFEDD15">
      <w:pPr>
        <w:spacing w:line="600" w:lineRule="exact"/>
        <w:ind w:firstLine="640" w:firstLineChars="200"/>
        <w:rPr>
          <w:rFonts w:hint="eastAsia" w:ascii="仿宋" w:hAnsi="仿宋" w:eastAsia="仿宋"/>
          <w:color w:val="auto"/>
          <w:sz w:val="32"/>
          <w:szCs w:val="32"/>
          <w:highlight w:val="none"/>
        </w:rPr>
      </w:pPr>
    </w:p>
    <w:p w14:paraId="37FCF5CB">
      <w:pPr>
        <w:spacing w:line="600" w:lineRule="exact"/>
        <w:ind w:firstLine="640" w:firstLineChars="200"/>
        <w:rPr>
          <w:rFonts w:hint="eastAsia" w:ascii="仿宋" w:hAnsi="仿宋" w:eastAsia="仿宋"/>
          <w:color w:val="auto"/>
          <w:sz w:val="32"/>
          <w:szCs w:val="32"/>
          <w:highlight w:val="none"/>
        </w:rPr>
      </w:pPr>
    </w:p>
    <w:p w14:paraId="7DC366FE">
      <w:pPr>
        <w:spacing w:line="600" w:lineRule="exact"/>
        <w:ind w:firstLine="640" w:firstLineChars="200"/>
        <w:rPr>
          <w:rFonts w:hint="eastAsia" w:ascii="仿宋" w:hAnsi="仿宋" w:eastAsia="仿宋"/>
          <w:color w:val="auto"/>
          <w:sz w:val="32"/>
          <w:szCs w:val="32"/>
          <w:highlight w:val="none"/>
        </w:rPr>
      </w:pPr>
    </w:p>
    <w:p w14:paraId="204D5AEF">
      <w:pPr>
        <w:spacing w:line="600" w:lineRule="exact"/>
        <w:ind w:firstLine="1280" w:firstLineChars="4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图4：财政拨款收、支决算总计变动情况</w:t>
      </w:r>
      <w:r>
        <w:rPr>
          <w:rFonts w:hint="eastAsia" w:ascii="仿宋" w:hAnsi="仿宋" w:eastAsia="仿宋"/>
          <w:color w:val="auto"/>
          <w:sz w:val="32"/>
          <w:szCs w:val="32"/>
          <w:highlight w:val="none"/>
          <w:lang w:val="en-US" w:eastAsia="zh-CN"/>
        </w:rPr>
        <w:t>表</w:t>
      </w:r>
    </w:p>
    <w:p w14:paraId="55FEF2EA">
      <w:pPr>
        <w:spacing w:line="600" w:lineRule="exact"/>
        <w:ind w:firstLine="640"/>
        <w:rPr>
          <w:rFonts w:ascii="仿宋" w:hAnsi="仿宋" w:eastAsia="仿宋"/>
          <w:b/>
          <w:color w:val="auto"/>
          <w:sz w:val="32"/>
          <w:szCs w:val="32"/>
          <w:highlight w:val="none"/>
        </w:rPr>
      </w:pPr>
    </w:p>
    <w:p w14:paraId="430BE7AB">
      <w:pPr>
        <w:spacing w:line="600" w:lineRule="exact"/>
        <w:ind w:firstLine="640" w:firstLineChars="200"/>
        <w:outlineLvl w:val="1"/>
        <w:rPr>
          <w:rStyle w:val="25"/>
          <w:rFonts w:ascii="黑体" w:hAnsi="黑体" w:eastAsia="黑体"/>
          <w:b w:val="0"/>
          <w:color w:val="auto"/>
          <w:highlight w:val="none"/>
        </w:rPr>
      </w:pPr>
      <w:bookmarkStart w:id="22" w:name="_Toc15396607"/>
      <w:bookmarkStart w:id="23"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2"/>
      <w:bookmarkEnd w:id="23"/>
    </w:p>
    <w:p w14:paraId="301154AE">
      <w:pPr>
        <w:spacing w:line="600" w:lineRule="exact"/>
        <w:ind w:firstLine="643" w:firstLineChars="200"/>
        <w:outlineLvl w:val="2"/>
        <w:rPr>
          <w:rFonts w:ascii="仿宋" w:hAnsi="仿宋" w:eastAsia="仿宋"/>
          <w:b/>
          <w:color w:val="auto"/>
          <w:sz w:val="32"/>
          <w:szCs w:val="32"/>
          <w:highlight w:val="none"/>
        </w:rPr>
      </w:pPr>
      <w:bookmarkStart w:id="24" w:name="_Toc15377210"/>
      <w:r>
        <w:rPr>
          <w:rFonts w:hint="eastAsia" w:ascii="仿宋" w:hAnsi="仿宋" w:eastAsia="仿宋"/>
          <w:b/>
          <w:color w:val="auto"/>
          <w:sz w:val="32"/>
          <w:szCs w:val="32"/>
          <w:highlight w:val="none"/>
        </w:rPr>
        <w:t>（一）一般公共预算财政拨款支出决算总体情况</w:t>
      </w:r>
      <w:bookmarkEnd w:id="24"/>
    </w:p>
    <w:p w14:paraId="3C593076">
      <w:pPr>
        <w:spacing w:line="6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715.42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3.84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0.54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000000"/>
          <w:sz w:val="32"/>
          <w:szCs w:val="32"/>
          <w:lang w:val="en-US" w:eastAsia="zh-CN"/>
        </w:rPr>
        <w:t>是社会保障经费增加</w:t>
      </w:r>
      <w:r>
        <w:rPr>
          <w:rFonts w:hint="eastAsia" w:ascii="仿宋" w:hAnsi="仿宋" w:eastAsia="仿宋"/>
          <w:color w:val="auto"/>
          <w:sz w:val="32"/>
          <w:szCs w:val="32"/>
          <w:highlight w:val="none"/>
          <w:lang w:val="en-US" w:eastAsia="zh-CN"/>
        </w:rPr>
        <w:t>等。</w:t>
      </w:r>
    </w:p>
    <w:p w14:paraId="04734C85">
      <w:pPr>
        <w:spacing w:line="600" w:lineRule="exact"/>
        <w:ind w:firstLine="640" w:firstLineChars="200"/>
        <w:rPr>
          <w:rFonts w:ascii="仿宋" w:hAnsi="仿宋" w:eastAsia="仿宋"/>
          <w:color w:val="auto"/>
          <w:sz w:val="32"/>
          <w:szCs w:val="32"/>
          <w:highlight w:val="none"/>
        </w:rPr>
      </w:pPr>
    </w:p>
    <w:p w14:paraId="28CCBD93">
      <w:pPr>
        <w:pStyle w:val="5"/>
        <w:rPr>
          <w:rFonts w:ascii="仿宋" w:hAnsi="仿宋" w:eastAsia="仿宋"/>
          <w:color w:val="auto"/>
          <w:sz w:val="32"/>
          <w:szCs w:val="32"/>
          <w:highlight w:val="none"/>
        </w:rPr>
      </w:pPr>
    </w:p>
    <w:p w14:paraId="217BF241">
      <w:pPr>
        <w:pStyle w:val="5"/>
        <w:rPr>
          <w:rFonts w:ascii="仿宋" w:hAnsi="仿宋" w:eastAsia="仿宋"/>
          <w:color w:val="auto"/>
          <w:sz w:val="32"/>
          <w:szCs w:val="32"/>
          <w:highlight w:val="none"/>
        </w:rPr>
      </w:pPr>
    </w:p>
    <w:p w14:paraId="67EC4ADB">
      <w:pPr>
        <w:pStyle w:val="5"/>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drawing>
          <wp:inline distT="0" distB="0" distL="114300" distR="114300">
            <wp:extent cx="4621530" cy="2658745"/>
            <wp:effectExtent l="4445" t="4445" r="6985"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7028E3">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14:paraId="43941F99">
      <w:pPr>
        <w:spacing w:line="600" w:lineRule="exact"/>
        <w:ind w:firstLine="643" w:firstLineChars="200"/>
        <w:outlineLvl w:val="2"/>
        <w:rPr>
          <w:rFonts w:ascii="仿宋" w:hAnsi="仿宋" w:eastAsia="仿宋"/>
          <w:b/>
          <w:color w:val="auto"/>
          <w:sz w:val="32"/>
          <w:szCs w:val="32"/>
          <w:highlight w:val="none"/>
        </w:rPr>
      </w:pPr>
      <w:bookmarkStart w:id="25" w:name="_Toc15377211"/>
      <w:r>
        <w:rPr>
          <w:rFonts w:hint="eastAsia" w:ascii="仿宋" w:hAnsi="仿宋" w:eastAsia="仿宋"/>
          <w:b/>
          <w:color w:val="auto"/>
          <w:sz w:val="32"/>
          <w:szCs w:val="32"/>
          <w:highlight w:val="none"/>
        </w:rPr>
        <w:t>（二）一般公共预算财政拨款支出决算结构情况</w:t>
      </w:r>
      <w:bookmarkEnd w:id="25"/>
    </w:p>
    <w:p w14:paraId="61879B86">
      <w:pPr>
        <w:spacing w:line="600" w:lineRule="exact"/>
        <w:ind w:firstLine="640"/>
        <w:rPr>
          <w:rFonts w:hint="eastAsia"/>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715.42</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490.92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68.62</w:t>
      </w:r>
      <w:r>
        <w:rPr>
          <w:rFonts w:ascii="仿宋" w:hAnsi="仿宋" w:eastAsia="仿宋"/>
          <w:color w:val="auto"/>
          <w:sz w:val="32"/>
          <w:szCs w:val="32"/>
          <w:highlight w:val="none"/>
        </w:rPr>
        <w:t>%</w:t>
      </w:r>
      <w:r>
        <w:rPr>
          <w:rFonts w:hint="eastAsia" w:ascii="仿宋" w:hAnsi="仿宋" w:eastAsia="仿宋"/>
          <w:color w:val="auto"/>
          <w:sz w:val="32"/>
          <w:szCs w:val="32"/>
          <w:highlight w:val="none"/>
        </w:rPr>
        <w:t>；文化旅游体育与传媒支出</w:t>
      </w:r>
      <w:r>
        <w:rPr>
          <w:rFonts w:hint="eastAsia" w:ascii="仿宋" w:hAnsi="仿宋" w:eastAsia="仿宋"/>
          <w:color w:val="auto"/>
          <w:sz w:val="32"/>
          <w:szCs w:val="32"/>
          <w:highlight w:val="none"/>
          <w:lang w:val="en-US" w:eastAsia="zh-CN"/>
        </w:rPr>
        <w:t>2.5万元，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0.35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170.62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23.85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20.60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2.88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30.79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7E139CF2">
      <w:pPr>
        <w:spacing w:line="600" w:lineRule="exact"/>
        <w:ind w:firstLine="420" w:firstLineChars="200"/>
        <w:jc w:val="center"/>
        <w:rPr>
          <w:rFonts w:hint="eastAsia" w:ascii="仿宋" w:hAnsi="仿宋" w:eastAsia="仿宋"/>
          <w:color w:val="auto"/>
          <w:sz w:val="32"/>
          <w:szCs w:val="32"/>
          <w:highlight w:val="none"/>
        </w:rPr>
      </w:pPr>
      <w:r>
        <w:drawing>
          <wp:anchor distT="0" distB="0" distL="114300" distR="114300" simplePos="0" relativeHeight="251664384" behindDoc="0" locked="0" layoutInCell="1" allowOverlap="1">
            <wp:simplePos x="0" y="0"/>
            <wp:positionH relativeFrom="column">
              <wp:posOffset>566420</wp:posOffset>
            </wp:positionH>
            <wp:positionV relativeFrom="paragraph">
              <wp:posOffset>43815</wp:posOffset>
            </wp:positionV>
            <wp:extent cx="4812665" cy="2689225"/>
            <wp:effectExtent l="4445" t="5080" r="21590" b="10795"/>
            <wp:wrapNone/>
            <wp:docPr id="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97D8E2B">
      <w:pPr>
        <w:spacing w:line="600" w:lineRule="exact"/>
        <w:ind w:firstLine="640" w:firstLineChars="200"/>
        <w:rPr>
          <w:rFonts w:hint="eastAsia" w:ascii="仿宋" w:hAnsi="仿宋" w:eastAsia="仿宋"/>
          <w:color w:val="auto"/>
          <w:sz w:val="32"/>
          <w:szCs w:val="32"/>
          <w:highlight w:val="none"/>
        </w:rPr>
      </w:pPr>
    </w:p>
    <w:p w14:paraId="0BC65768">
      <w:pPr>
        <w:spacing w:line="600" w:lineRule="exact"/>
        <w:ind w:firstLine="640" w:firstLineChars="200"/>
        <w:rPr>
          <w:rFonts w:hint="eastAsia" w:ascii="仿宋" w:hAnsi="仿宋" w:eastAsia="仿宋"/>
          <w:color w:val="auto"/>
          <w:sz w:val="32"/>
          <w:szCs w:val="32"/>
          <w:highlight w:val="none"/>
        </w:rPr>
      </w:pPr>
    </w:p>
    <w:p w14:paraId="3F8E052A">
      <w:pPr>
        <w:spacing w:line="600" w:lineRule="exact"/>
        <w:ind w:firstLine="640" w:firstLineChars="200"/>
        <w:rPr>
          <w:rFonts w:hint="eastAsia" w:ascii="仿宋" w:hAnsi="仿宋" w:eastAsia="仿宋"/>
          <w:color w:val="auto"/>
          <w:sz w:val="32"/>
          <w:szCs w:val="32"/>
          <w:highlight w:val="none"/>
        </w:rPr>
      </w:pPr>
    </w:p>
    <w:p w14:paraId="0CE416BD">
      <w:pPr>
        <w:spacing w:line="600" w:lineRule="exact"/>
        <w:ind w:firstLine="640" w:firstLineChars="200"/>
        <w:rPr>
          <w:rFonts w:hint="eastAsia" w:ascii="仿宋" w:hAnsi="仿宋" w:eastAsia="仿宋"/>
          <w:color w:val="auto"/>
          <w:sz w:val="32"/>
          <w:szCs w:val="32"/>
          <w:highlight w:val="none"/>
        </w:rPr>
      </w:pPr>
    </w:p>
    <w:p w14:paraId="68E8D5EF">
      <w:pPr>
        <w:spacing w:line="600" w:lineRule="exact"/>
        <w:rPr>
          <w:rFonts w:hint="eastAsia" w:ascii="仿宋" w:hAnsi="仿宋" w:eastAsia="仿宋"/>
          <w:color w:val="auto"/>
          <w:sz w:val="32"/>
          <w:szCs w:val="32"/>
          <w:highlight w:val="none"/>
        </w:rPr>
      </w:pPr>
    </w:p>
    <w:p w14:paraId="64172565">
      <w:pPr>
        <w:spacing w:line="600" w:lineRule="exact"/>
        <w:rPr>
          <w:rFonts w:hint="eastAsia" w:ascii="仿宋" w:hAnsi="仿宋" w:eastAsia="仿宋"/>
          <w:color w:val="auto"/>
          <w:sz w:val="32"/>
          <w:szCs w:val="32"/>
          <w:highlight w:val="none"/>
        </w:rPr>
      </w:pPr>
    </w:p>
    <w:p w14:paraId="0F67FC96">
      <w:pPr>
        <w:spacing w:line="600" w:lineRule="exact"/>
        <w:ind w:firstLine="1600" w:firstLineChars="5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14:paraId="79A31818">
      <w:pPr>
        <w:spacing w:line="600" w:lineRule="exact"/>
        <w:ind w:firstLine="643" w:firstLineChars="200"/>
        <w:outlineLvl w:val="2"/>
        <w:rPr>
          <w:rFonts w:ascii="仿宋" w:hAnsi="仿宋" w:eastAsia="仿宋"/>
          <w:b/>
          <w:color w:val="auto"/>
          <w:sz w:val="32"/>
          <w:szCs w:val="32"/>
          <w:highlight w:val="none"/>
        </w:rPr>
      </w:pPr>
      <w:bookmarkStart w:id="26" w:name="_Toc15377212"/>
      <w:r>
        <w:rPr>
          <w:rFonts w:hint="eastAsia" w:ascii="仿宋" w:hAnsi="仿宋" w:eastAsia="仿宋"/>
          <w:b/>
          <w:color w:val="auto"/>
          <w:sz w:val="32"/>
          <w:szCs w:val="32"/>
          <w:highlight w:val="none"/>
        </w:rPr>
        <w:t>（三）一般公共预算财政拨款支出决算具体情况</w:t>
      </w:r>
      <w:bookmarkEnd w:id="26"/>
    </w:p>
    <w:p w14:paraId="75CFD991">
      <w:pPr>
        <w:spacing w:line="600" w:lineRule="exact"/>
        <w:ind w:firstLine="643" w:firstLineChars="200"/>
        <w:outlineLvl w:val="2"/>
        <w:rPr>
          <w:rFonts w:ascii="仿宋" w:hAnsi="仿宋" w:eastAsia="仿宋"/>
          <w:color w:val="auto"/>
          <w:sz w:val="32"/>
          <w:szCs w:val="32"/>
          <w:highlight w:val="none"/>
        </w:rPr>
      </w:pPr>
      <w:bookmarkStart w:id="27" w:name="_Toc15378460"/>
      <w:bookmarkStart w:id="28" w:name="_Toc15377213"/>
      <w:bookmarkStart w:id="29"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715.42万元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27"/>
      <w:bookmarkEnd w:id="28"/>
      <w:bookmarkEnd w:id="29"/>
    </w:p>
    <w:p w14:paraId="542CB15A">
      <w:pPr>
        <w:spacing w:line="600" w:lineRule="exact"/>
        <w:ind w:firstLine="640" w:firstLineChars="200"/>
        <w:rPr>
          <w:rStyle w:val="14"/>
          <w:rFonts w:hint="eastAsia" w:ascii="仿宋" w:hAnsi="仿宋" w:eastAsia="仿宋"/>
          <w:b w:val="0"/>
          <w:bCs w:val="0"/>
          <w:color w:val="auto"/>
          <w:sz w:val="32"/>
          <w:szCs w:val="32"/>
        </w:rPr>
      </w:pPr>
      <w:r>
        <w:rPr>
          <w:rStyle w:val="14"/>
          <w:rFonts w:ascii="仿宋" w:hAnsi="仿宋" w:eastAsia="仿宋"/>
          <w:b w:val="0"/>
          <w:bCs w:val="0"/>
          <w:color w:val="auto"/>
          <w:sz w:val="32"/>
          <w:szCs w:val="32"/>
        </w:rPr>
        <w:t>1.</w:t>
      </w:r>
      <w:r>
        <w:rPr>
          <w:rStyle w:val="14"/>
          <w:rFonts w:hint="eastAsia" w:ascii="仿宋" w:hAnsi="仿宋" w:eastAsia="仿宋"/>
          <w:b w:val="0"/>
          <w:bCs w:val="0"/>
          <w:color w:val="auto"/>
          <w:sz w:val="32"/>
          <w:szCs w:val="32"/>
        </w:rPr>
        <w:t>教育（205）</w:t>
      </w:r>
      <w:r>
        <w:rPr>
          <w:rStyle w:val="14"/>
          <w:rFonts w:hint="eastAsia" w:ascii="仿宋" w:hAnsi="仿宋" w:eastAsia="仿宋"/>
          <w:b w:val="0"/>
          <w:bCs w:val="0"/>
          <w:color w:val="auto"/>
          <w:sz w:val="32"/>
          <w:szCs w:val="32"/>
          <w:lang w:val="en-US" w:eastAsia="zh-CN"/>
        </w:rPr>
        <w:t>普通</w:t>
      </w:r>
      <w:r>
        <w:rPr>
          <w:rStyle w:val="14"/>
          <w:rFonts w:hint="eastAsia" w:ascii="仿宋" w:hAnsi="仿宋" w:eastAsia="仿宋"/>
          <w:b w:val="0"/>
          <w:bCs w:val="0"/>
          <w:color w:val="auto"/>
          <w:sz w:val="32"/>
          <w:szCs w:val="32"/>
        </w:rPr>
        <w:t>教育（02）</w:t>
      </w:r>
      <w:r>
        <w:rPr>
          <w:rStyle w:val="14"/>
          <w:rFonts w:hint="eastAsia" w:ascii="仿宋" w:hAnsi="仿宋" w:eastAsia="仿宋"/>
          <w:b w:val="0"/>
          <w:bCs w:val="0"/>
          <w:color w:val="auto"/>
          <w:sz w:val="32"/>
          <w:szCs w:val="32"/>
          <w:lang w:val="en-US" w:eastAsia="zh-CN"/>
        </w:rPr>
        <w:t>学前</w:t>
      </w:r>
      <w:r>
        <w:rPr>
          <w:rStyle w:val="14"/>
          <w:rFonts w:hint="eastAsia" w:ascii="仿宋" w:hAnsi="仿宋" w:eastAsia="仿宋"/>
          <w:b w:val="0"/>
          <w:bCs w:val="0"/>
          <w:color w:val="auto"/>
          <w:sz w:val="32"/>
          <w:szCs w:val="32"/>
        </w:rPr>
        <w:t>教育（0</w:t>
      </w:r>
      <w:r>
        <w:rPr>
          <w:rStyle w:val="14"/>
          <w:rFonts w:hint="eastAsia" w:ascii="仿宋" w:hAnsi="仿宋" w:eastAsia="仿宋"/>
          <w:b w:val="0"/>
          <w:bCs w:val="0"/>
          <w:color w:val="auto"/>
          <w:sz w:val="32"/>
          <w:szCs w:val="32"/>
          <w:lang w:val="en-US" w:eastAsia="zh-CN"/>
        </w:rPr>
        <w:t>1</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4.53</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5010467E">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教育（205）</w:t>
      </w:r>
      <w:r>
        <w:rPr>
          <w:rStyle w:val="14"/>
          <w:rFonts w:hint="eastAsia" w:ascii="仿宋" w:hAnsi="仿宋" w:eastAsia="仿宋"/>
          <w:b w:val="0"/>
          <w:bCs w:val="0"/>
          <w:color w:val="auto"/>
          <w:sz w:val="32"/>
          <w:szCs w:val="32"/>
          <w:lang w:val="en-US" w:eastAsia="zh-CN"/>
        </w:rPr>
        <w:t>普通</w:t>
      </w:r>
      <w:r>
        <w:rPr>
          <w:rStyle w:val="14"/>
          <w:rFonts w:hint="eastAsia" w:ascii="仿宋" w:hAnsi="仿宋" w:eastAsia="仿宋"/>
          <w:b w:val="0"/>
          <w:bCs w:val="0"/>
          <w:color w:val="auto"/>
          <w:sz w:val="32"/>
          <w:szCs w:val="32"/>
        </w:rPr>
        <w:t>教育（02）</w:t>
      </w:r>
      <w:r>
        <w:rPr>
          <w:rStyle w:val="14"/>
          <w:rFonts w:hint="eastAsia" w:ascii="仿宋" w:hAnsi="仿宋" w:eastAsia="仿宋"/>
          <w:b w:val="0"/>
          <w:bCs w:val="0"/>
          <w:color w:val="auto"/>
          <w:sz w:val="32"/>
          <w:szCs w:val="32"/>
          <w:lang w:val="en-US" w:eastAsia="zh-CN"/>
        </w:rPr>
        <w:t>小学</w:t>
      </w:r>
      <w:r>
        <w:rPr>
          <w:rStyle w:val="14"/>
          <w:rFonts w:hint="eastAsia" w:ascii="仿宋" w:hAnsi="仿宋" w:eastAsia="仿宋"/>
          <w:b w:val="0"/>
          <w:bCs w:val="0"/>
          <w:color w:val="auto"/>
          <w:sz w:val="32"/>
          <w:szCs w:val="32"/>
        </w:rPr>
        <w:t>教育（0</w:t>
      </w: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485.98</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2FFB6D3A">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3.</w:t>
      </w:r>
      <w:r>
        <w:rPr>
          <w:rStyle w:val="14"/>
          <w:rFonts w:hint="eastAsia" w:ascii="仿宋" w:hAnsi="仿宋" w:eastAsia="仿宋"/>
          <w:b w:val="0"/>
          <w:bCs w:val="0"/>
          <w:color w:val="auto"/>
          <w:sz w:val="32"/>
          <w:szCs w:val="32"/>
        </w:rPr>
        <w:t>教育（205）</w:t>
      </w:r>
      <w:r>
        <w:rPr>
          <w:rStyle w:val="14"/>
          <w:rFonts w:hint="eastAsia" w:ascii="仿宋" w:hAnsi="仿宋" w:eastAsia="仿宋"/>
          <w:b w:val="0"/>
          <w:bCs w:val="0"/>
          <w:color w:val="auto"/>
          <w:sz w:val="32"/>
          <w:szCs w:val="32"/>
          <w:lang w:val="en-US" w:eastAsia="zh-CN"/>
        </w:rPr>
        <w:t>普通</w:t>
      </w:r>
      <w:r>
        <w:rPr>
          <w:rStyle w:val="14"/>
          <w:rFonts w:hint="eastAsia" w:ascii="仿宋" w:hAnsi="仿宋" w:eastAsia="仿宋"/>
          <w:b w:val="0"/>
          <w:bCs w:val="0"/>
          <w:color w:val="auto"/>
          <w:sz w:val="32"/>
          <w:szCs w:val="32"/>
        </w:rPr>
        <w:t>教育（02）</w:t>
      </w:r>
      <w:r>
        <w:rPr>
          <w:rStyle w:val="14"/>
          <w:rFonts w:hint="eastAsia" w:ascii="仿宋" w:hAnsi="仿宋" w:eastAsia="仿宋"/>
          <w:b w:val="0"/>
          <w:bCs w:val="0"/>
          <w:color w:val="auto"/>
          <w:sz w:val="32"/>
          <w:szCs w:val="32"/>
          <w:lang w:val="en-US" w:eastAsia="zh-CN"/>
        </w:rPr>
        <w:t>初中</w:t>
      </w:r>
      <w:r>
        <w:rPr>
          <w:rStyle w:val="14"/>
          <w:rFonts w:hint="eastAsia" w:ascii="仿宋" w:hAnsi="仿宋" w:eastAsia="仿宋"/>
          <w:b w:val="0"/>
          <w:bCs w:val="0"/>
          <w:color w:val="auto"/>
          <w:sz w:val="32"/>
          <w:szCs w:val="32"/>
        </w:rPr>
        <w:t>教育（0</w:t>
      </w:r>
      <w:r>
        <w:rPr>
          <w:rStyle w:val="14"/>
          <w:rFonts w:hint="eastAsia" w:ascii="仿宋" w:hAnsi="仿宋" w:eastAsia="仿宋"/>
          <w:b w:val="0"/>
          <w:bCs w:val="0"/>
          <w:color w:val="auto"/>
          <w:sz w:val="32"/>
          <w:szCs w:val="32"/>
          <w:lang w:val="en-US" w:eastAsia="zh-CN"/>
        </w:rPr>
        <w:t>3</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0.41</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05543BAA">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4.文化旅游体育与传媒</w:t>
      </w:r>
      <w:r>
        <w:rPr>
          <w:rStyle w:val="14"/>
          <w:rFonts w:hint="eastAsia" w:ascii="仿宋" w:hAnsi="仿宋" w:eastAsia="仿宋"/>
          <w:b w:val="0"/>
          <w:bCs w:val="0"/>
          <w:color w:val="auto"/>
          <w:sz w:val="32"/>
          <w:szCs w:val="32"/>
        </w:rPr>
        <w:t>（20</w:t>
      </w:r>
      <w:r>
        <w:rPr>
          <w:rStyle w:val="14"/>
          <w:rFonts w:hint="eastAsia" w:ascii="仿宋" w:hAnsi="仿宋" w:eastAsia="仿宋"/>
          <w:b w:val="0"/>
          <w:bCs w:val="0"/>
          <w:color w:val="auto"/>
          <w:sz w:val="32"/>
          <w:szCs w:val="32"/>
          <w:lang w:val="en-US" w:eastAsia="zh-CN"/>
        </w:rPr>
        <w:t>7</w:t>
      </w:r>
      <w:r>
        <w:rPr>
          <w:rStyle w:val="14"/>
          <w:rFonts w:hint="eastAsia" w:ascii="仿宋" w:hAnsi="仿宋" w:eastAsia="仿宋"/>
          <w:b w:val="0"/>
          <w:bCs w:val="0"/>
          <w:color w:val="auto"/>
          <w:sz w:val="32"/>
          <w:szCs w:val="32"/>
        </w:rPr>
        <w:t>）</w:t>
      </w:r>
      <w:r>
        <w:rPr>
          <w:rStyle w:val="14"/>
          <w:rFonts w:hint="eastAsia" w:ascii="仿宋" w:hAnsi="仿宋" w:eastAsia="仿宋"/>
          <w:b w:val="0"/>
          <w:bCs w:val="0"/>
          <w:color w:val="auto"/>
          <w:sz w:val="32"/>
          <w:szCs w:val="32"/>
          <w:lang w:val="en-US" w:eastAsia="zh-CN"/>
        </w:rPr>
        <w:t>其他文化旅游体育与传媒</w:t>
      </w:r>
      <w:r>
        <w:rPr>
          <w:rStyle w:val="14"/>
          <w:rFonts w:hint="eastAsia" w:ascii="仿宋" w:hAnsi="仿宋" w:eastAsia="仿宋"/>
          <w:b w:val="0"/>
          <w:bCs w:val="0"/>
          <w:color w:val="auto"/>
          <w:sz w:val="32"/>
          <w:szCs w:val="32"/>
        </w:rPr>
        <w:t>（</w:t>
      </w:r>
      <w:r>
        <w:rPr>
          <w:rStyle w:val="14"/>
          <w:rFonts w:hint="eastAsia" w:ascii="仿宋" w:hAnsi="仿宋" w:eastAsia="仿宋"/>
          <w:b w:val="0"/>
          <w:bCs w:val="0"/>
          <w:color w:val="auto"/>
          <w:sz w:val="32"/>
          <w:szCs w:val="32"/>
          <w:lang w:val="en-US" w:eastAsia="zh-CN"/>
        </w:rPr>
        <w:t>99</w:t>
      </w:r>
      <w:r>
        <w:rPr>
          <w:rStyle w:val="14"/>
          <w:rFonts w:hint="eastAsia" w:ascii="仿宋" w:hAnsi="仿宋" w:eastAsia="仿宋"/>
          <w:b w:val="0"/>
          <w:bCs w:val="0"/>
          <w:color w:val="auto"/>
          <w:sz w:val="32"/>
          <w:szCs w:val="32"/>
        </w:rPr>
        <w:t>）宣传文化发展专项支出</w:t>
      </w:r>
      <w:r>
        <w:rPr>
          <w:rStyle w:val="14"/>
          <w:rFonts w:hint="eastAsia" w:ascii="仿宋" w:hAnsi="仿宋" w:eastAsia="仿宋"/>
          <w:b w:val="0"/>
          <w:bCs w:val="0"/>
          <w:color w:val="auto"/>
          <w:sz w:val="32"/>
          <w:szCs w:val="32"/>
          <w:lang w:eastAsia="zh-CN"/>
        </w:rPr>
        <w:t>（</w:t>
      </w:r>
      <w:r>
        <w:rPr>
          <w:rStyle w:val="14"/>
          <w:rFonts w:hint="eastAsia" w:ascii="仿宋" w:hAnsi="仿宋" w:eastAsia="仿宋"/>
          <w:b w:val="0"/>
          <w:bCs w:val="0"/>
          <w:color w:val="auto"/>
          <w:sz w:val="32"/>
          <w:szCs w:val="32"/>
          <w:lang w:val="en-US" w:eastAsia="zh-CN"/>
        </w:rPr>
        <w:t>02）：</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2.5</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78F6F866">
      <w:pPr>
        <w:spacing w:line="600" w:lineRule="exact"/>
        <w:ind w:firstLine="640" w:firstLineChars="200"/>
        <w:rPr>
          <w:rFonts w:hint="default"/>
          <w:lang w:val="en-US" w:eastAsia="zh-CN"/>
        </w:rPr>
      </w:pPr>
      <w:r>
        <w:rPr>
          <w:rStyle w:val="14"/>
          <w:rFonts w:hint="eastAsia" w:ascii="仿宋" w:hAnsi="仿宋" w:eastAsia="仿宋"/>
          <w:b w:val="0"/>
          <w:bCs w:val="0"/>
          <w:color w:val="auto"/>
          <w:sz w:val="32"/>
          <w:szCs w:val="32"/>
          <w:lang w:val="en-US" w:eastAsia="zh-CN"/>
        </w:rPr>
        <w:t>5</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（05）事业单位</w:t>
      </w:r>
      <w:r>
        <w:rPr>
          <w:rStyle w:val="14"/>
          <w:rFonts w:hint="eastAsia" w:ascii="仿宋" w:hAnsi="仿宋" w:eastAsia="仿宋"/>
          <w:b w:val="0"/>
          <w:bCs w:val="0"/>
          <w:color w:val="auto"/>
          <w:sz w:val="32"/>
          <w:szCs w:val="32"/>
          <w:lang w:val="en-US" w:eastAsia="zh-CN"/>
        </w:rPr>
        <w:t>离退休</w:t>
      </w:r>
      <w:r>
        <w:rPr>
          <w:rStyle w:val="14"/>
          <w:rFonts w:hint="eastAsia" w:ascii="仿宋" w:hAnsi="仿宋" w:eastAsia="仿宋"/>
          <w:b w:val="0"/>
          <w:bCs w:val="0"/>
          <w:color w:val="auto"/>
          <w:sz w:val="32"/>
          <w:szCs w:val="32"/>
        </w:rPr>
        <w:t>（0</w:t>
      </w: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12.10</w:t>
      </w:r>
      <w:r>
        <w:rPr>
          <w:rStyle w:val="14"/>
          <w:rFonts w:hint="eastAsia" w:ascii="仿宋" w:hAnsi="仿宋" w:eastAsia="仿宋"/>
          <w:b w:val="0"/>
          <w:bCs w:val="0"/>
          <w:color w:val="auto"/>
          <w:sz w:val="32"/>
          <w:szCs w:val="32"/>
        </w:rPr>
        <w:t>万元，完成预算</w:t>
      </w:r>
      <w:r>
        <w:rPr>
          <w:rStyle w:val="14"/>
          <w:rFonts w:hint="eastAsia" w:ascii="仿宋" w:hAnsi="仿宋" w:eastAsia="仿宋"/>
          <w:b w:val="0"/>
          <w:bCs w:val="0"/>
          <w:color w:val="auto"/>
          <w:sz w:val="32"/>
          <w:szCs w:val="32"/>
          <w:lang w:val="en-US" w:eastAsia="zh-CN"/>
        </w:rPr>
        <w:t>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15E2411C">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6</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（05）机关事业单位基本养老保险缴费支出（05）:支出决算为</w:t>
      </w:r>
      <w:r>
        <w:rPr>
          <w:rStyle w:val="14"/>
          <w:rFonts w:hint="eastAsia" w:ascii="仿宋" w:hAnsi="仿宋" w:eastAsia="仿宋"/>
          <w:b w:val="0"/>
          <w:bCs w:val="0"/>
          <w:color w:val="auto"/>
          <w:sz w:val="32"/>
          <w:szCs w:val="32"/>
          <w:lang w:val="en-US" w:eastAsia="zh-CN"/>
        </w:rPr>
        <w:t>39.52</w:t>
      </w:r>
      <w:r>
        <w:rPr>
          <w:rStyle w:val="14"/>
          <w:rFonts w:hint="eastAsia" w:ascii="仿宋" w:hAnsi="仿宋" w:eastAsia="仿宋"/>
          <w:b w:val="0"/>
          <w:bCs w:val="0"/>
          <w:color w:val="auto"/>
          <w:sz w:val="32"/>
          <w:szCs w:val="32"/>
        </w:rPr>
        <w:t>万元，完成预算</w:t>
      </w:r>
      <w:r>
        <w:rPr>
          <w:rStyle w:val="14"/>
          <w:rFonts w:hint="eastAsia" w:ascii="仿宋" w:hAnsi="仿宋" w:eastAsia="仿宋"/>
          <w:b w:val="0"/>
          <w:bCs w:val="0"/>
          <w:color w:val="auto"/>
          <w:sz w:val="32"/>
          <w:szCs w:val="32"/>
          <w:lang w:val="en-US" w:eastAsia="zh-CN"/>
        </w:rPr>
        <w:t>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00436078">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7.</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（05）机关事业单位职业年金缴费支出（0</w:t>
      </w:r>
      <w:r>
        <w:rPr>
          <w:rStyle w:val="14"/>
          <w:rFonts w:hint="eastAsia" w:ascii="仿宋" w:hAnsi="仿宋" w:eastAsia="仿宋"/>
          <w:b w:val="0"/>
          <w:bCs w:val="0"/>
          <w:color w:val="auto"/>
          <w:sz w:val="32"/>
          <w:szCs w:val="32"/>
          <w:lang w:val="en-US" w:eastAsia="zh-CN"/>
        </w:rPr>
        <w:t>6</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13.80</w:t>
      </w:r>
      <w:r>
        <w:rPr>
          <w:rStyle w:val="14"/>
          <w:rFonts w:hint="eastAsia" w:ascii="仿宋" w:hAnsi="仿宋" w:eastAsia="仿宋"/>
          <w:b w:val="0"/>
          <w:bCs w:val="0"/>
          <w:color w:val="auto"/>
          <w:sz w:val="32"/>
          <w:szCs w:val="32"/>
        </w:rPr>
        <w:t>万元，完成预算</w:t>
      </w:r>
      <w:r>
        <w:rPr>
          <w:rStyle w:val="14"/>
          <w:rFonts w:hint="eastAsia" w:ascii="仿宋" w:hAnsi="仿宋" w:eastAsia="仿宋"/>
          <w:b w:val="0"/>
          <w:bCs w:val="0"/>
          <w:color w:val="auto"/>
          <w:sz w:val="32"/>
          <w:szCs w:val="32"/>
          <w:lang w:val="en-US" w:eastAsia="zh-CN"/>
        </w:rPr>
        <w:t>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1041D655">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eastAsia"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8.</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w:t>
      </w:r>
      <w:r>
        <w:rPr>
          <w:rStyle w:val="14"/>
          <w:rFonts w:hint="eastAsia" w:ascii="仿宋" w:hAnsi="仿宋" w:eastAsia="仿宋"/>
          <w:b w:val="0"/>
          <w:bCs w:val="0"/>
          <w:color w:val="auto"/>
          <w:sz w:val="32"/>
          <w:szCs w:val="32"/>
          <w:lang w:val="en-US" w:eastAsia="zh-CN"/>
        </w:rPr>
        <w:t>其他</w:t>
      </w:r>
      <w:r>
        <w:rPr>
          <w:rStyle w:val="14"/>
          <w:rFonts w:hint="eastAsia" w:ascii="仿宋" w:hAnsi="仿宋" w:eastAsia="仿宋"/>
          <w:b w:val="0"/>
          <w:bCs w:val="0"/>
          <w:color w:val="auto"/>
          <w:sz w:val="32"/>
          <w:szCs w:val="32"/>
        </w:rPr>
        <w:t>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lang w:eastAsia="zh-CN"/>
        </w:rPr>
        <w:t>（</w:t>
      </w:r>
      <w:r>
        <w:rPr>
          <w:rStyle w:val="14"/>
          <w:rFonts w:hint="eastAsia" w:ascii="仿宋" w:hAnsi="仿宋" w:eastAsia="仿宋"/>
          <w:b w:val="0"/>
          <w:bCs w:val="0"/>
          <w:color w:val="auto"/>
          <w:sz w:val="32"/>
          <w:szCs w:val="32"/>
          <w:lang w:val="en-US" w:eastAsia="zh-CN"/>
        </w:rPr>
        <w:t>99</w:t>
      </w:r>
      <w:r>
        <w:rPr>
          <w:rStyle w:val="14"/>
          <w:rFonts w:hint="eastAsia" w:ascii="仿宋" w:hAnsi="仿宋" w:eastAsia="仿宋"/>
          <w:b w:val="0"/>
          <w:bCs w:val="0"/>
          <w:color w:val="auto"/>
          <w:sz w:val="32"/>
          <w:szCs w:val="32"/>
          <w:lang w:eastAsia="zh-CN"/>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93.03万元，完成预算100%。</w:t>
      </w:r>
    </w:p>
    <w:p w14:paraId="40C776F3">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default"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9.</w:t>
      </w:r>
      <w:r>
        <w:rPr>
          <w:rStyle w:val="14"/>
          <w:rFonts w:hint="eastAsia" w:ascii="仿宋" w:hAnsi="仿宋" w:eastAsia="仿宋"/>
          <w:b w:val="0"/>
          <w:bCs w:val="0"/>
          <w:color w:val="auto"/>
          <w:sz w:val="32"/>
          <w:szCs w:val="32"/>
        </w:rPr>
        <w:t>社会保障和就业（208）</w:t>
      </w:r>
      <w:r>
        <w:rPr>
          <w:rStyle w:val="14"/>
          <w:rFonts w:hint="eastAsia" w:ascii="仿宋" w:hAnsi="仿宋" w:eastAsia="仿宋"/>
          <w:b w:val="0"/>
          <w:bCs w:val="0"/>
          <w:color w:val="auto"/>
          <w:sz w:val="32"/>
          <w:szCs w:val="32"/>
          <w:lang w:eastAsia="zh-CN"/>
        </w:rPr>
        <w:t>抚恤（</w:t>
      </w:r>
      <w:r>
        <w:rPr>
          <w:rStyle w:val="14"/>
          <w:rFonts w:hint="eastAsia" w:ascii="仿宋" w:hAnsi="仿宋" w:eastAsia="仿宋"/>
          <w:b w:val="0"/>
          <w:bCs w:val="0"/>
          <w:color w:val="auto"/>
          <w:sz w:val="32"/>
          <w:szCs w:val="32"/>
          <w:lang w:val="en-US" w:eastAsia="zh-CN"/>
        </w:rPr>
        <w:t>08）死亡抚恤（01）</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12.16万元，完成预算100%。</w:t>
      </w:r>
    </w:p>
    <w:p w14:paraId="190DE913">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10</w:t>
      </w:r>
      <w:r>
        <w:rPr>
          <w:rStyle w:val="14"/>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val="en-US" w:eastAsia="zh-CN"/>
        </w:rPr>
        <w:t>支出</w:t>
      </w:r>
      <w:r>
        <w:rPr>
          <w:rStyle w:val="14"/>
          <w:rFonts w:hint="eastAsia" w:ascii="仿宋" w:hAnsi="仿宋" w:eastAsia="仿宋"/>
          <w:b w:val="0"/>
          <w:bCs w:val="0"/>
          <w:color w:val="auto"/>
          <w:sz w:val="32"/>
          <w:szCs w:val="32"/>
        </w:rPr>
        <w:t>（2</w:t>
      </w:r>
      <w:r>
        <w:rPr>
          <w:rStyle w:val="14"/>
          <w:rFonts w:ascii="仿宋" w:hAnsi="仿宋" w:eastAsia="仿宋"/>
          <w:b w:val="0"/>
          <w:bCs w:val="0"/>
          <w:color w:val="auto"/>
          <w:sz w:val="32"/>
          <w:szCs w:val="32"/>
        </w:rPr>
        <w:t>10</w:t>
      </w:r>
      <w:r>
        <w:rPr>
          <w:rStyle w:val="14"/>
          <w:rFonts w:hint="eastAsia" w:ascii="仿宋" w:hAnsi="仿宋" w:eastAsia="仿宋"/>
          <w:b w:val="0"/>
          <w:bCs w:val="0"/>
          <w:color w:val="auto"/>
          <w:sz w:val="32"/>
          <w:szCs w:val="32"/>
        </w:rPr>
        <w:t>）行政事业单位医疗（1</w:t>
      </w:r>
      <w:r>
        <w:rPr>
          <w:rStyle w:val="14"/>
          <w:rFonts w:ascii="仿宋" w:hAnsi="仿宋" w:eastAsia="仿宋"/>
          <w:b w:val="0"/>
          <w:bCs w:val="0"/>
          <w:color w:val="auto"/>
          <w:sz w:val="32"/>
          <w:szCs w:val="32"/>
        </w:rPr>
        <w:t>1</w:t>
      </w:r>
      <w:r>
        <w:rPr>
          <w:rStyle w:val="14"/>
          <w:rFonts w:hint="eastAsia" w:ascii="仿宋" w:hAnsi="仿宋" w:eastAsia="仿宋"/>
          <w:b w:val="0"/>
          <w:bCs w:val="0"/>
          <w:color w:val="auto"/>
          <w:sz w:val="32"/>
          <w:szCs w:val="32"/>
        </w:rPr>
        <w:t>）事业单位医疗（0</w:t>
      </w:r>
      <w:r>
        <w:rPr>
          <w:rStyle w:val="14"/>
          <w:rFonts w:ascii="仿宋" w:hAnsi="仿宋" w:eastAsia="仿宋"/>
          <w:b w:val="0"/>
          <w:bCs w:val="0"/>
          <w:color w:val="auto"/>
          <w:sz w:val="32"/>
          <w:szCs w:val="32"/>
        </w:rPr>
        <w:t>2</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20.60</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3841B18A">
      <w:pPr>
        <w:spacing w:line="600" w:lineRule="exact"/>
        <w:ind w:firstLine="640" w:firstLineChars="200"/>
        <w:rPr>
          <w:rFonts w:ascii="仿宋" w:hAnsi="仿宋" w:eastAsia="仿宋"/>
          <w:color w:val="auto"/>
          <w:sz w:val="32"/>
          <w:szCs w:val="32"/>
        </w:rPr>
      </w:pPr>
      <w:r>
        <w:rPr>
          <w:rStyle w:val="14"/>
          <w:rFonts w:hint="eastAsia" w:ascii="仿宋" w:hAnsi="仿宋" w:eastAsia="仿宋"/>
          <w:b w:val="0"/>
          <w:bCs w:val="0"/>
          <w:color w:val="auto"/>
          <w:sz w:val="32"/>
          <w:szCs w:val="40"/>
          <w:lang w:val="en-US" w:eastAsia="zh-CN"/>
        </w:rPr>
        <w:t>11</w:t>
      </w:r>
      <w:r>
        <w:rPr>
          <w:rStyle w:val="14"/>
          <w:rFonts w:ascii="仿宋" w:hAnsi="仿宋" w:eastAsia="仿宋"/>
          <w:b w:val="0"/>
          <w:bCs w:val="0"/>
          <w:color w:val="auto"/>
          <w:sz w:val="32"/>
          <w:szCs w:val="40"/>
        </w:rPr>
        <w:t>.</w:t>
      </w:r>
      <w:r>
        <w:rPr>
          <w:rStyle w:val="14"/>
          <w:rFonts w:hint="eastAsia" w:ascii="仿宋" w:hAnsi="仿宋" w:eastAsia="仿宋"/>
          <w:b w:val="0"/>
          <w:bCs w:val="0"/>
          <w:color w:val="auto"/>
          <w:sz w:val="32"/>
          <w:szCs w:val="40"/>
        </w:rPr>
        <w:t>住房保障支出（221）住房改革支出（02）住房公积金（01）:</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30.79</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14:paraId="74F93C7D">
      <w:pPr>
        <w:tabs>
          <w:tab w:val="right" w:pos="8306"/>
        </w:tabs>
        <w:spacing w:line="600" w:lineRule="exact"/>
        <w:ind w:firstLine="640"/>
        <w:outlineLvl w:val="1"/>
        <w:rPr>
          <w:rStyle w:val="25"/>
          <w:color w:val="auto"/>
          <w:highlight w:val="none"/>
        </w:rPr>
      </w:pPr>
      <w:bookmarkStart w:id="30" w:name="_Toc15377214"/>
      <w:bookmarkStart w:id="31" w:name="_Toc15396608"/>
      <w:bookmarkStart w:id="32" w:name="_Toc2148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0"/>
      <w:bookmarkEnd w:id="31"/>
      <w:bookmarkEnd w:id="32"/>
      <w:r>
        <w:rPr>
          <w:rStyle w:val="25"/>
          <w:rFonts w:ascii="黑体" w:hAnsi="黑体" w:eastAsia="黑体"/>
          <w:b w:val="0"/>
          <w:color w:val="auto"/>
          <w:highlight w:val="none"/>
        </w:rPr>
        <w:tab/>
      </w:r>
    </w:p>
    <w:p w14:paraId="336CBDC9">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701.78</w:t>
      </w:r>
      <w:r>
        <w:rPr>
          <w:rFonts w:hint="eastAsia" w:ascii="仿宋" w:hAnsi="仿宋" w:eastAsia="仿宋"/>
          <w:color w:val="auto"/>
          <w:sz w:val="32"/>
          <w:szCs w:val="32"/>
          <w:highlight w:val="none"/>
        </w:rPr>
        <w:t>万元，其中：</w:t>
      </w:r>
    </w:p>
    <w:p w14:paraId="207927F7">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601.52</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171.59万元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24.84万元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87.36万元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39.52万元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职业年金缴费13.8万元、职工基本医疗保险缴费20.60万元、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30.79万元、</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val="en-US" w:eastAsia="zh-CN"/>
        </w:rPr>
        <w:t>95.70万元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退休费12.1万元、</w:t>
      </w:r>
      <w:r>
        <w:rPr>
          <w:rFonts w:hint="eastAsia" w:ascii="仿宋" w:hAnsi="仿宋" w:eastAsia="仿宋"/>
          <w:color w:val="auto"/>
          <w:sz w:val="32"/>
          <w:szCs w:val="32"/>
          <w:highlight w:val="none"/>
        </w:rPr>
        <w:t>抚恤金</w:t>
      </w:r>
      <w:r>
        <w:rPr>
          <w:rFonts w:hint="eastAsia" w:ascii="仿宋" w:hAnsi="仿宋" w:eastAsia="仿宋"/>
          <w:color w:val="auto"/>
          <w:sz w:val="32"/>
          <w:szCs w:val="32"/>
          <w:highlight w:val="none"/>
          <w:lang w:val="en-US" w:eastAsia="zh-CN"/>
        </w:rPr>
        <w:t>12.16万元</w:t>
      </w:r>
      <w:r>
        <w:rPr>
          <w:rFonts w:hint="eastAsia" w:ascii="仿宋" w:hAnsi="仿宋" w:eastAsia="仿宋"/>
          <w:color w:val="auto"/>
          <w:sz w:val="32"/>
          <w:szCs w:val="32"/>
          <w:highlight w:val="none"/>
        </w:rPr>
        <w:t>、生活补助</w:t>
      </w:r>
      <w:r>
        <w:rPr>
          <w:rFonts w:hint="eastAsia" w:ascii="仿宋" w:hAnsi="仿宋" w:eastAsia="仿宋"/>
          <w:color w:val="auto"/>
          <w:sz w:val="32"/>
          <w:szCs w:val="32"/>
          <w:highlight w:val="none"/>
          <w:lang w:val="en-US" w:eastAsia="zh-CN"/>
        </w:rPr>
        <w:t>93.03万元</w:t>
      </w:r>
      <w:r>
        <w:rPr>
          <w:rFonts w:hint="eastAsia" w:ascii="仿宋" w:hAnsi="仿宋" w:eastAsia="仿宋"/>
          <w:color w:val="auto"/>
          <w:sz w:val="32"/>
          <w:szCs w:val="32"/>
          <w:highlight w:val="none"/>
        </w:rPr>
        <w:t>、奖励金</w:t>
      </w:r>
      <w:r>
        <w:rPr>
          <w:rFonts w:hint="eastAsia" w:ascii="仿宋" w:hAnsi="仿宋" w:eastAsia="仿宋"/>
          <w:color w:val="auto"/>
          <w:sz w:val="32"/>
          <w:szCs w:val="32"/>
          <w:highlight w:val="none"/>
          <w:lang w:val="en-US" w:eastAsia="zh-CN"/>
        </w:rPr>
        <w:t>0.01万元</w:t>
      </w:r>
      <w:r>
        <w:rPr>
          <w:rFonts w:hint="eastAsia" w:ascii="仿宋" w:hAnsi="仿宋" w:eastAsia="仿宋"/>
          <w:color w:val="auto"/>
          <w:sz w:val="32"/>
          <w:szCs w:val="32"/>
          <w:highlight w:val="none"/>
        </w:rPr>
        <w:t>。</w:t>
      </w:r>
    </w:p>
    <w:p w14:paraId="7E4908EB">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100.26</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70.44万元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0.3万元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1万元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邮电费1.57万元、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2.31万元、物业管理费0.30万元、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0.5万元、</w:t>
      </w:r>
      <w:r>
        <w:rPr>
          <w:rFonts w:hint="eastAsia" w:ascii="仿宋" w:hAnsi="仿宋" w:eastAsia="仿宋"/>
          <w:color w:val="auto"/>
          <w:sz w:val="32"/>
          <w:szCs w:val="32"/>
          <w:highlight w:val="none"/>
        </w:rPr>
        <w:t>劳务费</w:t>
      </w:r>
      <w:r>
        <w:rPr>
          <w:rFonts w:hint="eastAsia" w:ascii="仿宋" w:hAnsi="仿宋" w:eastAsia="仿宋"/>
          <w:color w:val="auto"/>
          <w:sz w:val="32"/>
          <w:szCs w:val="32"/>
          <w:highlight w:val="none"/>
          <w:lang w:val="en-US" w:eastAsia="zh-CN"/>
        </w:rPr>
        <w:t>0.1万元、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9.01万元</w:t>
      </w:r>
      <w:r>
        <w:rPr>
          <w:rFonts w:hint="eastAsia" w:ascii="仿宋" w:hAnsi="仿宋" w:eastAsia="仿宋"/>
          <w:color w:val="auto"/>
          <w:sz w:val="32"/>
          <w:szCs w:val="32"/>
          <w:highlight w:val="none"/>
        </w:rPr>
        <w:t>、福利费</w:t>
      </w:r>
      <w:r>
        <w:rPr>
          <w:rFonts w:hint="eastAsia" w:ascii="仿宋" w:hAnsi="仿宋" w:eastAsia="仿宋"/>
          <w:color w:val="auto"/>
          <w:sz w:val="32"/>
          <w:szCs w:val="32"/>
          <w:highlight w:val="none"/>
          <w:lang w:val="en-US" w:eastAsia="zh-CN"/>
        </w:rPr>
        <w:t>12.23万元、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2.5万元</w:t>
      </w:r>
      <w:r>
        <w:rPr>
          <w:rFonts w:hint="eastAsia" w:ascii="仿宋" w:hAnsi="仿宋" w:eastAsia="仿宋"/>
          <w:color w:val="auto"/>
          <w:sz w:val="32"/>
          <w:szCs w:val="32"/>
          <w:highlight w:val="none"/>
        </w:rPr>
        <w:t>。</w:t>
      </w:r>
    </w:p>
    <w:p w14:paraId="486B3E29">
      <w:pPr>
        <w:spacing w:line="600" w:lineRule="exact"/>
        <w:ind w:firstLine="640"/>
        <w:outlineLvl w:val="1"/>
        <w:rPr>
          <w:rStyle w:val="25"/>
          <w:rFonts w:ascii="黑体" w:hAnsi="黑体" w:eastAsia="黑体"/>
          <w:b w:val="0"/>
          <w:color w:val="auto"/>
          <w:highlight w:val="none"/>
        </w:rPr>
      </w:pPr>
      <w:bookmarkStart w:id="33" w:name="_Toc15396609"/>
      <w:bookmarkStart w:id="34"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3"/>
      <w:bookmarkEnd w:id="34"/>
    </w:p>
    <w:p w14:paraId="11FDA088">
      <w:pPr>
        <w:spacing w:line="600" w:lineRule="exact"/>
        <w:ind w:firstLine="640"/>
        <w:outlineLvl w:val="2"/>
        <w:rPr>
          <w:rFonts w:ascii="仿宋" w:hAnsi="仿宋" w:eastAsia="仿宋"/>
          <w:b/>
          <w:color w:val="auto"/>
          <w:sz w:val="32"/>
          <w:szCs w:val="32"/>
          <w:highlight w:val="none"/>
        </w:rPr>
      </w:pPr>
      <w:bookmarkStart w:id="35" w:name="_Toc15377216"/>
      <w:r>
        <w:rPr>
          <w:rFonts w:hint="eastAsia" w:ascii="仿宋" w:hAnsi="仿宋" w:eastAsia="仿宋"/>
          <w:b/>
          <w:color w:val="auto"/>
          <w:sz w:val="32"/>
          <w:szCs w:val="32"/>
          <w:highlight w:val="none"/>
        </w:rPr>
        <w:t>（一）“三公”经费财政拨款支出决算总体情况说明</w:t>
      </w:r>
      <w:bookmarkEnd w:id="35"/>
    </w:p>
    <w:p w14:paraId="0BEB72F4">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610C6159">
      <w:pPr>
        <w:spacing w:line="600" w:lineRule="exact"/>
        <w:ind w:firstLine="640"/>
        <w:outlineLvl w:val="2"/>
        <w:rPr>
          <w:rFonts w:ascii="仿宋" w:hAnsi="仿宋" w:eastAsia="仿宋"/>
          <w:b/>
          <w:color w:val="auto"/>
          <w:sz w:val="32"/>
          <w:szCs w:val="32"/>
          <w:highlight w:val="none"/>
        </w:rPr>
      </w:pPr>
      <w:bookmarkStart w:id="36" w:name="_Toc15377217"/>
      <w:r>
        <w:rPr>
          <w:rFonts w:hint="eastAsia" w:ascii="仿宋" w:hAnsi="仿宋" w:eastAsia="仿宋"/>
          <w:b/>
          <w:color w:val="auto"/>
          <w:sz w:val="32"/>
          <w:szCs w:val="32"/>
          <w:highlight w:val="none"/>
        </w:rPr>
        <w:t>（二）“三公”经费财政拨款支出决算具体情况说明</w:t>
      </w:r>
      <w:bookmarkEnd w:id="36"/>
    </w:p>
    <w:p w14:paraId="1FC18005">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1B596EBE">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525145</wp:posOffset>
            </wp:positionH>
            <wp:positionV relativeFrom="paragraph">
              <wp:posOffset>210185</wp:posOffset>
            </wp:positionV>
            <wp:extent cx="4617085" cy="2763520"/>
            <wp:effectExtent l="4445" t="4445" r="7620" b="13335"/>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783A7A8">
      <w:pPr>
        <w:spacing w:line="600" w:lineRule="exact"/>
        <w:ind w:firstLine="640"/>
        <w:rPr>
          <w:rFonts w:hint="eastAsia" w:ascii="仿宋" w:hAnsi="仿宋" w:eastAsia="仿宋"/>
          <w:color w:val="auto"/>
          <w:sz w:val="32"/>
          <w:szCs w:val="32"/>
          <w:highlight w:val="none"/>
        </w:rPr>
      </w:pPr>
    </w:p>
    <w:p w14:paraId="7C54D9E1">
      <w:pPr>
        <w:spacing w:line="600" w:lineRule="exact"/>
        <w:ind w:firstLine="640"/>
        <w:rPr>
          <w:rFonts w:hint="eastAsia" w:ascii="仿宋" w:hAnsi="仿宋" w:eastAsia="仿宋"/>
          <w:color w:val="auto"/>
          <w:sz w:val="32"/>
          <w:szCs w:val="32"/>
          <w:highlight w:val="none"/>
        </w:rPr>
      </w:pPr>
    </w:p>
    <w:p w14:paraId="24E223C6">
      <w:pPr>
        <w:spacing w:line="600" w:lineRule="exact"/>
        <w:ind w:firstLine="640"/>
        <w:rPr>
          <w:rFonts w:hint="eastAsia" w:ascii="仿宋" w:hAnsi="仿宋" w:eastAsia="仿宋"/>
          <w:color w:val="auto"/>
          <w:sz w:val="32"/>
          <w:szCs w:val="32"/>
          <w:highlight w:val="none"/>
        </w:rPr>
      </w:pPr>
    </w:p>
    <w:p w14:paraId="494A2C80">
      <w:pPr>
        <w:spacing w:line="600" w:lineRule="exact"/>
        <w:ind w:firstLine="640"/>
        <w:rPr>
          <w:rFonts w:hint="eastAsia" w:ascii="仿宋" w:hAnsi="仿宋" w:eastAsia="仿宋"/>
          <w:color w:val="auto"/>
          <w:sz w:val="32"/>
          <w:szCs w:val="32"/>
          <w:highlight w:val="none"/>
        </w:rPr>
      </w:pPr>
    </w:p>
    <w:p w14:paraId="27745119">
      <w:pPr>
        <w:spacing w:line="600" w:lineRule="exact"/>
        <w:ind w:firstLine="640"/>
        <w:rPr>
          <w:rFonts w:hint="eastAsia" w:ascii="仿宋" w:hAnsi="仿宋" w:eastAsia="仿宋"/>
          <w:color w:val="auto"/>
          <w:sz w:val="32"/>
          <w:szCs w:val="32"/>
          <w:highlight w:val="none"/>
        </w:rPr>
      </w:pPr>
    </w:p>
    <w:p w14:paraId="3FD14B7E">
      <w:pPr>
        <w:spacing w:line="600" w:lineRule="exact"/>
        <w:ind w:firstLine="640"/>
        <w:rPr>
          <w:rFonts w:hint="eastAsia" w:ascii="仿宋" w:hAnsi="仿宋" w:eastAsia="仿宋"/>
          <w:color w:val="auto"/>
          <w:sz w:val="32"/>
          <w:szCs w:val="32"/>
          <w:highlight w:val="none"/>
        </w:rPr>
      </w:pPr>
    </w:p>
    <w:p w14:paraId="6D8DC031">
      <w:pPr>
        <w:spacing w:line="600" w:lineRule="exact"/>
        <w:ind w:firstLine="640"/>
        <w:rPr>
          <w:rFonts w:hint="eastAsia" w:ascii="仿宋" w:hAnsi="仿宋" w:eastAsia="仿宋"/>
          <w:color w:val="auto"/>
          <w:sz w:val="32"/>
          <w:szCs w:val="32"/>
          <w:highlight w:val="none"/>
        </w:rPr>
      </w:pPr>
    </w:p>
    <w:p w14:paraId="443ED6C9">
      <w:pPr>
        <w:spacing w:line="600" w:lineRule="exact"/>
        <w:ind w:firstLine="1929" w:firstLineChars="603"/>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14:paraId="5C3DF55A">
      <w:pPr>
        <w:spacing w:line="600" w:lineRule="exact"/>
        <w:ind w:firstLine="640"/>
        <w:rPr>
          <w:rFonts w:ascii="仿宋_GB2312" w:eastAsia="仿宋_GB2312"/>
          <w:color w:val="auto"/>
          <w:sz w:val="32"/>
          <w:szCs w:val="32"/>
          <w:highlight w:val="none"/>
        </w:rPr>
      </w:pPr>
      <w:bookmarkStart w:id="37" w:name="_Toc15396610"/>
      <w:bookmarkStart w:id="38" w:name="_Toc15377218"/>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53C2D84A">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230A082D">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45B5E638">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14:paraId="61F35F79">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w:t>
      </w:r>
      <w:r>
        <w:rPr>
          <w:rFonts w:hint="eastAsia" w:ascii="仿宋_GB2312" w:eastAsia="仿宋_GB2312"/>
          <w:color w:val="auto"/>
          <w:sz w:val="32"/>
          <w:szCs w:val="32"/>
          <w:highlight w:val="none"/>
          <w:lang w:val="en-US" w:eastAsia="zh-CN"/>
        </w:rPr>
        <w:t>与2022年持平</w:t>
      </w:r>
      <w:r>
        <w:rPr>
          <w:rFonts w:hint="eastAsia" w:ascii="仿宋_GB2312" w:eastAsia="仿宋_GB2312"/>
          <w:color w:val="auto"/>
          <w:sz w:val="32"/>
          <w:szCs w:val="32"/>
          <w:highlight w:val="none"/>
        </w:rPr>
        <w:t>。其中：</w:t>
      </w:r>
    </w:p>
    <w:p w14:paraId="2BD04913">
      <w:pPr>
        <w:spacing w:line="600" w:lineRule="exact"/>
        <w:ind w:firstLine="643" w:firstLineChars="20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FCDBD92">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6E0A1482">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37"/>
      <w:bookmarkEnd w:id="38"/>
    </w:p>
    <w:p w14:paraId="5A4FACB8">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7031F4F">
      <w:pPr>
        <w:numPr>
          <w:ilvl w:val="0"/>
          <w:numId w:val="3"/>
        </w:numPr>
        <w:spacing w:line="600" w:lineRule="exact"/>
        <w:ind w:firstLine="640"/>
        <w:outlineLvl w:val="1"/>
        <w:rPr>
          <w:rStyle w:val="25"/>
          <w:rFonts w:ascii="黑体" w:hAnsi="黑体" w:eastAsia="黑体"/>
          <w:b w:val="0"/>
          <w:color w:val="auto"/>
          <w:highlight w:val="none"/>
        </w:rPr>
      </w:pPr>
      <w:bookmarkStart w:id="39" w:name="_Toc15396611"/>
      <w:bookmarkStart w:id="40" w:name="_Toc15377219"/>
      <w:r>
        <w:rPr>
          <w:rStyle w:val="25"/>
          <w:rFonts w:hint="eastAsia" w:ascii="黑体" w:hAnsi="黑体" w:eastAsia="黑体"/>
          <w:b w:val="0"/>
          <w:color w:val="auto"/>
          <w:highlight w:val="none"/>
        </w:rPr>
        <w:t>国有资本经营预算支出决算情况说明</w:t>
      </w:r>
      <w:bookmarkEnd w:id="39"/>
      <w:bookmarkEnd w:id="40"/>
    </w:p>
    <w:p w14:paraId="03E15CC8">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50873A0A">
      <w:pPr>
        <w:numPr>
          <w:ilvl w:val="0"/>
          <w:numId w:val="3"/>
        </w:numPr>
        <w:spacing w:line="600" w:lineRule="exact"/>
        <w:ind w:firstLine="640"/>
        <w:outlineLvl w:val="1"/>
        <w:rPr>
          <w:rStyle w:val="25"/>
          <w:rFonts w:hint="eastAsia" w:ascii="黑体" w:hAnsi="黑体" w:eastAsia="黑体"/>
          <w:b w:val="0"/>
          <w:color w:val="auto"/>
          <w:highlight w:val="none"/>
        </w:rPr>
      </w:pPr>
      <w:bookmarkStart w:id="41" w:name="_Toc15396612"/>
      <w:bookmarkStart w:id="42" w:name="_Toc15377221"/>
      <w:r>
        <w:rPr>
          <w:rStyle w:val="25"/>
          <w:rFonts w:hint="eastAsia" w:ascii="黑体" w:hAnsi="黑体" w:eastAsia="黑体"/>
          <w:b w:val="0"/>
          <w:color w:val="auto"/>
          <w:highlight w:val="none"/>
        </w:rPr>
        <w:t>其他重要事项的情况说明</w:t>
      </w:r>
      <w:bookmarkEnd w:id="41"/>
      <w:bookmarkEnd w:id="42"/>
    </w:p>
    <w:p w14:paraId="6D40CB6A">
      <w:pPr>
        <w:spacing w:line="600" w:lineRule="exact"/>
        <w:ind w:firstLine="643" w:firstLineChars="200"/>
        <w:outlineLvl w:val="2"/>
        <w:rPr>
          <w:rFonts w:ascii="仿宋" w:hAnsi="仿宋" w:eastAsia="仿宋"/>
          <w:color w:val="auto"/>
          <w:sz w:val="32"/>
          <w:szCs w:val="32"/>
          <w:highlight w:val="none"/>
        </w:rPr>
      </w:pPr>
      <w:bookmarkStart w:id="43" w:name="_Toc15377222"/>
      <w:r>
        <w:rPr>
          <w:rFonts w:hint="eastAsia" w:ascii="仿宋" w:hAnsi="仿宋" w:eastAsia="仿宋"/>
          <w:b/>
          <w:color w:val="auto"/>
          <w:sz w:val="32"/>
          <w:szCs w:val="32"/>
          <w:highlight w:val="none"/>
        </w:rPr>
        <w:t>（一）机关运行经费支出情况</w:t>
      </w:r>
      <w:bookmarkEnd w:id="43"/>
    </w:p>
    <w:p w14:paraId="6BADCFBE">
      <w:pPr>
        <w:spacing w:line="600" w:lineRule="exact"/>
        <w:ind w:firstLine="640" w:firstLineChars="200"/>
        <w:rPr>
          <w:rFonts w:ascii="仿宋" w:hAnsi="仿宋" w:eastAsia="仿宋"/>
          <w:b/>
          <w:color w:val="auto"/>
          <w:sz w:val="32"/>
          <w:szCs w:val="32"/>
          <w:highlight w:val="none"/>
        </w:rPr>
      </w:pPr>
      <w:bookmarkStart w:id="44" w:name="_Toc15377223"/>
      <w:r>
        <w:rPr>
          <w:rFonts w:hint="eastAsia" w:ascii="仿宋_GB2312" w:eastAsia="仿宋_GB2312"/>
          <w:color w:val="auto"/>
          <w:sz w:val="32"/>
          <w:szCs w:val="32"/>
        </w:rPr>
        <w:t>我单位为事业单位（学校），执行政府会计制度，无机关运行经费。</w:t>
      </w:r>
    </w:p>
    <w:p w14:paraId="48593220">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bookmarkEnd w:id="44"/>
    </w:p>
    <w:p w14:paraId="3C7BC59B">
      <w:pPr>
        <w:spacing w:line="600" w:lineRule="exact"/>
        <w:ind w:firstLine="640" w:firstLineChars="200"/>
        <w:rPr>
          <w:rFonts w:ascii="仿宋_GB2312" w:eastAsia="仿宋_GB2312"/>
          <w:color w:val="auto"/>
          <w:sz w:val="32"/>
          <w:szCs w:val="32"/>
        </w:rPr>
      </w:pPr>
      <w:bookmarkStart w:id="45" w:name="_Toc15377224"/>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rPr>
        <w:t>大竹县</w:t>
      </w:r>
      <w:r>
        <w:rPr>
          <w:rFonts w:hint="eastAsia" w:ascii="仿宋_GB2312" w:eastAsia="仿宋_GB2312"/>
          <w:color w:val="auto"/>
          <w:sz w:val="32"/>
          <w:szCs w:val="32"/>
          <w:lang w:val="en-US" w:eastAsia="zh-CN"/>
        </w:rPr>
        <w:t>杨家镇人和</w:t>
      </w:r>
      <w:r>
        <w:rPr>
          <w:rFonts w:hint="eastAsia" w:ascii="仿宋_GB2312" w:eastAsia="仿宋_GB2312"/>
          <w:color w:val="auto"/>
          <w:sz w:val="32"/>
          <w:szCs w:val="32"/>
        </w:rPr>
        <w:t>小学政府采购支出总额</w:t>
      </w:r>
      <w:r>
        <w:rPr>
          <w:rFonts w:ascii="仿宋_GB2312" w:eastAsia="仿宋_GB2312"/>
          <w:color w:val="auto"/>
          <w:sz w:val="32"/>
          <w:szCs w:val="32"/>
        </w:rPr>
        <w:t>0</w:t>
      </w:r>
      <w:r>
        <w:rPr>
          <w:rFonts w:hint="eastAsia" w:ascii="仿宋_GB2312" w:eastAsia="仿宋_GB2312"/>
          <w:color w:val="auto"/>
          <w:sz w:val="32"/>
          <w:szCs w:val="32"/>
        </w:rPr>
        <w:t>万元。</w:t>
      </w:r>
    </w:p>
    <w:p w14:paraId="77C1DF96">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bookmarkEnd w:id="45"/>
    </w:p>
    <w:p w14:paraId="129D6D97">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rPr>
        <w:t>大竹县</w:t>
      </w:r>
      <w:r>
        <w:rPr>
          <w:rFonts w:hint="eastAsia" w:ascii="仿宋_GB2312" w:eastAsia="仿宋_GB2312"/>
          <w:color w:val="auto"/>
          <w:sz w:val="32"/>
          <w:szCs w:val="32"/>
          <w:lang w:val="en-US" w:eastAsia="zh-CN"/>
        </w:rPr>
        <w:t>杨家镇人和</w:t>
      </w:r>
      <w:r>
        <w:rPr>
          <w:rFonts w:hint="eastAsia" w:ascii="仿宋_GB2312" w:eastAsia="仿宋_GB2312"/>
          <w:color w:val="auto"/>
          <w:sz w:val="32"/>
          <w:szCs w:val="32"/>
        </w:rPr>
        <w:t>小学共有车辆</w:t>
      </w:r>
      <w:r>
        <w:rPr>
          <w:rFonts w:ascii="仿宋_GB2312" w:eastAsia="仿宋_GB2312"/>
          <w:color w:val="auto"/>
          <w:sz w:val="32"/>
          <w:szCs w:val="32"/>
        </w:rPr>
        <w:t>0</w:t>
      </w:r>
      <w:r>
        <w:rPr>
          <w:rFonts w:hint="eastAsia" w:ascii="仿宋_GB2312" w:eastAsia="仿宋_GB2312"/>
          <w:color w:val="auto"/>
          <w:sz w:val="32"/>
          <w:szCs w:val="32"/>
        </w:rPr>
        <w:t>辆，其中：主要领导干部用车</w:t>
      </w:r>
      <w:r>
        <w:rPr>
          <w:rFonts w:ascii="仿宋_GB2312" w:eastAsia="仿宋_GB2312"/>
          <w:color w:val="auto"/>
          <w:sz w:val="32"/>
          <w:szCs w:val="32"/>
        </w:rPr>
        <w:t>0</w:t>
      </w:r>
      <w:r>
        <w:rPr>
          <w:rFonts w:hint="eastAsia" w:ascii="仿宋_GB2312" w:eastAsia="仿宋_GB2312"/>
          <w:color w:val="auto"/>
          <w:sz w:val="32"/>
          <w:szCs w:val="32"/>
        </w:rPr>
        <w:t>辆、机要通信用车</w:t>
      </w:r>
      <w:r>
        <w:rPr>
          <w:rFonts w:ascii="仿宋_GB2312" w:eastAsia="仿宋_GB2312"/>
          <w:color w:val="auto"/>
          <w:sz w:val="32"/>
          <w:szCs w:val="32"/>
        </w:rPr>
        <w:t>0</w:t>
      </w:r>
      <w:r>
        <w:rPr>
          <w:rFonts w:hint="eastAsia" w:ascii="仿宋_GB2312" w:eastAsia="仿宋_GB2312"/>
          <w:color w:val="auto"/>
          <w:sz w:val="32"/>
          <w:szCs w:val="32"/>
        </w:rPr>
        <w:t>辆、应急保障用车</w:t>
      </w:r>
      <w:r>
        <w:rPr>
          <w:rFonts w:ascii="仿宋_GB2312" w:eastAsia="仿宋_GB2312"/>
          <w:color w:val="auto"/>
          <w:sz w:val="32"/>
          <w:szCs w:val="32"/>
        </w:rPr>
        <w:t>0</w:t>
      </w:r>
      <w:r>
        <w:rPr>
          <w:rFonts w:hint="eastAsia" w:ascii="仿宋_GB2312" w:eastAsia="仿宋_GB2312"/>
          <w:color w:val="auto"/>
          <w:sz w:val="32"/>
          <w:szCs w:val="32"/>
        </w:rPr>
        <w:t>辆、其他用车</w:t>
      </w:r>
      <w:r>
        <w:rPr>
          <w:rFonts w:ascii="仿宋_GB2312" w:eastAsia="仿宋_GB2312"/>
          <w:color w:val="auto"/>
          <w:sz w:val="32"/>
          <w:szCs w:val="32"/>
        </w:rPr>
        <w:t>0</w:t>
      </w:r>
      <w:r>
        <w:rPr>
          <w:rFonts w:hint="eastAsia" w:ascii="仿宋_GB2312" w:eastAsia="仿宋_GB2312"/>
          <w:color w:val="auto"/>
          <w:sz w:val="32"/>
          <w:szCs w:val="32"/>
        </w:rPr>
        <w:t>辆.单价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ascii="仿宋_GB2312" w:eastAsia="仿宋_GB2312"/>
          <w:color w:val="auto"/>
          <w:sz w:val="32"/>
          <w:szCs w:val="32"/>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ascii="仿宋_GB2312" w:eastAsia="仿宋_GB2312"/>
          <w:color w:val="auto"/>
          <w:sz w:val="32"/>
          <w:szCs w:val="32"/>
        </w:rPr>
        <w:t>0</w:t>
      </w:r>
      <w:r>
        <w:rPr>
          <w:rFonts w:hint="eastAsia" w:ascii="仿宋_GB2312" w:eastAsia="仿宋_GB2312"/>
          <w:color w:val="auto"/>
          <w:sz w:val="32"/>
          <w:szCs w:val="32"/>
        </w:rPr>
        <w:t>台（套）。</w:t>
      </w:r>
    </w:p>
    <w:p w14:paraId="73460577">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026C5581">
      <w:pPr>
        <w:spacing w:line="580" w:lineRule="exact"/>
        <w:ind w:firstLine="640" w:firstLineChars="200"/>
        <w:rPr>
          <w:rFonts w:ascii="仿宋_GB2312" w:eastAsia="仿宋_GB2312"/>
          <w:b/>
          <w:color w:val="auto"/>
          <w:sz w:val="32"/>
          <w:szCs w:val="32"/>
        </w:rPr>
      </w:pPr>
      <w:r>
        <w:rPr>
          <w:rFonts w:hint="eastAsia" w:ascii="仿宋_GB2312" w:hAnsi="仿宋_GB2312" w:eastAsia="仿宋_GB2312" w:cs="仿宋_GB2312"/>
          <w:color w:val="auto"/>
          <w:sz w:val="32"/>
          <w:szCs w:val="32"/>
        </w:rPr>
        <w:t>根据预算绩效管理要求，本单位在202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年度预算编制阶段，组织对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个项目开展绩效监控，组织对</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项目开展绩效自评，绩效自评表详见第四部分附件。</w:t>
      </w:r>
    </w:p>
    <w:p w14:paraId="22A5827F">
      <w:pPr>
        <w:pStyle w:val="5"/>
        <w:ind w:firstLine="600" w:firstLineChars="200"/>
        <w:rPr>
          <w:color w:val="auto"/>
          <w:highlight w:val="yellow"/>
        </w:rPr>
      </w:pPr>
    </w:p>
    <w:p w14:paraId="180EFBE6">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474F224A">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6" w:name="_Toc15377225"/>
      <w:bookmarkStart w:id="47"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6"/>
      <w:bookmarkEnd w:id="47"/>
    </w:p>
    <w:p w14:paraId="50421D21">
      <w:pPr>
        <w:spacing w:line="600" w:lineRule="exact"/>
        <w:jc w:val="left"/>
        <w:rPr>
          <w:rFonts w:ascii="宋体"/>
          <w:b/>
          <w:color w:val="auto"/>
          <w:sz w:val="44"/>
          <w:szCs w:val="44"/>
          <w:highlight w:val="none"/>
        </w:rPr>
      </w:pPr>
    </w:p>
    <w:p w14:paraId="038564CE">
      <w:pPr>
        <w:ind w:firstLine="640" w:firstLineChars="200"/>
        <w:rPr>
          <w:rFonts w:ascii="仿宋_GB2312" w:hAnsi="Calibri" w:eastAsia="仿宋_GB2312" w:cs="仿宋"/>
          <w:color w:val="auto"/>
          <w:kern w:val="0"/>
          <w:sz w:val="32"/>
          <w:szCs w:val="32"/>
        </w:rPr>
      </w:pPr>
      <w:bookmarkStart w:id="48" w:name="_Toc15377226"/>
      <w:r>
        <w:rPr>
          <w:rFonts w:hint="eastAsia" w:ascii="仿宋_GB2312" w:hAnsi="Calibri" w:eastAsia="仿宋_GB2312" w:cs="仿宋"/>
          <w:color w:val="auto"/>
          <w:kern w:val="0"/>
          <w:sz w:val="32"/>
          <w:szCs w:val="32"/>
        </w:rPr>
        <w:t>1.财政拨款收入：指单位从同级财政部门取得的财政预算资金。</w:t>
      </w:r>
    </w:p>
    <w:p w14:paraId="22AAE8B8">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2.事业收入：指事业单位开展专业业务活动及辅助活动取得的收入。</w:t>
      </w:r>
    </w:p>
    <w:p w14:paraId="3104AF37">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 xml:space="preserve">3.年初结转和结余：指以前年度尚未完成、结转到本年按有关规定继续使用的资金。 </w:t>
      </w:r>
    </w:p>
    <w:p w14:paraId="224DAB4C">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4.结余分配：指事业单位按照事业单位会计制度的规定从非财政补助结余中分配的事业基金和职工福利基金等。</w:t>
      </w:r>
    </w:p>
    <w:p w14:paraId="7DC85B3F">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5、年末结转和结余：指单位按有关规定结转到下年或以后年度继续使用的资金。</w:t>
      </w:r>
    </w:p>
    <w:p w14:paraId="2517AF7B">
      <w:pPr>
        <w:ind w:firstLine="640" w:firstLineChars="200"/>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14:paraId="6E5BBE35">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val="en-US" w:eastAsia="zh-CN"/>
        </w:rPr>
        <w:t>反映各部门举办的小学教育支出。政府各部门对社会组织等举办的小学的资助，如捐赠、补贴等，也在本科目中反映。</w:t>
      </w:r>
    </w:p>
    <w:p w14:paraId="0897CD57">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5D9A7D69">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0AF7669C">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55D3B54F">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14:paraId="76A30CE1">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反映按规定用于烈士和牺牲、病故人员家属的一次性和定期抚恤金以及丧葬补助费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14:paraId="025260D8">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72C0CC09">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14:paraId="3C27263C">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78EF981B">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1952D2AB">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389D655C">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2C6EF69">
      <w:pPr>
        <w:spacing w:line="600" w:lineRule="exact"/>
        <w:ind w:firstLine="64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7555EB1">
      <w:pPr>
        <w:spacing w:line="600" w:lineRule="exact"/>
        <w:jc w:val="center"/>
        <w:outlineLvl w:val="0"/>
        <w:rPr>
          <w:rStyle w:val="24"/>
          <w:rFonts w:hint="eastAsia" w:ascii="黑体" w:hAnsi="黑体" w:eastAsia="黑体"/>
          <w:b w:val="0"/>
          <w:color w:val="auto"/>
          <w:highlight w:val="none"/>
        </w:rPr>
      </w:pPr>
      <w:r>
        <w:rPr>
          <w:rFonts w:ascii="宋体"/>
          <w:b/>
          <w:color w:val="auto"/>
          <w:sz w:val="44"/>
          <w:szCs w:val="44"/>
          <w:highlight w:val="none"/>
        </w:rPr>
        <w:br w:type="page"/>
      </w:r>
      <w:bookmarkStart w:id="49"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49"/>
    </w:p>
    <w:tbl>
      <w:tblPr>
        <w:tblStyle w:val="12"/>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273"/>
        <w:gridCol w:w="1278"/>
        <w:gridCol w:w="1055"/>
        <w:gridCol w:w="1201"/>
        <w:gridCol w:w="1058"/>
        <w:gridCol w:w="926"/>
        <w:gridCol w:w="1113"/>
      </w:tblGrid>
      <w:tr w14:paraId="7826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3" w:hRule="exact"/>
          <w:jc w:val="center"/>
        </w:trPr>
        <w:tc>
          <w:tcPr>
            <w:tcW w:w="10560" w:type="dxa"/>
            <w:gridSpan w:val="9"/>
            <w:shd w:val="clear" w:color="auto" w:fill="auto"/>
            <w:vAlign w:val="center"/>
          </w:tcPr>
          <w:p w14:paraId="1E6DCCB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6C1E0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9"/>
            <w:shd w:val="clear" w:color="auto" w:fill="auto"/>
            <w:vAlign w:val="center"/>
          </w:tcPr>
          <w:p w14:paraId="3DC179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5F90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9"/>
            <w:tcBorders>
              <w:bottom w:val="single" w:color="000000" w:sz="4" w:space="0"/>
            </w:tcBorders>
            <w:shd w:val="clear" w:color="auto" w:fill="auto"/>
            <w:vAlign w:val="center"/>
          </w:tcPr>
          <w:p w14:paraId="6C0A82C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7EF8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C35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部门名称</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1E1F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大竹县杨家镇人和小学部门</w:t>
            </w:r>
          </w:p>
        </w:tc>
      </w:tr>
      <w:tr w14:paraId="4D28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38E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5D9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资金总额</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13C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财政拨款</w:t>
            </w:r>
          </w:p>
        </w:tc>
        <w:tc>
          <w:tcPr>
            <w:tcW w:w="42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36FD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其他资金</w:t>
            </w:r>
          </w:p>
        </w:tc>
      </w:tr>
      <w:tr w14:paraId="488E6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FFF9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bookmarkStart w:id="64" w:name="_GoBack" w:colFirst="1" w:colLast="4"/>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A37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715.42</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A7E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715.42</w:t>
            </w:r>
          </w:p>
        </w:tc>
        <w:tc>
          <w:tcPr>
            <w:tcW w:w="42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F625A4">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0.00</w:t>
            </w:r>
          </w:p>
        </w:tc>
      </w:tr>
      <w:bookmarkEnd w:id="64"/>
      <w:tr w14:paraId="4031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B2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年度总体</w:t>
            </w:r>
          </w:p>
          <w:p w14:paraId="7AB203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目标</w:t>
            </w:r>
          </w:p>
        </w:tc>
        <w:tc>
          <w:tcPr>
            <w:tcW w:w="9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4D56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18"/>
                <w:szCs w:val="18"/>
                <w:u w:val="none"/>
              </w:rPr>
            </w:pPr>
            <w:r>
              <w:rPr>
                <w:rFonts w:ascii="宋体" w:hAnsi="宋体" w:eastAsia="宋体" w:cs="宋体"/>
                <w:i w:val="0"/>
                <w:iCs w:val="0"/>
                <w:color w:val="000000"/>
                <w:kern w:val="0"/>
                <w:sz w:val="18"/>
                <w:szCs w:val="18"/>
                <w:u w:val="none"/>
                <w:lang w:val="en-US" w:eastAsia="zh-CN" w:bidi="ar"/>
              </w:rPr>
              <w:t>1、保障学生平等权益；保障校园安全；2、促进学生全面发展；3、引领教师专业进步；4、提升教育教学水平；5、保障校园安全、营造和谐美丽校园。</w:t>
            </w:r>
          </w:p>
        </w:tc>
      </w:tr>
      <w:tr w14:paraId="57D8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4CAB0">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年度主要任务</w:t>
            </w:r>
          </w:p>
          <w:p w14:paraId="75EFA8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B90D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任务名称</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C244F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主要内容</w:t>
            </w:r>
          </w:p>
        </w:tc>
      </w:tr>
      <w:tr w14:paraId="11F4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3BDE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AFD17">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学校建设</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DF6BB5">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 xml:space="preserve">全面落实党的教育方针以及省、市有关教育的政策和法律、法规、规章，履行中小学校各项教育管理职责，完成教育主管部门和同级政府部门下达的工作目标任务，确保中小学校各项工作的顺利开展；   </w:t>
            </w:r>
          </w:p>
        </w:tc>
      </w:tr>
      <w:tr w14:paraId="36E14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5"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64AF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59795">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教师队伍建设</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D99AD3">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切实加强学校教师队伍建设，制定业务培训计划和教研计划，提高教学水平；不定期进行师德教育，全面提高教师形象。</w:t>
            </w:r>
          </w:p>
        </w:tc>
      </w:tr>
      <w:tr w14:paraId="7883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F35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80936">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学生全面发展</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F0D8BF">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 xml:space="preserve">促进学生德、智、体、美全面健康发展。  </w:t>
            </w:r>
          </w:p>
        </w:tc>
      </w:tr>
      <w:tr w14:paraId="15ACE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5F8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年度绩效</w:t>
            </w:r>
          </w:p>
          <w:p w14:paraId="5EBED3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9E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E0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二级指标</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11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三级指标</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5D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绩效指标</w:t>
            </w:r>
          </w:p>
          <w:p w14:paraId="05ABDA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性质</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7E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6B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7C1D88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60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实际完成</w:t>
            </w:r>
          </w:p>
          <w:p w14:paraId="4BBD89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指标值</w:t>
            </w:r>
          </w:p>
        </w:tc>
      </w:tr>
      <w:tr w14:paraId="5CB2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4"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BAA0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BCDCC">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产出指标</w:t>
            </w:r>
          </w:p>
          <w:p w14:paraId="32273E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F044E">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数量指标</w:t>
            </w:r>
          </w:p>
          <w:p w14:paraId="499E8A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8AF4">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定期开展留守学生亲情交流及课外活动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D16B">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1816">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3B53">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次/年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31A0">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113" w:type="dxa"/>
            <w:tcBorders>
              <w:left w:val="single" w:color="000000" w:sz="4" w:space="0"/>
              <w:bottom w:val="single" w:color="000000" w:sz="4" w:space="0"/>
              <w:right w:val="single" w:color="000000" w:sz="4" w:space="0"/>
            </w:tcBorders>
            <w:shd w:val="clear" w:color="auto" w:fill="auto"/>
            <w:vAlign w:val="center"/>
          </w:tcPr>
          <w:p w14:paraId="43B597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4</w:t>
            </w:r>
          </w:p>
        </w:tc>
      </w:tr>
      <w:tr w14:paraId="6E1B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E52B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2EEF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4E6E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F9C8">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适龄儿童全部入学</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1761">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4580">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D9A6">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13DC">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C79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8"/>
                <w:szCs w:val="18"/>
                <w:u w:val="none"/>
                <w:lang w:val="en-US" w:eastAsia="zh-CN"/>
              </w:rPr>
            </w:pPr>
            <w:r>
              <w:rPr>
                <w:rFonts w:hint="eastAsia" w:cs="Times New Roman"/>
                <w:i w:val="0"/>
                <w:color w:val="000000"/>
                <w:sz w:val="18"/>
                <w:szCs w:val="18"/>
                <w:u w:val="none"/>
                <w:lang w:val="en-US" w:eastAsia="zh-CN"/>
              </w:rPr>
              <w:t>100</w:t>
            </w:r>
          </w:p>
        </w:tc>
      </w:tr>
      <w:tr w14:paraId="5156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6C15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82A4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273" w:type="dxa"/>
            <w:tcBorders>
              <w:top w:val="single" w:color="000000" w:sz="4" w:space="0"/>
              <w:left w:val="single" w:color="000000" w:sz="4" w:space="0"/>
              <w:bottom w:val="single" w:color="auto" w:sz="4" w:space="0"/>
              <w:right w:val="single" w:color="000000" w:sz="4" w:space="0"/>
            </w:tcBorders>
            <w:shd w:val="clear" w:color="auto" w:fill="auto"/>
            <w:vAlign w:val="center"/>
          </w:tcPr>
          <w:p w14:paraId="4E7C95D0">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质量指标</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219B">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教师四乱行为整治</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3C38">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55AF">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38B0">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C0F8">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7F14">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8"/>
                <w:szCs w:val="18"/>
                <w:u w:val="none"/>
                <w:lang w:val="en-US" w:eastAsia="zh-CN"/>
              </w:rPr>
            </w:pPr>
            <w:r>
              <w:rPr>
                <w:rFonts w:hint="eastAsia" w:cs="Times New Roman"/>
                <w:i w:val="0"/>
                <w:color w:val="000000"/>
                <w:sz w:val="18"/>
                <w:szCs w:val="18"/>
                <w:u w:val="none"/>
                <w:lang w:val="en-US" w:eastAsia="zh-CN"/>
              </w:rPr>
              <w:t>2</w:t>
            </w:r>
          </w:p>
        </w:tc>
      </w:tr>
      <w:tr w14:paraId="3F1E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80C6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5E2BA6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14:paraId="74EC2C52">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时效指标</w:t>
            </w:r>
          </w:p>
        </w:tc>
        <w:tc>
          <w:tcPr>
            <w:tcW w:w="1278" w:type="dxa"/>
            <w:tcBorders>
              <w:top w:val="single" w:color="000000" w:sz="4" w:space="0"/>
              <w:left w:val="single" w:color="auto" w:sz="4" w:space="0"/>
              <w:bottom w:val="single" w:color="000000" w:sz="4" w:space="0"/>
              <w:right w:val="single" w:color="000000" w:sz="4" w:space="0"/>
            </w:tcBorders>
            <w:shd w:val="clear" w:color="auto" w:fill="auto"/>
            <w:vAlign w:val="center"/>
          </w:tcPr>
          <w:p w14:paraId="537F0FA7">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按时完成教学内容</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8CAB">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BBB8">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E98B">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1246">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729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8"/>
                <w:szCs w:val="18"/>
                <w:u w:val="none"/>
                <w:lang w:val="en-US" w:eastAsia="zh-CN"/>
              </w:rPr>
            </w:pPr>
            <w:r>
              <w:rPr>
                <w:rFonts w:hint="eastAsia" w:cs="Times New Roman"/>
                <w:i w:val="0"/>
                <w:color w:val="000000"/>
                <w:sz w:val="18"/>
                <w:szCs w:val="18"/>
                <w:u w:val="none"/>
                <w:lang w:val="en-US" w:eastAsia="zh-CN"/>
              </w:rPr>
              <w:t>1</w:t>
            </w:r>
          </w:p>
        </w:tc>
      </w:tr>
      <w:tr w14:paraId="3BF0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8D32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91666">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效益指标</w:t>
            </w:r>
          </w:p>
          <w:p w14:paraId="09C894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p>
        </w:tc>
        <w:tc>
          <w:tcPr>
            <w:tcW w:w="1273" w:type="dxa"/>
            <w:tcBorders>
              <w:top w:val="single" w:color="000000" w:sz="4" w:space="0"/>
              <w:left w:val="single" w:color="000000" w:sz="4" w:space="0"/>
              <w:right w:val="single" w:color="000000" w:sz="4" w:space="0"/>
            </w:tcBorders>
            <w:shd w:val="clear" w:color="auto" w:fill="auto"/>
            <w:vAlign w:val="center"/>
          </w:tcPr>
          <w:p w14:paraId="6E38F15F">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社会效益指标</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3593">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提高学生整体素质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EF61">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定性</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EE99">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1121">
            <w:pPr>
              <w:jc w:val="left"/>
              <w:rPr>
                <w:rFonts w:hint="default" w:ascii="宋体" w:hAnsi="宋体" w:eastAsia="宋体" w:cs="宋体"/>
                <w:i w:val="0"/>
                <w:iCs w:val="0"/>
                <w:color w:val="000000"/>
                <w:kern w:val="2"/>
                <w:sz w:val="18"/>
                <w:szCs w:val="18"/>
                <w:u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CBBD">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D7C4">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8"/>
                <w:szCs w:val="18"/>
                <w:u w:val="none"/>
                <w:lang w:val="en-US" w:eastAsia="zh-CN"/>
              </w:rPr>
            </w:pPr>
            <w:r>
              <w:rPr>
                <w:rFonts w:hint="eastAsia" w:cs="Times New Roman"/>
                <w:i w:val="0"/>
                <w:color w:val="000000"/>
                <w:sz w:val="18"/>
                <w:szCs w:val="18"/>
                <w:u w:val="none"/>
                <w:lang w:val="en-US" w:eastAsia="zh-CN"/>
              </w:rPr>
              <w:t>优</w:t>
            </w:r>
          </w:p>
        </w:tc>
      </w:tr>
      <w:tr w14:paraId="0725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7372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34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3D5813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273" w:type="dxa"/>
            <w:tcBorders>
              <w:top w:val="single" w:color="000000" w:sz="4" w:space="0"/>
              <w:left w:val="single" w:color="000000" w:sz="4" w:space="0"/>
              <w:bottom w:val="single" w:color="auto" w:sz="4" w:space="0"/>
              <w:right w:val="single" w:color="000000" w:sz="4" w:space="0"/>
            </w:tcBorders>
            <w:shd w:val="clear" w:color="auto" w:fill="auto"/>
            <w:vAlign w:val="center"/>
          </w:tcPr>
          <w:p w14:paraId="4FBE4CA7">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可持续影响指标</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E385">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对学生身心健康的影响</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A373">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定性</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B7B9">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6580">
            <w:pPr>
              <w:jc w:val="left"/>
              <w:rPr>
                <w:rFonts w:hint="default" w:ascii="宋体" w:hAnsi="宋体" w:eastAsia="宋体" w:cs="宋体"/>
                <w:i w:val="0"/>
                <w:iCs w:val="0"/>
                <w:color w:val="000000"/>
                <w:kern w:val="2"/>
                <w:sz w:val="18"/>
                <w:szCs w:val="18"/>
                <w:u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5C99">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F25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8"/>
                <w:szCs w:val="18"/>
                <w:u w:val="none"/>
              </w:rPr>
            </w:pPr>
            <w:r>
              <w:rPr>
                <w:rFonts w:hint="eastAsia" w:cs="Times New Roman"/>
                <w:i w:val="0"/>
                <w:color w:val="000000"/>
                <w:sz w:val="18"/>
                <w:szCs w:val="18"/>
                <w:u w:val="none"/>
                <w:lang w:val="en-US" w:eastAsia="zh-CN"/>
              </w:rPr>
              <w:t>优</w:t>
            </w:r>
          </w:p>
        </w:tc>
      </w:tr>
      <w:tr w14:paraId="73990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130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6661F2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rPr>
            </w:pPr>
          </w:p>
        </w:tc>
        <w:tc>
          <w:tcPr>
            <w:tcW w:w="1347" w:type="dxa"/>
            <w:tcBorders>
              <w:top w:val="single" w:color="auto" w:sz="4" w:space="0"/>
              <w:left w:val="single" w:color="auto" w:sz="4" w:space="0"/>
              <w:bottom w:val="single" w:color="auto" w:sz="4" w:space="0"/>
              <w:right w:val="single" w:color="000000" w:sz="4" w:space="0"/>
            </w:tcBorders>
            <w:shd w:val="clear" w:color="auto" w:fill="auto"/>
            <w:vAlign w:val="center"/>
          </w:tcPr>
          <w:p w14:paraId="63AB5B97">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满意度指标</w:t>
            </w:r>
          </w:p>
        </w:tc>
        <w:tc>
          <w:tcPr>
            <w:tcW w:w="1273" w:type="dxa"/>
            <w:tcBorders>
              <w:top w:val="single" w:color="auto" w:sz="4" w:space="0"/>
              <w:left w:val="single" w:color="000000" w:sz="4" w:space="0"/>
              <w:bottom w:val="single" w:color="auto" w:sz="4" w:space="0"/>
              <w:right w:val="single" w:color="auto" w:sz="4" w:space="0"/>
            </w:tcBorders>
            <w:shd w:val="clear" w:color="auto" w:fill="auto"/>
            <w:vAlign w:val="center"/>
          </w:tcPr>
          <w:p w14:paraId="0DD7BB8D">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服务对象满意度指标</w:t>
            </w:r>
          </w:p>
        </w:tc>
        <w:tc>
          <w:tcPr>
            <w:tcW w:w="1278" w:type="dxa"/>
            <w:tcBorders>
              <w:top w:val="single" w:color="000000" w:sz="4" w:space="0"/>
              <w:left w:val="single" w:color="auto" w:sz="4" w:space="0"/>
              <w:bottom w:val="single" w:color="000000" w:sz="4" w:space="0"/>
              <w:right w:val="single" w:color="000000" w:sz="4" w:space="0"/>
            </w:tcBorders>
            <w:shd w:val="clear" w:color="auto" w:fill="auto"/>
            <w:vAlign w:val="center"/>
          </w:tcPr>
          <w:p w14:paraId="574F54D8">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学生满意度</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39AE">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30D7">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0047">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31AF">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B5E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8"/>
                <w:szCs w:val="18"/>
                <w:u w:val="none"/>
                <w:lang w:val="en-US" w:eastAsia="zh-CN"/>
              </w:rPr>
            </w:pPr>
            <w:r>
              <w:rPr>
                <w:rFonts w:hint="eastAsia" w:cs="Times New Roman"/>
                <w:i w:val="0"/>
                <w:color w:val="000000"/>
                <w:sz w:val="18"/>
                <w:szCs w:val="18"/>
                <w:u w:val="none"/>
                <w:lang w:val="en-US" w:eastAsia="zh-CN"/>
              </w:rPr>
              <w:t>98</w:t>
            </w:r>
          </w:p>
        </w:tc>
      </w:tr>
    </w:tbl>
    <w:p w14:paraId="24D22CE2">
      <w:pPr>
        <w:spacing w:line="600" w:lineRule="exact"/>
        <w:jc w:val="center"/>
        <w:outlineLvl w:val="0"/>
        <w:rPr>
          <w:rStyle w:val="24"/>
          <w:rFonts w:hint="eastAsia" w:ascii="黑体" w:hAnsi="黑体" w:eastAsia="黑体"/>
          <w:b w:val="0"/>
          <w:color w:val="auto"/>
          <w:highlight w:val="none"/>
        </w:rPr>
      </w:pPr>
    </w:p>
    <w:p w14:paraId="4248D68D">
      <w:pPr>
        <w:spacing w:line="600" w:lineRule="exact"/>
        <w:jc w:val="center"/>
        <w:outlineLvl w:val="0"/>
        <w:rPr>
          <w:rStyle w:val="24"/>
          <w:rFonts w:hint="eastAsia" w:ascii="黑体" w:hAnsi="黑体" w:eastAsia="黑体"/>
          <w:b w:val="0"/>
          <w:color w:val="auto"/>
          <w:highlight w:val="none"/>
        </w:rPr>
      </w:pPr>
    </w:p>
    <w:tbl>
      <w:tblPr>
        <w:tblStyle w:val="12"/>
        <w:tblW w:w="96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276"/>
        <w:gridCol w:w="1115"/>
        <w:gridCol w:w="1494"/>
        <w:gridCol w:w="396"/>
        <w:gridCol w:w="1045"/>
        <w:gridCol w:w="396"/>
        <w:gridCol w:w="846"/>
        <w:gridCol w:w="486"/>
        <w:gridCol w:w="396"/>
        <w:gridCol w:w="1614"/>
      </w:tblGrid>
      <w:tr w14:paraId="09475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AD28C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50"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0283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BC2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7F97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51172422T000005662163-2021年校园文化建设（存量）</w:t>
            </w:r>
          </w:p>
        </w:tc>
      </w:tr>
      <w:tr w14:paraId="7E72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80C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9105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大竹县杨家镇人和小学部门</w:t>
            </w:r>
          </w:p>
        </w:tc>
        <w:tc>
          <w:tcPr>
            <w:tcW w:w="846" w:type="dxa"/>
            <w:tcBorders>
              <w:top w:val="nil"/>
              <w:left w:val="nil"/>
              <w:bottom w:val="nil"/>
              <w:right w:val="nil"/>
            </w:tcBorders>
            <w:shd w:val="clear" w:color="auto" w:fill="auto"/>
            <w:vAlign w:val="center"/>
          </w:tcPr>
          <w:p w14:paraId="170B6B5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DB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大竹县杨家镇人和小学</w:t>
            </w:r>
          </w:p>
        </w:tc>
      </w:tr>
      <w:tr w14:paraId="307C4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7B9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A1A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6B1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1037A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3EF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4E2DF">
            <w:pPr>
              <w:rPr>
                <w:rFonts w:hint="eastAsia" w:ascii="宋体" w:hAnsi="宋体" w:eastAsia="宋体" w:cs="宋体"/>
                <w:i w:val="0"/>
                <w:iCs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98513">
            <w:pPr>
              <w:rPr>
                <w:rFonts w:hint="eastAsia" w:ascii="宋体" w:hAnsi="宋体" w:eastAsia="宋体" w:cs="宋体"/>
                <w:i w:val="0"/>
                <w:iCs w:val="0"/>
                <w:color w:val="000000"/>
                <w:sz w:val="18"/>
                <w:szCs w:val="18"/>
                <w:u w:val="none"/>
              </w:rPr>
            </w:pPr>
          </w:p>
        </w:tc>
        <w:tc>
          <w:tcPr>
            <w:tcW w:w="4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B04E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保障学校校园文化宣传工作。</w:t>
            </w:r>
          </w:p>
        </w:tc>
        <w:tc>
          <w:tcPr>
            <w:tcW w:w="33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65856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保障学校校园文化宣传工作。</w:t>
            </w:r>
          </w:p>
        </w:tc>
      </w:tr>
      <w:tr w14:paraId="0202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DD08C">
            <w:pP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8F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CCCF3B">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保障学校校园文化宣传工作。</w:t>
            </w:r>
          </w:p>
        </w:tc>
      </w:tr>
      <w:tr w14:paraId="6C808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25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5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2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3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47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9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2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4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4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A02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6F0D4">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8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9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4E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C7F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60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7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850B">
            <w:pPr>
              <w:jc w:val="center"/>
              <w:rPr>
                <w:rFonts w:hint="eastAsia" w:ascii="宋体" w:hAnsi="宋体" w:eastAsia="宋体" w:cs="宋体"/>
                <w:i w:val="0"/>
                <w:iCs w:val="0"/>
                <w:color w:val="000000"/>
                <w:sz w:val="18"/>
                <w:szCs w:val="18"/>
                <w:u w:val="none"/>
              </w:rPr>
            </w:pP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53A0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存量资金</w:t>
            </w:r>
          </w:p>
        </w:tc>
      </w:tr>
      <w:tr w14:paraId="4381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BBB27">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1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F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8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C7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9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2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0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0E5D6">
            <w:pPr>
              <w:rPr>
                <w:rFonts w:hint="eastAsia" w:ascii="黑体" w:hAnsi="黑体" w:eastAsia="黑体" w:cs="黑体"/>
                <w:i/>
                <w:iCs/>
                <w:color w:val="000000"/>
                <w:sz w:val="18"/>
                <w:szCs w:val="18"/>
                <w:u w:val="none"/>
              </w:rPr>
            </w:pPr>
          </w:p>
        </w:tc>
      </w:tr>
      <w:tr w14:paraId="616A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3FE72">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F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5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F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0D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D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1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9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E9073">
            <w:pPr>
              <w:rPr>
                <w:rFonts w:hint="eastAsia" w:ascii="黑体" w:hAnsi="黑体" w:eastAsia="黑体" w:cs="黑体"/>
                <w:i/>
                <w:iCs/>
                <w:color w:val="000000"/>
                <w:sz w:val="18"/>
                <w:szCs w:val="18"/>
                <w:u w:val="none"/>
              </w:rPr>
            </w:pPr>
          </w:p>
        </w:tc>
      </w:tr>
      <w:tr w14:paraId="27A4B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1DE24">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1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4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D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DAA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3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3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A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8B059">
            <w:pPr>
              <w:rPr>
                <w:rFonts w:hint="eastAsia" w:ascii="黑体" w:hAnsi="黑体" w:eastAsia="黑体" w:cs="黑体"/>
                <w:i/>
                <w:iCs/>
                <w:color w:val="000000"/>
                <w:sz w:val="18"/>
                <w:szCs w:val="18"/>
                <w:u w:val="none"/>
              </w:rPr>
            </w:pPr>
          </w:p>
        </w:tc>
      </w:tr>
      <w:tr w14:paraId="04A1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40AFB">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F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D951">
            <w:pPr>
              <w:jc w:val="center"/>
              <w:rPr>
                <w:rFonts w:hint="eastAsia" w:ascii="微软雅黑" w:hAnsi="微软雅黑" w:eastAsia="微软雅黑" w:cs="微软雅黑"/>
                <w:i/>
                <w:iCs/>
                <w:color w:val="000000"/>
                <w:sz w:val="16"/>
                <w:szCs w:val="16"/>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979C">
            <w:pPr>
              <w:jc w:val="center"/>
              <w:rPr>
                <w:rFonts w:hint="eastAsia" w:ascii="微软雅黑" w:hAnsi="微软雅黑" w:eastAsia="微软雅黑" w:cs="微软雅黑"/>
                <w:i/>
                <w:iCs/>
                <w:color w:val="000000"/>
                <w:sz w:val="16"/>
                <w:szCs w:val="16"/>
                <w:u w:val="none"/>
              </w:rPr>
            </w:pP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15CA8">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6EC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6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7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C3B8D">
            <w:pPr>
              <w:rPr>
                <w:rFonts w:hint="eastAsia" w:ascii="黑体" w:hAnsi="黑体" w:eastAsia="黑体" w:cs="黑体"/>
                <w:i/>
                <w:iCs/>
                <w:color w:val="000000"/>
                <w:sz w:val="18"/>
                <w:szCs w:val="18"/>
                <w:u w:val="none"/>
              </w:rPr>
            </w:pPr>
          </w:p>
        </w:tc>
      </w:tr>
      <w:tr w14:paraId="45D31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9C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F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9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5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1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F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5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0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E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8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F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650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68C07">
            <w:pPr>
              <w:jc w:val="center"/>
              <w:rPr>
                <w:rFonts w:hint="eastAsia" w:ascii="宋体" w:hAnsi="宋体" w:eastAsia="宋体" w:cs="宋体"/>
                <w:i w:val="0"/>
                <w:iCs w:val="0"/>
                <w:color w:val="000000"/>
                <w:sz w:val="18"/>
                <w:szCs w:val="18"/>
                <w:u w:val="none"/>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B1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B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A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C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2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C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471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6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8D40">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0125">
            <w:pPr>
              <w:jc w:val="center"/>
              <w:rPr>
                <w:rFonts w:hint="eastAsia" w:ascii="微软雅黑" w:hAnsi="微软雅黑" w:eastAsia="微软雅黑" w:cs="微软雅黑"/>
                <w:i/>
                <w:iCs/>
                <w:color w:val="000000"/>
                <w:sz w:val="16"/>
                <w:szCs w:val="16"/>
                <w:u w:val="none"/>
              </w:rPr>
            </w:pPr>
          </w:p>
        </w:tc>
      </w:tr>
      <w:tr w14:paraId="0527F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4D877">
            <w:pPr>
              <w:jc w:val="center"/>
              <w:rPr>
                <w:rFonts w:hint="eastAsia" w:ascii="宋体" w:hAnsi="宋体" w:eastAsia="宋体" w:cs="宋体"/>
                <w:i w:val="0"/>
                <w:iCs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AA1E0">
            <w:pPr>
              <w:jc w:val="center"/>
              <w:rPr>
                <w:rFonts w:hint="eastAsia" w:ascii="宋体" w:hAnsi="宋体" w:eastAsia="宋体" w:cs="宋体"/>
                <w:i w:val="0"/>
                <w:iCs w:val="0"/>
                <w:color w:val="000000"/>
                <w:sz w:val="18"/>
                <w:szCs w:val="18"/>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8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C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9A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C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F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23E3">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95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B039">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BA15">
            <w:pPr>
              <w:jc w:val="center"/>
              <w:rPr>
                <w:rFonts w:hint="eastAsia" w:ascii="微软雅黑" w:hAnsi="微软雅黑" w:eastAsia="微软雅黑" w:cs="微软雅黑"/>
                <w:i/>
                <w:iCs/>
                <w:color w:val="000000"/>
                <w:sz w:val="16"/>
                <w:szCs w:val="16"/>
                <w:u w:val="none"/>
              </w:rPr>
            </w:pPr>
          </w:p>
        </w:tc>
      </w:tr>
      <w:tr w14:paraId="1C3A7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06038">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2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3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3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A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F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4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4892">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1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8AC4">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90F4">
            <w:pPr>
              <w:jc w:val="center"/>
              <w:rPr>
                <w:rFonts w:hint="eastAsia" w:ascii="微软雅黑" w:hAnsi="微软雅黑" w:eastAsia="微软雅黑" w:cs="微软雅黑"/>
                <w:i/>
                <w:iCs/>
                <w:color w:val="000000"/>
                <w:sz w:val="16"/>
                <w:szCs w:val="16"/>
                <w:u w:val="none"/>
              </w:rPr>
            </w:pPr>
          </w:p>
        </w:tc>
      </w:tr>
      <w:tr w14:paraId="6AA6A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71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CE8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4B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15BB">
            <w:pP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6E94">
            <w:pPr>
              <w:rPr>
                <w:rFonts w:hint="eastAsia" w:ascii="宋体" w:hAnsi="宋体" w:eastAsia="宋体" w:cs="宋体"/>
                <w:i w:val="0"/>
                <w:iCs w:val="0"/>
                <w:color w:val="000000"/>
                <w:sz w:val="18"/>
                <w:szCs w:val="18"/>
                <w:u w:val="none"/>
              </w:rPr>
            </w:pPr>
          </w:p>
        </w:tc>
      </w:tr>
      <w:tr w14:paraId="2875B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2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C68F3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21A8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3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F93FC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7378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8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80D6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1B1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8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0D5ACD">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项目负责人：易中琴</w:t>
            </w:r>
          </w:p>
        </w:tc>
        <w:tc>
          <w:tcPr>
            <w:tcW w:w="47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F1ED76">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财务负责人：林祖辉</w:t>
            </w:r>
          </w:p>
        </w:tc>
      </w:tr>
      <w:tr w14:paraId="33B1D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576" w:type="dxa"/>
            <w:tcBorders>
              <w:top w:val="nil"/>
              <w:left w:val="nil"/>
              <w:bottom w:val="nil"/>
              <w:right w:val="nil"/>
            </w:tcBorders>
            <w:shd w:val="clear" w:color="auto" w:fill="auto"/>
            <w:vAlign w:val="center"/>
          </w:tcPr>
          <w:p w14:paraId="6FB1123B">
            <w:pPr>
              <w:rPr>
                <w:rFonts w:hint="eastAsia" w:ascii="宋体" w:hAnsi="宋体" w:eastAsia="宋体" w:cs="宋体"/>
                <w:i w:val="0"/>
                <w:iCs w:val="0"/>
                <w:color w:val="000000"/>
                <w:sz w:val="18"/>
                <w:szCs w:val="18"/>
                <w:u w:val="none"/>
              </w:rPr>
            </w:pPr>
          </w:p>
          <w:p w14:paraId="76009EE1">
            <w:pPr>
              <w:rPr>
                <w:rFonts w:hint="eastAsia" w:ascii="宋体" w:hAnsi="宋体" w:eastAsia="宋体" w:cs="宋体"/>
                <w:i w:val="0"/>
                <w:iCs w:val="0"/>
                <w:color w:val="000000"/>
                <w:sz w:val="18"/>
                <w:szCs w:val="18"/>
                <w:u w:val="none"/>
              </w:rPr>
            </w:pPr>
          </w:p>
        </w:tc>
        <w:tc>
          <w:tcPr>
            <w:tcW w:w="1276" w:type="dxa"/>
            <w:tcBorders>
              <w:top w:val="nil"/>
              <w:left w:val="nil"/>
              <w:bottom w:val="nil"/>
              <w:right w:val="nil"/>
            </w:tcBorders>
            <w:shd w:val="clear" w:color="auto" w:fill="auto"/>
            <w:vAlign w:val="center"/>
          </w:tcPr>
          <w:p w14:paraId="71A84FE5">
            <w:pPr>
              <w:rPr>
                <w:rFonts w:hint="eastAsia" w:ascii="宋体" w:hAnsi="宋体" w:eastAsia="宋体" w:cs="宋体"/>
                <w:i w:val="0"/>
                <w:iCs w:val="0"/>
                <w:color w:val="000000"/>
                <w:sz w:val="18"/>
                <w:szCs w:val="18"/>
                <w:u w:val="none"/>
              </w:rPr>
            </w:pPr>
          </w:p>
        </w:tc>
        <w:tc>
          <w:tcPr>
            <w:tcW w:w="1115" w:type="dxa"/>
            <w:tcBorders>
              <w:top w:val="nil"/>
              <w:left w:val="nil"/>
              <w:bottom w:val="nil"/>
              <w:right w:val="nil"/>
            </w:tcBorders>
            <w:shd w:val="clear" w:color="auto" w:fill="auto"/>
            <w:vAlign w:val="center"/>
          </w:tcPr>
          <w:p w14:paraId="235CE8AA">
            <w:pPr>
              <w:rPr>
                <w:rFonts w:hint="eastAsia" w:ascii="宋体" w:hAnsi="宋体" w:eastAsia="宋体" w:cs="宋体"/>
                <w:i w:val="0"/>
                <w:iCs w:val="0"/>
                <w:color w:val="000000"/>
                <w:sz w:val="18"/>
                <w:szCs w:val="18"/>
                <w:u w:val="none"/>
              </w:rPr>
            </w:pPr>
          </w:p>
        </w:tc>
        <w:tc>
          <w:tcPr>
            <w:tcW w:w="1494" w:type="dxa"/>
            <w:tcBorders>
              <w:top w:val="nil"/>
              <w:left w:val="nil"/>
              <w:bottom w:val="nil"/>
              <w:right w:val="nil"/>
            </w:tcBorders>
            <w:shd w:val="clear" w:color="auto" w:fill="auto"/>
            <w:vAlign w:val="center"/>
          </w:tcPr>
          <w:p w14:paraId="3C28889D">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2F896552">
            <w:pPr>
              <w:rPr>
                <w:rFonts w:hint="eastAsia" w:ascii="宋体" w:hAnsi="宋体" w:eastAsia="宋体" w:cs="宋体"/>
                <w:i w:val="0"/>
                <w:iCs w:val="0"/>
                <w:color w:val="000000"/>
                <w:sz w:val="18"/>
                <w:szCs w:val="18"/>
                <w:u w:val="none"/>
              </w:rPr>
            </w:pPr>
          </w:p>
        </w:tc>
        <w:tc>
          <w:tcPr>
            <w:tcW w:w="1045" w:type="dxa"/>
            <w:tcBorders>
              <w:top w:val="nil"/>
              <w:left w:val="nil"/>
              <w:bottom w:val="nil"/>
              <w:right w:val="nil"/>
            </w:tcBorders>
            <w:shd w:val="clear" w:color="auto" w:fill="auto"/>
            <w:vAlign w:val="center"/>
          </w:tcPr>
          <w:p w14:paraId="54F748E0">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1BECAEB1">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45D9F517">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92A9A3C">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5712ABB5">
            <w:pPr>
              <w:rPr>
                <w:rFonts w:hint="eastAsia" w:ascii="宋体" w:hAnsi="宋体" w:eastAsia="宋体" w:cs="宋体"/>
                <w:i w:val="0"/>
                <w:iCs w:val="0"/>
                <w:color w:val="000000"/>
                <w:sz w:val="18"/>
                <w:szCs w:val="18"/>
                <w:u w:val="none"/>
              </w:rPr>
            </w:pPr>
          </w:p>
        </w:tc>
        <w:tc>
          <w:tcPr>
            <w:tcW w:w="1614" w:type="dxa"/>
            <w:tcBorders>
              <w:top w:val="nil"/>
              <w:left w:val="nil"/>
              <w:bottom w:val="nil"/>
              <w:right w:val="nil"/>
            </w:tcBorders>
            <w:shd w:val="clear" w:color="auto" w:fill="auto"/>
            <w:vAlign w:val="center"/>
          </w:tcPr>
          <w:p w14:paraId="4F0B497B">
            <w:pPr>
              <w:rPr>
                <w:rFonts w:hint="eastAsia" w:ascii="宋体" w:hAnsi="宋体" w:eastAsia="宋体" w:cs="宋体"/>
                <w:i w:val="0"/>
                <w:iCs w:val="0"/>
                <w:color w:val="000000"/>
                <w:sz w:val="18"/>
                <w:szCs w:val="18"/>
                <w:u w:val="none"/>
              </w:rPr>
            </w:pPr>
          </w:p>
        </w:tc>
      </w:tr>
      <w:tr w14:paraId="36ED3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400ED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C89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CB3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93FE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51172422T000005662548-营养餐</w:t>
            </w:r>
          </w:p>
        </w:tc>
      </w:tr>
      <w:tr w14:paraId="2BEF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8FC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6765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大竹县杨家镇人和小学部门</w:t>
            </w:r>
          </w:p>
        </w:tc>
        <w:tc>
          <w:tcPr>
            <w:tcW w:w="846" w:type="dxa"/>
            <w:tcBorders>
              <w:top w:val="nil"/>
              <w:left w:val="nil"/>
              <w:bottom w:val="nil"/>
              <w:right w:val="nil"/>
            </w:tcBorders>
            <w:shd w:val="clear" w:color="auto" w:fill="auto"/>
            <w:vAlign w:val="center"/>
          </w:tcPr>
          <w:p w14:paraId="58DC2F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16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大竹县杨家镇人和小学</w:t>
            </w:r>
          </w:p>
        </w:tc>
      </w:tr>
      <w:tr w14:paraId="6715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447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ABE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880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33D42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C8E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97B34">
            <w:pPr>
              <w:rPr>
                <w:rFonts w:hint="eastAsia" w:ascii="宋体" w:hAnsi="宋体" w:eastAsia="宋体" w:cs="宋体"/>
                <w:i w:val="0"/>
                <w:iCs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E8197">
            <w:pPr>
              <w:rPr>
                <w:rFonts w:hint="eastAsia" w:ascii="宋体" w:hAnsi="宋体" w:eastAsia="宋体" w:cs="宋体"/>
                <w:i w:val="0"/>
                <w:iCs w:val="0"/>
                <w:color w:val="000000"/>
                <w:sz w:val="18"/>
                <w:szCs w:val="18"/>
                <w:u w:val="none"/>
              </w:rPr>
            </w:pPr>
          </w:p>
        </w:tc>
        <w:tc>
          <w:tcPr>
            <w:tcW w:w="4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2824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让义务教育阶段学生享受营养餐，提升学生生活营养。</w:t>
            </w:r>
          </w:p>
        </w:tc>
        <w:tc>
          <w:tcPr>
            <w:tcW w:w="33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81BBD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让义务教育阶段学生享受营养餐，提升学生生活营养。</w:t>
            </w:r>
          </w:p>
        </w:tc>
      </w:tr>
      <w:tr w14:paraId="7636D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07975">
            <w:pP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C8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0FF3CB">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让义务教育阶段学生享受营养餐，提升学生生活营养。</w:t>
            </w:r>
          </w:p>
        </w:tc>
      </w:tr>
      <w:tr w14:paraId="773D1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AA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A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B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7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CB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2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6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6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E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FA3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2E963">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8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2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9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7.02</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80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E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9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BB7D">
            <w:pPr>
              <w:jc w:val="center"/>
              <w:rPr>
                <w:rFonts w:hint="eastAsia" w:ascii="宋体" w:hAnsi="宋体" w:eastAsia="宋体" w:cs="宋体"/>
                <w:i w:val="0"/>
                <w:iCs w:val="0"/>
                <w:color w:val="000000"/>
                <w:sz w:val="18"/>
                <w:szCs w:val="18"/>
                <w:u w:val="none"/>
              </w:rPr>
            </w:pP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477A7">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15AC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3A530">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F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8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5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7.02</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64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8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4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C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94E8C">
            <w:pPr>
              <w:rPr>
                <w:rFonts w:hint="eastAsia" w:ascii="黑体" w:hAnsi="黑体" w:eastAsia="黑体" w:cs="黑体"/>
                <w:i/>
                <w:iCs/>
                <w:color w:val="000000"/>
                <w:sz w:val="18"/>
                <w:szCs w:val="18"/>
                <w:u w:val="none"/>
              </w:rPr>
            </w:pPr>
          </w:p>
        </w:tc>
      </w:tr>
      <w:tr w14:paraId="1B8D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31DC0">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2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A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0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03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5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9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A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26717">
            <w:pPr>
              <w:rPr>
                <w:rFonts w:hint="eastAsia" w:ascii="黑体" w:hAnsi="黑体" w:eastAsia="黑体" w:cs="黑体"/>
                <w:i/>
                <w:iCs/>
                <w:color w:val="000000"/>
                <w:sz w:val="18"/>
                <w:szCs w:val="18"/>
                <w:u w:val="none"/>
              </w:rPr>
            </w:pPr>
          </w:p>
        </w:tc>
      </w:tr>
      <w:tr w14:paraId="1ECD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41F8B">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4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8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6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70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2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A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F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C9243">
            <w:pPr>
              <w:rPr>
                <w:rFonts w:hint="eastAsia" w:ascii="黑体" w:hAnsi="黑体" w:eastAsia="黑体" w:cs="黑体"/>
                <w:i/>
                <w:iCs/>
                <w:color w:val="000000"/>
                <w:sz w:val="18"/>
                <w:szCs w:val="18"/>
                <w:u w:val="none"/>
              </w:rPr>
            </w:pPr>
          </w:p>
        </w:tc>
      </w:tr>
      <w:tr w14:paraId="764F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07F11">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1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450E">
            <w:pPr>
              <w:jc w:val="center"/>
              <w:rPr>
                <w:rFonts w:hint="eastAsia" w:ascii="微软雅黑" w:hAnsi="微软雅黑" w:eastAsia="微软雅黑" w:cs="微软雅黑"/>
                <w:i/>
                <w:iCs/>
                <w:color w:val="000000"/>
                <w:sz w:val="16"/>
                <w:szCs w:val="16"/>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EB39">
            <w:pPr>
              <w:jc w:val="center"/>
              <w:rPr>
                <w:rFonts w:hint="eastAsia" w:ascii="微软雅黑" w:hAnsi="微软雅黑" w:eastAsia="微软雅黑" w:cs="微软雅黑"/>
                <w:i/>
                <w:iCs/>
                <w:color w:val="000000"/>
                <w:sz w:val="16"/>
                <w:szCs w:val="16"/>
                <w:u w:val="none"/>
              </w:rPr>
            </w:pP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5466D">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A0FA">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08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D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CA962">
            <w:pPr>
              <w:rPr>
                <w:rFonts w:hint="eastAsia" w:ascii="黑体" w:hAnsi="黑体" w:eastAsia="黑体" w:cs="黑体"/>
                <w:i/>
                <w:iCs/>
                <w:color w:val="000000"/>
                <w:sz w:val="18"/>
                <w:szCs w:val="18"/>
                <w:u w:val="none"/>
              </w:rPr>
            </w:pPr>
          </w:p>
        </w:tc>
      </w:tr>
      <w:tr w14:paraId="4BAA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CA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1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1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B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F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C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4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9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D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C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E3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47B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B1112">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6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1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7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4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9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3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48B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2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2B44">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2E6E">
            <w:pPr>
              <w:jc w:val="center"/>
              <w:rPr>
                <w:rFonts w:hint="eastAsia" w:ascii="微软雅黑" w:hAnsi="微软雅黑" w:eastAsia="微软雅黑" w:cs="微软雅黑"/>
                <w:i/>
                <w:iCs/>
                <w:color w:val="000000"/>
                <w:sz w:val="16"/>
                <w:szCs w:val="16"/>
                <w:u w:val="none"/>
              </w:rPr>
            </w:pPr>
          </w:p>
        </w:tc>
      </w:tr>
      <w:tr w14:paraId="127A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6D878">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E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0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2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4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B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A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677C">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B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4066">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7FB7">
            <w:pPr>
              <w:jc w:val="center"/>
              <w:rPr>
                <w:rFonts w:hint="eastAsia" w:ascii="微软雅黑" w:hAnsi="微软雅黑" w:eastAsia="微软雅黑" w:cs="微软雅黑"/>
                <w:i/>
                <w:iCs/>
                <w:color w:val="000000"/>
                <w:sz w:val="16"/>
                <w:szCs w:val="16"/>
                <w:u w:val="none"/>
              </w:rPr>
            </w:pPr>
          </w:p>
        </w:tc>
      </w:tr>
      <w:tr w14:paraId="2EA1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71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B253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F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4DC7">
            <w:pP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48DA">
            <w:pPr>
              <w:rPr>
                <w:rFonts w:hint="eastAsia" w:ascii="宋体" w:hAnsi="宋体" w:eastAsia="宋体" w:cs="宋体"/>
                <w:i w:val="0"/>
                <w:iCs w:val="0"/>
                <w:color w:val="000000"/>
                <w:sz w:val="18"/>
                <w:szCs w:val="18"/>
                <w:u w:val="none"/>
              </w:rPr>
            </w:pPr>
          </w:p>
        </w:tc>
      </w:tr>
      <w:tr w14:paraId="1D82F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1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DFE68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7B58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4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8BC67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D2BB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9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4E034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9D9F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8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3004EB">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项目负责人：易中琴</w:t>
            </w:r>
          </w:p>
        </w:tc>
        <w:tc>
          <w:tcPr>
            <w:tcW w:w="47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8363ED">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财务负责人：林祖辉</w:t>
            </w:r>
          </w:p>
        </w:tc>
      </w:tr>
      <w:tr w14:paraId="19A8C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576" w:type="dxa"/>
            <w:tcBorders>
              <w:top w:val="nil"/>
              <w:left w:val="nil"/>
              <w:bottom w:val="nil"/>
              <w:right w:val="nil"/>
            </w:tcBorders>
            <w:shd w:val="clear" w:color="auto" w:fill="auto"/>
            <w:vAlign w:val="center"/>
          </w:tcPr>
          <w:p w14:paraId="6661BB8E">
            <w:pPr>
              <w:rPr>
                <w:rFonts w:hint="eastAsia" w:ascii="宋体" w:hAnsi="宋体" w:eastAsia="宋体" w:cs="宋体"/>
                <w:i w:val="0"/>
                <w:iCs w:val="0"/>
                <w:color w:val="000000"/>
                <w:sz w:val="18"/>
                <w:szCs w:val="18"/>
                <w:u w:val="none"/>
              </w:rPr>
            </w:pPr>
          </w:p>
        </w:tc>
        <w:tc>
          <w:tcPr>
            <w:tcW w:w="1276" w:type="dxa"/>
            <w:tcBorders>
              <w:top w:val="nil"/>
              <w:left w:val="nil"/>
              <w:bottom w:val="nil"/>
              <w:right w:val="nil"/>
            </w:tcBorders>
            <w:shd w:val="clear" w:color="auto" w:fill="auto"/>
            <w:vAlign w:val="center"/>
          </w:tcPr>
          <w:p w14:paraId="7BA456ED">
            <w:pPr>
              <w:rPr>
                <w:rFonts w:hint="eastAsia" w:ascii="宋体" w:hAnsi="宋体" w:eastAsia="宋体" w:cs="宋体"/>
                <w:i w:val="0"/>
                <w:iCs w:val="0"/>
                <w:color w:val="000000"/>
                <w:sz w:val="18"/>
                <w:szCs w:val="18"/>
                <w:u w:val="none"/>
              </w:rPr>
            </w:pPr>
          </w:p>
        </w:tc>
        <w:tc>
          <w:tcPr>
            <w:tcW w:w="1115" w:type="dxa"/>
            <w:tcBorders>
              <w:top w:val="nil"/>
              <w:left w:val="nil"/>
              <w:bottom w:val="nil"/>
              <w:right w:val="nil"/>
            </w:tcBorders>
            <w:shd w:val="clear" w:color="auto" w:fill="auto"/>
            <w:vAlign w:val="center"/>
          </w:tcPr>
          <w:p w14:paraId="78C187B6">
            <w:pPr>
              <w:rPr>
                <w:rFonts w:hint="eastAsia" w:ascii="宋体" w:hAnsi="宋体" w:eastAsia="宋体" w:cs="宋体"/>
                <w:i w:val="0"/>
                <w:iCs w:val="0"/>
                <w:color w:val="000000"/>
                <w:sz w:val="18"/>
                <w:szCs w:val="18"/>
                <w:u w:val="none"/>
              </w:rPr>
            </w:pPr>
          </w:p>
        </w:tc>
        <w:tc>
          <w:tcPr>
            <w:tcW w:w="1494" w:type="dxa"/>
            <w:tcBorders>
              <w:top w:val="nil"/>
              <w:left w:val="nil"/>
              <w:bottom w:val="nil"/>
              <w:right w:val="nil"/>
            </w:tcBorders>
            <w:shd w:val="clear" w:color="auto" w:fill="auto"/>
            <w:vAlign w:val="center"/>
          </w:tcPr>
          <w:p w14:paraId="6F81CD98">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1751E247">
            <w:pPr>
              <w:rPr>
                <w:rFonts w:hint="eastAsia" w:ascii="宋体" w:hAnsi="宋体" w:eastAsia="宋体" w:cs="宋体"/>
                <w:i w:val="0"/>
                <w:iCs w:val="0"/>
                <w:color w:val="000000"/>
                <w:sz w:val="18"/>
                <w:szCs w:val="18"/>
                <w:u w:val="none"/>
              </w:rPr>
            </w:pPr>
          </w:p>
        </w:tc>
        <w:tc>
          <w:tcPr>
            <w:tcW w:w="1045" w:type="dxa"/>
            <w:tcBorders>
              <w:top w:val="nil"/>
              <w:left w:val="nil"/>
              <w:bottom w:val="nil"/>
              <w:right w:val="nil"/>
            </w:tcBorders>
            <w:shd w:val="clear" w:color="auto" w:fill="auto"/>
            <w:vAlign w:val="center"/>
          </w:tcPr>
          <w:p w14:paraId="03DF79C2">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09937D68">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14A2BDE9">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EC6B328">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01AEFD2F">
            <w:pPr>
              <w:rPr>
                <w:rFonts w:hint="eastAsia" w:ascii="宋体" w:hAnsi="宋体" w:eastAsia="宋体" w:cs="宋体"/>
                <w:i w:val="0"/>
                <w:iCs w:val="0"/>
                <w:color w:val="000000"/>
                <w:sz w:val="18"/>
                <w:szCs w:val="18"/>
                <w:u w:val="none"/>
              </w:rPr>
            </w:pPr>
          </w:p>
        </w:tc>
        <w:tc>
          <w:tcPr>
            <w:tcW w:w="1614" w:type="dxa"/>
            <w:tcBorders>
              <w:top w:val="nil"/>
              <w:left w:val="nil"/>
              <w:bottom w:val="nil"/>
              <w:right w:val="nil"/>
            </w:tcBorders>
            <w:shd w:val="clear" w:color="auto" w:fill="auto"/>
            <w:vAlign w:val="center"/>
          </w:tcPr>
          <w:p w14:paraId="092634CB">
            <w:pPr>
              <w:rPr>
                <w:rFonts w:hint="eastAsia" w:ascii="宋体" w:hAnsi="宋体" w:eastAsia="宋体" w:cs="宋体"/>
                <w:i w:val="0"/>
                <w:iCs w:val="0"/>
                <w:color w:val="000000"/>
                <w:sz w:val="18"/>
                <w:szCs w:val="18"/>
                <w:u w:val="none"/>
              </w:rPr>
            </w:pPr>
          </w:p>
        </w:tc>
      </w:tr>
      <w:tr w14:paraId="2697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576" w:type="dxa"/>
            <w:tcBorders>
              <w:top w:val="nil"/>
              <w:left w:val="nil"/>
              <w:bottom w:val="nil"/>
              <w:right w:val="nil"/>
            </w:tcBorders>
            <w:shd w:val="clear" w:color="auto" w:fill="auto"/>
            <w:vAlign w:val="center"/>
          </w:tcPr>
          <w:p w14:paraId="2206A5A9">
            <w:pPr>
              <w:rPr>
                <w:rFonts w:hint="eastAsia" w:ascii="宋体" w:hAnsi="宋体" w:eastAsia="宋体" w:cs="宋体"/>
                <w:i w:val="0"/>
                <w:iCs w:val="0"/>
                <w:color w:val="000000"/>
                <w:sz w:val="18"/>
                <w:szCs w:val="18"/>
                <w:u w:val="none"/>
              </w:rPr>
            </w:pPr>
          </w:p>
          <w:p w14:paraId="444F0255">
            <w:pPr>
              <w:rPr>
                <w:rFonts w:hint="eastAsia" w:ascii="宋体" w:hAnsi="宋体" w:eastAsia="宋体" w:cs="宋体"/>
                <w:i w:val="0"/>
                <w:iCs w:val="0"/>
                <w:color w:val="000000"/>
                <w:sz w:val="18"/>
                <w:szCs w:val="18"/>
                <w:u w:val="none"/>
              </w:rPr>
            </w:pPr>
          </w:p>
        </w:tc>
        <w:tc>
          <w:tcPr>
            <w:tcW w:w="1276" w:type="dxa"/>
            <w:tcBorders>
              <w:top w:val="nil"/>
              <w:left w:val="nil"/>
              <w:bottom w:val="nil"/>
              <w:right w:val="nil"/>
            </w:tcBorders>
            <w:shd w:val="clear" w:color="auto" w:fill="auto"/>
            <w:vAlign w:val="center"/>
          </w:tcPr>
          <w:p w14:paraId="5341F0E0">
            <w:pPr>
              <w:rPr>
                <w:rFonts w:hint="eastAsia" w:ascii="宋体" w:hAnsi="宋体" w:eastAsia="宋体" w:cs="宋体"/>
                <w:i w:val="0"/>
                <w:iCs w:val="0"/>
                <w:color w:val="000000"/>
                <w:sz w:val="18"/>
                <w:szCs w:val="18"/>
                <w:u w:val="none"/>
              </w:rPr>
            </w:pPr>
          </w:p>
        </w:tc>
        <w:tc>
          <w:tcPr>
            <w:tcW w:w="1115" w:type="dxa"/>
            <w:tcBorders>
              <w:top w:val="nil"/>
              <w:left w:val="nil"/>
              <w:bottom w:val="nil"/>
              <w:right w:val="nil"/>
            </w:tcBorders>
            <w:shd w:val="clear" w:color="auto" w:fill="auto"/>
            <w:vAlign w:val="center"/>
          </w:tcPr>
          <w:p w14:paraId="3F74C329">
            <w:pPr>
              <w:rPr>
                <w:rFonts w:hint="eastAsia" w:ascii="宋体" w:hAnsi="宋体" w:eastAsia="宋体" w:cs="宋体"/>
                <w:i w:val="0"/>
                <w:iCs w:val="0"/>
                <w:color w:val="000000"/>
                <w:sz w:val="18"/>
                <w:szCs w:val="18"/>
                <w:u w:val="none"/>
              </w:rPr>
            </w:pPr>
          </w:p>
        </w:tc>
        <w:tc>
          <w:tcPr>
            <w:tcW w:w="1494" w:type="dxa"/>
            <w:tcBorders>
              <w:top w:val="nil"/>
              <w:left w:val="nil"/>
              <w:bottom w:val="nil"/>
              <w:right w:val="nil"/>
            </w:tcBorders>
            <w:shd w:val="clear" w:color="auto" w:fill="auto"/>
            <w:vAlign w:val="center"/>
          </w:tcPr>
          <w:p w14:paraId="521C3649">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14FA7896">
            <w:pPr>
              <w:rPr>
                <w:rFonts w:hint="eastAsia" w:ascii="宋体" w:hAnsi="宋体" w:eastAsia="宋体" w:cs="宋体"/>
                <w:i w:val="0"/>
                <w:iCs w:val="0"/>
                <w:color w:val="000000"/>
                <w:sz w:val="18"/>
                <w:szCs w:val="18"/>
                <w:u w:val="none"/>
              </w:rPr>
            </w:pPr>
          </w:p>
        </w:tc>
        <w:tc>
          <w:tcPr>
            <w:tcW w:w="1045" w:type="dxa"/>
            <w:tcBorders>
              <w:top w:val="nil"/>
              <w:left w:val="nil"/>
              <w:bottom w:val="nil"/>
              <w:right w:val="nil"/>
            </w:tcBorders>
            <w:shd w:val="clear" w:color="auto" w:fill="auto"/>
            <w:vAlign w:val="center"/>
          </w:tcPr>
          <w:p w14:paraId="62A18FB5">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36DC12CE">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72123747">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A5A91BA">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722C7003">
            <w:pPr>
              <w:rPr>
                <w:rFonts w:hint="eastAsia" w:ascii="宋体" w:hAnsi="宋体" w:eastAsia="宋体" w:cs="宋体"/>
                <w:i w:val="0"/>
                <w:iCs w:val="0"/>
                <w:color w:val="000000"/>
                <w:sz w:val="18"/>
                <w:szCs w:val="18"/>
                <w:u w:val="none"/>
              </w:rPr>
            </w:pPr>
          </w:p>
        </w:tc>
        <w:tc>
          <w:tcPr>
            <w:tcW w:w="1614" w:type="dxa"/>
            <w:tcBorders>
              <w:top w:val="nil"/>
              <w:left w:val="nil"/>
              <w:bottom w:val="nil"/>
              <w:right w:val="nil"/>
            </w:tcBorders>
            <w:shd w:val="clear" w:color="auto" w:fill="auto"/>
            <w:vAlign w:val="center"/>
          </w:tcPr>
          <w:p w14:paraId="201F91CA">
            <w:pPr>
              <w:rPr>
                <w:rFonts w:hint="eastAsia" w:ascii="宋体" w:hAnsi="宋体" w:eastAsia="宋体" w:cs="宋体"/>
                <w:i w:val="0"/>
                <w:iCs w:val="0"/>
                <w:color w:val="000000"/>
                <w:sz w:val="18"/>
                <w:szCs w:val="18"/>
                <w:u w:val="none"/>
              </w:rPr>
            </w:pPr>
          </w:p>
        </w:tc>
      </w:tr>
      <w:tr w14:paraId="15B6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0F8DA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324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5A9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E609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51172422T000006759237-维修改造和设施设备购置</w:t>
            </w:r>
          </w:p>
        </w:tc>
      </w:tr>
      <w:tr w14:paraId="6EA1C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6AD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5030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大竹县杨家镇人和小学部门</w:t>
            </w:r>
          </w:p>
        </w:tc>
        <w:tc>
          <w:tcPr>
            <w:tcW w:w="846" w:type="dxa"/>
            <w:tcBorders>
              <w:top w:val="nil"/>
              <w:left w:val="nil"/>
              <w:bottom w:val="nil"/>
              <w:right w:val="nil"/>
            </w:tcBorders>
            <w:shd w:val="clear" w:color="auto" w:fill="auto"/>
            <w:vAlign w:val="center"/>
          </w:tcPr>
          <w:p w14:paraId="4BAADDE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C8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大竹县杨家镇人和小学</w:t>
            </w:r>
          </w:p>
        </w:tc>
      </w:tr>
      <w:tr w14:paraId="7DD8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77A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061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EB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9E725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922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D8029">
            <w:pPr>
              <w:rPr>
                <w:rFonts w:hint="eastAsia" w:ascii="宋体" w:hAnsi="宋体" w:eastAsia="宋体" w:cs="宋体"/>
                <w:i w:val="0"/>
                <w:iCs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6891C">
            <w:pPr>
              <w:rPr>
                <w:rFonts w:hint="eastAsia" w:ascii="宋体" w:hAnsi="宋体" w:eastAsia="宋体" w:cs="宋体"/>
                <w:i w:val="0"/>
                <w:iCs w:val="0"/>
                <w:color w:val="000000"/>
                <w:sz w:val="18"/>
                <w:szCs w:val="18"/>
                <w:u w:val="none"/>
              </w:rPr>
            </w:pPr>
          </w:p>
        </w:tc>
        <w:tc>
          <w:tcPr>
            <w:tcW w:w="4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925B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保障学校校舍安全。</w:t>
            </w:r>
          </w:p>
        </w:tc>
        <w:tc>
          <w:tcPr>
            <w:tcW w:w="33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1DD41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保障学校校舍安全。</w:t>
            </w:r>
          </w:p>
        </w:tc>
      </w:tr>
      <w:tr w14:paraId="4D2F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11E43">
            <w:pP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93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8D5AD4">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保障学校校舍安全。</w:t>
            </w:r>
          </w:p>
        </w:tc>
      </w:tr>
      <w:tr w14:paraId="07CE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40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9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F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1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717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0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3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B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D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AAE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FECD4">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D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9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B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B7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4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A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0583">
            <w:pPr>
              <w:jc w:val="center"/>
              <w:rPr>
                <w:rFonts w:hint="eastAsia" w:ascii="宋体" w:hAnsi="宋体" w:eastAsia="宋体" w:cs="宋体"/>
                <w:i w:val="0"/>
                <w:iCs w:val="0"/>
                <w:color w:val="000000"/>
                <w:sz w:val="18"/>
                <w:szCs w:val="18"/>
                <w:u w:val="none"/>
              </w:rPr>
            </w:pP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DB717">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78C4A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5003E">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3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B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A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6EF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0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6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4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B7695">
            <w:pPr>
              <w:rPr>
                <w:rFonts w:hint="eastAsia" w:ascii="黑体" w:hAnsi="黑体" w:eastAsia="黑体" w:cs="黑体"/>
                <w:i/>
                <w:iCs/>
                <w:color w:val="000000"/>
                <w:sz w:val="18"/>
                <w:szCs w:val="18"/>
                <w:u w:val="none"/>
              </w:rPr>
            </w:pPr>
          </w:p>
        </w:tc>
      </w:tr>
      <w:tr w14:paraId="41794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93D35">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7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5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1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78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0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7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0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D435B">
            <w:pPr>
              <w:rPr>
                <w:rFonts w:hint="eastAsia" w:ascii="黑体" w:hAnsi="黑体" w:eastAsia="黑体" w:cs="黑体"/>
                <w:i/>
                <w:iCs/>
                <w:color w:val="000000"/>
                <w:sz w:val="18"/>
                <w:szCs w:val="18"/>
                <w:u w:val="none"/>
              </w:rPr>
            </w:pPr>
          </w:p>
        </w:tc>
      </w:tr>
      <w:tr w14:paraId="51D0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DB0A0">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B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6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C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C6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2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D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A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F7E5B">
            <w:pPr>
              <w:rPr>
                <w:rFonts w:hint="eastAsia" w:ascii="黑体" w:hAnsi="黑体" w:eastAsia="黑体" w:cs="黑体"/>
                <w:i/>
                <w:iCs/>
                <w:color w:val="000000"/>
                <w:sz w:val="18"/>
                <w:szCs w:val="18"/>
                <w:u w:val="none"/>
              </w:rPr>
            </w:pPr>
          </w:p>
        </w:tc>
      </w:tr>
      <w:tr w14:paraId="3A704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C3552">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5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8734">
            <w:pPr>
              <w:jc w:val="center"/>
              <w:rPr>
                <w:rFonts w:hint="eastAsia" w:ascii="微软雅黑" w:hAnsi="微软雅黑" w:eastAsia="微软雅黑" w:cs="微软雅黑"/>
                <w:i/>
                <w:iCs/>
                <w:color w:val="000000"/>
                <w:sz w:val="16"/>
                <w:szCs w:val="16"/>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973E">
            <w:pPr>
              <w:jc w:val="center"/>
              <w:rPr>
                <w:rFonts w:hint="eastAsia" w:ascii="微软雅黑" w:hAnsi="微软雅黑" w:eastAsia="微软雅黑" w:cs="微软雅黑"/>
                <w:i/>
                <w:iCs/>
                <w:color w:val="000000"/>
                <w:sz w:val="16"/>
                <w:szCs w:val="16"/>
                <w:u w:val="none"/>
              </w:rPr>
            </w:pP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86247">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2EB7">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7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8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F6885">
            <w:pPr>
              <w:rPr>
                <w:rFonts w:hint="eastAsia" w:ascii="黑体" w:hAnsi="黑体" w:eastAsia="黑体" w:cs="黑体"/>
                <w:i/>
                <w:iCs/>
                <w:color w:val="000000"/>
                <w:sz w:val="18"/>
                <w:szCs w:val="18"/>
                <w:u w:val="none"/>
              </w:rPr>
            </w:pPr>
          </w:p>
        </w:tc>
      </w:tr>
      <w:tr w14:paraId="5513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EA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D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4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9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1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A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8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4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3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F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D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3A5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116F2">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C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6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7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D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5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D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AB1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4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050C">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0470">
            <w:pPr>
              <w:jc w:val="center"/>
              <w:rPr>
                <w:rFonts w:hint="eastAsia" w:ascii="微软雅黑" w:hAnsi="微软雅黑" w:eastAsia="微软雅黑" w:cs="微软雅黑"/>
                <w:i/>
                <w:iCs/>
                <w:color w:val="000000"/>
                <w:sz w:val="16"/>
                <w:szCs w:val="16"/>
                <w:u w:val="none"/>
              </w:rPr>
            </w:pPr>
          </w:p>
        </w:tc>
      </w:tr>
      <w:tr w14:paraId="5D916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36B57">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E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F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9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A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6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A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2FC2">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C7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13D8">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35E6">
            <w:pPr>
              <w:jc w:val="center"/>
              <w:rPr>
                <w:rFonts w:hint="eastAsia" w:ascii="微软雅黑" w:hAnsi="微软雅黑" w:eastAsia="微软雅黑" w:cs="微软雅黑"/>
                <w:i/>
                <w:iCs/>
                <w:color w:val="000000"/>
                <w:sz w:val="16"/>
                <w:szCs w:val="16"/>
                <w:u w:val="none"/>
              </w:rPr>
            </w:pPr>
          </w:p>
        </w:tc>
      </w:tr>
      <w:tr w14:paraId="063B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71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544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2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2C0D">
            <w:pP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9A3E">
            <w:pPr>
              <w:rPr>
                <w:rFonts w:hint="eastAsia" w:ascii="宋体" w:hAnsi="宋体" w:eastAsia="宋体" w:cs="宋体"/>
                <w:i w:val="0"/>
                <w:iCs w:val="0"/>
                <w:color w:val="000000"/>
                <w:sz w:val="18"/>
                <w:szCs w:val="18"/>
                <w:u w:val="none"/>
              </w:rPr>
            </w:pPr>
          </w:p>
        </w:tc>
      </w:tr>
      <w:tr w14:paraId="1506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3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949F8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2B2EA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9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6A7B1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7D23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B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C6F3A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9C9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8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B3EB7A">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项目负责人：易中琴</w:t>
            </w:r>
          </w:p>
        </w:tc>
        <w:tc>
          <w:tcPr>
            <w:tcW w:w="47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54C973">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财务负责人：林祖辉</w:t>
            </w:r>
          </w:p>
        </w:tc>
      </w:tr>
      <w:tr w14:paraId="602E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576" w:type="dxa"/>
            <w:tcBorders>
              <w:top w:val="nil"/>
              <w:left w:val="nil"/>
              <w:bottom w:val="nil"/>
              <w:right w:val="nil"/>
            </w:tcBorders>
            <w:shd w:val="clear" w:color="auto" w:fill="auto"/>
            <w:vAlign w:val="center"/>
          </w:tcPr>
          <w:p w14:paraId="1049BCAF">
            <w:pPr>
              <w:rPr>
                <w:rFonts w:hint="eastAsia" w:ascii="宋体" w:hAnsi="宋体" w:eastAsia="宋体" w:cs="宋体"/>
                <w:i w:val="0"/>
                <w:iCs w:val="0"/>
                <w:color w:val="000000"/>
                <w:sz w:val="18"/>
                <w:szCs w:val="18"/>
                <w:u w:val="none"/>
              </w:rPr>
            </w:pPr>
          </w:p>
        </w:tc>
        <w:tc>
          <w:tcPr>
            <w:tcW w:w="1276" w:type="dxa"/>
            <w:tcBorders>
              <w:top w:val="nil"/>
              <w:left w:val="nil"/>
              <w:bottom w:val="nil"/>
              <w:right w:val="nil"/>
            </w:tcBorders>
            <w:shd w:val="clear" w:color="auto" w:fill="auto"/>
            <w:vAlign w:val="center"/>
          </w:tcPr>
          <w:p w14:paraId="318347A9">
            <w:pPr>
              <w:rPr>
                <w:rFonts w:hint="eastAsia" w:ascii="宋体" w:hAnsi="宋体" w:eastAsia="宋体" w:cs="宋体"/>
                <w:i w:val="0"/>
                <w:iCs w:val="0"/>
                <w:color w:val="000000"/>
                <w:sz w:val="18"/>
                <w:szCs w:val="18"/>
                <w:u w:val="none"/>
              </w:rPr>
            </w:pPr>
          </w:p>
        </w:tc>
        <w:tc>
          <w:tcPr>
            <w:tcW w:w="1115" w:type="dxa"/>
            <w:tcBorders>
              <w:top w:val="nil"/>
              <w:left w:val="nil"/>
              <w:bottom w:val="nil"/>
              <w:right w:val="nil"/>
            </w:tcBorders>
            <w:shd w:val="clear" w:color="auto" w:fill="auto"/>
            <w:vAlign w:val="center"/>
          </w:tcPr>
          <w:p w14:paraId="69C529B3">
            <w:pPr>
              <w:rPr>
                <w:rFonts w:hint="eastAsia" w:ascii="宋体" w:hAnsi="宋体" w:eastAsia="宋体" w:cs="宋体"/>
                <w:i w:val="0"/>
                <w:iCs w:val="0"/>
                <w:color w:val="000000"/>
                <w:sz w:val="18"/>
                <w:szCs w:val="18"/>
                <w:u w:val="none"/>
              </w:rPr>
            </w:pPr>
          </w:p>
        </w:tc>
        <w:tc>
          <w:tcPr>
            <w:tcW w:w="1494" w:type="dxa"/>
            <w:tcBorders>
              <w:top w:val="nil"/>
              <w:left w:val="nil"/>
              <w:bottom w:val="nil"/>
              <w:right w:val="nil"/>
            </w:tcBorders>
            <w:shd w:val="clear" w:color="auto" w:fill="auto"/>
            <w:vAlign w:val="center"/>
          </w:tcPr>
          <w:p w14:paraId="67EB9131">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055F5EFE">
            <w:pPr>
              <w:rPr>
                <w:rFonts w:hint="eastAsia" w:ascii="宋体" w:hAnsi="宋体" w:eastAsia="宋体" w:cs="宋体"/>
                <w:i w:val="0"/>
                <w:iCs w:val="0"/>
                <w:color w:val="000000"/>
                <w:sz w:val="18"/>
                <w:szCs w:val="18"/>
                <w:u w:val="none"/>
              </w:rPr>
            </w:pPr>
          </w:p>
        </w:tc>
        <w:tc>
          <w:tcPr>
            <w:tcW w:w="1045" w:type="dxa"/>
            <w:tcBorders>
              <w:top w:val="nil"/>
              <w:left w:val="nil"/>
              <w:bottom w:val="nil"/>
              <w:right w:val="nil"/>
            </w:tcBorders>
            <w:shd w:val="clear" w:color="auto" w:fill="auto"/>
            <w:vAlign w:val="center"/>
          </w:tcPr>
          <w:p w14:paraId="07E4B16B">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51372876">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3C323AA9">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3B53EE9">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23C1BB28">
            <w:pPr>
              <w:rPr>
                <w:rFonts w:hint="eastAsia" w:ascii="宋体" w:hAnsi="宋体" w:eastAsia="宋体" w:cs="宋体"/>
                <w:i w:val="0"/>
                <w:iCs w:val="0"/>
                <w:color w:val="000000"/>
                <w:sz w:val="18"/>
                <w:szCs w:val="18"/>
                <w:u w:val="none"/>
              </w:rPr>
            </w:pPr>
          </w:p>
        </w:tc>
        <w:tc>
          <w:tcPr>
            <w:tcW w:w="1614" w:type="dxa"/>
            <w:tcBorders>
              <w:top w:val="nil"/>
              <w:left w:val="nil"/>
              <w:bottom w:val="nil"/>
              <w:right w:val="nil"/>
            </w:tcBorders>
            <w:shd w:val="clear" w:color="auto" w:fill="auto"/>
            <w:vAlign w:val="center"/>
          </w:tcPr>
          <w:p w14:paraId="2919D6A8">
            <w:pPr>
              <w:rPr>
                <w:rFonts w:hint="eastAsia" w:ascii="宋体" w:hAnsi="宋体" w:eastAsia="宋体" w:cs="宋体"/>
                <w:i w:val="0"/>
                <w:iCs w:val="0"/>
                <w:color w:val="000000"/>
                <w:sz w:val="18"/>
                <w:szCs w:val="18"/>
                <w:u w:val="none"/>
              </w:rPr>
            </w:pPr>
          </w:p>
        </w:tc>
      </w:tr>
      <w:tr w14:paraId="48B67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576" w:type="dxa"/>
            <w:tcBorders>
              <w:top w:val="nil"/>
              <w:left w:val="nil"/>
              <w:bottom w:val="nil"/>
              <w:right w:val="nil"/>
            </w:tcBorders>
            <w:shd w:val="clear" w:color="auto" w:fill="auto"/>
            <w:vAlign w:val="center"/>
          </w:tcPr>
          <w:p w14:paraId="1C710D0C">
            <w:pPr>
              <w:rPr>
                <w:rFonts w:hint="eastAsia" w:ascii="宋体" w:hAnsi="宋体" w:eastAsia="宋体" w:cs="宋体"/>
                <w:i w:val="0"/>
                <w:iCs w:val="0"/>
                <w:color w:val="000000"/>
                <w:sz w:val="18"/>
                <w:szCs w:val="18"/>
                <w:u w:val="none"/>
              </w:rPr>
            </w:pPr>
          </w:p>
        </w:tc>
        <w:tc>
          <w:tcPr>
            <w:tcW w:w="1276" w:type="dxa"/>
            <w:tcBorders>
              <w:top w:val="nil"/>
              <w:left w:val="nil"/>
              <w:bottom w:val="nil"/>
              <w:right w:val="nil"/>
            </w:tcBorders>
            <w:shd w:val="clear" w:color="auto" w:fill="auto"/>
            <w:vAlign w:val="center"/>
          </w:tcPr>
          <w:p w14:paraId="221B4B0B">
            <w:pPr>
              <w:rPr>
                <w:rFonts w:hint="eastAsia" w:ascii="宋体" w:hAnsi="宋体" w:eastAsia="宋体" w:cs="宋体"/>
                <w:i w:val="0"/>
                <w:iCs w:val="0"/>
                <w:color w:val="000000"/>
                <w:sz w:val="18"/>
                <w:szCs w:val="18"/>
                <w:u w:val="none"/>
              </w:rPr>
            </w:pPr>
          </w:p>
        </w:tc>
        <w:tc>
          <w:tcPr>
            <w:tcW w:w="1115" w:type="dxa"/>
            <w:tcBorders>
              <w:top w:val="nil"/>
              <w:left w:val="nil"/>
              <w:bottom w:val="nil"/>
              <w:right w:val="nil"/>
            </w:tcBorders>
            <w:shd w:val="clear" w:color="auto" w:fill="auto"/>
            <w:vAlign w:val="center"/>
          </w:tcPr>
          <w:p w14:paraId="4853164D">
            <w:pPr>
              <w:rPr>
                <w:rFonts w:hint="eastAsia" w:ascii="宋体" w:hAnsi="宋体" w:eastAsia="宋体" w:cs="宋体"/>
                <w:i w:val="0"/>
                <w:iCs w:val="0"/>
                <w:color w:val="000000"/>
                <w:sz w:val="18"/>
                <w:szCs w:val="18"/>
                <w:u w:val="none"/>
              </w:rPr>
            </w:pPr>
          </w:p>
        </w:tc>
        <w:tc>
          <w:tcPr>
            <w:tcW w:w="1494" w:type="dxa"/>
            <w:tcBorders>
              <w:top w:val="nil"/>
              <w:left w:val="nil"/>
              <w:bottom w:val="nil"/>
              <w:right w:val="nil"/>
            </w:tcBorders>
            <w:shd w:val="clear" w:color="auto" w:fill="auto"/>
            <w:vAlign w:val="center"/>
          </w:tcPr>
          <w:p w14:paraId="3DBAB941">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038C090B">
            <w:pPr>
              <w:rPr>
                <w:rFonts w:hint="eastAsia" w:ascii="宋体" w:hAnsi="宋体" w:eastAsia="宋体" w:cs="宋体"/>
                <w:i w:val="0"/>
                <w:iCs w:val="0"/>
                <w:color w:val="000000"/>
                <w:sz w:val="18"/>
                <w:szCs w:val="18"/>
                <w:u w:val="none"/>
              </w:rPr>
            </w:pPr>
          </w:p>
        </w:tc>
        <w:tc>
          <w:tcPr>
            <w:tcW w:w="1045" w:type="dxa"/>
            <w:tcBorders>
              <w:top w:val="nil"/>
              <w:left w:val="nil"/>
              <w:bottom w:val="nil"/>
              <w:right w:val="nil"/>
            </w:tcBorders>
            <w:shd w:val="clear" w:color="auto" w:fill="auto"/>
            <w:vAlign w:val="center"/>
          </w:tcPr>
          <w:p w14:paraId="723EBB62">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01680518">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33CA8E61">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45BB913">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699EBA4D">
            <w:pPr>
              <w:rPr>
                <w:rFonts w:hint="eastAsia" w:ascii="宋体" w:hAnsi="宋体" w:eastAsia="宋体" w:cs="宋体"/>
                <w:i w:val="0"/>
                <w:iCs w:val="0"/>
                <w:color w:val="000000"/>
                <w:sz w:val="18"/>
                <w:szCs w:val="18"/>
                <w:u w:val="none"/>
              </w:rPr>
            </w:pPr>
          </w:p>
        </w:tc>
        <w:tc>
          <w:tcPr>
            <w:tcW w:w="1614" w:type="dxa"/>
            <w:tcBorders>
              <w:top w:val="nil"/>
              <w:left w:val="nil"/>
              <w:bottom w:val="nil"/>
              <w:right w:val="nil"/>
            </w:tcBorders>
            <w:shd w:val="clear" w:color="auto" w:fill="auto"/>
            <w:vAlign w:val="center"/>
          </w:tcPr>
          <w:p w14:paraId="60F4BCF3">
            <w:pPr>
              <w:rPr>
                <w:rFonts w:hint="eastAsia" w:ascii="宋体" w:hAnsi="宋体" w:eastAsia="宋体" w:cs="宋体"/>
                <w:i w:val="0"/>
                <w:iCs w:val="0"/>
                <w:color w:val="000000"/>
                <w:sz w:val="18"/>
                <w:szCs w:val="18"/>
                <w:u w:val="none"/>
              </w:rPr>
            </w:pPr>
          </w:p>
          <w:p w14:paraId="6DABE040">
            <w:pPr>
              <w:rPr>
                <w:rFonts w:hint="eastAsia" w:ascii="宋体" w:hAnsi="宋体" w:eastAsia="宋体" w:cs="宋体"/>
                <w:i w:val="0"/>
                <w:iCs w:val="0"/>
                <w:color w:val="000000"/>
                <w:sz w:val="18"/>
                <w:szCs w:val="18"/>
                <w:u w:val="none"/>
              </w:rPr>
            </w:pPr>
          </w:p>
        </w:tc>
      </w:tr>
      <w:tr w14:paraId="57287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D0B35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88B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A1C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5A3E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51172423T000007785522-乡村少年宫</w:t>
            </w:r>
          </w:p>
        </w:tc>
      </w:tr>
      <w:tr w14:paraId="32D2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2F0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5BB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大竹县杨家镇人和小学部门</w:t>
            </w:r>
          </w:p>
        </w:tc>
        <w:tc>
          <w:tcPr>
            <w:tcW w:w="846" w:type="dxa"/>
            <w:tcBorders>
              <w:top w:val="nil"/>
              <w:left w:val="nil"/>
              <w:bottom w:val="nil"/>
              <w:right w:val="nil"/>
            </w:tcBorders>
            <w:shd w:val="clear" w:color="auto" w:fill="auto"/>
            <w:vAlign w:val="center"/>
          </w:tcPr>
          <w:p w14:paraId="50FD10C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58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大竹县杨家镇人和小学</w:t>
            </w:r>
          </w:p>
        </w:tc>
      </w:tr>
      <w:tr w14:paraId="00B75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E4C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4D1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DE7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45054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82B7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BE611">
            <w:pPr>
              <w:rPr>
                <w:rFonts w:hint="eastAsia" w:ascii="宋体" w:hAnsi="宋体" w:eastAsia="宋体" w:cs="宋体"/>
                <w:i w:val="0"/>
                <w:iCs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D20FB">
            <w:pPr>
              <w:rPr>
                <w:rFonts w:hint="eastAsia" w:ascii="宋体" w:hAnsi="宋体" w:eastAsia="宋体" w:cs="宋体"/>
                <w:i w:val="0"/>
                <w:iCs w:val="0"/>
                <w:color w:val="000000"/>
                <w:sz w:val="18"/>
                <w:szCs w:val="18"/>
                <w:u w:val="none"/>
              </w:rPr>
            </w:pPr>
          </w:p>
        </w:tc>
        <w:tc>
          <w:tcPr>
            <w:tcW w:w="4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234C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保障学校少年宫的发展。</w:t>
            </w:r>
          </w:p>
        </w:tc>
        <w:tc>
          <w:tcPr>
            <w:tcW w:w="33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D2D81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保障学校少年宫的发展。</w:t>
            </w:r>
          </w:p>
        </w:tc>
      </w:tr>
      <w:tr w14:paraId="7283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364C4">
            <w:pP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BC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C72840B">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保障学校少年宫的发展。</w:t>
            </w:r>
          </w:p>
        </w:tc>
      </w:tr>
      <w:tr w14:paraId="53E4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60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D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7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C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A4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4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E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D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F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00F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F2A17">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9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0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F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A7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E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9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87C1">
            <w:pPr>
              <w:jc w:val="center"/>
              <w:rPr>
                <w:rFonts w:hint="eastAsia" w:ascii="宋体" w:hAnsi="宋体" w:eastAsia="宋体" w:cs="宋体"/>
                <w:i w:val="0"/>
                <w:iCs w:val="0"/>
                <w:color w:val="000000"/>
                <w:sz w:val="18"/>
                <w:szCs w:val="18"/>
                <w:u w:val="none"/>
              </w:rPr>
            </w:pP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05F41">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055C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B3FCE">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8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7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A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65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2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0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E3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E9E0B">
            <w:pPr>
              <w:rPr>
                <w:rFonts w:hint="eastAsia" w:ascii="黑体" w:hAnsi="黑体" w:eastAsia="黑体" w:cs="黑体"/>
                <w:i/>
                <w:iCs/>
                <w:color w:val="000000"/>
                <w:sz w:val="18"/>
                <w:szCs w:val="18"/>
                <w:u w:val="none"/>
              </w:rPr>
            </w:pPr>
          </w:p>
        </w:tc>
      </w:tr>
      <w:tr w14:paraId="7258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7C441">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5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3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2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4D1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7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2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F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55B1F">
            <w:pPr>
              <w:rPr>
                <w:rFonts w:hint="eastAsia" w:ascii="黑体" w:hAnsi="黑体" w:eastAsia="黑体" w:cs="黑体"/>
                <w:i/>
                <w:iCs/>
                <w:color w:val="000000"/>
                <w:sz w:val="18"/>
                <w:szCs w:val="18"/>
                <w:u w:val="none"/>
              </w:rPr>
            </w:pPr>
          </w:p>
        </w:tc>
      </w:tr>
      <w:tr w14:paraId="7F28C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FD744">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64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8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D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97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3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4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F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8AE89">
            <w:pPr>
              <w:rPr>
                <w:rFonts w:hint="eastAsia" w:ascii="黑体" w:hAnsi="黑体" w:eastAsia="黑体" w:cs="黑体"/>
                <w:i/>
                <w:iCs/>
                <w:color w:val="000000"/>
                <w:sz w:val="18"/>
                <w:szCs w:val="18"/>
                <w:u w:val="none"/>
              </w:rPr>
            </w:pPr>
          </w:p>
        </w:tc>
      </w:tr>
      <w:tr w14:paraId="3751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8E2D9">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6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AE7A">
            <w:pPr>
              <w:jc w:val="center"/>
              <w:rPr>
                <w:rFonts w:hint="eastAsia" w:ascii="微软雅黑" w:hAnsi="微软雅黑" w:eastAsia="微软雅黑" w:cs="微软雅黑"/>
                <w:i/>
                <w:iCs/>
                <w:color w:val="000000"/>
                <w:sz w:val="16"/>
                <w:szCs w:val="16"/>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B4A5">
            <w:pPr>
              <w:jc w:val="center"/>
              <w:rPr>
                <w:rFonts w:hint="eastAsia" w:ascii="微软雅黑" w:hAnsi="微软雅黑" w:eastAsia="微软雅黑" w:cs="微软雅黑"/>
                <w:i/>
                <w:iCs/>
                <w:color w:val="000000"/>
                <w:sz w:val="16"/>
                <w:szCs w:val="16"/>
                <w:u w:val="none"/>
              </w:rPr>
            </w:pP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AEA4E">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FAA5">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8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0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63C0E">
            <w:pPr>
              <w:rPr>
                <w:rFonts w:hint="eastAsia" w:ascii="黑体" w:hAnsi="黑体" w:eastAsia="黑体" w:cs="黑体"/>
                <w:i/>
                <w:iCs/>
                <w:color w:val="000000"/>
                <w:sz w:val="18"/>
                <w:szCs w:val="18"/>
                <w:u w:val="none"/>
              </w:rPr>
            </w:pPr>
          </w:p>
        </w:tc>
      </w:tr>
      <w:tr w14:paraId="02C44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28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A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18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E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F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7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ED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3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E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F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7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2BB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A928B">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D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B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8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C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3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B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364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D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9B14">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1181">
            <w:pPr>
              <w:jc w:val="center"/>
              <w:rPr>
                <w:rFonts w:hint="eastAsia" w:ascii="微软雅黑" w:hAnsi="微软雅黑" w:eastAsia="微软雅黑" w:cs="微软雅黑"/>
                <w:i/>
                <w:iCs/>
                <w:color w:val="000000"/>
                <w:sz w:val="16"/>
                <w:szCs w:val="16"/>
                <w:u w:val="none"/>
              </w:rPr>
            </w:pPr>
          </w:p>
        </w:tc>
      </w:tr>
      <w:tr w14:paraId="3F01D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385F8">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9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8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0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A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9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3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2D2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E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975A">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A4BC">
            <w:pPr>
              <w:jc w:val="center"/>
              <w:rPr>
                <w:rFonts w:hint="eastAsia" w:ascii="微软雅黑" w:hAnsi="微软雅黑" w:eastAsia="微软雅黑" w:cs="微软雅黑"/>
                <w:i/>
                <w:iCs/>
                <w:color w:val="000000"/>
                <w:sz w:val="16"/>
                <w:szCs w:val="16"/>
                <w:u w:val="none"/>
              </w:rPr>
            </w:pPr>
          </w:p>
        </w:tc>
      </w:tr>
      <w:tr w14:paraId="3E39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71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8C3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1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EAD0">
            <w:pP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99B9">
            <w:pPr>
              <w:rPr>
                <w:rFonts w:hint="eastAsia" w:ascii="宋体" w:hAnsi="宋体" w:eastAsia="宋体" w:cs="宋体"/>
                <w:i w:val="0"/>
                <w:iCs w:val="0"/>
                <w:color w:val="000000"/>
                <w:sz w:val="18"/>
                <w:szCs w:val="18"/>
                <w:u w:val="none"/>
              </w:rPr>
            </w:pPr>
          </w:p>
        </w:tc>
      </w:tr>
      <w:tr w14:paraId="3C2D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D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C11FB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51610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D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C7322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E4C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9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CDC3D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FF0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8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8012C">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项目负责人：易中琴</w:t>
            </w:r>
          </w:p>
        </w:tc>
        <w:tc>
          <w:tcPr>
            <w:tcW w:w="47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CD525E">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财务负责人：林祖辉</w:t>
            </w:r>
          </w:p>
        </w:tc>
      </w:tr>
      <w:tr w14:paraId="0B1F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576" w:type="dxa"/>
            <w:tcBorders>
              <w:top w:val="nil"/>
              <w:left w:val="nil"/>
              <w:bottom w:val="nil"/>
              <w:right w:val="nil"/>
            </w:tcBorders>
            <w:shd w:val="clear" w:color="auto" w:fill="auto"/>
            <w:vAlign w:val="center"/>
          </w:tcPr>
          <w:p w14:paraId="1A65F534">
            <w:pPr>
              <w:rPr>
                <w:rFonts w:hint="eastAsia" w:ascii="宋体" w:hAnsi="宋体" w:eastAsia="宋体" w:cs="宋体"/>
                <w:i w:val="0"/>
                <w:iCs w:val="0"/>
                <w:color w:val="000000"/>
                <w:sz w:val="18"/>
                <w:szCs w:val="18"/>
                <w:u w:val="none"/>
              </w:rPr>
            </w:pPr>
          </w:p>
        </w:tc>
        <w:tc>
          <w:tcPr>
            <w:tcW w:w="1276" w:type="dxa"/>
            <w:tcBorders>
              <w:top w:val="nil"/>
              <w:left w:val="nil"/>
              <w:bottom w:val="nil"/>
              <w:right w:val="nil"/>
            </w:tcBorders>
            <w:shd w:val="clear" w:color="auto" w:fill="auto"/>
            <w:vAlign w:val="center"/>
          </w:tcPr>
          <w:p w14:paraId="5A475595">
            <w:pPr>
              <w:rPr>
                <w:rFonts w:hint="eastAsia" w:ascii="宋体" w:hAnsi="宋体" w:eastAsia="宋体" w:cs="宋体"/>
                <w:i w:val="0"/>
                <w:iCs w:val="0"/>
                <w:color w:val="000000"/>
                <w:sz w:val="18"/>
                <w:szCs w:val="18"/>
                <w:u w:val="none"/>
              </w:rPr>
            </w:pPr>
          </w:p>
        </w:tc>
        <w:tc>
          <w:tcPr>
            <w:tcW w:w="1115" w:type="dxa"/>
            <w:tcBorders>
              <w:top w:val="nil"/>
              <w:left w:val="nil"/>
              <w:bottom w:val="nil"/>
              <w:right w:val="nil"/>
            </w:tcBorders>
            <w:shd w:val="clear" w:color="auto" w:fill="auto"/>
            <w:vAlign w:val="center"/>
          </w:tcPr>
          <w:p w14:paraId="4F9FD278">
            <w:pPr>
              <w:rPr>
                <w:rFonts w:hint="eastAsia" w:ascii="宋体" w:hAnsi="宋体" w:eastAsia="宋体" w:cs="宋体"/>
                <w:i w:val="0"/>
                <w:iCs w:val="0"/>
                <w:color w:val="000000"/>
                <w:sz w:val="18"/>
                <w:szCs w:val="18"/>
                <w:u w:val="none"/>
              </w:rPr>
            </w:pPr>
          </w:p>
        </w:tc>
        <w:tc>
          <w:tcPr>
            <w:tcW w:w="1494" w:type="dxa"/>
            <w:tcBorders>
              <w:top w:val="nil"/>
              <w:left w:val="nil"/>
              <w:bottom w:val="nil"/>
              <w:right w:val="nil"/>
            </w:tcBorders>
            <w:shd w:val="clear" w:color="auto" w:fill="auto"/>
            <w:vAlign w:val="center"/>
          </w:tcPr>
          <w:p w14:paraId="5AE2B34C">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45D1098A">
            <w:pPr>
              <w:rPr>
                <w:rFonts w:hint="eastAsia" w:ascii="宋体" w:hAnsi="宋体" w:eastAsia="宋体" w:cs="宋体"/>
                <w:i w:val="0"/>
                <w:iCs w:val="0"/>
                <w:color w:val="000000"/>
                <w:sz w:val="18"/>
                <w:szCs w:val="18"/>
                <w:u w:val="none"/>
              </w:rPr>
            </w:pPr>
          </w:p>
        </w:tc>
        <w:tc>
          <w:tcPr>
            <w:tcW w:w="1045" w:type="dxa"/>
            <w:tcBorders>
              <w:top w:val="nil"/>
              <w:left w:val="nil"/>
              <w:bottom w:val="nil"/>
              <w:right w:val="nil"/>
            </w:tcBorders>
            <w:shd w:val="clear" w:color="auto" w:fill="auto"/>
            <w:vAlign w:val="center"/>
          </w:tcPr>
          <w:p w14:paraId="3B4A5FCD">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783BE57C">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090DC0C8">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BFD3E1F">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5A6601BB">
            <w:pPr>
              <w:rPr>
                <w:rFonts w:hint="eastAsia" w:ascii="宋体" w:hAnsi="宋体" w:eastAsia="宋体" w:cs="宋体"/>
                <w:i w:val="0"/>
                <w:iCs w:val="0"/>
                <w:color w:val="000000"/>
                <w:sz w:val="18"/>
                <w:szCs w:val="18"/>
                <w:u w:val="none"/>
              </w:rPr>
            </w:pPr>
          </w:p>
        </w:tc>
        <w:tc>
          <w:tcPr>
            <w:tcW w:w="1614" w:type="dxa"/>
            <w:tcBorders>
              <w:top w:val="nil"/>
              <w:left w:val="nil"/>
              <w:bottom w:val="nil"/>
              <w:right w:val="nil"/>
            </w:tcBorders>
            <w:shd w:val="clear" w:color="auto" w:fill="auto"/>
            <w:vAlign w:val="center"/>
          </w:tcPr>
          <w:p w14:paraId="7F448729">
            <w:pPr>
              <w:rPr>
                <w:rFonts w:hint="eastAsia" w:ascii="宋体" w:hAnsi="宋体" w:eastAsia="宋体" w:cs="宋体"/>
                <w:i w:val="0"/>
                <w:iCs w:val="0"/>
                <w:color w:val="000000"/>
                <w:sz w:val="18"/>
                <w:szCs w:val="18"/>
                <w:u w:val="none"/>
              </w:rPr>
            </w:pPr>
          </w:p>
        </w:tc>
      </w:tr>
    </w:tbl>
    <w:p w14:paraId="24C0D676">
      <w:pPr>
        <w:pStyle w:val="5"/>
        <w:rPr>
          <w:rFonts w:hint="eastAsia" w:ascii="仿宋_GB2312" w:hAnsi="Calibri" w:eastAsia="仿宋_GB2312" w:cs="仿宋"/>
          <w:color w:val="auto"/>
          <w:kern w:val="0"/>
          <w:sz w:val="32"/>
          <w:szCs w:val="32"/>
          <w:highlight w:val="none"/>
          <w:lang w:val="en-US" w:eastAsia="zh-CN" w:bidi="ar-SA"/>
        </w:rPr>
      </w:pPr>
    </w:p>
    <w:p w14:paraId="4FCFFAE3">
      <w:pPr>
        <w:pStyle w:val="5"/>
        <w:rPr>
          <w:rFonts w:hint="eastAsia" w:ascii="仿宋_GB2312" w:hAnsi="Calibri" w:eastAsia="仿宋_GB2312" w:cs="仿宋"/>
          <w:color w:val="auto"/>
          <w:kern w:val="0"/>
          <w:sz w:val="32"/>
          <w:szCs w:val="32"/>
          <w:highlight w:val="none"/>
          <w:lang w:val="en-US" w:eastAsia="zh-CN" w:bidi="ar-SA"/>
        </w:rPr>
      </w:pPr>
    </w:p>
    <w:p w14:paraId="33CA97C0">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48"/>
      <w:bookmarkEnd w:id="50"/>
      <w:bookmarkStart w:id="51" w:name="_Toc15396619"/>
    </w:p>
    <w:p w14:paraId="759C96C0">
      <w:pPr>
        <w:pStyle w:val="3"/>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1"/>
    </w:p>
    <w:p w14:paraId="6F0D5DDF">
      <w:pPr>
        <w:pStyle w:val="3"/>
        <w:rPr>
          <w:rFonts w:ascii="仿宋" w:hAnsi="仿宋" w:eastAsia="仿宋"/>
          <w:color w:val="auto"/>
          <w:highlight w:val="none"/>
        </w:rPr>
      </w:pPr>
      <w:bookmarkStart w:id="52"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2"/>
    </w:p>
    <w:p w14:paraId="705DEA5D">
      <w:pPr>
        <w:pStyle w:val="3"/>
        <w:rPr>
          <w:rFonts w:ascii="仿宋" w:hAnsi="仿宋" w:eastAsia="仿宋"/>
          <w:color w:val="auto"/>
          <w:highlight w:val="none"/>
        </w:rPr>
      </w:pPr>
      <w:bookmarkStart w:id="53"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3"/>
    </w:p>
    <w:p w14:paraId="2B7EE0BB">
      <w:pPr>
        <w:pStyle w:val="3"/>
        <w:rPr>
          <w:rFonts w:ascii="仿宋" w:hAnsi="仿宋" w:eastAsia="仿宋"/>
          <w:b w:val="0"/>
          <w:color w:val="auto"/>
          <w:highlight w:val="none"/>
        </w:rPr>
      </w:pPr>
      <w:bookmarkStart w:id="54"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4"/>
    </w:p>
    <w:p w14:paraId="638149AC">
      <w:pPr>
        <w:pStyle w:val="3"/>
        <w:rPr>
          <w:rStyle w:val="25"/>
          <w:rFonts w:ascii="仿宋" w:hAnsi="仿宋" w:eastAsia="仿宋"/>
          <w:b w:val="0"/>
          <w:bCs w:val="0"/>
          <w:color w:val="auto"/>
          <w:highlight w:val="none"/>
        </w:rPr>
      </w:pPr>
      <w:bookmarkStart w:id="55"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5"/>
      <w:bookmarkStart w:id="56" w:name="_Toc15396624"/>
    </w:p>
    <w:p w14:paraId="4E1179AB">
      <w:pPr>
        <w:pStyle w:val="3"/>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6"/>
    </w:p>
    <w:p w14:paraId="3BB8074B">
      <w:pPr>
        <w:pStyle w:val="3"/>
        <w:rPr>
          <w:rFonts w:ascii="仿宋" w:hAnsi="仿宋" w:eastAsia="仿宋"/>
          <w:color w:val="auto"/>
          <w:highlight w:val="none"/>
        </w:rPr>
      </w:pPr>
      <w:bookmarkStart w:id="57"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57"/>
    </w:p>
    <w:p w14:paraId="40C985D0">
      <w:pPr>
        <w:pStyle w:val="3"/>
        <w:rPr>
          <w:rFonts w:ascii="仿宋" w:hAnsi="仿宋" w:eastAsia="仿宋"/>
          <w:color w:val="auto"/>
          <w:highlight w:val="none"/>
        </w:rPr>
      </w:pPr>
      <w:bookmarkStart w:id="58"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58"/>
    </w:p>
    <w:p w14:paraId="0DFD945C">
      <w:pPr>
        <w:pStyle w:val="3"/>
        <w:rPr>
          <w:rFonts w:ascii="仿宋" w:hAnsi="仿宋" w:eastAsia="仿宋"/>
          <w:color w:val="auto"/>
          <w:highlight w:val="none"/>
        </w:rPr>
      </w:pPr>
      <w:bookmarkStart w:id="59"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59"/>
    </w:p>
    <w:p w14:paraId="60BBED5C">
      <w:pPr>
        <w:pStyle w:val="3"/>
        <w:rPr>
          <w:rFonts w:ascii="仿宋" w:hAnsi="仿宋" w:eastAsia="仿宋"/>
          <w:color w:val="auto"/>
          <w:highlight w:val="none"/>
        </w:rPr>
      </w:pPr>
      <w:bookmarkStart w:id="60" w:name="_Toc15396628"/>
      <w:r>
        <w:rPr>
          <w:rStyle w:val="25"/>
          <w:rFonts w:hint="eastAsia" w:ascii="仿宋" w:hAnsi="仿宋" w:eastAsia="仿宋"/>
          <w:b w:val="0"/>
          <w:bCs w:val="0"/>
          <w:color w:val="auto"/>
          <w:highlight w:val="none"/>
        </w:rPr>
        <w:t>十、</w:t>
      </w:r>
      <w:bookmarkEnd w:id="60"/>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14:paraId="46F3AD88">
      <w:pPr>
        <w:pStyle w:val="3"/>
        <w:rPr>
          <w:rFonts w:ascii="仿宋" w:hAnsi="仿宋" w:eastAsia="仿宋"/>
          <w:color w:val="auto"/>
          <w:highlight w:val="none"/>
        </w:rPr>
      </w:pPr>
      <w:bookmarkStart w:id="61" w:name="_Toc15396629"/>
      <w:r>
        <w:rPr>
          <w:rStyle w:val="25"/>
          <w:rFonts w:hint="eastAsia" w:ascii="仿宋" w:hAnsi="仿宋" w:eastAsia="仿宋"/>
          <w:b w:val="0"/>
          <w:bCs w:val="0"/>
          <w:color w:val="auto"/>
          <w:highlight w:val="none"/>
        </w:rPr>
        <w:t>十一、</w:t>
      </w:r>
      <w:bookmarkEnd w:id="61"/>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14:paraId="4F3D693B">
      <w:pPr>
        <w:pStyle w:val="3"/>
        <w:rPr>
          <w:rFonts w:ascii="仿宋" w:hAnsi="仿宋" w:eastAsia="仿宋"/>
          <w:color w:val="auto"/>
          <w:highlight w:val="none"/>
        </w:rPr>
      </w:pPr>
      <w:bookmarkStart w:id="62" w:name="_Toc15396630"/>
      <w:r>
        <w:rPr>
          <w:rStyle w:val="25"/>
          <w:rFonts w:hint="eastAsia" w:ascii="仿宋" w:hAnsi="仿宋" w:eastAsia="仿宋"/>
          <w:b w:val="0"/>
          <w:bCs w:val="0"/>
          <w:color w:val="auto"/>
          <w:highlight w:val="none"/>
        </w:rPr>
        <w:t>十二、</w:t>
      </w:r>
      <w:bookmarkEnd w:id="62"/>
      <w:r>
        <w:rPr>
          <w:rStyle w:val="25"/>
          <w:rFonts w:hint="eastAsia" w:ascii="仿宋" w:hAnsi="仿宋" w:eastAsia="仿宋"/>
          <w:b w:val="0"/>
          <w:bCs w:val="0"/>
          <w:color w:val="auto"/>
          <w:highlight w:val="none"/>
          <w:lang w:eastAsia="zh-CN"/>
        </w:rPr>
        <w:t>国有资本经营预算财政拨款支出决算表</w:t>
      </w:r>
    </w:p>
    <w:p w14:paraId="1BFBECDB">
      <w:pPr>
        <w:pStyle w:val="3"/>
        <w:rPr>
          <w:rFonts w:hint="eastAsia" w:eastAsia="仿宋"/>
          <w:color w:val="auto"/>
          <w:highlight w:val="none"/>
          <w:lang w:eastAsia="zh-CN"/>
        </w:rPr>
      </w:pPr>
      <w:bookmarkStart w:id="63" w:name="_Toc15396631"/>
      <w:r>
        <w:rPr>
          <w:rStyle w:val="25"/>
          <w:rFonts w:hint="eastAsia" w:ascii="仿宋" w:hAnsi="仿宋" w:eastAsia="仿宋"/>
          <w:b w:val="0"/>
          <w:bCs w:val="0"/>
          <w:color w:val="auto"/>
          <w:highlight w:val="none"/>
        </w:rPr>
        <w:t>十三、</w:t>
      </w:r>
      <w:bookmarkEnd w:id="63"/>
      <w:r>
        <w:rPr>
          <w:rStyle w:val="25"/>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066" w:bottom="1440" w:left="1633"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9A7A365">
        <w:pPr>
          <w:pStyle w:val="8"/>
          <w:jc w:val="center"/>
        </w:pPr>
        <w:r>
          <w:fldChar w:fldCharType="begin"/>
        </w:r>
        <w:r>
          <w:instrText xml:space="preserve">PAGE   \* MERGEFORMAT</w:instrText>
        </w:r>
        <w:r>
          <w:fldChar w:fldCharType="separate"/>
        </w:r>
        <w:r>
          <w:rPr>
            <w:lang w:val="zh-CN"/>
          </w:rPr>
          <w:t>8</w:t>
        </w:r>
        <w:r>
          <w:fldChar w:fldCharType="end"/>
        </w:r>
      </w:p>
    </w:sdtContent>
  </w:sdt>
  <w:p w14:paraId="3EA9296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B7EE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jczYmQ0MWNlYTBiYTZjNTEwZGUzNzA0Zjg0ODkifQ=="/>
  </w:docVars>
  <w:rsids>
    <w:rsidRoot w:val="00F1361C"/>
    <w:rsid w:val="000222C6"/>
    <w:rsid w:val="00022A7F"/>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C3DD6"/>
    <w:rsid w:val="016110B2"/>
    <w:rsid w:val="01F12408"/>
    <w:rsid w:val="022E6257"/>
    <w:rsid w:val="02BE3A7E"/>
    <w:rsid w:val="030D7EDC"/>
    <w:rsid w:val="03824AAC"/>
    <w:rsid w:val="03D05572"/>
    <w:rsid w:val="04090D29"/>
    <w:rsid w:val="040A684F"/>
    <w:rsid w:val="04D13D94"/>
    <w:rsid w:val="053A62B5"/>
    <w:rsid w:val="05B44CC5"/>
    <w:rsid w:val="063C27B7"/>
    <w:rsid w:val="064437DD"/>
    <w:rsid w:val="06476386"/>
    <w:rsid w:val="06AB60C8"/>
    <w:rsid w:val="06F37809"/>
    <w:rsid w:val="076E1695"/>
    <w:rsid w:val="07A42D16"/>
    <w:rsid w:val="0831362C"/>
    <w:rsid w:val="08493DEA"/>
    <w:rsid w:val="08F5187C"/>
    <w:rsid w:val="093B4FA8"/>
    <w:rsid w:val="094E5430"/>
    <w:rsid w:val="09CD0A4B"/>
    <w:rsid w:val="0A2032A3"/>
    <w:rsid w:val="0ABD5A69"/>
    <w:rsid w:val="0ADF1FC5"/>
    <w:rsid w:val="0AE71698"/>
    <w:rsid w:val="0B8A37D8"/>
    <w:rsid w:val="0C873133"/>
    <w:rsid w:val="0C8F1FE8"/>
    <w:rsid w:val="0D5D6756"/>
    <w:rsid w:val="0DB37F58"/>
    <w:rsid w:val="0DC863CB"/>
    <w:rsid w:val="0E437AB6"/>
    <w:rsid w:val="0EB83A78"/>
    <w:rsid w:val="0F032819"/>
    <w:rsid w:val="0F4B5F54"/>
    <w:rsid w:val="0F9A4F2B"/>
    <w:rsid w:val="10305890"/>
    <w:rsid w:val="10C055FF"/>
    <w:rsid w:val="10D81932"/>
    <w:rsid w:val="10F93ED3"/>
    <w:rsid w:val="11445A6F"/>
    <w:rsid w:val="11496C09"/>
    <w:rsid w:val="118107EC"/>
    <w:rsid w:val="11BA5F58"/>
    <w:rsid w:val="11CC783A"/>
    <w:rsid w:val="11DD6519"/>
    <w:rsid w:val="123A567C"/>
    <w:rsid w:val="13E72709"/>
    <w:rsid w:val="143A0A8B"/>
    <w:rsid w:val="14C95822"/>
    <w:rsid w:val="15D05B4B"/>
    <w:rsid w:val="16BB723D"/>
    <w:rsid w:val="17051824"/>
    <w:rsid w:val="17150A2E"/>
    <w:rsid w:val="17F3167D"/>
    <w:rsid w:val="18015F3F"/>
    <w:rsid w:val="186C142F"/>
    <w:rsid w:val="187720F7"/>
    <w:rsid w:val="188744BB"/>
    <w:rsid w:val="196D1903"/>
    <w:rsid w:val="19AC242B"/>
    <w:rsid w:val="19B1359D"/>
    <w:rsid w:val="19F53DD2"/>
    <w:rsid w:val="1A5B175B"/>
    <w:rsid w:val="1B372EFC"/>
    <w:rsid w:val="1BE8440E"/>
    <w:rsid w:val="1BED13C5"/>
    <w:rsid w:val="1C78570D"/>
    <w:rsid w:val="1D155CEE"/>
    <w:rsid w:val="1E067C30"/>
    <w:rsid w:val="1E4D585F"/>
    <w:rsid w:val="1E4D69E5"/>
    <w:rsid w:val="1E817367"/>
    <w:rsid w:val="1FE741BD"/>
    <w:rsid w:val="20F3492A"/>
    <w:rsid w:val="20F57F95"/>
    <w:rsid w:val="21050673"/>
    <w:rsid w:val="211B179B"/>
    <w:rsid w:val="21787096"/>
    <w:rsid w:val="21894E00"/>
    <w:rsid w:val="2197751D"/>
    <w:rsid w:val="21FE134A"/>
    <w:rsid w:val="22090649"/>
    <w:rsid w:val="22C81958"/>
    <w:rsid w:val="23B915FC"/>
    <w:rsid w:val="240371BF"/>
    <w:rsid w:val="25711CC6"/>
    <w:rsid w:val="25772B8E"/>
    <w:rsid w:val="257E15A4"/>
    <w:rsid w:val="25C741E6"/>
    <w:rsid w:val="265A4FBD"/>
    <w:rsid w:val="26CB5315"/>
    <w:rsid w:val="26FD42C6"/>
    <w:rsid w:val="273E75D8"/>
    <w:rsid w:val="274C0DA9"/>
    <w:rsid w:val="27842671"/>
    <w:rsid w:val="27A02EA3"/>
    <w:rsid w:val="27EA55BE"/>
    <w:rsid w:val="28740152"/>
    <w:rsid w:val="29D82DC8"/>
    <w:rsid w:val="29FD04D3"/>
    <w:rsid w:val="2A2E32D1"/>
    <w:rsid w:val="2A3049B2"/>
    <w:rsid w:val="2A6404A2"/>
    <w:rsid w:val="2ABE7A3E"/>
    <w:rsid w:val="2ADB491E"/>
    <w:rsid w:val="2AE5579D"/>
    <w:rsid w:val="2B481888"/>
    <w:rsid w:val="2B807867"/>
    <w:rsid w:val="2CA234A8"/>
    <w:rsid w:val="2D8A262B"/>
    <w:rsid w:val="2E4C7423"/>
    <w:rsid w:val="2E725599"/>
    <w:rsid w:val="2E786928"/>
    <w:rsid w:val="2EFA178C"/>
    <w:rsid w:val="2F6824F8"/>
    <w:rsid w:val="2F762E67"/>
    <w:rsid w:val="2F9469F6"/>
    <w:rsid w:val="2FE5302A"/>
    <w:rsid w:val="30B46D73"/>
    <w:rsid w:val="30C47C02"/>
    <w:rsid w:val="3143321D"/>
    <w:rsid w:val="319F7F4E"/>
    <w:rsid w:val="31A65FED"/>
    <w:rsid w:val="324A4137"/>
    <w:rsid w:val="33770F5C"/>
    <w:rsid w:val="33FC76B3"/>
    <w:rsid w:val="346F2D4C"/>
    <w:rsid w:val="347D25A2"/>
    <w:rsid w:val="35BA7826"/>
    <w:rsid w:val="36883480"/>
    <w:rsid w:val="36932551"/>
    <w:rsid w:val="36F01751"/>
    <w:rsid w:val="371B42F4"/>
    <w:rsid w:val="383D272C"/>
    <w:rsid w:val="38530870"/>
    <w:rsid w:val="387518FE"/>
    <w:rsid w:val="39AE70AB"/>
    <w:rsid w:val="3A3D57F6"/>
    <w:rsid w:val="3A6B10EF"/>
    <w:rsid w:val="3B6E70E8"/>
    <w:rsid w:val="3C047A4D"/>
    <w:rsid w:val="3C0C0783"/>
    <w:rsid w:val="3C395948"/>
    <w:rsid w:val="3C692201"/>
    <w:rsid w:val="3D42082D"/>
    <w:rsid w:val="3DC70D32"/>
    <w:rsid w:val="3DF37D79"/>
    <w:rsid w:val="3DF97023"/>
    <w:rsid w:val="3F147FA7"/>
    <w:rsid w:val="3F9F3A96"/>
    <w:rsid w:val="3FCB2D5B"/>
    <w:rsid w:val="40505EDE"/>
    <w:rsid w:val="40A16EE5"/>
    <w:rsid w:val="410858E9"/>
    <w:rsid w:val="41A25D3E"/>
    <w:rsid w:val="41B94E35"/>
    <w:rsid w:val="420F2CA7"/>
    <w:rsid w:val="426B1D49"/>
    <w:rsid w:val="42D77C69"/>
    <w:rsid w:val="430622FC"/>
    <w:rsid w:val="436F1C50"/>
    <w:rsid w:val="43CF6B92"/>
    <w:rsid w:val="4574354D"/>
    <w:rsid w:val="45801494"/>
    <w:rsid w:val="45C77CB2"/>
    <w:rsid w:val="4654337F"/>
    <w:rsid w:val="472B0583"/>
    <w:rsid w:val="48AB372A"/>
    <w:rsid w:val="48BF60AB"/>
    <w:rsid w:val="48D957BC"/>
    <w:rsid w:val="492D05E3"/>
    <w:rsid w:val="493C27E9"/>
    <w:rsid w:val="49477E37"/>
    <w:rsid w:val="496F39ED"/>
    <w:rsid w:val="497A30FC"/>
    <w:rsid w:val="49FF41D3"/>
    <w:rsid w:val="4AC76815"/>
    <w:rsid w:val="4BAE6A67"/>
    <w:rsid w:val="4BE068DB"/>
    <w:rsid w:val="4BF6002B"/>
    <w:rsid w:val="4C161DA9"/>
    <w:rsid w:val="4CE97F67"/>
    <w:rsid w:val="4E094A4F"/>
    <w:rsid w:val="4ECE2238"/>
    <w:rsid w:val="4F0034B6"/>
    <w:rsid w:val="4F8847C5"/>
    <w:rsid w:val="507C1E50"/>
    <w:rsid w:val="50E13A61"/>
    <w:rsid w:val="51915487"/>
    <w:rsid w:val="51DB4B86"/>
    <w:rsid w:val="526604C1"/>
    <w:rsid w:val="538928BA"/>
    <w:rsid w:val="5456472D"/>
    <w:rsid w:val="55333C3E"/>
    <w:rsid w:val="56DC71A4"/>
    <w:rsid w:val="570A1F63"/>
    <w:rsid w:val="571C57F3"/>
    <w:rsid w:val="583F79EB"/>
    <w:rsid w:val="58D97A4B"/>
    <w:rsid w:val="58E305F4"/>
    <w:rsid w:val="59FD7B5D"/>
    <w:rsid w:val="5A2A0227"/>
    <w:rsid w:val="5A3F1F24"/>
    <w:rsid w:val="5A702317"/>
    <w:rsid w:val="5BA64288"/>
    <w:rsid w:val="5CBA1D36"/>
    <w:rsid w:val="5D78135C"/>
    <w:rsid w:val="5E2F0501"/>
    <w:rsid w:val="5E6A778C"/>
    <w:rsid w:val="5EA04F5B"/>
    <w:rsid w:val="5EB822A5"/>
    <w:rsid w:val="5EDD61AF"/>
    <w:rsid w:val="5EEE216B"/>
    <w:rsid w:val="5FB011CE"/>
    <w:rsid w:val="60B45698"/>
    <w:rsid w:val="61B52BB6"/>
    <w:rsid w:val="63A31776"/>
    <w:rsid w:val="64CA39A1"/>
    <w:rsid w:val="64D12312"/>
    <w:rsid w:val="656767D3"/>
    <w:rsid w:val="65956E9C"/>
    <w:rsid w:val="65BF216B"/>
    <w:rsid w:val="65F20792"/>
    <w:rsid w:val="65F53DDF"/>
    <w:rsid w:val="66B23A7E"/>
    <w:rsid w:val="67850A3E"/>
    <w:rsid w:val="67C717AB"/>
    <w:rsid w:val="68B7181F"/>
    <w:rsid w:val="692C7B17"/>
    <w:rsid w:val="69630ADE"/>
    <w:rsid w:val="6A5A06B4"/>
    <w:rsid w:val="6A682DD1"/>
    <w:rsid w:val="6A892D47"/>
    <w:rsid w:val="6BD526E8"/>
    <w:rsid w:val="6C4A05C8"/>
    <w:rsid w:val="6C846F02"/>
    <w:rsid w:val="6D0B3EE8"/>
    <w:rsid w:val="6D3B1A89"/>
    <w:rsid w:val="6D913C17"/>
    <w:rsid w:val="6E2905CE"/>
    <w:rsid w:val="6FB46AB9"/>
    <w:rsid w:val="705F07D2"/>
    <w:rsid w:val="706978A3"/>
    <w:rsid w:val="70827064"/>
    <w:rsid w:val="709A7A5C"/>
    <w:rsid w:val="70F22B6B"/>
    <w:rsid w:val="71001BD7"/>
    <w:rsid w:val="71095E95"/>
    <w:rsid w:val="71BF4EC2"/>
    <w:rsid w:val="7218509A"/>
    <w:rsid w:val="72227D09"/>
    <w:rsid w:val="72734D90"/>
    <w:rsid w:val="728C0928"/>
    <w:rsid w:val="729F75AC"/>
    <w:rsid w:val="73BE7F06"/>
    <w:rsid w:val="7412278C"/>
    <w:rsid w:val="74193742"/>
    <w:rsid w:val="743957DE"/>
    <w:rsid w:val="74EC45FF"/>
    <w:rsid w:val="754E7067"/>
    <w:rsid w:val="786C5BD6"/>
    <w:rsid w:val="78AA483A"/>
    <w:rsid w:val="78F3332D"/>
    <w:rsid w:val="792627D5"/>
    <w:rsid w:val="799E5D9E"/>
    <w:rsid w:val="79A6325B"/>
    <w:rsid w:val="79E7B28D"/>
    <w:rsid w:val="7A0E5017"/>
    <w:rsid w:val="7AEA5A84"/>
    <w:rsid w:val="7B25086A"/>
    <w:rsid w:val="7B905336"/>
    <w:rsid w:val="7C2B1EB0"/>
    <w:rsid w:val="7C317AF4"/>
    <w:rsid w:val="7D6E1CBC"/>
    <w:rsid w:val="7EA61CC2"/>
    <w:rsid w:val="7F587460"/>
    <w:rsid w:val="7F950E31"/>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font5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Desktop\&#25945;&#32946;&#23616;2023&#24180;&#20915;&#31639;&#20844;&#24320;\&#25945;&#32946;&#23616;2023&#24180;&#20915;&#31639;&#20844;&#24320;&#25554;&#22270;xlsx.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年收、支决算变动情况表</a:t>
            </a:r>
            <a:endParaRPr lang="en-US" altLang="en-US" sz="1400" b="1"/>
          </a:p>
        </c:rich>
      </c:tx>
      <c:layout/>
      <c:overlay val="0"/>
      <c:spPr>
        <a:noFill/>
        <a:ln>
          <a:noFill/>
        </a:ln>
        <a:effectLst/>
      </c:spPr>
    </c:title>
    <c:autoTitleDeleted val="0"/>
    <c:plotArea>
      <c:layout>
        <c:manualLayout>
          <c:layoutTarget val="inner"/>
          <c:xMode val="edge"/>
          <c:yMode val="edge"/>
          <c:x val="0.0813784577345078"/>
          <c:y val="0.166435185185185"/>
          <c:w val="0.882769278318652"/>
          <c:h val="0.62787037037037"/>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231803430690774"/>
                  <c:y val="-0.0055555555555555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711.58</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5901715345387"/>
                  <c:y val="0.01388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715.42</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711.58</c:v>
                </c:pt>
                <c:pt idx="1">
                  <c:v>715.42</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14371812702828"/>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711.58</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96708391284191"/>
                  <c:y val="0.00069444444444444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715.42</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711.58</c:v>
                </c:pt>
                <c:pt idx="1">
                  <c:v>715.42</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d3560b9-9e25-4aa3-8c7a-d1864801975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2023</a:t>
            </a:r>
            <a:r>
              <a:rPr altLang="en-US"/>
              <a:t>年收入决算结构图</a:t>
            </a:r>
            <a:endParaRPr lang="en-US" altLang="zh-CN"/>
          </a:p>
        </c:rich>
      </c:tx>
      <c:layout>
        <c:manualLayout>
          <c:xMode val="edge"/>
          <c:yMode val="edge"/>
          <c:x val="0.279684178560583"/>
          <c:y val="0.0460600587039964"/>
        </c:manualLayout>
      </c:layout>
      <c:overlay val="0"/>
      <c:spPr>
        <a:noFill/>
        <a:ln>
          <a:noFill/>
        </a:ln>
        <a:effectLst/>
      </c:spPr>
    </c:title>
    <c:autoTitleDeleted val="0"/>
    <c:plotArea>
      <c:layout>
        <c:manualLayout>
          <c:layoutTarget val="inner"/>
          <c:xMode val="edge"/>
          <c:yMode val="edge"/>
          <c:x val="0.261084117825691"/>
          <c:y val="0.264265567368193"/>
          <c:w val="0.481475857880352"/>
          <c:h val="0.688001735734433"/>
        </c:manualLayout>
      </c:layout>
      <c:pieChart>
        <c:varyColors val="1"/>
        <c:ser>
          <c:idx val="0"/>
          <c:order val="0"/>
          <c:tx>
            <c:strRef>
              <c:f>Sheet1!$B$1</c:f>
              <c:strCache>
                <c:ptCount val="1"/>
                <c:pt idx="0">
                  <c:v>销售额</c:v>
                </c:pt>
              </c:strCache>
            </c:strRef>
          </c:tx>
          <c:spPr>
            <a:effectLst>
              <a:innerShdw blurRad="63500" dist="50800" dir="10800000">
                <a:prstClr val="black">
                  <a:alpha val="50000"/>
                </a:prstClr>
              </a:innerShdw>
            </a:effectLst>
          </c:spPr>
          <c:explosion val="0"/>
          <c:dPt>
            <c:idx val="0"/>
            <c:bubble3D val="0"/>
            <c:spPr>
              <a:solidFill>
                <a:schemeClr val="accent1"/>
              </a:solidFill>
              <a:ln>
                <a:solidFill>
                  <a:schemeClr val="bg1"/>
                </a:solidFill>
              </a:ln>
              <a:effectLst>
                <a:innerShdw blurRad="63500" dir="13500000">
                  <a:prstClr val="black">
                    <a:alpha val="50000"/>
                  </a:prstClr>
                </a:innerShdw>
              </a:effectLst>
            </c:spPr>
          </c:dPt>
          <c:dLbls>
            <c:delete val="1"/>
          </c:dLbls>
          <c:cat>
            <c:strRef>
              <c:f>Sheet1!$A$3</c:f>
              <c:strCache>
                <c:ptCount val="1"/>
                <c:pt idx="0">
                  <c:v>一般公共预算财政拨款</c:v>
                </c:pt>
              </c:strCache>
            </c:strRef>
          </c:cat>
          <c:val>
            <c:numRef>
              <c:f>Sheet1!$B$3</c:f>
              <c:numCache>
                <c:formatCode>General</c:formatCode>
                <c:ptCount val="1"/>
                <c:pt idx="0">
                  <c:v>714.04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654418463407227"/>
          <c:y val="0.91013772860690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80b6f6f-67b3-4fda-b15f-6832fe5fe67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年支出决算结构图</a:t>
            </a:r>
            <a:endParaRPr lang="en-US" altLang="zh-CN" sz="1400" b="1"/>
          </a:p>
        </c:rich>
      </c:tx>
      <c:layout/>
      <c:overlay val="0"/>
      <c:spPr>
        <a:noFill/>
        <a:ln>
          <a:noFill/>
        </a:ln>
        <a:effectLst/>
      </c:spPr>
    </c:title>
    <c:autoTitleDeleted val="0"/>
    <c:plotArea>
      <c:layout>
        <c:manualLayout>
          <c:layoutTarget val="inner"/>
          <c:xMode val="edge"/>
          <c:yMode val="edge"/>
          <c:x val="0.319256505576208"/>
          <c:y val="0.231814180929095"/>
          <c:w val="0.361486988847584"/>
          <c:h val="0.570601466992665"/>
        </c:manualLayout>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80853870804778"/>
                  <c:y val="-0.088481395728594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701.77</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13.65</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701.77</c:v>
                </c:pt>
                <c:pt idx="1">
                  <c:v>13.65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73156753407683"/>
          <c:y val="0.90422163588390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8d21465-215d-4087-b75b-837c62f9eff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altLang="en-US" sz="1400" b="1"/>
              <a:t>财政拨款收、支决算总计变动情况表</a:t>
            </a:r>
            <a:endParaRPr lang="en-US" altLang="en-US" sz="1400" b="1"/>
          </a:p>
        </c:rich>
      </c:tx>
      <c:layout>
        <c:manualLayout>
          <c:xMode val="edge"/>
          <c:yMode val="edge"/>
          <c:x val="0.126023798485551"/>
          <c:y val="0.0354166666666666"/>
        </c:manualLayout>
      </c:layout>
      <c:overlay val="0"/>
      <c:spPr>
        <a:noFill/>
        <a:ln>
          <a:noFill/>
        </a:ln>
        <a:effectLst/>
      </c:spPr>
    </c:title>
    <c:autoTitleDeleted val="0"/>
    <c:plotArea>
      <c:layout>
        <c:manualLayout>
          <c:layoutTarget val="inner"/>
          <c:xMode val="edge"/>
          <c:yMode val="edge"/>
          <c:x val="0.0869417400710864"/>
          <c:y val="0.176388888888889"/>
          <c:w val="0.882769278318652"/>
          <c:h val="0.606805555555556"/>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309071240921032"/>
                  <c:y val="0.015740740740740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711.58</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85442744552619"/>
                  <c:y val="0.01851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715.42</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711.58</c:v>
                </c:pt>
                <c:pt idx="1">
                  <c:v>715.42</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463606861381548"/>
                  <c:y val="0.01388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711.58</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52341214649977"/>
                  <c:y val="0.0166666666666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715.42</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711.58</c:v>
                </c:pt>
                <c:pt idx="1">
                  <c:v>715.42</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5b711a0-fa87-43d8-a968-fdd2c130b1e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manualLayout>
          <c:xMode val="edge"/>
          <c:yMode val="edge"/>
          <c:x val="0.214729105808316"/>
          <c:y val="0.0290539821730792"/>
        </c:manualLayout>
      </c:layout>
      <c:overlay val="0"/>
      <c:spPr>
        <a:noFill/>
        <a:ln>
          <a:noFill/>
        </a:ln>
        <a:effectLst/>
      </c:spPr>
    </c:title>
    <c:autoTitleDeleted val="0"/>
    <c:plotArea>
      <c:layout>
        <c:manualLayout>
          <c:layoutTarget val="inner"/>
          <c:xMode val="edge"/>
          <c:yMode val="edge"/>
          <c:x val="0.0723550425941192"/>
          <c:y val="0.199210587415835"/>
          <c:w val="0.895768068150591"/>
          <c:h val="0.644067796610169"/>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711.58</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711.58</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manualLayout>
                  <c:x val="0.00164880461665293"/>
                  <c:y val="-0.0027861620617599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715.42</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715.42</c:v>
                </c:pt>
              </c:numCache>
            </c:numRef>
          </c:val>
        </c:ser>
        <c:dLbls>
          <c:showLegendKey val="0"/>
          <c:showVal val="1"/>
          <c:showCatName val="0"/>
          <c:showSerName val="0"/>
          <c:showPercent val="0"/>
          <c:showBubbleSize val="0"/>
        </c:dLbls>
        <c:gapWidth val="212"/>
        <c:overlap val="-90"/>
        <c:axId val="523788334"/>
        <c:axId val="356841012"/>
      </c:barChart>
      <c:catAx>
        <c:axId val="52378833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841012"/>
        <c:crosses val="autoZero"/>
        <c:auto val="1"/>
        <c:lblAlgn val="ctr"/>
        <c:lblOffset val="100"/>
        <c:noMultiLvlLbl val="0"/>
      </c:catAx>
      <c:valAx>
        <c:axId val="3568410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788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2249df8-1394-48e9-9725-e863fe8cca6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[教育局2023年决算公开插图xlsx.xlsx]Sheet1!$A$75</c:f>
              <c:strCache>
                <c:ptCount val="1"/>
                <c:pt idx="0">
                  <c:v>一般公共预算财政拨款支出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0146215764264076"/>
                  <c:y val="-0.11757432623541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490.92万元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35368699428885"/>
                  <c:y val="-0.11419888321455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448.55万元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60516587830988"/>
                  <c:y val="-0.024387076405957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170.62万元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63195342635982"/>
                  <c:y val="-0.0072473037887650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20.6万元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7536376482775"/>
                  <c:y val="-0.008166809591925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30.79万元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[教育局2023年决算公开插图xlsx.xlsx]Sheet1!$B$74:$F$74</c:f>
              <c:strCache>
                <c:ptCount val="5"/>
                <c:pt idx="0">
                  <c:v>教育支出</c:v>
                </c:pt>
                <c:pt idx="1">
                  <c:v>文化旅游体育与传媒支出</c:v>
                </c:pt>
                <c:pt idx="2">
                  <c:v>社会保障和就业支出</c:v>
                </c:pt>
                <c:pt idx="3">
                  <c:v>卫生健康支出</c:v>
                </c:pt>
                <c:pt idx="4">
                  <c:v>住房保障支出</c:v>
                </c:pt>
              </c:strCache>
            </c:strRef>
          </c:cat>
          <c:val>
            <c:numRef>
              <c:f>[教育局2023年决算公开插图xlsx.xlsx]Sheet1!$B$75:$F$75</c:f>
              <c:numCache>
                <c:formatCode>General</c:formatCode>
                <c:ptCount val="5"/>
                <c:pt idx="0">
                  <c:v>490.92</c:v>
                </c:pt>
                <c:pt idx="1">
                  <c:v>448.55</c:v>
                </c:pt>
                <c:pt idx="2">
                  <c:v>170.62</c:v>
                </c:pt>
                <c:pt idx="3">
                  <c:v>20.6</c:v>
                </c:pt>
                <c:pt idx="4">
                  <c:v>30.79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554822535954611"/>
          <c:y val="0.149232585596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bf48d7f-ee71-444a-8f74-0c623c3697d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a:t>
            </a:r>
            <a:r>
              <a:rPr altLang="en-US" sz="1400" b="1"/>
              <a:t>三公</a:t>
            </a:r>
            <a:r>
              <a:rPr lang="en-US" altLang="zh-CN" sz="1400" b="1"/>
              <a:t>”</a:t>
            </a:r>
            <a:r>
              <a:rPr altLang="en-US" sz="1400" b="1"/>
              <a:t>经费</a:t>
            </a:r>
            <a:r>
              <a:rPr sz="1400" b="1"/>
              <a:t>财政拨款支出决算结构图</a:t>
            </a:r>
            <a:endParaRPr sz="1400" b="1"/>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193493551169807"/>
                  <c:y val="-0.10485545097837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0</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89132537891"/>
                      <c:h val="0.06388376383763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0.00万元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8332795872299"/>
                      <c:h val="0.0654981549815498"/>
                    </c:manualLayout>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0.00_ </c:formatCode>
                <c:ptCount val="3"/>
                <c:pt idx="0">
                  <c:v>0.0001</c:v>
                </c:pt>
                <c:pt idx="1" c:formatCode="#,##0.000">
                  <c:v>0</c:v>
                </c:pt>
                <c:pt idx="2" c:formatCode="#,##0.0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d46e2e6-4695-4a5a-907d-c7804c02391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4918</Words>
  <Characters>5519</Characters>
  <Lines>61</Lines>
  <Paragraphs>17</Paragraphs>
  <TotalTime>0</TotalTime>
  <ScaleCrop>false</ScaleCrop>
  <LinksUpToDate>false</LinksUpToDate>
  <CharactersWithSpaces>5586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2023-07-31T02:35:00Z</cp:lastPrinted>
  <dcterms:modified xsi:type="dcterms:W3CDTF">2024-10-25T08:09:38Z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AEBCAD316034446899B677FC4051C0C3_12</vt:lpwstr>
  </property>
</Properties>
</file>