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780AE">
      <w:pPr>
        <w:spacing w:line="600" w:lineRule="exact"/>
        <w:jc w:val="left"/>
        <w:outlineLvl w:val="9"/>
        <w:rPr>
          <w:rFonts w:ascii="方正小标宋简体" w:hAnsi="宋体" w:eastAsia="方正小标宋简体"/>
          <w:szCs w:val="21"/>
        </w:rPr>
      </w:pPr>
      <w:bookmarkStart w:id="0" w:name="_Toc15306267"/>
    </w:p>
    <w:p w14:paraId="5841CBB7">
      <w:pPr>
        <w:pStyle w:val="6"/>
        <w:spacing w:before="93"/>
      </w:pPr>
    </w:p>
    <w:p w14:paraId="73984FF2">
      <w:pPr>
        <w:spacing w:line="600" w:lineRule="exact"/>
        <w:jc w:val="center"/>
        <w:outlineLvl w:val="9"/>
        <w:rPr>
          <w:rFonts w:ascii="方正小标宋简体" w:hAnsi="宋体" w:eastAsia="方正小标宋简体"/>
          <w:sz w:val="72"/>
          <w:szCs w:val="72"/>
        </w:rPr>
      </w:pPr>
    </w:p>
    <w:p w14:paraId="634FBFAB">
      <w:pPr>
        <w:spacing w:line="600" w:lineRule="exact"/>
        <w:jc w:val="center"/>
        <w:outlineLvl w:val="9"/>
        <w:rPr>
          <w:rFonts w:ascii="方正小标宋简体" w:hAnsi="宋体" w:eastAsia="方正小标宋简体"/>
          <w:sz w:val="72"/>
          <w:szCs w:val="72"/>
        </w:rPr>
      </w:pPr>
    </w:p>
    <w:p w14:paraId="7EE62B8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985"/>
      <w:bookmarkStart w:id="2" w:name="_Toc15377425"/>
      <w:bookmarkStart w:id="3" w:name="_Toc15396475"/>
      <w:bookmarkStart w:id="4" w:name="_Toc15377193"/>
      <w:bookmarkStart w:id="5" w:name="_Toc15378441"/>
      <w:bookmarkStart w:id="6" w:name="_Toc15396597"/>
      <w:bookmarkStart w:id="7" w:name="_Toc285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p>
    <w:p w14:paraId="11081D87">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8" w:name="_Toc15377194"/>
      <w:bookmarkStart w:id="9" w:name="_Toc15396476"/>
      <w:bookmarkStart w:id="10" w:name="_Toc15377426"/>
      <w:bookmarkStart w:id="11" w:name="_Toc15396598"/>
      <w:bookmarkStart w:id="12" w:name="_Toc15378442"/>
      <w:bookmarkStart w:id="13" w:name="_Toc15481"/>
      <w:bookmarkStart w:id="14" w:name="_Toc7585"/>
      <w:r>
        <w:rPr>
          <w:rFonts w:hint="eastAsia" w:ascii="方正小标宋简体" w:hAnsi="方正小标宋简体" w:eastAsia="方正小标宋简体" w:cs="方正小标宋简体"/>
          <w:sz w:val="72"/>
          <w:szCs w:val="72"/>
        </w:rPr>
        <w:t>四川省</w:t>
      </w:r>
      <w:bookmarkEnd w:id="0"/>
      <w:bookmarkStart w:id="15" w:name="_Toc15306268"/>
      <w:r>
        <w:rPr>
          <w:rFonts w:hint="eastAsia" w:ascii="方正小标宋简体" w:hAnsi="方正小标宋简体" w:eastAsia="方正小标宋简体" w:cs="方正小标宋简体"/>
          <w:sz w:val="72"/>
          <w:szCs w:val="72"/>
          <w:lang w:eastAsia="zh-CN"/>
        </w:rPr>
        <w:t>大竹县城乡居民社会养老保险局单位</w:t>
      </w: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bookmarkEnd w:id="14"/>
      <w:bookmarkEnd w:id="15"/>
    </w:p>
    <w:p w14:paraId="6B3D38E2">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eastAsia="zh-CN"/>
        </w:rPr>
        <w:t>公开</w:t>
      </w:r>
      <w:bookmarkStart w:id="161" w:name="_GoBack"/>
      <w:bookmarkEnd w:id="161"/>
      <w:r>
        <w:rPr>
          <w:rFonts w:hint="eastAsia" w:ascii="方正小标宋简体" w:hAnsi="方正小标宋简体" w:eastAsia="方正小标宋简体" w:cs="方正小标宋简体"/>
          <w:sz w:val="72"/>
          <w:szCs w:val="72"/>
          <w:lang w:eastAsia="zh-CN"/>
        </w:rPr>
        <w:t>编制说明</w:t>
      </w:r>
    </w:p>
    <w:p w14:paraId="1022E0C5">
      <w:pPr>
        <w:adjustRightInd w:val="0"/>
        <w:snapToGrid w:val="0"/>
        <w:spacing w:line="360" w:lineRule="auto"/>
        <w:jc w:val="center"/>
        <w:outlineLvl w:val="0"/>
        <w:rPr>
          <w:rFonts w:ascii="方正小标宋简体" w:hAnsi="宋体" w:eastAsia="方正小标宋简体"/>
          <w:sz w:val="52"/>
          <w:szCs w:val="52"/>
        </w:rPr>
      </w:pPr>
      <w:bookmarkStart w:id="16" w:name="_Toc16530"/>
      <w:bookmarkStart w:id="17" w:name="_Toc271"/>
      <w:r>
        <w:rPr>
          <w:rFonts w:hint="eastAsia" w:ascii="方正小标宋简体" w:hAnsi="宋体" w:eastAsia="方正小标宋简体"/>
          <w:sz w:val="52"/>
          <w:szCs w:val="52"/>
        </w:rPr>
        <w:t>(单位公开)</w:t>
      </w:r>
      <w:bookmarkEnd w:id="16"/>
      <w:bookmarkEnd w:id="17"/>
    </w:p>
    <w:p w14:paraId="71CED36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FAB4199">
      <w:pPr>
        <w:widowControl/>
        <w:jc w:val="center"/>
        <w:rPr>
          <w:rFonts w:ascii="黑体" w:hAnsi="黑体" w:eastAsia="黑体" w:cstheme="minorBidi"/>
          <w:sz w:val="28"/>
          <w:szCs w:val="28"/>
        </w:rPr>
      </w:pPr>
    </w:p>
    <w:p w14:paraId="294EC1AF">
      <w:pPr>
        <w:pStyle w:val="12"/>
      </w:pPr>
      <w:r>
        <w:rPr>
          <w:rFonts w:hint="eastAsia"/>
        </w:rPr>
        <w:t>公开时间：202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w:t>
      </w:r>
    </w:p>
    <w:p w14:paraId="3821FD1A"/>
    <w:sdt>
      <w:sdtPr>
        <w:rPr>
          <w:rFonts w:ascii="宋体" w:hAnsi="宋体" w:eastAsia="宋体" w:cs="Times New Roman"/>
          <w:kern w:val="2"/>
          <w:sz w:val="21"/>
          <w:szCs w:val="24"/>
          <w:lang w:val="en-US" w:eastAsia="zh-CN" w:bidi="ar-SA"/>
        </w:rPr>
        <w:id w:val="147462229"/>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1B088DAD">
          <w:pPr>
            <w:rPr>
              <w:sz w:val="32"/>
              <w:szCs w:val="32"/>
            </w:rPr>
          </w:pPr>
        </w:p>
        <w:p w14:paraId="06FE5BD1">
          <w:pPr>
            <w:pStyle w:val="37"/>
            <w:tabs>
              <w:tab w:val="right" w:leader="dot" w:pos="8306"/>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_Toc504 </w:instrText>
          </w:r>
          <w:r>
            <w:rPr>
              <w:b/>
              <w:sz w:val="32"/>
              <w:szCs w:val="32"/>
            </w:rPr>
            <w:fldChar w:fldCharType="separate"/>
          </w:r>
          <w:r>
            <w:rPr>
              <w:rFonts w:hint="eastAsia" w:ascii="黑体" w:hAnsi="黑体" w:eastAsia="黑体"/>
              <w:b/>
              <w:sz w:val="32"/>
              <w:szCs w:val="32"/>
            </w:rPr>
            <w:t>第一部分 单位</w:t>
          </w:r>
          <w:r>
            <w:rPr>
              <w:rFonts w:hint="eastAsia" w:ascii="黑体" w:hAnsi="黑体" w:eastAsia="黑体"/>
              <w:b/>
              <w:bCs w:val="0"/>
              <w:sz w:val="32"/>
              <w:szCs w:val="32"/>
            </w:rPr>
            <w:t>概况</w:t>
          </w:r>
          <w:r>
            <w:rPr>
              <w:b/>
              <w:sz w:val="32"/>
              <w:szCs w:val="32"/>
            </w:rPr>
            <w:tab/>
          </w:r>
          <w:r>
            <w:rPr>
              <w:b/>
              <w:sz w:val="32"/>
              <w:szCs w:val="32"/>
            </w:rPr>
            <w:fldChar w:fldCharType="begin"/>
          </w:r>
          <w:r>
            <w:rPr>
              <w:b/>
              <w:sz w:val="32"/>
              <w:szCs w:val="32"/>
            </w:rPr>
            <w:instrText xml:space="preserve"> PAGEREF _Toc504 \h </w:instrText>
          </w:r>
          <w:r>
            <w:rPr>
              <w:b/>
              <w:sz w:val="32"/>
              <w:szCs w:val="32"/>
            </w:rPr>
            <w:fldChar w:fldCharType="separate"/>
          </w:r>
          <w:r>
            <w:rPr>
              <w:b/>
              <w:sz w:val="32"/>
              <w:szCs w:val="32"/>
            </w:rPr>
            <w:t>3</w:t>
          </w:r>
          <w:r>
            <w:rPr>
              <w:b/>
              <w:sz w:val="32"/>
              <w:szCs w:val="32"/>
            </w:rPr>
            <w:fldChar w:fldCharType="end"/>
          </w:r>
          <w:r>
            <w:rPr>
              <w:b/>
              <w:sz w:val="32"/>
              <w:szCs w:val="32"/>
            </w:rPr>
            <w:fldChar w:fldCharType="end"/>
          </w:r>
        </w:p>
        <w:p w14:paraId="55290D2F">
          <w:pPr>
            <w:pStyle w:val="38"/>
            <w:tabs>
              <w:tab w:val="right" w:leader="dot" w:pos="8306"/>
            </w:tabs>
            <w:rPr>
              <w:sz w:val="32"/>
              <w:szCs w:val="32"/>
            </w:rPr>
          </w:pPr>
          <w:r>
            <w:rPr>
              <w:sz w:val="32"/>
              <w:szCs w:val="32"/>
            </w:rPr>
            <w:fldChar w:fldCharType="begin"/>
          </w:r>
          <w:r>
            <w:rPr>
              <w:sz w:val="32"/>
              <w:szCs w:val="32"/>
            </w:rPr>
            <w:instrText xml:space="preserve"> HYPERLINK \l _Toc22544 </w:instrText>
          </w:r>
          <w:r>
            <w:rPr>
              <w:sz w:val="32"/>
              <w:szCs w:val="32"/>
            </w:rPr>
            <w:fldChar w:fldCharType="separate"/>
          </w:r>
          <w:r>
            <w:rPr>
              <w:rFonts w:hint="eastAsia" w:ascii="仿宋_GB2312" w:hAnsi="仿宋" w:eastAsia="仿宋_GB2312"/>
              <w:bCs/>
              <w:sz w:val="32"/>
              <w:szCs w:val="32"/>
              <w:lang w:val="en-US" w:eastAsia="zh-CN"/>
            </w:rPr>
            <w:t xml:space="preserve">一、 </w:t>
          </w:r>
          <w:r>
            <w:rPr>
              <w:rFonts w:hint="eastAsia" w:ascii="黑体" w:hAnsi="黑体" w:eastAsia="黑体"/>
              <w:bCs w:val="0"/>
              <w:sz w:val="32"/>
              <w:szCs w:val="32"/>
            </w:rPr>
            <w:t>主要职责</w:t>
          </w:r>
          <w:r>
            <w:rPr>
              <w:sz w:val="32"/>
              <w:szCs w:val="32"/>
            </w:rPr>
            <w:tab/>
          </w:r>
          <w:r>
            <w:rPr>
              <w:sz w:val="32"/>
              <w:szCs w:val="32"/>
            </w:rPr>
            <w:fldChar w:fldCharType="begin"/>
          </w:r>
          <w:r>
            <w:rPr>
              <w:sz w:val="32"/>
              <w:szCs w:val="32"/>
            </w:rPr>
            <w:instrText xml:space="preserve"> PAGEREF _Toc22544 \h </w:instrText>
          </w:r>
          <w:r>
            <w:rPr>
              <w:sz w:val="32"/>
              <w:szCs w:val="32"/>
            </w:rPr>
            <w:fldChar w:fldCharType="separate"/>
          </w:r>
          <w:r>
            <w:rPr>
              <w:sz w:val="32"/>
              <w:szCs w:val="32"/>
            </w:rPr>
            <w:t>3</w:t>
          </w:r>
          <w:r>
            <w:rPr>
              <w:sz w:val="32"/>
              <w:szCs w:val="32"/>
            </w:rPr>
            <w:fldChar w:fldCharType="end"/>
          </w:r>
          <w:r>
            <w:rPr>
              <w:sz w:val="32"/>
              <w:szCs w:val="32"/>
            </w:rPr>
            <w:fldChar w:fldCharType="end"/>
          </w:r>
        </w:p>
        <w:p w14:paraId="68C877D7">
          <w:pPr>
            <w:pStyle w:val="38"/>
            <w:tabs>
              <w:tab w:val="right" w:leader="dot" w:pos="8306"/>
            </w:tabs>
            <w:rPr>
              <w:sz w:val="32"/>
              <w:szCs w:val="32"/>
            </w:rPr>
          </w:pPr>
          <w:r>
            <w:rPr>
              <w:sz w:val="32"/>
              <w:szCs w:val="32"/>
            </w:rPr>
            <w:fldChar w:fldCharType="begin"/>
          </w:r>
          <w:r>
            <w:rPr>
              <w:sz w:val="32"/>
              <w:szCs w:val="32"/>
            </w:rPr>
            <w:instrText xml:space="preserve"> HYPERLINK \l _Toc12746 </w:instrText>
          </w:r>
          <w:r>
            <w:rPr>
              <w:sz w:val="32"/>
              <w:szCs w:val="32"/>
            </w:rPr>
            <w:fldChar w:fldCharType="separate"/>
          </w:r>
          <w:r>
            <w:rPr>
              <w:rFonts w:hint="eastAsia" w:ascii="黑体" w:hAnsi="黑体" w:eastAsia="黑体"/>
              <w:sz w:val="32"/>
              <w:szCs w:val="32"/>
            </w:rPr>
            <w:t>二、 机构设置</w:t>
          </w:r>
          <w:r>
            <w:rPr>
              <w:sz w:val="32"/>
              <w:szCs w:val="32"/>
            </w:rPr>
            <w:tab/>
          </w:r>
          <w:r>
            <w:rPr>
              <w:sz w:val="32"/>
              <w:szCs w:val="32"/>
            </w:rPr>
            <w:fldChar w:fldCharType="begin"/>
          </w:r>
          <w:r>
            <w:rPr>
              <w:sz w:val="32"/>
              <w:szCs w:val="32"/>
            </w:rPr>
            <w:instrText xml:space="preserve"> PAGEREF _Toc12746 \h </w:instrText>
          </w:r>
          <w:r>
            <w:rPr>
              <w:sz w:val="32"/>
              <w:szCs w:val="32"/>
            </w:rPr>
            <w:fldChar w:fldCharType="separate"/>
          </w:r>
          <w:r>
            <w:rPr>
              <w:sz w:val="32"/>
              <w:szCs w:val="32"/>
            </w:rPr>
            <w:t>3</w:t>
          </w:r>
          <w:r>
            <w:rPr>
              <w:sz w:val="32"/>
              <w:szCs w:val="32"/>
            </w:rPr>
            <w:fldChar w:fldCharType="end"/>
          </w:r>
          <w:r>
            <w:rPr>
              <w:sz w:val="32"/>
              <w:szCs w:val="32"/>
            </w:rPr>
            <w:fldChar w:fldCharType="end"/>
          </w:r>
        </w:p>
        <w:p w14:paraId="221EEC9A">
          <w:pPr>
            <w:pStyle w:val="37"/>
            <w:tabs>
              <w:tab w:val="right" w:leader="dot" w:pos="8306"/>
            </w:tabs>
            <w:rPr>
              <w:b/>
              <w:sz w:val="32"/>
              <w:szCs w:val="32"/>
            </w:rPr>
          </w:pPr>
          <w:r>
            <w:rPr>
              <w:b/>
              <w:sz w:val="32"/>
              <w:szCs w:val="32"/>
            </w:rPr>
            <w:fldChar w:fldCharType="begin"/>
          </w:r>
          <w:r>
            <w:rPr>
              <w:b/>
              <w:sz w:val="32"/>
              <w:szCs w:val="32"/>
            </w:rPr>
            <w:instrText xml:space="preserve"> HYPERLINK \l _Toc29713 </w:instrText>
          </w:r>
          <w:r>
            <w:rPr>
              <w:b/>
              <w:sz w:val="32"/>
              <w:szCs w:val="32"/>
            </w:rPr>
            <w:fldChar w:fldCharType="separate"/>
          </w:r>
          <w:r>
            <w:rPr>
              <w:rFonts w:hint="eastAsia" w:ascii="黑体" w:hAnsi="黑体" w:eastAsia="黑体"/>
              <w:b/>
              <w:sz w:val="32"/>
              <w:szCs w:val="32"/>
            </w:rPr>
            <w:t>第二部分 2023年度</w:t>
          </w:r>
          <w:r>
            <w:rPr>
              <w:rFonts w:hint="eastAsia" w:ascii="黑体" w:hAnsi="黑体" w:eastAsia="黑体"/>
              <w:b/>
              <w:bCs/>
              <w:sz w:val="32"/>
              <w:szCs w:val="32"/>
            </w:rPr>
            <w:t>单位决算情况说明</w:t>
          </w:r>
          <w:r>
            <w:rPr>
              <w:b/>
              <w:sz w:val="32"/>
              <w:szCs w:val="32"/>
            </w:rPr>
            <w:tab/>
          </w:r>
          <w:r>
            <w:rPr>
              <w:b/>
              <w:sz w:val="32"/>
              <w:szCs w:val="32"/>
            </w:rPr>
            <w:fldChar w:fldCharType="begin"/>
          </w:r>
          <w:r>
            <w:rPr>
              <w:b/>
              <w:sz w:val="32"/>
              <w:szCs w:val="32"/>
            </w:rPr>
            <w:instrText xml:space="preserve"> PAGEREF _Toc29713 \h </w:instrText>
          </w:r>
          <w:r>
            <w:rPr>
              <w:b/>
              <w:sz w:val="32"/>
              <w:szCs w:val="32"/>
            </w:rPr>
            <w:fldChar w:fldCharType="separate"/>
          </w:r>
          <w:r>
            <w:rPr>
              <w:b/>
              <w:sz w:val="32"/>
              <w:szCs w:val="32"/>
            </w:rPr>
            <w:t>4</w:t>
          </w:r>
          <w:r>
            <w:rPr>
              <w:b/>
              <w:sz w:val="32"/>
              <w:szCs w:val="32"/>
            </w:rPr>
            <w:fldChar w:fldCharType="end"/>
          </w:r>
          <w:r>
            <w:rPr>
              <w:b/>
              <w:sz w:val="32"/>
              <w:szCs w:val="32"/>
            </w:rPr>
            <w:fldChar w:fldCharType="end"/>
          </w:r>
        </w:p>
        <w:p w14:paraId="062D43E9">
          <w:pPr>
            <w:pStyle w:val="38"/>
            <w:tabs>
              <w:tab w:val="right" w:leader="dot" w:pos="8306"/>
            </w:tabs>
            <w:rPr>
              <w:sz w:val="32"/>
              <w:szCs w:val="32"/>
            </w:rPr>
          </w:pPr>
          <w:r>
            <w:rPr>
              <w:sz w:val="32"/>
              <w:szCs w:val="32"/>
            </w:rPr>
            <w:fldChar w:fldCharType="begin"/>
          </w:r>
          <w:r>
            <w:rPr>
              <w:sz w:val="32"/>
              <w:szCs w:val="32"/>
            </w:rPr>
            <w:instrText xml:space="preserve"> HYPERLINK \l _Toc6084 </w:instrText>
          </w:r>
          <w:r>
            <w:rPr>
              <w:sz w:val="32"/>
              <w:szCs w:val="32"/>
            </w:rPr>
            <w:fldChar w:fldCharType="separate"/>
          </w:r>
          <w:r>
            <w:rPr>
              <w:rFonts w:hint="default" w:ascii="黑体" w:hAnsi="黑体" w:eastAsia="黑体"/>
              <w:sz w:val="32"/>
              <w:szCs w:val="32"/>
            </w:rPr>
            <w:t xml:space="preserve">一、 </w:t>
          </w:r>
          <w:r>
            <w:rPr>
              <w:rFonts w:hint="eastAsia" w:ascii="黑体" w:hAnsi="黑体" w:eastAsia="黑体"/>
              <w:sz w:val="32"/>
              <w:szCs w:val="32"/>
            </w:rPr>
            <w:t>收入支出决算总体情况说明</w:t>
          </w:r>
          <w:r>
            <w:rPr>
              <w:sz w:val="32"/>
              <w:szCs w:val="32"/>
            </w:rPr>
            <w:tab/>
          </w:r>
          <w:r>
            <w:rPr>
              <w:sz w:val="32"/>
              <w:szCs w:val="32"/>
            </w:rPr>
            <w:fldChar w:fldCharType="begin"/>
          </w:r>
          <w:r>
            <w:rPr>
              <w:sz w:val="32"/>
              <w:szCs w:val="32"/>
            </w:rPr>
            <w:instrText xml:space="preserve"> PAGEREF _Toc6084 \h </w:instrText>
          </w:r>
          <w:r>
            <w:rPr>
              <w:sz w:val="32"/>
              <w:szCs w:val="32"/>
            </w:rPr>
            <w:fldChar w:fldCharType="separate"/>
          </w:r>
          <w:r>
            <w:rPr>
              <w:sz w:val="32"/>
              <w:szCs w:val="32"/>
            </w:rPr>
            <w:t>4</w:t>
          </w:r>
          <w:r>
            <w:rPr>
              <w:sz w:val="32"/>
              <w:szCs w:val="32"/>
            </w:rPr>
            <w:fldChar w:fldCharType="end"/>
          </w:r>
          <w:r>
            <w:rPr>
              <w:sz w:val="32"/>
              <w:szCs w:val="32"/>
            </w:rPr>
            <w:fldChar w:fldCharType="end"/>
          </w:r>
        </w:p>
        <w:p w14:paraId="1BF88F52">
          <w:pPr>
            <w:pStyle w:val="38"/>
            <w:tabs>
              <w:tab w:val="right" w:leader="dot" w:pos="8306"/>
            </w:tabs>
            <w:rPr>
              <w:sz w:val="32"/>
              <w:szCs w:val="32"/>
            </w:rPr>
          </w:pPr>
          <w:r>
            <w:rPr>
              <w:sz w:val="32"/>
              <w:szCs w:val="32"/>
            </w:rPr>
            <w:fldChar w:fldCharType="begin"/>
          </w:r>
          <w:r>
            <w:rPr>
              <w:sz w:val="32"/>
              <w:szCs w:val="32"/>
            </w:rPr>
            <w:instrText xml:space="preserve"> HYPERLINK \l _Toc4678 </w:instrText>
          </w:r>
          <w:r>
            <w:rPr>
              <w:sz w:val="32"/>
              <w:szCs w:val="32"/>
            </w:rPr>
            <w:fldChar w:fldCharType="separate"/>
          </w:r>
          <w:r>
            <w:rPr>
              <w:rFonts w:hint="default" w:ascii="黑体" w:hAnsi="黑体" w:eastAsia="黑体"/>
              <w:sz w:val="32"/>
              <w:szCs w:val="32"/>
            </w:rPr>
            <w:t xml:space="preserve">二、 </w:t>
          </w:r>
          <w:r>
            <w:rPr>
              <w:rFonts w:hint="eastAsia" w:ascii="黑体" w:hAnsi="黑体" w:eastAsia="黑体"/>
              <w:sz w:val="32"/>
              <w:szCs w:val="32"/>
            </w:rPr>
            <w:t>收入决算情况说明</w:t>
          </w:r>
          <w:r>
            <w:rPr>
              <w:sz w:val="32"/>
              <w:szCs w:val="32"/>
            </w:rPr>
            <w:tab/>
          </w:r>
          <w:r>
            <w:rPr>
              <w:sz w:val="32"/>
              <w:szCs w:val="32"/>
            </w:rPr>
            <w:fldChar w:fldCharType="begin"/>
          </w:r>
          <w:r>
            <w:rPr>
              <w:sz w:val="32"/>
              <w:szCs w:val="32"/>
            </w:rPr>
            <w:instrText xml:space="preserve"> PAGEREF _Toc4678 \h </w:instrText>
          </w:r>
          <w:r>
            <w:rPr>
              <w:sz w:val="32"/>
              <w:szCs w:val="32"/>
            </w:rPr>
            <w:fldChar w:fldCharType="separate"/>
          </w:r>
          <w:r>
            <w:rPr>
              <w:sz w:val="32"/>
              <w:szCs w:val="32"/>
            </w:rPr>
            <w:t>5</w:t>
          </w:r>
          <w:r>
            <w:rPr>
              <w:sz w:val="32"/>
              <w:szCs w:val="32"/>
            </w:rPr>
            <w:fldChar w:fldCharType="end"/>
          </w:r>
          <w:r>
            <w:rPr>
              <w:sz w:val="32"/>
              <w:szCs w:val="32"/>
            </w:rPr>
            <w:fldChar w:fldCharType="end"/>
          </w:r>
        </w:p>
        <w:p w14:paraId="3B1AAA01">
          <w:pPr>
            <w:pStyle w:val="38"/>
            <w:tabs>
              <w:tab w:val="right" w:leader="dot" w:pos="8306"/>
            </w:tabs>
            <w:rPr>
              <w:sz w:val="32"/>
              <w:szCs w:val="32"/>
            </w:rPr>
          </w:pPr>
          <w:r>
            <w:rPr>
              <w:sz w:val="32"/>
              <w:szCs w:val="32"/>
            </w:rPr>
            <w:fldChar w:fldCharType="begin"/>
          </w:r>
          <w:r>
            <w:rPr>
              <w:sz w:val="32"/>
              <w:szCs w:val="32"/>
            </w:rPr>
            <w:instrText xml:space="preserve"> HYPERLINK \l _Toc8653 </w:instrText>
          </w:r>
          <w:r>
            <w:rPr>
              <w:sz w:val="32"/>
              <w:szCs w:val="32"/>
            </w:rPr>
            <w:fldChar w:fldCharType="separate"/>
          </w:r>
          <w:r>
            <w:rPr>
              <w:rFonts w:hint="default" w:ascii="黑体" w:hAnsi="黑体" w:eastAsia="黑体"/>
              <w:sz w:val="32"/>
              <w:szCs w:val="32"/>
            </w:rPr>
            <w:t xml:space="preserve">三、 </w:t>
          </w:r>
          <w:r>
            <w:rPr>
              <w:rFonts w:hint="eastAsia" w:ascii="黑体" w:hAnsi="黑体" w:eastAsia="黑体"/>
              <w:sz w:val="32"/>
              <w:szCs w:val="32"/>
            </w:rPr>
            <w:t>支出决算情况说明</w:t>
          </w:r>
          <w:r>
            <w:rPr>
              <w:sz w:val="32"/>
              <w:szCs w:val="32"/>
            </w:rPr>
            <w:tab/>
          </w:r>
          <w:r>
            <w:rPr>
              <w:sz w:val="32"/>
              <w:szCs w:val="32"/>
            </w:rPr>
            <w:fldChar w:fldCharType="begin"/>
          </w:r>
          <w:r>
            <w:rPr>
              <w:sz w:val="32"/>
              <w:szCs w:val="32"/>
            </w:rPr>
            <w:instrText xml:space="preserve"> PAGEREF _Toc8653 \h </w:instrText>
          </w:r>
          <w:r>
            <w:rPr>
              <w:sz w:val="32"/>
              <w:szCs w:val="32"/>
            </w:rPr>
            <w:fldChar w:fldCharType="separate"/>
          </w:r>
          <w:r>
            <w:rPr>
              <w:sz w:val="32"/>
              <w:szCs w:val="32"/>
            </w:rPr>
            <w:t>5</w:t>
          </w:r>
          <w:r>
            <w:rPr>
              <w:sz w:val="32"/>
              <w:szCs w:val="32"/>
            </w:rPr>
            <w:fldChar w:fldCharType="end"/>
          </w:r>
          <w:r>
            <w:rPr>
              <w:sz w:val="32"/>
              <w:szCs w:val="32"/>
            </w:rPr>
            <w:fldChar w:fldCharType="end"/>
          </w:r>
        </w:p>
        <w:p w14:paraId="3FE5D2F5">
          <w:pPr>
            <w:pStyle w:val="38"/>
            <w:tabs>
              <w:tab w:val="right" w:leader="dot" w:pos="8306"/>
            </w:tabs>
            <w:rPr>
              <w:sz w:val="32"/>
              <w:szCs w:val="32"/>
            </w:rPr>
          </w:pPr>
          <w:r>
            <w:rPr>
              <w:sz w:val="32"/>
              <w:szCs w:val="32"/>
            </w:rPr>
            <w:fldChar w:fldCharType="begin"/>
          </w:r>
          <w:r>
            <w:rPr>
              <w:sz w:val="32"/>
              <w:szCs w:val="32"/>
            </w:rPr>
            <w:instrText xml:space="preserve"> HYPERLINK \l _Toc2885 </w:instrText>
          </w:r>
          <w:r>
            <w:rPr>
              <w:sz w:val="32"/>
              <w:szCs w:val="32"/>
            </w:rPr>
            <w:fldChar w:fldCharType="separate"/>
          </w:r>
          <w:r>
            <w:rPr>
              <w:rFonts w:hint="eastAsia" w:ascii="黑体" w:hAnsi="黑体" w:eastAsia="黑体"/>
              <w:sz w:val="32"/>
              <w:szCs w:val="32"/>
            </w:rPr>
            <w:t>五、一般公共预算财政拨款支出决算情况说明</w:t>
          </w:r>
          <w:r>
            <w:rPr>
              <w:sz w:val="32"/>
              <w:szCs w:val="32"/>
            </w:rPr>
            <w:tab/>
          </w:r>
          <w:r>
            <w:rPr>
              <w:sz w:val="32"/>
              <w:szCs w:val="32"/>
            </w:rPr>
            <w:fldChar w:fldCharType="begin"/>
          </w:r>
          <w:r>
            <w:rPr>
              <w:sz w:val="32"/>
              <w:szCs w:val="32"/>
            </w:rPr>
            <w:instrText xml:space="preserve"> PAGEREF _Toc2885 \h </w:instrText>
          </w:r>
          <w:r>
            <w:rPr>
              <w:sz w:val="32"/>
              <w:szCs w:val="32"/>
            </w:rPr>
            <w:fldChar w:fldCharType="separate"/>
          </w:r>
          <w:r>
            <w:rPr>
              <w:sz w:val="32"/>
              <w:szCs w:val="32"/>
            </w:rPr>
            <w:t>7</w:t>
          </w:r>
          <w:r>
            <w:rPr>
              <w:sz w:val="32"/>
              <w:szCs w:val="32"/>
            </w:rPr>
            <w:fldChar w:fldCharType="end"/>
          </w:r>
          <w:r>
            <w:rPr>
              <w:sz w:val="32"/>
              <w:szCs w:val="32"/>
            </w:rPr>
            <w:fldChar w:fldCharType="end"/>
          </w:r>
        </w:p>
        <w:p w14:paraId="26865701">
          <w:pPr>
            <w:pStyle w:val="38"/>
            <w:tabs>
              <w:tab w:val="right" w:leader="dot" w:pos="8306"/>
            </w:tabs>
            <w:rPr>
              <w:sz w:val="32"/>
              <w:szCs w:val="32"/>
            </w:rPr>
          </w:pPr>
          <w:r>
            <w:rPr>
              <w:sz w:val="32"/>
              <w:szCs w:val="32"/>
            </w:rPr>
            <w:fldChar w:fldCharType="begin"/>
          </w:r>
          <w:r>
            <w:rPr>
              <w:sz w:val="32"/>
              <w:szCs w:val="32"/>
            </w:rPr>
            <w:instrText xml:space="preserve"> HYPERLINK \l _Toc28738 </w:instrText>
          </w:r>
          <w:r>
            <w:rPr>
              <w:sz w:val="32"/>
              <w:szCs w:val="32"/>
            </w:rPr>
            <w:fldChar w:fldCharType="separate"/>
          </w:r>
          <w:r>
            <w:rPr>
              <w:rFonts w:hint="eastAsia" w:ascii="黑体" w:eastAsia="黑体"/>
              <w:sz w:val="32"/>
              <w:szCs w:val="32"/>
            </w:rPr>
            <w:t>六、</w:t>
          </w:r>
          <w:r>
            <w:rPr>
              <w:rFonts w:hint="eastAsia" w:ascii="黑体" w:hAnsi="黑体" w:eastAsia="黑体"/>
              <w:sz w:val="32"/>
              <w:szCs w:val="32"/>
            </w:rPr>
            <w:t>一般公共预算财政拨款基本支出决算情况说明</w:t>
          </w:r>
          <w:r>
            <w:rPr>
              <w:sz w:val="32"/>
              <w:szCs w:val="32"/>
            </w:rPr>
            <w:tab/>
          </w:r>
          <w:r>
            <w:rPr>
              <w:sz w:val="32"/>
              <w:szCs w:val="32"/>
            </w:rPr>
            <w:fldChar w:fldCharType="begin"/>
          </w:r>
          <w:r>
            <w:rPr>
              <w:sz w:val="32"/>
              <w:szCs w:val="32"/>
            </w:rPr>
            <w:instrText xml:space="preserve"> PAGEREF _Toc28738 \h </w:instrText>
          </w:r>
          <w:r>
            <w:rPr>
              <w:sz w:val="32"/>
              <w:szCs w:val="32"/>
            </w:rPr>
            <w:fldChar w:fldCharType="separate"/>
          </w:r>
          <w:r>
            <w:rPr>
              <w:sz w:val="32"/>
              <w:szCs w:val="32"/>
            </w:rPr>
            <w:t>10</w:t>
          </w:r>
          <w:r>
            <w:rPr>
              <w:sz w:val="32"/>
              <w:szCs w:val="32"/>
            </w:rPr>
            <w:fldChar w:fldCharType="end"/>
          </w:r>
          <w:r>
            <w:rPr>
              <w:sz w:val="32"/>
              <w:szCs w:val="32"/>
            </w:rPr>
            <w:fldChar w:fldCharType="end"/>
          </w:r>
        </w:p>
        <w:p w14:paraId="436F8868">
          <w:pPr>
            <w:pStyle w:val="38"/>
            <w:tabs>
              <w:tab w:val="right" w:leader="dot" w:pos="8306"/>
            </w:tabs>
            <w:rPr>
              <w:sz w:val="32"/>
              <w:szCs w:val="32"/>
            </w:rPr>
          </w:pPr>
          <w:r>
            <w:rPr>
              <w:sz w:val="32"/>
              <w:szCs w:val="32"/>
            </w:rPr>
            <w:fldChar w:fldCharType="begin"/>
          </w:r>
          <w:r>
            <w:rPr>
              <w:sz w:val="32"/>
              <w:szCs w:val="32"/>
            </w:rPr>
            <w:instrText xml:space="preserve"> HYPERLINK \l _Toc19195 </w:instrText>
          </w:r>
          <w:r>
            <w:rPr>
              <w:sz w:val="32"/>
              <w:szCs w:val="32"/>
            </w:rPr>
            <w:fldChar w:fldCharType="separate"/>
          </w:r>
          <w:r>
            <w:rPr>
              <w:rFonts w:hint="eastAsia" w:ascii="黑体" w:eastAsia="黑体"/>
              <w:sz w:val="32"/>
              <w:szCs w:val="32"/>
            </w:rPr>
            <w:t>七、</w:t>
          </w:r>
          <w:r>
            <w:rPr>
              <w:rFonts w:hint="eastAsia" w:ascii="黑体" w:hAnsi="黑体" w:eastAsia="黑体"/>
              <w:sz w:val="32"/>
              <w:szCs w:val="32"/>
            </w:rPr>
            <w:t>财政拨款“三公”经费支出决算情况说明</w:t>
          </w:r>
          <w:r>
            <w:rPr>
              <w:sz w:val="32"/>
              <w:szCs w:val="32"/>
            </w:rPr>
            <w:tab/>
          </w:r>
          <w:r>
            <w:rPr>
              <w:sz w:val="32"/>
              <w:szCs w:val="32"/>
            </w:rPr>
            <w:fldChar w:fldCharType="begin"/>
          </w:r>
          <w:r>
            <w:rPr>
              <w:sz w:val="32"/>
              <w:szCs w:val="32"/>
            </w:rPr>
            <w:instrText xml:space="preserve"> PAGEREF _Toc19195 \h </w:instrText>
          </w:r>
          <w:r>
            <w:rPr>
              <w:sz w:val="32"/>
              <w:szCs w:val="32"/>
            </w:rPr>
            <w:fldChar w:fldCharType="separate"/>
          </w:r>
          <w:r>
            <w:rPr>
              <w:sz w:val="32"/>
              <w:szCs w:val="32"/>
            </w:rPr>
            <w:t>10</w:t>
          </w:r>
          <w:r>
            <w:rPr>
              <w:sz w:val="32"/>
              <w:szCs w:val="32"/>
            </w:rPr>
            <w:fldChar w:fldCharType="end"/>
          </w:r>
          <w:r>
            <w:rPr>
              <w:sz w:val="32"/>
              <w:szCs w:val="32"/>
            </w:rPr>
            <w:fldChar w:fldCharType="end"/>
          </w:r>
        </w:p>
        <w:p w14:paraId="0B4D23B5">
          <w:pPr>
            <w:pStyle w:val="38"/>
            <w:tabs>
              <w:tab w:val="right" w:leader="dot" w:pos="8306"/>
            </w:tabs>
            <w:rPr>
              <w:sz w:val="32"/>
              <w:szCs w:val="32"/>
            </w:rPr>
          </w:pPr>
          <w:r>
            <w:rPr>
              <w:sz w:val="32"/>
              <w:szCs w:val="32"/>
            </w:rPr>
            <w:fldChar w:fldCharType="begin"/>
          </w:r>
          <w:r>
            <w:rPr>
              <w:sz w:val="32"/>
              <w:szCs w:val="32"/>
            </w:rPr>
            <w:instrText xml:space="preserve"> HYPERLINK \l _Toc13249 </w:instrText>
          </w:r>
          <w:r>
            <w:rPr>
              <w:sz w:val="32"/>
              <w:szCs w:val="32"/>
            </w:rPr>
            <w:fldChar w:fldCharType="separate"/>
          </w:r>
          <w:r>
            <w:rPr>
              <w:rFonts w:hint="eastAsia" w:ascii="黑体" w:eastAsia="黑体"/>
              <w:sz w:val="32"/>
              <w:szCs w:val="32"/>
            </w:rPr>
            <w:t>八、</w:t>
          </w:r>
          <w:r>
            <w:rPr>
              <w:rFonts w:hint="eastAsia" w:ascii="黑体" w:hAnsi="黑体" w:eastAsia="黑体"/>
              <w:sz w:val="32"/>
              <w:szCs w:val="32"/>
            </w:rPr>
            <w:t>政府性基金预算支出决算情况说明</w:t>
          </w:r>
          <w:r>
            <w:rPr>
              <w:sz w:val="32"/>
              <w:szCs w:val="32"/>
            </w:rPr>
            <w:tab/>
          </w:r>
          <w:r>
            <w:rPr>
              <w:sz w:val="32"/>
              <w:szCs w:val="32"/>
            </w:rPr>
            <w:fldChar w:fldCharType="begin"/>
          </w:r>
          <w:r>
            <w:rPr>
              <w:sz w:val="32"/>
              <w:szCs w:val="32"/>
            </w:rPr>
            <w:instrText xml:space="preserve"> PAGEREF _Toc13249 \h </w:instrText>
          </w:r>
          <w:r>
            <w:rPr>
              <w:sz w:val="32"/>
              <w:szCs w:val="32"/>
            </w:rPr>
            <w:fldChar w:fldCharType="separate"/>
          </w:r>
          <w:r>
            <w:rPr>
              <w:sz w:val="32"/>
              <w:szCs w:val="32"/>
            </w:rPr>
            <w:t>12</w:t>
          </w:r>
          <w:r>
            <w:rPr>
              <w:sz w:val="32"/>
              <w:szCs w:val="32"/>
            </w:rPr>
            <w:fldChar w:fldCharType="end"/>
          </w:r>
          <w:r>
            <w:rPr>
              <w:sz w:val="32"/>
              <w:szCs w:val="32"/>
            </w:rPr>
            <w:fldChar w:fldCharType="end"/>
          </w:r>
        </w:p>
        <w:p w14:paraId="14CF2348">
          <w:pPr>
            <w:pStyle w:val="38"/>
            <w:tabs>
              <w:tab w:val="right" w:leader="dot" w:pos="8306"/>
            </w:tabs>
            <w:rPr>
              <w:sz w:val="32"/>
              <w:szCs w:val="32"/>
            </w:rPr>
          </w:pPr>
          <w:r>
            <w:rPr>
              <w:sz w:val="32"/>
              <w:szCs w:val="32"/>
            </w:rPr>
            <w:fldChar w:fldCharType="begin"/>
          </w:r>
          <w:r>
            <w:rPr>
              <w:sz w:val="32"/>
              <w:szCs w:val="32"/>
            </w:rPr>
            <w:instrText xml:space="preserve"> HYPERLINK \l _Toc5394 </w:instrText>
          </w:r>
          <w:r>
            <w:rPr>
              <w:sz w:val="32"/>
              <w:szCs w:val="32"/>
            </w:rPr>
            <w:fldChar w:fldCharType="separate"/>
          </w:r>
          <w:r>
            <w:rPr>
              <w:rFonts w:hint="eastAsia" w:ascii="黑体" w:hAnsi="黑体" w:eastAsia="黑体"/>
              <w:sz w:val="32"/>
              <w:szCs w:val="32"/>
            </w:rPr>
            <w:t>九、 国有资本经营预算支出决算情况说明</w:t>
          </w:r>
          <w:r>
            <w:rPr>
              <w:sz w:val="32"/>
              <w:szCs w:val="32"/>
            </w:rPr>
            <w:tab/>
          </w:r>
          <w:r>
            <w:rPr>
              <w:sz w:val="32"/>
              <w:szCs w:val="32"/>
            </w:rPr>
            <w:fldChar w:fldCharType="begin"/>
          </w:r>
          <w:r>
            <w:rPr>
              <w:sz w:val="32"/>
              <w:szCs w:val="32"/>
            </w:rPr>
            <w:instrText xml:space="preserve"> PAGEREF _Toc5394 \h </w:instrText>
          </w:r>
          <w:r>
            <w:rPr>
              <w:sz w:val="32"/>
              <w:szCs w:val="32"/>
            </w:rPr>
            <w:fldChar w:fldCharType="separate"/>
          </w:r>
          <w:r>
            <w:rPr>
              <w:sz w:val="32"/>
              <w:szCs w:val="32"/>
            </w:rPr>
            <w:t>13</w:t>
          </w:r>
          <w:r>
            <w:rPr>
              <w:sz w:val="32"/>
              <w:szCs w:val="32"/>
            </w:rPr>
            <w:fldChar w:fldCharType="end"/>
          </w:r>
          <w:r>
            <w:rPr>
              <w:sz w:val="32"/>
              <w:szCs w:val="32"/>
            </w:rPr>
            <w:fldChar w:fldCharType="end"/>
          </w:r>
        </w:p>
        <w:p w14:paraId="3B2F9856">
          <w:pPr>
            <w:pStyle w:val="38"/>
            <w:tabs>
              <w:tab w:val="right" w:leader="dot" w:pos="8306"/>
            </w:tabs>
            <w:rPr>
              <w:sz w:val="32"/>
              <w:szCs w:val="32"/>
            </w:rPr>
          </w:pPr>
          <w:r>
            <w:rPr>
              <w:sz w:val="32"/>
              <w:szCs w:val="32"/>
            </w:rPr>
            <w:fldChar w:fldCharType="begin"/>
          </w:r>
          <w:r>
            <w:rPr>
              <w:sz w:val="32"/>
              <w:szCs w:val="32"/>
            </w:rPr>
            <w:instrText xml:space="preserve"> HYPERLINK \l _Toc19171 </w:instrText>
          </w:r>
          <w:r>
            <w:rPr>
              <w:sz w:val="32"/>
              <w:szCs w:val="32"/>
            </w:rPr>
            <w:fldChar w:fldCharType="separate"/>
          </w:r>
          <w:r>
            <w:rPr>
              <w:rFonts w:hint="eastAsia" w:ascii="黑体" w:hAnsi="黑体" w:eastAsia="黑体"/>
              <w:sz w:val="32"/>
              <w:szCs w:val="32"/>
            </w:rPr>
            <w:t>十、 其他重要事项的情况说明</w:t>
          </w:r>
          <w:r>
            <w:rPr>
              <w:sz w:val="32"/>
              <w:szCs w:val="32"/>
            </w:rPr>
            <w:tab/>
          </w:r>
          <w:r>
            <w:rPr>
              <w:sz w:val="32"/>
              <w:szCs w:val="32"/>
            </w:rPr>
            <w:fldChar w:fldCharType="begin"/>
          </w:r>
          <w:r>
            <w:rPr>
              <w:sz w:val="32"/>
              <w:szCs w:val="32"/>
            </w:rPr>
            <w:instrText xml:space="preserve"> PAGEREF _Toc19171 \h </w:instrText>
          </w:r>
          <w:r>
            <w:rPr>
              <w:sz w:val="32"/>
              <w:szCs w:val="32"/>
            </w:rPr>
            <w:fldChar w:fldCharType="separate"/>
          </w:r>
          <w:r>
            <w:rPr>
              <w:sz w:val="32"/>
              <w:szCs w:val="32"/>
            </w:rPr>
            <w:t>13</w:t>
          </w:r>
          <w:r>
            <w:rPr>
              <w:sz w:val="32"/>
              <w:szCs w:val="32"/>
            </w:rPr>
            <w:fldChar w:fldCharType="end"/>
          </w:r>
          <w:r>
            <w:rPr>
              <w:sz w:val="32"/>
              <w:szCs w:val="32"/>
            </w:rPr>
            <w:fldChar w:fldCharType="end"/>
          </w:r>
        </w:p>
        <w:p w14:paraId="3EDBBE9D">
          <w:pPr>
            <w:pStyle w:val="37"/>
            <w:tabs>
              <w:tab w:val="right" w:leader="dot" w:pos="8306"/>
            </w:tabs>
            <w:rPr>
              <w:b/>
              <w:sz w:val="32"/>
              <w:szCs w:val="32"/>
            </w:rPr>
          </w:pPr>
          <w:r>
            <w:rPr>
              <w:b/>
              <w:sz w:val="32"/>
              <w:szCs w:val="32"/>
            </w:rPr>
            <w:fldChar w:fldCharType="begin"/>
          </w:r>
          <w:r>
            <w:rPr>
              <w:b/>
              <w:sz w:val="32"/>
              <w:szCs w:val="32"/>
            </w:rPr>
            <w:instrText xml:space="preserve"> HYPERLINK \l _Toc22033 </w:instrText>
          </w:r>
          <w:r>
            <w:rPr>
              <w:b/>
              <w:sz w:val="32"/>
              <w:szCs w:val="32"/>
            </w:rPr>
            <w:fldChar w:fldCharType="separate"/>
          </w:r>
          <w:r>
            <w:rPr>
              <w:rFonts w:hint="eastAsia" w:ascii="黑体" w:hAnsi="黑体" w:eastAsia="黑体" w:cs="黑体"/>
              <w:b/>
              <w:sz w:val="32"/>
              <w:szCs w:val="32"/>
            </w:rPr>
            <w:t xml:space="preserve">第三部分 </w:t>
          </w:r>
          <w:r>
            <w:rPr>
              <w:rFonts w:hint="eastAsia" w:ascii="黑体" w:hAnsi="黑体" w:eastAsia="黑体"/>
              <w:b/>
              <w:sz w:val="32"/>
              <w:szCs w:val="32"/>
            </w:rPr>
            <w:t>名词解释</w:t>
          </w:r>
          <w:r>
            <w:rPr>
              <w:b/>
              <w:sz w:val="32"/>
              <w:szCs w:val="32"/>
            </w:rPr>
            <w:tab/>
          </w:r>
          <w:r>
            <w:rPr>
              <w:b/>
              <w:sz w:val="32"/>
              <w:szCs w:val="32"/>
            </w:rPr>
            <w:fldChar w:fldCharType="begin"/>
          </w:r>
          <w:r>
            <w:rPr>
              <w:b/>
              <w:sz w:val="32"/>
              <w:szCs w:val="32"/>
            </w:rPr>
            <w:instrText xml:space="preserve"> PAGEREF _Toc22033 \h </w:instrText>
          </w:r>
          <w:r>
            <w:rPr>
              <w:b/>
              <w:sz w:val="32"/>
              <w:szCs w:val="32"/>
            </w:rPr>
            <w:fldChar w:fldCharType="separate"/>
          </w:r>
          <w:r>
            <w:rPr>
              <w:b/>
              <w:sz w:val="32"/>
              <w:szCs w:val="32"/>
            </w:rPr>
            <w:t>15</w:t>
          </w:r>
          <w:r>
            <w:rPr>
              <w:b/>
              <w:sz w:val="32"/>
              <w:szCs w:val="32"/>
            </w:rPr>
            <w:fldChar w:fldCharType="end"/>
          </w:r>
          <w:r>
            <w:rPr>
              <w:b/>
              <w:sz w:val="32"/>
              <w:szCs w:val="32"/>
            </w:rPr>
            <w:fldChar w:fldCharType="end"/>
          </w:r>
        </w:p>
        <w:p w14:paraId="3FE9A96A">
          <w:pPr>
            <w:pStyle w:val="37"/>
            <w:tabs>
              <w:tab w:val="right" w:leader="dot" w:pos="8306"/>
            </w:tabs>
            <w:rPr>
              <w:b/>
              <w:sz w:val="32"/>
              <w:szCs w:val="32"/>
            </w:rPr>
          </w:pPr>
          <w:r>
            <w:rPr>
              <w:b/>
              <w:sz w:val="32"/>
              <w:szCs w:val="32"/>
            </w:rPr>
            <w:fldChar w:fldCharType="begin"/>
          </w:r>
          <w:r>
            <w:rPr>
              <w:b/>
              <w:sz w:val="32"/>
              <w:szCs w:val="32"/>
            </w:rPr>
            <w:instrText xml:space="preserve"> HYPERLINK \l _Toc25845 </w:instrText>
          </w:r>
          <w:r>
            <w:rPr>
              <w:b/>
              <w:sz w:val="32"/>
              <w:szCs w:val="32"/>
            </w:rPr>
            <w:fldChar w:fldCharType="separate"/>
          </w:r>
          <w:r>
            <w:rPr>
              <w:rFonts w:hint="eastAsia" w:ascii="黑体" w:hAnsi="黑体" w:eastAsia="黑体"/>
              <w:b/>
              <w:sz w:val="32"/>
              <w:szCs w:val="32"/>
            </w:rPr>
            <w:t>第四部分 附件</w:t>
          </w:r>
          <w:r>
            <w:rPr>
              <w:b/>
              <w:sz w:val="32"/>
              <w:szCs w:val="32"/>
            </w:rPr>
            <w:tab/>
          </w:r>
          <w:r>
            <w:rPr>
              <w:b/>
              <w:sz w:val="32"/>
              <w:szCs w:val="32"/>
            </w:rPr>
            <w:fldChar w:fldCharType="begin"/>
          </w:r>
          <w:r>
            <w:rPr>
              <w:b/>
              <w:sz w:val="32"/>
              <w:szCs w:val="32"/>
            </w:rPr>
            <w:instrText xml:space="preserve"> PAGEREF _Toc25845 \h </w:instrText>
          </w:r>
          <w:r>
            <w:rPr>
              <w:b/>
              <w:sz w:val="32"/>
              <w:szCs w:val="32"/>
            </w:rPr>
            <w:fldChar w:fldCharType="separate"/>
          </w:r>
          <w:r>
            <w:rPr>
              <w:b/>
              <w:sz w:val="32"/>
              <w:szCs w:val="32"/>
            </w:rPr>
            <w:t>17</w:t>
          </w:r>
          <w:r>
            <w:rPr>
              <w:b/>
              <w:sz w:val="32"/>
              <w:szCs w:val="32"/>
            </w:rPr>
            <w:fldChar w:fldCharType="end"/>
          </w:r>
          <w:r>
            <w:rPr>
              <w:b/>
              <w:sz w:val="32"/>
              <w:szCs w:val="32"/>
            </w:rPr>
            <w:fldChar w:fldCharType="end"/>
          </w:r>
        </w:p>
        <w:p w14:paraId="30C894FE">
          <w:pPr>
            <w:pStyle w:val="37"/>
            <w:tabs>
              <w:tab w:val="right" w:leader="dot" w:pos="8306"/>
            </w:tabs>
            <w:rPr>
              <w:b/>
              <w:sz w:val="32"/>
              <w:szCs w:val="32"/>
            </w:rPr>
          </w:pPr>
          <w:r>
            <w:rPr>
              <w:b/>
              <w:sz w:val="32"/>
              <w:szCs w:val="32"/>
            </w:rPr>
            <w:fldChar w:fldCharType="begin"/>
          </w:r>
          <w:r>
            <w:rPr>
              <w:b/>
              <w:sz w:val="32"/>
              <w:szCs w:val="32"/>
            </w:rPr>
            <w:instrText xml:space="preserve"> HYPERLINK \l _Toc28974 </w:instrText>
          </w:r>
          <w:r>
            <w:rPr>
              <w:b/>
              <w:sz w:val="32"/>
              <w:szCs w:val="32"/>
            </w:rPr>
            <w:fldChar w:fldCharType="separate"/>
          </w:r>
          <w:r>
            <w:rPr>
              <w:rFonts w:hint="eastAsia" w:ascii="黑体" w:hAnsi="黑体" w:eastAsia="黑体"/>
              <w:b/>
              <w:sz w:val="32"/>
              <w:szCs w:val="32"/>
            </w:rPr>
            <w:t>第五部分 附表</w:t>
          </w:r>
          <w:r>
            <w:rPr>
              <w:b/>
              <w:sz w:val="32"/>
              <w:szCs w:val="32"/>
            </w:rPr>
            <w:tab/>
          </w:r>
          <w:r>
            <w:rPr>
              <w:b/>
              <w:sz w:val="32"/>
              <w:szCs w:val="32"/>
            </w:rPr>
            <w:fldChar w:fldCharType="begin"/>
          </w:r>
          <w:r>
            <w:rPr>
              <w:b/>
              <w:sz w:val="32"/>
              <w:szCs w:val="32"/>
            </w:rPr>
            <w:instrText xml:space="preserve"> PAGEREF _Toc28974 \h </w:instrText>
          </w:r>
          <w:r>
            <w:rPr>
              <w:b/>
              <w:sz w:val="32"/>
              <w:szCs w:val="32"/>
            </w:rPr>
            <w:fldChar w:fldCharType="separate"/>
          </w:r>
          <w:r>
            <w:rPr>
              <w:b/>
              <w:sz w:val="32"/>
              <w:szCs w:val="32"/>
            </w:rPr>
            <w:t>29</w:t>
          </w:r>
          <w:r>
            <w:rPr>
              <w:b/>
              <w:sz w:val="32"/>
              <w:szCs w:val="32"/>
            </w:rPr>
            <w:fldChar w:fldCharType="end"/>
          </w:r>
          <w:r>
            <w:rPr>
              <w:b/>
              <w:sz w:val="32"/>
              <w:szCs w:val="32"/>
            </w:rPr>
            <w:fldChar w:fldCharType="end"/>
          </w:r>
        </w:p>
        <w:p w14:paraId="3417C986">
          <w:pPr>
            <w:pStyle w:val="38"/>
            <w:tabs>
              <w:tab w:val="right" w:leader="dot" w:pos="8306"/>
            </w:tabs>
            <w:rPr>
              <w:sz w:val="32"/>
              <w:szCs w:val="32"/>
            </w:rPr>
          </w:pPr>
          <w:r>
            <w:rPr>
              <w:sz w:val="32"/>
              <w:szCs w:val="32"/>
            </w:rPr>
            <w:fldChar w:fldCharType="begin"/>
          </w:r>
          <w:r>
            <w:rPr>
              <w:sz w:val="32"/>
              <w:szCs w:val="32"/>
            </w:rPr>
            <w:instrText xml:space="preserve"> HYPERLINK \l _Toc30901 </w:instrText>
          </w:r>
          <w:r>
            <w:rPr>
              <w:sz w:val="32"/>
              <w:szCs w:val="32"/>
            </w:rPr>
            <w:fldChar w:fldCharType="separate"/>
          </w:r>
          <w:r>
            <w:rPr>
              <w:rFonts w:hint="eastAsia" w:ascii="仿宋" w:hAnsi="仿宋" w:eastAsia="仿宋"/>
              <w:sz w:val="32"/>
              <w:szCs w:val="32"/>
            </w:rPr>
            <w:t>一、收</w:t>
          </w:r>
          <w:r>
            <w:rPr>
              <w:rFonts w:hint="eastAsia" w:ascii="仿宋" w:hAnsi="仿宋" w:eastAsia="仿宋"/>
              <w:bCs w:val="0"/>
              <w:sz w:val="32"/>
              <w:szCs w:val="32"/>
            </w:rPr>
            <w:t>入支出决算总表</w:t>
          </w:r>
          <w:r>
            <w:rPr>
              <w:sz w:val="32"/>
              <w:szCs w:val="32"/>
            </w:rPr>
            <w:tab/>
          </w:r>
          <w:r>
            <w:rPr>
              <w:sz w:val="32"/>
              <w:szCs w:val="32"/>
            </w:rPr>
            <w:fldChar w:fldCharType="begin"/>
          </w:r>
          <w:r>
            <w:rPr>
              <w:sz w:val="32"/>
              <w:szCs w:val="32"/>
            </w:rPr>
            <w:instrText xml:space="preserve"> PAGEREF _Toc30901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05413ED">
          <w:pPr>
            <w:pStyle w:val="38"/>
            <w:tabs>
              <w:tab w:val="right" w:leader="dot" w:pos="8306"/>
            </w:tabs>
            <w:rPr>
              <w:sz w:val="32"/>
              <w:szCs w:val="32"/>
            </w:rPr>
          </w:pPr>
          <w:r>
            <w:rPr>
              <w:sz w:val="32"/>
              <w:szCs w:val="32"/>
            </w:rPr>
            <w:fldChar w:fldCharType="begin"/>
          </w:r>
          <w:r>
            <w:rPr>
              <w:sz w:val="32"/>
              <w:szCs w:val="32"/>
            </w:rPr>
            <w:instrText xml:space="preserve"> HYPERLINK \l _Toc2361 </w:instrText>
          </w:r>
          <w:r>
            <w:rPr>
              <w:sz w:val="32"/>
              <w:szCs w:val="32"/>
            </w:rPr>
            <w:fldChar w:fldCharType="separate"/>
          </w:r>
          <w:r>
            <w:rPr>
              <w:rFonts w:hint="eastAsia" w:ascii="仿宋" w:hAnsi="仿宋" w:eastAsia="仿宋"/>
              <w:sz w:val="32"/>
              <w:szCs w:val="32"/>
            </w:rPr>
            <w:t>二、收</w:t>
          </w:r>
          <w:r>
            <w:rPr>
              <w:rFonts w:hint="eastAsia" w:ascii="仿宋" w:hAnsi="仿宋" w:eastAsia="仿宋"/>
              <w:bCs w:val="0"/>
              <w:sz w:val="32"/>
              <w:szCs w:val="32"/>
            </w:rPr>
            <w:t>入决算表</w:t>
          </w:r>
          <w:r>
            <w:rPr>
              <w:sz w:val="32"/>
              <w:szCs w:val="32"/>
            </w:rPr>
            <w:tab/>
          </w:r>
          <w:r>
            <w:rPr>
              <w:sz w:val="32"/>
              <w:szCs w:val="32"/>
            </w:rPr>
            <w:fldChar w:fldCharType="begin"/>
          </w:r>
          <w:r>
            <w:rPr>
              <w:sz w:val="32"/>
              <w:szCs w:val="32"/>
            </w:rPr>
            <w:instrText xml:space="preserve"> PAGEREF _Toc2361 \h </w:instrText>
          </w:r>
          <w:r>
            <w:rPr>
              <w:sz w:val="32"/>
              <w:szCs w:val="32"/>
            </w:rPr>
            <w:fldChar w:fldCharType="separate"/>
          </w:r>
          <w:r>
            <w:rPr>
              <w:sz w:val="32"/>
              <w:szCs w:val="32"/>
            </w:rPr>
            <w:t>29</w:t>
          </w:r>
          <w:r>
            <w:rPr>
              <w:sz w:val="32"/>
              <w:szCs w:val="32"/>
            </w:rPr>
            <w:fldChar w:fldCharType="end"/>
          </w:r>
          <w:r>
            <w:rPr>
              <w:sz w:val="32"/>
              <w:szCs w:val="32"/>
            </w:rPr>
            <w:fldChar w:fldCharType="end"/>
          </w:r>
        </w:p>
        <w:p w14:paraId="0F72D188">
          <w:pPr>
            <w:pStyle w:val="38"/>
            <w:tabs>
              <w:tab w:val="right" w:leader="dot" w:pos="8306"/>
            </w:tabs>
            <w:rPr>
              <w:sz w:val="32"/>
              <w:szCs w:val="32"/>
            </w:rPr>
          </w:pPr>
          <w:r>
            <w:rPr>
              <w:sz w:val="32"/>
              <w:szCs w:val="32"/>
            </w:rPr>
            <w:fldChar w:fldCharType="begin"/>
          </w:r>
          <w:r>
            <w:rPr>
              <w:sz w:val="32"/>
              <w:szCs w:val="32"/>
            </w:rPr>
            <w:instrText xml:space="preserve"> HYPERLINK \l _Toc10324 </w:instrText>
          </w:r>
          <w:r>
            <w:rPr>
              <w:sz w:val="32"/>
              <w:szCs w:val="32"/>
            </w:rPr>
            <w:fldChar w:fldCharType="separate"/>
          </w:r>
          <w:r>
            <w:rPr>
              <w:rFonts w:hint="eastAsia" w:ascii="仿宋" w:hAnsi="仿宋" w:eastAsia="仿宋"/>
              <w:bCs w:val="0"/>
              <w:sz w:val="32"/>
              <w:szCs w:val="32"/>
            </w:rPr>
            <w:t>三、</w:t>
          </w:r>
          <w:r>
            <w:rPr>
              <w:rFonts w:hint="eastAsia" w:ascii="仿宋" w:hAnsi="仿宋" w:eastAsia="仿宋"/>
              <w:sz w:val="32"/>
              <w:szCs w:val="32"/>
            </w:rPr>
            <w:t>支</w:t>
          </w:r>
          <w:r>
            <w:rPr>
              <w:rFonts w:hint="eastAsia" w:ascii="仿宋" w:hAnsi="仿宋" w:eastAsia="仿宋"/>
              <w:bCs w:val="0"/>
              <w:sz w:val="32"/>
              <w:szCs w:val="32"/>
            </w:rPr>
            <w:t>出决算表</w:t>
          </w:r>
          <w:r>
            <w:rPr>
              <w:sz w:val="32"/>
              <w:szCs w:val="32"/>
            </w:rPr>
            <w:tab/>
          </w:r>
          <w:r>
            <w:rPr>
              <w:sz w:val="32"/>
              <w:szCs w:val="32"/>
            </w:rPr>
            <w:fldChar w:fldCharType="begin"/>
          </w:r>
          <w:r>
            <w:rPr>
              <w:sz w:val="32"/>
              <w:szCs w:val="32"/>
            </w:rPr>
            <w:instrText xml:space="preserve"> PAGEREF _Toc10324 \h </w:instrText>
          </w:r>
          <w:r>
            <w:rPr>
              <w:sz w:val="32"/>
              <w:szCs w:val="32"/>
            </w:rPr>
            <w:fldChar w:fldCharType="separate"/>
          </w:r>
          <w:r>
            <w:rPr>
              <w:sz w:val="32"/>
              <w:szCs w:val="32"/>
            </w:rPr>
            <w:t>29</w:t>
          </w:r>
          <w:r>
            <w:rPr>
              <w:sz w:val="32"/>
              <w:szCs w:val="32"/>
            </w:rPr>
            <w:fldChar w:fldCharType="end"/>
          </w:r>
          <w:r>
            <w:rPr>
              <w:sz w:val="32"/>
              <w:szCs w:val="32"/>
            </w:rPr>
            <w:fldChar w:fldCharType="end"/>
          </w:r>
        </w:p>
        <w:p w14:paraId="1BAF17D8">
          <w:pPr>
            <w:pStyle w:val="38"/>
            <w:tabs>
              <w:tab w:val="right" w:leader="dot" w:pos="8306"/>
            </w:tabs>
            <w:rPr>
              <w:sz w:val="32"/>
              <w:szCs w:val="32"/>
            </w:rPr>
          </w:pPr>
          <w:r>
            <w:rPr>
              <w:sz w:val="32"/>
              <w:szCs w:val="32"/>
            </w:rPr>
            <w:fldChar w:fldCharType="begin"/>
          </w:r>
          <w:r>
            <w:rPr>
              <w:sz w:val="32"/>
              <w:szCs w:val="32"/>
            </w:rPr>
            <w:instrText xml:space="preserve"> HYPERLINK \l _Toc18240 </w:instrText>
          </w:r>
          <w:r>
            <w:rPr>
              <w:sz w:val="32"/>
              <w:szCs w:val="32"/>
            </w:rPr>
            <w:fldChar w:fldCharType="separate"/>
          </w:r>
          <w:r>
            <w:rPr>
              <w:rFonts w:hint="eastAsia" w:ascii="仿宋" w:hAnsi="仿宋" w:eastAsia="仿宋"/>
              <w:bCs w:val="0"/>
              <w:sz w:val="32"/>
              <w:szCs w:val="32"/>
            </w:rPr>
            <w:t>四、</w:t>
          </w:r>
          <w:r>
            <w:rPr>
              <w:rFonts w:hint="eastAsia" w:ascii="仿宋" w:hAnsi="仿宋" w:eastAsia="仿宋"/>
              <w:sz w:val="32"/>
              <w:szCs w:val="32"/>
            </w:rPr>
            <w:t>财</w:t>
          </w:r>
          <w:r>
            <w:rPr>
              <w:rFonts w:hint="eastAsia" w:ascii="仿宋" w:hAnsi="仿宋" w:eastAsia="仿宋"/>
              <w:bCs w:val="0"/>
              <w:sz w:val="32"/>
              <w:szCs w:val="32"/>
            </w:rPr>
            <w:t>政拨款收入支出决算总表</w:t>
          </w:r>
          <w:r>
            <w:rPr>
              <w:sz w:val="32"/>
              <w:szCs w:val="32"/>
            </w:rPr>
            <w:tab/>
          </w:r>
          <w:r>
            <w:rPr>
              <w:sz w:val="32"/>
              <w:szCs w:val="32"/>
            </w:rPr>
            <w:fldChar w:fldCharType="begin"/>
          </w:r>
          <w:r>
            <w:rPr>
              <w:sz w:val="32"/>
              <w:szCs w:val="32"/>
            </w:rPr>
            <w:instrText xml:space="preserve"> PAGEREF _Toc18240 \h </w:instrText>
          </w:r>
          <w:r>
            <w:rPr>
              <w:sz w:val="32"/>
              <w:szCs w:val="32"/>
            </w:rPr>
            <w:fldChar w:fldCharType="separate"/>
          </w:r>
          <w:r>
            <w:rPr>
              <w:sz w:val="32"/>
              <w:szCs w:val="32"/>
            </w:rPr>
            <w:t>29</w:t>
          </w:r>
          <w:r>
            <w:rPr>
              <w:sz w:val="32"/>
              <w:szCs w:val="32"/>
            </w:rPr>
            <w:fldChar w:fldCharType="end"/>
          </w:r>
          <w:r>
            <w:rPr>
              <w:sz w:val="32"/>
              <w:szCs w:val="32"/>
            </w:rPr>
            <w:fldChar w:fldCharType="end"/>
          </w:r>
        </w:p>
        <w:p w14:paraId="3C98999C">
          <w:pPr>
            <w:pStyle w:val="38"/>
            <w:tabs>
              <w:tab w:val="right" w:leader="dot" w:pos="8306"/>
            </w:tabs>
            <w:rPr>
              <w:sz w:val="32"/>
              <w:szCs w:val="32"/>
            </w:rPr>
          </w:pPr>
          <w:r>
            <w:rPr>
              <w:sz w:val="32"/>
              <w:szCs w:val="32"/>
            </w:rPr>
            <w:fldChar w:fldCharType="begin"/>
          </w:r>
          <w:r>
            <w:rPr>
              <w:sz w:val="32"/>
              <w:szCs w:val="32"/>
            </w:rPr>
            <w:instrText xml:space="preserve"> HYPERLINK \l _Toc27439 </w:instrText>
          </w:r>
          <w:r>
            <w:rPr>
              <w:sz w:val="32"/>
              <w:szCs w:val="32"/>
            </w:rPr>
            <w:fldChar w:fldCharType="separate"/>
          </w:r>
          <w:r>
            <w:rPr>
              <w:rFonts w:hint="eastAsia" w:ascii="仿宋" w:hAnsi="仿宋" w:eastAsia="仿宋"/>
              <w:bCs w:val="0"/>
              <w:sz w:val="32"/>
              <w:szCs w:val="32"/>
            </w:rPr>
            <w:t>五、</w:t>
          </w:r>
          <w:r>
            <w:rPr>
              <w:rFonts w:hint="eastAsia" w:ascii="仿宋" w:hAnsi="仿宋" w:eastAsia="仿宋"/>
              <w:sz w:val="32"/>
              <w:szCs w:val="32"/>
            </w:rPr>
            <w:t>财</w:t>
          </w:r>
          <w:r>
            <w:rPr>
              <w:rFonts w:hint="eastAsia" w:ascii="仿宋" w:hAnsi="仿宋" w:eastAsia="仿宋"/>
              <w:bCs w:val="0"/>
              <w:sz w:val="32"/>
              <w:szCs w:val="32"/>
            </w:rPr>
            <w:t>政拨款支出决算明细表</w:t>
          </w:r>
          <w:r>
            <w:rPr>
              <w:sz w:val="32"/>
              <w:szCs w:val="32"/>
            </w:rPr>
            <w:tab/>
          </w:r>
          <w:r>
            <w:rPr>
              <w:sz w:val="32"/>
              <w:szCs w:val="32"/>
            </w:rPr>
            <w:fldChar w:fldCharType="begin"/>
          </w:r>
          <w:r>
            <w:rPr>
              <w:sz w:val="32"/>
              <w:szCs w:val="32"/>
            </w:rPr>
            <w:instrText xml:space="preserve"> PAGEREF _Toc27439 \h </w:instrText>
          </w:r>
          <w:r>
            <w:rPr>
              <w:sz w:val="32"/>
              <w:szCs w:val="32"/>
            </w:rPr>
            <w:fldChar w:fldCharType="separate"/>
          </w:r>
          <w:r>
            <w:rPr>
              <w:sz w:val="32"/>
              <w:szCs w:val="32"/>
            </w:rPr>
            <w:t>29</w:t>
          </w:r>
          <w:r>
            <w:rPr>
              <w:sz w:val="32"/>
              <w:szCs w:val="32"/>
            </w:rPr>
            <w:fldChar w:fldCharType="end"/>
          </w:r>
          <w:r>
            <w:rPr>
              <w:sz w:val="32"/>
              <w:szCs w:val="32"/>
            </w:rPr>
            <w:fldChar w:fldCharType="end"/>
          </w:r>
        </w:p>
        <w:p w14:paraId="5A6E3135">
          <w:pPr>
            <w:pStyle w:val="38"/>
            <w:tabs>
              <w:tab w:val="right" w:leader="dot" w:pos="8306"/>
            </w:tabs>
            <w:rPr>
              <w:sz w:val="32"/>
              <w:szCs w:val="32"/>
            </w:rPr>
          </w:pPr>
          <w:r>
            <w:rPr>
              <w:sz w:val="32"/>
              <w:szCs w:val="32"/>
            </w:rPr>
            <w:fldChar w:fldCharType="begin"/>
          </w:r>
          <w:r>
            <w:rPr>
              <w:sz w:val="32"/>
              <w:szCs w:val="32"/>
            </w:rPr>
            <w:instrText xml:space="preserve"> HYPERLINK \l _Toc23798 </w:instrText>
          </w:r>
          <w:r>
            <w:rPr>
              <w:sz w:val="32"/>
              <w:szCs w:val="32"/>
            </w:rPr>
            <w:fldChar w:fldCharType="separate"/>
          </w:r>
          <w:r>
            <w:rPr>
              <w:rFonts w:hint="eastAsia" w:ascii="仿宋" w:hAnsi="仿宋" w:eastAsia="仿宋"/>
              <w:bCs w:val="0"/>
              <w:sz w:val="32"/>
              <w:szCs w:val="32"/>
            </w:rPr>
            <w:t>六、</w:t>
          </w:r>
          <w:r>
            <w:rPr>
              <w:rFonts w:hint="eastAsia" w:ascii="仿宋" w:hAnsi="仿宋" w:eastAsia="仿宋"/>
              <w:sz w:val="32"/>
              <w:szCs w:val="32"/>
            </w:rPr>
            <w:t>一</w:t>
          </w:r>
          <w:r>
            <w:rPr>
              <w:rFonts w:hint="eastAsia" w:ascii="仿宋" w:hAnsi="仿宋" w:eastAsia="仿宋"/>
              <w:bCs w:val="0"/>
              <w:sz w:val="32"/>
              <w:szCs w:val="32"/>
            </w:rPr>
            <w:t>般公共预算财政拨款支出决算表</w:t>
          </w:r>
          <w:r>
            <w:rPr>
              <w:sz w:val="32"/>
              <w:szCs w:val="32"/>
            </w:rPr>
            <w:tab/>
          </w:r>
          <w:r>
            <w:rPr>
              <w:sz w:val="32"/>
              <w:szCs w:val="32"/>
            </w:rPr>
            <w:fldChar w:fldCharType="begin"/>
          </w:r>
          <w:r>
            <w:rPr>
              <w:sz w:val="32"/>
              <w:szCs w:val="32"/>
            </w:rPr>
            <w:instrText xml:space="preserve"> PAGEREF _Toc23798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A88BD86">
          <w:pPr>
            <w:pStyle w:val="38"/>
            <w:tabs>
              <w:tab w:val="right" w:leader="dot" w:pos="8306"/>
            </w:tabs>
            <w:rPr>
              <w:sz w:val="32"/>
              <w:szCs w:val="32"/>
            </w:rPr>
          </w:pPr>
          <w:r>
            <w:rPr>
              <w:sz w:val="32"/>
              <w:szCs w:val="32"/>
            </w:rPr>
            <w:fldChar w:fldCharType="begin"/>
          </w:r>
          <w:r>
            <w:rPr>
              <w:sz w:val="32"/>
              <w:szCs w:val="32"/>
            </w:rPr>
            <w:instrText xml:space="preserve"> HYPERLINK \l _Toc4056 </w:instrText>
          </w:r>
          <w:r>
            <w:rPr>
              <w:sz w:val="32"/>
              <w:szCs w:val="32"/>
            </w:rPr>
            <w:fldChar w:fldCharType="separate"/>
          </w:r>
          <w:r>
            <w:rPr>
              <w:rFonts w:hint="eastAsia" w:ascii="仿宋" w:hAnsi="仿宋" w:eastAsia="仿宋"/>
              <w:bCs w:val="0"/>
              <w:sz w:val="32"/>
              <w:szCs w:val="32"/>
            </w:rPr>
            <w:t>七、</w:t>
          </w:r>
          <w:r>
            <w:rPr>
              <w:rFonts w:hint="eastAsia" w:ascii="仿宋" w:hAnsi="仿宋" w:eastAsia="仿宋"/>
              <w:sz w:val="32"/>
              <w:szCs w:val="32"/>
            </w:rPr>
            <w:t>一</w:t>
          </w:r>
          <w:r>
            <w:rPr>
              <w:rFonts w:hint="eastAsia" w:ascii="仿宋" w:hAnsi="仿宋" w:eastAsia="仿宋"/>
              <w:bCs w:val="0"/>
              <w:sz w:val="32"/>
              <w:szCs w:val="32"/>
            </w:rPr>
            <w:t>般公共预算财政拨款支出决算明细表</w:t>
          </w:r>
          <w:r>
            <w:rPr>
              <w:sz w:val="32"/>
              <w:szCs w:val="32"/>
            </w:rPr>
            <w:tab/>
          </w:r>
          <w:r>
            <w:rPr>
              <w:sz w:val="32"/>
              <w:szCs w:val="32"/>
            </w:rPr>
            <w:fldChar w:fldCharType="begin"/>
          </w:r>
          <w:r>
            <w:rPr>
              <w:sz w:val="32"/>
              <w:szCs w:val="32"/>
            </w:rPr>
            <w:instrText xml:space="preserve"> PAGEREF _Toc4056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6660ABA">
          <w:pPr>
            <w:pStyle w:val="38"/>
            <w:tabs>
              <w:tab w:val="right" w:leader="dot" w:pos="8306"/>
            </w:tabs>
            <w:rPr>
              <w:sz w:val="32"/>
              <w:szCs w:val="32"/>
            </w:rPr>
          </w:pPr>
          <w:r>
            <w:rPr>
              <w:sz w:val="32"/>
              <w:szCs w:val="32"/>
            </w:rPr>
            <w:fldChar w:fldCharType="begin"/>
          </w:r>
          <w:r>
            <w:rPr>
              <w:sz w:val="32"/>
              <w:szCs w:val="32"/>
            </w:rPr>
            <w:instrText xml:space="preserve"> HYPERLINK \l _Toc15298 </w:instrText>
          </w:r>
          <w:r>
            <w:rPr>
              <w:sz w:val="32"/>
              <w:szCs w:val="32"/>
            </w:rPr>
            <w:fldChar w:fldCharType="separate"/>
          </w:r>
          <w:r>
            <w:rPr>
              <w:rFonts w:hint="eastAsia" w:ascii="仿宋" w:hAnsi="仿宋" w:eastAsia="仿宋"/>
              <w:bCs w:val="0"/>
              <w:sz w:val="32"/>
              <w:szCs w:val="32"/>
            </w:rPr>
            <w:t>八、</w:t>
          </w:r>
          <w:r>
            <w:rPr>
              <w:rFonts w:hint="eastAsia" w:ascii="仿宋" w:hAnsi="仿宋" w:eastAsia="仿宋"/>
              <w:sz w:val="32"/>
              <w:szCs w:val="32"/>
            </w:rPr>
            <w:t>一</w:t>
          </w:r>
          <w:r>
            <w:rPr>
              <w:rFonts w:hint="eastAsia" w:ascii="仿宋" w:hAnsi="仿宋" w:eastAsia="仿宋"/>
              <w:bCs w:val="0"/>
              <w:sz w:val="32"/>
              <w:szCs w:val="32"/>
            </w:rPr>
            <w:t>般公共预算财政拨款基本支出决算表</w:t>
          </w:r>
          <w:r>
            <w:rPr>
              <w:sz w:val="32"/>
              <w:szCs w:val="32"/>
            </w:rPr>
            <w:tab/>
          </w:r>
          <w:r>
            <w:rPr>
              <w:sz w:val="32"/>
              <w:szCs w:val="32"/>
            </w:rPr>
            <w:fldChar w:fldCharType="begin"/>
          </w:r>
          <w:r>
            <w:rPr>
              <w:sz w:val="32"/>
              <w:szCs w:val="32"/>
            </w:rPr>
            <w:instrText xml:space="preserve"> PAGEREF _Toc15298 \h </w:instrText>
          </w:r>
          <w:r>
            <w:rPr>
              <w:sz w:val="32"/>
              <w:szCs w:val="32"/>
            </w:rPr>
            <w:fldChar w:fldCharType="separate"/>
          </w:r>
          <w:r>
            <w:rPr>
              <w:sz w:val="32"/>
              <w:szCs w:val="32"/>
            </w:rPr>
            <w:t>29</w:t>
          </w:r>
          <w:r>
            <w:rPr>
              <w:sz w:val="32"/>
              <w:szCs w:val="32"/>
            </w:rPr>
            <w:fldChar w:fldCharType="end"/>
          </w:r>
          <w:r>
            <w:rPr>
              <w:sz w:val="32"/>
              <w:szCs w:val="32"/>
            </w:rPr>
            <w:fldChar w:fldCharType="end"/>
          </w:r>
        </w:p>
        <w:p w14:paraId="3F981AD3">
          <w:pPr>
            <w:pStyle w:val="38"/>
            <w:tabs>
              <w:tab w:val="right" w:leader="dot" w:pos="8306"/>
            </w:tabs>
            <w:rPr>
              <w:sz w:val="32"/>
              <w:szCs w:val="32"/>
            </w:rPr>
          </w:pPr>
          <w:r>
            <w:rPr>
              <w:sz w:val="32"/>
              <w:szCs w:val="32"/>
            </w:rPr>
            <w:fldChar w:fldCharType="begin"/>
          </w:r>
          <w:r>
            <w:rPr>
              <w:sz w:val="32"/>
              <w:szCs w:val="32"/>
            </w:rPr>
            <w:instrText xml:space="preserve"> HYPERLINK \l _Toc4806 </w:instrText>
          </w:r>
          <w:r>
            <w:rPr>
              <w:sz w:val="32"/>
              <w:szCs w:val="32"/>
            </w:rPr>
            <w:fldChar w:fldCharType="separate"/>
          </w:r>
          <w:r>
            <w:rPr>
              <w:rFonts w:hint="eastAsia" w:ascii="仿宋" w:hAnsi="仿宋" w:eastAsia="仿宋"/>
              <w:bCs w:val="0"/>
              <w:sz w:val="32"/>
              <w:szCs w:val="32"/>
            </w:rPr>
            <w:t>九、</w:t>
          </w:r>
          <w:r>
            <w:rPr>
              <w:rFonts w:hint="eastAsia" w:ascii="仿宋" w:hAnsi="仿宋" w:eastAsia="仿宋"/>
              <w:sz w:val="32"/>
              <w:szCs w:val="32"/>
            </w:rPr>
            <w:t>一</w:t>
          </w:r>
          <w:r>
            <w:rPr>
              <w:rFonts w:hint="eastAsia" w:ascii="仿宋" w:hAnsi="仿宋" w:eastAsia="仿宋"/>
              <w:bCs w:val="0"/>
              <w:sz w:val="32"/>
              <w:szCs w:val="32"/>
            </w:rPr>
            <w:t>般公共预算财政拨款项目支出决算表</w:t>
          </w:r>
          <w:r>
            <w:rPr>
              <w:sz w:val="32"/>
              <w:szCs w:val="32"/>
            </w:rPr>
            <w:tab/>
          </w:r>
          <w:r>
            <w:rPr>
              <w:sz w:val="32"/>
              <w:szCs w:val="32"/>
            </w:rPr>
            <w:fldChar w:fldCharType="begin"/>
          </w:r>
          <w:r>
            <w:rPr>
              <w:sz w:val="32"/>
              <w:szCs w:val="32"/>
            </w:rPr>
            <w:instrText xml:space="preserve"> PAGEREF _Toc4806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C3161B6">
          <w:pPr>
            <w:pStyle w:val="38"/>
            <w:tabs>
              <w:tab w:val="right" w:leader="dot" w:pos="8306"/>
            </w:tabs>
            <w:rPr>
              <w:sz w:val="32"/>
              <w:szCs w:val="32"/>
            </w:rPr>
          </w:pPr>
          <w:r>
            <w:rPr>
              <w:sz w:val="32"/>
              <w:szCs w:val="32"/>
            </w:rPr>
            <w:fldChar w:fldCharType="begin"/>
          </w:r>
          <w:r>
            <w:rPr>
              <w:sz w:val="32"/>
              <w:szCs w:val="32"/>
            </w:rPr>
            <w:instrText xml:space="preserve"> HYPERLINK \l _Toc17445 </w:instrText>
          </w:r>
          <w:r>
            <w:rPr>
              <w:sz w:val="32"/>
              <w:szCs w:val="32"/>
            </w:rPr>
            <w:fldChar w:fldCharType="separate"/>
          </w:r>
          <w:r>
            <w:rPr>
              <w:rFonts w:hint="eastAsia" w:ascii="仿宋" w:hAnsi="仿宋" w:eastAsia="仿宋"/>
              <w:bCs w:val="0"/>
              <w:sz w:val="32"/>
              <w:szCs w:val="32"/>
            </w:rPr>
            <w:t>十、</w:t>
          </w:r>
          <w:r>
            <w:rPr>
              <w:rFonts w:hint="eastAsia" w:ascii="仿宋" w:hAnsi="仿宋" w:eastAsia="仿宋"/>
              <w:sz w:val="32"/>
              <w:szCs w:val="32"/>
            </w:rPr>
            <w:t>政</w:t>
          </w:r>
          <w:r>
            <w:rPr>
              <w:rFonts w:hint="eastAsia" w:ascii="仿宋" w:hAnsi="仿宋" w:eastAsia="仿宋"/>
              <w:bCs w:val="0"/>
              <w:sz w:val="32"/>
              <w:szCs w:val="32"/>
            </w:rPr>
            <w:t>府性基金预算财政拨款收入支出决算表</w:t>
          </w:r>
          <w:r>
            <w:rPr>
              <w:sz w:val="32"/>
              <w:szCs w:val="32"/>
            </w:rPr>
            <w:tab/>
          </w:r>
          <w:r>
            <w:rPr>
              <w:sz w:val="32"/>
              <w:szCs w:val="32"/>
            </w:rPr>
            <w:fldChar w:fldCharType="begin"/>
          </w:r>
          <w:r>
            <w:rPr>
              <w:sz w:val="32"/>
              <w:szCs w:val="32"/>
            </w:rPr>
            <w:instrText xml:space="preserve"> PAGEREF _Toc17445 \h </w:instrText>
          </w:r>
          <w:r>
            <w:rPr>
              <w:sz w:val="32"/>
              <w:szCs w:val="32"/>
            </w:rPr>
            <w:fldChar w:fldCharType="separate"/>
          </w:r>
          <w:r>
            <w:rPr>
              <w:sz w:val="32"/>
              <w:szCs w:val="32"/>
            </w:rPr>
            <w:t>29</w:t>
          </w:r>
          <w:r>
            <w:rPr>
              <w:sz w:val="32"/>
              <w:szCs w:val="32"/>
            </w:rPr>
            <w:fldChar w:fldCharType="end"/>
          </w:r>
          <w:r>
            <w:rPr>
              <w:sz w:val="32"/>
              <w:szCs w:val="32"/>
            </w:rPr>
            <w:fldChar w:fldCharType="end"/>
          </w:r>
        </w:p>
        <w:p w14:paraId="1950ECB3">
          <w:pPr>
            <w:pStyle w:val="38"/>
            <w:tabs>
              <w:tab w:val="right" w:leader="dot" w:pos="8306"/>
            </w:tabs>
            <w:rPr>
              <w:sz w:val="32"/>
              <w:szCs w:val="32"/>
            </w:rPr>
          </w:pPr>
          <w:r>
            <w:rPr>
              <w:sz w:val="32"/>
              <w:szCs w:val="32"/>
            </w:rPr>
            <w:fldChar w:fldCharType="begin"/>
          </w:r>
          <w:r>
            <w:rPr>
              <w:sz w:val="32"/>
              <w:szCs w:val="32"/>
            </w:rPr>
            <w:instrText xml:space="preserve"> HYPERLINK \l _Toc30905 </w:instrText>
          </w:r>
          <w:r>
            <w:rPr>
              <w:sz w:val="32"/>
              <w:szCs w:val="32"/>
            </w:rPr>
            <w:fldChar w:fldCharType="separate"/>
          </w:r>
          <w:r>
            <w:rPr>
              <w:rFonts w:hint="eastAsia" w:ascii="仿宋" w:hAnsi="仿宋" w:eastAsia="仿宋"/>
              <w:bCs w:val="0"/>
              <w:sz w:val="32"/>
              <w:szCs w:val="32"/>
            </w:rPr>
            <w:t>十一、</w:t>
          </w:r>
          <w:r>
            <w:rPr>
              <w:rFonts w:hint="eastAsia" w:ascii="仿宋" w:hAnsi="仿宋" w:eastAsia="仿宋"/>
              <w:sz w:val="32"/>
              <w:szCs w:val="32"/>
            </w:rPr>
            <w:t>国</w:t>
          </w:r>
          <w:r>
            <w:rPr>
              <w:rFonts w:hint="eastAsia" w:ascii="仿宋" w:hAnsi="仿宋" w:eastAsia="仿宋"/>
              <w:bCs w:val="0"/>
              <w:sz w:val="32"/>
              <w:szCs w:val="32"/>
            </w:rPr>
            <w:t>有资本经营预算财政拨款收入支出决算表</w:t>
          </w:r>
          <w:r>
            <w:rPr>
              <w:sz w:val="32"/>
              <w:szCs w:val="32"/>
            </w:rPr>
            <w:tab/>
          </w:r>
          <w:r>
            <w:rPr>
              <w:sz w:val="32"/>
              <w:szCs w:val="32"/>
            </w:rPr>
            <w:fldChar w:fldCharType="begin"/>
          </w:r>
          <w:r>
            <w:rPr>
              <w:sz w:val="32"/>
              <w:szCs w:val="32"/>
            </w:rPr>
            <w:instrText xml:space="preserve"> PAGEREF _Toc30905 \h </w:instrText>
          </w:r>
          <w:r>
            <w:rPr>
              <w:sz w:val="32"/>
              <w:szCs w:val="32"/>
            </w:rPr>
            <w:fldChar w:fldCharType="separate"/>
          </w:r>
          <w:r>
            <w:rPr>
              <w:sz w:val="32"/>
              <w:szCs w:val="32"/>
            </w:rPr>
            <w:t>29</w:t>
          </w:r>
          <w:r>
            <w:rPr>
              <w:sz w:val="32"/>
              <w:szCs w:val="32"/>
            </w:rPr>
            <w:fldChar w:fldCharType="end"/>
          </w:r>
          <w:r>
            <w:rPr>
              <w:sz w:val="32"/>
              <w:szCs w:val="32"/>
            </w:rPr>
            <w:fldChar w:fldCharType="end"/>
          </w:r>
        </w:p>
        <w:p w14:paraId="661EB819">
          <w:pPr>
            <w:pStyle w:val="38"/>
            <w:tabs>
              <w:tab w:val="right" w:leader="dot" w:pos="8306"/>
            </w:tabs>
            <w:rPr>
              <w:sz w:val="32"/>
              <w:szCs w:val="32"/>
            </w:rPr>
          </w:pPr>
          <w:r>
            <w:rPr>
              <w:sz w:val="32"/>
              <w:szCs w:val="32"/>
            </w:rPr>
            <w:fldChar w:fldCharType="begin"/>
          </w:r>
          <w:r>
            <w:rPr>
              <w:sz w:val="32"/>
              <w:szCs w:val="32"/>
            </w:rPr>
            <w:instrText xml:space="preserve"> HYPERLINK \l _Toc32024 </w:instrText>
          </w:r>
          <w:r>
            <w:rPr>
              <w:sz w:val="32"/>
              <w:szCs w:val="32"/>
            </w:rPr>
            <w:fldChar w:fldCharType="separate"/>
          </w:r>
          <w:r>
            <w:rPr>
              <w:rFonts w:hint="eastAsia" w:ascii="仿宋" w:hAnsi="仿宋" w:eastAsia="仿宋"/>
              <w:bCs w:val="0"/>
              <w:sz w:val="32"/>
              <w:szCs w:val="32"/>
            </w:rPr>
            <w:t>十二、国有资本经营预算财政拨款支出决算表</w:t>
          </w:r>
          <w:r>
            <w:rPr>
              <w:sz w:val="32"/>
              <w:szCs w:val="32"/>
            </w:rPr>
            <w:tab/>
          </w:r>
          <w:r>
            <w:rPr>
              <w:sz w:val="32"/>
              <w:szCs w:val="32"/>
            </w:rPr>
            <w:fldChar w:fldCharType="begin"/>
          </w:r>
          <w:r>
            <w:rPr>
              <w:sz w:val="32"/>
              <w:szCs w:val="32"/>
            </w:rPr>
            <w:instrText xml:space="preserve"> PAGEREF _Toc32024 \h </w:instrText>
          </w:r>
          <w:r>
            <w:rPr>
              <w:sz w:val="32"/>
              <w:szCs w:val="32"/>
            </w:rPr>
            <w:fldChar w:fldCharType="separate"/>
          </w:r>
          <w:r>
            <w:rPr>
              <w:sz w:val="32"/>
              <w:szCs w:val="32"/>
            </w:rPr>
            <w:t>29</w:t>
          </w:r>
          <w:r>
            <w:rPr>
              <w:sz w:val="32"/>
              <w:szCs w:val="32"/>
            </w:rPr>
            <w:fldChar w:fldCharType="end"/>
          </w:r>
          <w:r>
            <w:rPr>
              <w:sz w:val="32"/>
              <w:szCs w:val="32"/>
            </w:rPr>
            <w:fldChar w:fldCharType="end"/>
          </w:r>
        </w:p>
        <w:p w14:paraId="2A3C77A1">
          <w:pPr>
            <w:pStyle w:val="38"/>
            <w:tabs>
              <w:tab w:val="right" w:leader="dot" w:pos="8306"/>
            </w:tabs>
            <w:rPr>
              <w:sz w:val="32"/>
              <w:szCs w:val="32"/>
            </w:rPr>
          </w:pPr>
          <w:r>
            <w:rPr>
              <w:sz w:val="32"/>
              <w:szCs w:val="32"/>
            </w:rPr>
            <w:fldChar w:fldCharType="begin"/>
          </w:r>
          <w:r>
            <w:rPr>
              <w:sz w:val="32"/>
              <w:szCs w:val="32"/>
            </w:rPr>
            <w:instrText xml:space="preserve"> HYPERLINK \l _Toc21782 </w:instrText>
          </w:r>
          <w:r>
            <w:rPr>
              <w:sz w:val="32"/>
              <w:szCs w:val="32"/>
            </w:rPr>
            <w:fldChar w:fldCharType="separate"/>
          </w:r>
          <w:r>
            <w:rPr>
              <w:rFonts w:hint="eastAsia" w:ascii="仿宋" w:hAnsi="仿宋" w:eastAsia="仿宋"/>
              <w:bCs w:val="0"/>
              <w:sz w:val="32"/>
              <w:szCs w:val="32"/>
            </w:rPr>
            <w:t>十三、财政拨款“三公”经费支出决算表</w:t>
          </w:r>
          <w:r>
            <w:rPr>
              <w:sz w:val="32"/>
              <w:szCs w:val="32"/>
            </w:rPr>
            <w:tab/>
          </w:r>
          <w:r>
            <w:rPr>
              <w:sz w:val="32"/>
              <w:szCs w:val="32"/>
            </w:rPr>
            <w:fldChar w:fldCharType="begin"/>
          </w:r>
          <w:r>
            <w:rPr>
              <w:sz w:val="32"/>
              <w:szCs w:val="32"/>
            </w:rPr>
            <w:instrText xml:space="preserve"> PAGEREF _Toc21782 \h </w:instrText>
          </w:r>
          <w:r>
            <w:rPr>
              <w:sz w:val="32"/>
              <w:szCs w:val="32"/>
            </w:rPr>
            <w:fldChar w:fldCharType="separate"/>
          </w:r>
          <w:r>
            <w:rPr>
              <w:sz w:val="32"/>
              <w:szCs w:val="32"/>
            </w:rPr>
            <w:t>29</w:t>
          </w:r>
          <w:r>
            <w:rPr>
              <w:sz w:val="32"/>
              <w:szCs w:val="32"/>
            </w:rPr>
            <w:fldChar w:fldCharType="end"/>
          </w:r>
          <w:r>
            <w:rPr>
              <w:sz w:val="32"/>
              <w:szCs w:val="32"/>
            </w:rPr>
            <w:fldChar w:fldCharType="end"/>
          </w:r>
        </w:p>
        <w:p w14:paraId="2256570C">
          <w:pPr>
            <w:rPr>
              <w:rFonts w:ascii="Times New Roman" w:hAnsi="Times New Roman" w:eastAsia="宋体" w:cs="Times New Roman"/>
              <w:b/>
              <w:kern w:val="2"/>
              <w:sz w:val="21"/>
              <w:szCs w:val="24"/>
              <w:lang w:val="en-US" w:eastAsia="zh-CN" w:bidi="ar-SA"/>
            </w:rPr>
          </w:pPr>
          <w:r>
            <w:rPr>
              <w:b/>
              <w:sz w:val="32"/>
              <w:szCs w:val="32"/>
            </w:rPr>
            <w:fldChar w:fldCharType="end"/>
          </w:r>
        </w:p>
      </w:sdtContent>
    </w:sdt>
    <w:p w14:paraId="3552C8F1">
      <w:pPr>
        <w:rPr>
          <w:rFonts w:ascii="Times New Roman" w:hAnsi="Times New Roman" w:eastAsia="宋体" w:cs="Times New Roman"/>
          <w:b/>
          <w:kern w:val="2"/>
          <w:sz w:val="21"/>
          <w:szCs w:val="24"/>
          <w:lang w:val="en-US" w:eastAsia="zh-CN" w:bidi="ar-SA"/>
        </w:rPr>
      </w:pPr>
    </w:p>
    <w:p w14:paraId="42368842">
      <w:pPr>
        <w:widowControl/>
        <w:spacing w:line="440" w:lineRule="exact"/>
        <w:jc w:val="left"/>
        <w:rPr>
          <w:rFonts w:ascii="仿宋" w:hAnsi="仿宋" w:eastAsia="仿宋"/>
          <w:bCs/>
          <w:kern w:val="44"/>
          <w:sz w:val="24"/>
        </w:rPr>
      </w:pPr>
      <w:bookmarkStart w:id="18" w:name="_Toc15396599"/>
      <w:bookmarkStart w:id="19" w:name="_Toc15377196"/>
      <w:r>
        <w:rPr>
          <w:rFonts w:ascii="仿宋" w:hAnsi="仿宋" w:eastAsia="仿宋"/>
          <w:b/>
          <w:sz w:val="24"/>
        </w:rPr>
        <w:br w:type="page"/>
      </w:r>
    </w:p>
    <w:p w14:paraId="50342609">
      <w:pPr>
        <w:pStyle w:val="2"/>
        <w:jc w:val="center"/>
        <w:rPr>
          <w:rStyle w:val="28"/>
          <w:rFonts w:ascii="黑体" w:hAnsi="黑体" w:eastAsia="黑体"/>
          <w:b/>
          <w:bCs w:val="0"/>
        </w:rPr>
      </w:pPr>
      <w:bookmarkStart w:id="20" w:name="_Toc504"/>
      <w:bookmarkStart w:id="21" w:name="_Toc21373"/>
      <w:r>
        <w:rPr>
          <w:rFonts w:hint="eastAsia" w:ascii="黑体" w:hAnsi="黑体" w:eastAsia="黑体"/>
          <w:b w:val="0"/>
        </w:rPr>
        <w:t>第一部分 单位</w:t>
      </w:r>
      <w:r>
        <w:rPr>
          <w:rStyle w:val="28"/>
          <w:rFonts w:hint="eastAsia" w:ascii="黑体" w:hAnsi="黑体" w:eastAsia="黑体"/>
          <w:b w:val="0"/>
          <w:bCs w:val="0"/>
        </w:rPr>
        <w:t>概况</w:t>
      </w:r>
      <w:bookmarkEnd w:id="18"/>
      <w:bookmarkEnd w:id="19"/>
      <w:bookmarkEnd w:id="20"/>
      <w:bookmarkEnd w:id="21"/>
    </w:p>
    <w:p w14:paraId="4609EA1F">
      <w:pPr>
        <w:widowControl/>
        <w:jc w:val="left"/>
        <w:rPr>
          <w:rFonts w:ascii="黑体" w:eastAsia="黑体"/>
          <w:sz w:val="32"/>
          <w:szCs w:val="32"/>
        </w:rPr>
      </w:pPr>
    </w:p>
    <w:p w14:paraId="2A4E795D">
      <w:pPr>
        <w:pStyle w:val="3"/>
        <w:numPr>
          <w:ilvl w:val="0"/>
          <w:numId w:val="1"/>
        </w:numPr>
        <w:rPr>
          <w:rFonts w:hint="default" w:ascii="仿宋_GB2312" w:hAnsi="仿宋" w:eastAsia="仿宋_GB2312"/>
          <w:b w:val="0"/>
          <w:bCs/>
          <w:sz w:val="32"/>
          <w:szCs w:val="32"/>
          <w:lang w:val="en-US" w:eastAsia="zh-CN"/>
        </w:rPr>
      </w:pPr>
      <w:bookmarkStart w:id="22" w:name="_Toc22544"/>
      <w:bookmarkStart w:id="23" w:name="_Toc18119"/>
      <w:bookmarkStart w:id="24" w:name="_Toc15377197"/>
      <w:bookmarkStart w:id="25" w:name="_Toc15396600"/>
      <w:r>
        <w:rPr>
          <w:rStyle w:val="29"/>
          <w:rFonts w:hint="eastAsia" w:ascii="黑体" w:hAnsi="黑体" w:eastAsia="黑体"/>
          <w:b w:val="0"/>
          <w:bCs w:val="0"/>
        </w:rPr>
        <w:t>主要职责</w:t>
      </w:r>
      <w:bookmarkEnd w:id="22"/>
      <w:bookmarkEnd w:id="23"/>
    </w:p>
    <w:p w14:paraId="37A17B43">
      <w:pPr>
        <w:spacing w:line="600" w:lineRule="exact"/>
        <w:ind w:firstLine="640" w:firstLineChars="200"/>
        <w:outlineLvl w:val="1"/>
        <w:rPr>
          <w:rFonts w:hint="default" w:ascii="仿宋" w:hAnsi="仿宋" w:eastAsia="仿宋"/>
          <w:sz w:val="32"/>
          <w:szCs w:val="32"/>
          <w:lang w:val="en-US" w:eastAsia="zh-CN"/>
        </w:rPr>
      </w:pPr>
      <w:bookmarkStart w:id="26" w:name="_Toc31739"/>
      <w:bookmarkStart w:id="27" w:name="_Toc2997"/>
      <w:r>
        <w:rPr>
          <w:rFonts w:hint="eastAsia" w:ascii="仿宋" w:hAnsi="仿宋" w:eastAsia="仿宋"/>
          <w:sz w:val="32"/>
          <w:szCs w:val="32"/>
          <w:lang w:eastAsia="zh-CN"/>
        </w:rPr>
        <w:t>大竹县城乡居民社会养老保险局位于大竹县白塔街道滨河北路</w:t>
      </w:r>
      <w:r>
        <w:rPr>
          <w:rFonts w:hint="eastAsia" w:ascii="仿宋" w:hAnsi="仿宋" w:eastAsia="仿宋"/>
          <w:sz w:val="32"/>
          <w:szCs w:val="32"/>
          <w:lang w:val="en-US" w:eastAsia="zh-CN"/>
        </w:rPr>
        <w:t>777号，由大竹县人力资源和社会保障局主管，是财政全额拨款的事业单位，属一级预算单位，执行政府会计制度。</w:t>
      </w:r>
      <w:bookmarkEnd w:id="26"/>
      <w:bookmarkEnd w:id="27"/>
    </w:p>
    <w:p w14:paraId="788AB2FB">
      <w:pPr>
        <w:spacing w:line="600" w:lineRule="exact"/>
        <w:ind w:firstLine="640" w:firstLineChars="200"/>
        <w:outlineLvl w:val="1"/>
        <w:rPr>
          <w:rFonts w:hint="eastAsia" w:ascii="仿宋" w:hAnsi="仿宋" w:eastAsia="仿宋"/>
          <w:sz w:val="32"/>
          <w:szCs w:val="32"/>
          <w:lang w:val="zh-CN" w:eastAsia="zh-CN"/>
        </w:rPr>
      </w:pPr>
      <w:bookmarkStart w:id="28" w:name="_Toc19347"/>
      <w:r>
        <w:rPr>
          <w:rFonts w:hint="eastAsia" w:ascii="仿宋" w:hAnsi="仿宋" w:eastAsia="仿宋"/>
          <w:sz w:val="32"/>
          <w:szCs w:val="32"/>
          <w:lang w:val="en-US" w:eastAsia="zh-CN"/>
        </w:rPr>
        <w:t>主要职能:</w:t>
      </w:r>
      <w:r>
        <w:rPr>
          <w:rFonts w:hint="eastAsia" w:ascii="仿宋" w:hAnsi="仿宋" w:eastAsia="仿宋"/>
          <w:sz w:val="32"/>
          <w:szCs w:val="32"/>
          <w:lang w:val="zh-CN" w:eastAsia="zh-CN"/>
        </w:rPr>
        <w:t>为全县城乡居民社会养老保险服务，负责全县城乡居民社会养老保险参保登记，待遇审核和发放业务，管理城乡养老基金，以及城乡居民社会养老保险的政策宣讲等。城乡居保工作的开展必须以乡村为依托，通知并督促</w:t>
      </w:r>
      <w:r>
        <w:rPr>
          <w:rFonts w:hint="eastAsia" w:ascii="仿宋" w:hAnsi="仿宋" w:eastAsia="仿宋"/>
          <w:sz w:val="32"/>
          <w:szCs w:val="32"/>
          <w:lang w:val="en-US" w:eastAsia="zh-CN"/>
        </w:rPr>
        <w:t>到龄人员，参保、待遇领取、人员生存认证、死亡人员报减、宣传和落实居保政策及其城乡居保工作，清理不符合政策的参保和待遇领取人员等工作。</w:t>
      </w:r>
      <w:bookmarkEnd w:id="28"/>
    </w:p>
    <w:p w14:paraId="5AD26145">
      <w:pPr>
        <w:spacing w:line="600" w:lineRule="exact"/>
        <w:ind w:firstLine="640" w:firstLineChars="200"/>
        <w:outlineLvl w:val="1"/>
        <w:rPr>
          <w:rFonts w:hint="eastAsia" w:ascii="仿宋" w:hAnsi="仿宋" w:eastAsia="仿宋"/>
          <w:sz w:val="32"/>
          <w:szCs w:val="32"/>
          <w:lang w:val="en-US" w:eastAsia="zh-CN"/>
        </w:rPr>
      </w:pPr>
      <w:bookmarkStart w:id="29" w:name="_Toc24819"/>
      <w:r>
        <w:rPr>
          <w:rFonts w:hint="eastAsia" w:ascii="仿宋" w:hAnsi="仿宋" w:eastAsia="仿宋"/>
          <w:sz w:val="32"/>
          <w:szCs w:val="32"/>
          <w:lang w:val="en-US" w:eastAsia="zh-CN"/>
        </w:rPr>
        <w:t>设四股一室，分别为：统筹股、待遇审核股、基金管理股、基金审计股，办公室。编制20人，实有人员19人，20</w:t>
      </w:r>
      <w:r>
        <w:rPr>
          <w:rFonts w:hint="default" w:ascii="仿宋" w:hAnsi="仿宋" w:eastAsia="仿宋"/>
          <w:sz w:val="32"/>
          <w:szCs w:val="32"/>
          <w:lang w:val="en-US" w:eastAsia="zh-CN"/>
        </w:rPr>
        <w:t>2</w:t>
      </w:r>
      <w:r>
        <w:rPr>
          <w:rFonts w:hint="eastAsia" w:ascii="仿宋" w:hAnsi="仿宋" w:eastAsia="仿宋"/>
          <w:sz w:val="32"/>
          <w:szCs w:val="32"/>
          <w:lang w:val="en-US" w:eastAsia="zh-CN"/>
        </w:rPr>
        <w:t>3年人员退休减少1人，辞职减少1人，调入增加1人。</w:t>
      </w:r>
      <w:bookmarkEnd w:id="29"/>
    </w:p>
    <w:p w14:paraId="402682B7">
      <w:pPr>
        <w:pStyle w:val="3"/>
        <w:numPr>
          <w:ilvl w:val="0"/>
          <w:numId w:val="1"/>
        </w:numPr>
        <w:ind w:left="0" w:leftChars="0" w:firstLine="0" w:firstLineChars="0"/>
        <w:rPr>
          <w:rFonts w:hint="eastAsia" w:ascii="黑体" w:hAnsi="黑体" w:eastAsia="黑体"/>
          <w:b w:val="0"/>
        </w:rPr>
      </w:pPr>
      <w:bookmarkStart w:id="30" w:name="_Toc14265"/>
      <w:bookmarkStart w:id="31" w:name="_Toc12746"/>
      <w:r>
        <w:rPr>
          <w:rFonts w:hint="eastAsia" w:ascii="黑体" w:hAnsi="黑体" w:eastAsia="黑体"/>
          <w:b w:val="0"/>
        </w:rPr>
        <w:t>机构设置</w:t>
      </w:r>
      <w:bookmarkEnd w:id="30"/>
      <w:bookmarkEnd w:id="31"/>
    </w:p>
    <w:p w14:paraId="30DD3221">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 w:eastAsia="仿宋_GB2312"/>
          <w:b w:val="0"/>
          <w:bCs/>
          <w:sz w:val="32"/>
          <w:szCs w:val="32"/>
          <w:highlight w:val="yellow"/>
          <w:lang w:val="en-US" w:eastAsia="zh-CN"/>
        </w:rPr>
      </w:pPr>
      <w:r>
        <w:rPr>
          <w:rFonts w:hint="eastAsia" w:ascii="仿宋_GB2312" w:hAnsi="仿宋" w:eastAsia="仿宋_GB2312"/>
          <w:b w:val="0"/>
          <w:bCs/>
          <w:sz w:val="32"/>
          <w:szCs w:val="32"/>
          <w:lang w:val="zh-CN" w:eastAsia="zh-CN"/>
        </w:rPr>
        <w:t>大竹县城乡居民社会养老保险局无下属二级预算单位。</w:t>
      </w:r>
    </w:p>
    <w:p w14:paraId="75E2E34B">
      <w:pPr>
        <w:numPr>
          <w:ilvl w:val="0"/>
          <w:numId w:val="0"/>
        </w:numPr>
        <w:ind w:leftChars="0"/>
        <w:rPr>
          <w:rFonts w:hint="eastAsia"/>
        </w:rPr>
      </w:pPr>
    </w:p>
    <w:p w14:paraId="16BADCA4">
      <w:pPr>
        <w:rPr>
          <w:rFonts w:hint="default" w:eastAsia="宋体"/>
          <w:lang w:val="en-US" w:eastAsia="zh-CN"/>
        </w:rPr>
      </w:pPr>
      <w:r>
        <w:rPr>
          <w:rFonts w:hint="eastAsia"/>
          <w:lang w:val="en-US" w:eastAsia="zh-CN"/>
        </w:rPr>
        <w:t xml:space="preserve">    </w:t>
      </w:r>
    </w:p>
    <w:bookmarkEnd w:id="24"/>
    <w:bookmarkEnd w:id="25"/>
    <w:p w14:paraId="7C90CF13">
      <w:pPr>
        <w:widowControl/>
        <w:jc w:val="left"/>
        <w:rPr>
          <w:rFonts w:ascii="仿宋" w:hAnsi="仿宋" w:eastAsia="仿宋"/>
          <w:kern w:val="0"/>
          <w:sz w:val="32"/>
          <w:szCs w:val="32"/>
        </w:rPr>
      </w:pPr>
      <w:r>
        <w:rPr>
          <w:rFonts w:ascii="仿宋" w:hAnsi="仿宋" w:eastAsia="仿宋"/>
          <w:sz w:val="32"/>
          <w:szCs w:val="32"/>
        </w:rPr>
        <w:br w:type="page"/>
      </w:r>
    </w:p>
    <w:p w14:paraId="1D63FBFF">
      <w:pPr>
        <w:pStyle w:val="2"/>
        <w:ind w:right="440"/>
        <w:jc w:val="center"/>
        <w:rPr>
          <w:rStyle w:val="28"/>
          <w:rFonts w:ascii="黑体" w:hAnsi="黑体" w:eastAsia="黑体"/>
          <w:b w:val="0"/>
          <w:bCs/>
        </w:rPr>
      </w:pPr>
      <w:bookmarkStart w:id="32" w:name="_Toc29713"/>
      <w:bookmarkStart w:id="33" w:name="_Toc15377204"/>
      <w:bookmarkStart w:id="34" w:name="_Toc32184"/>
      <w:bookmarkStart w:id="35"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32"/>
      <w:bookmarkEnd w:id="33"/>
      <w:bookmarkEnd w:id="34"/>
      <w:bookmarkEnd w:id="35"/>
    </w:p>
    <w:p w14:paraId="76F2EBEC"/>
    <w:p w14:paraId="36A2E868">
      <w:pPr>
        <w:pStyle w:val="27"/>
        <w:numPr>
          <w:ilvl w:val="0"/>
          <w:numId w:val="2"/>
        </w:numPr>
        <w:spacing w:line="600" w:lineRule="exact"/>
        <w:ind w:firstLineChars="0"/>
        <w:outlineLvl w:val="1"/>
        <w:rPr>
          <w:rStyle w:val="29"/>
          <w:rFonts w:ascii="黑体" w:hAnsi="黑体" w:eastAsia="黑体"/>
          <w:b w:val="0"/>
        </w:rPr>
      </w:pPr>
      <w:bookmarkStart w:id="36" w:name="_Toc6084"/>
      <w:bookmarkStart w:id="37" w:name="_Toc24133"/>
      <w:bookmarkStart w:id="38" w:name="_Toc15377205"/>
      <w:bookmarkStart w:id="3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36"/>
      <w:bookmarkEnd w:id="37"/>
      <w:bookmarkEnd w:id="38"/>
      <w:bookmarkEnd w:id="39"/>
    </w:p>
    <w:p w14:paraId="17E700F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2023年度收、支总计均为836.69万元。与</w:t>
      </w:r>
      <w:r>
        <w:rPr>
          <w:rFonts w:hint="eastAsia" w:ascii="仿宋_GB2312" w:hAnsi="仿宋_GB2312" w:eastAsia="仿宋_GB2312" w:cs="仿宋_GB2312"/>
          <w:b w:val="0"/>
          <w:bCs/>
          <w:sz w:val="32"/>
          <w:szCs w:val="32"/>
          <w:lang w:val="en-US" w:eastAsia="zh-CN"/>
        </w:rPr>
        <w:t>2022年度收入2419.25万元，上年结转结余77.03万元，支出总计2496.27万元</w:t>
      </w:r>
      <w:r>
        <w:rPr>
          <w:rFonts w:hint="eastAsia" w:ascii="仿宋" w:hAnsi="仿宋" w:eastAsia="仿宋"/>
          <w:sz w:val="32"/>
          <w:szCs w:val="32"/>
        </w:rPr>
        <w:t>相比，收</w:t>
      </w:r>
      <w:r>
        <w:rPr>
          <w:rFonts w:hint="eastAsia" w:ascii="仿宋" w:hAnsi="仿宋" w:eastAsia="仿宋"/>
          <w:sz w:val="32"/>
          <w:szCs w:val="32"/>
          <w:lang w:eastAsia="zh-CN"/>
        </w:rPr>
        <w:t>入</w:t>
      </w:r>
      <w:r>
        <w:rPr>
          <w:rFonts w:hint="eastAsia" w:ascii="仿宋" w:hAnsi="仿宋" w:eastAsia="仿宋"/>
          <w:sz w:val="32"/>
          <w:szCs w:val="32"/>
        </w:rPr>
        <w:t>总计减少-1582.56万元，下降</w:t>
      </w:r>
      <w:r>
        <w:rPr>
          <w:rFonts w:hint="eastAsia" w:ascii="仿宋" w:hAnsi="仿宋" w:eastAsia="仿宋"/>
          <w:sz w:val="32"/>
          <w:szCs w:val="32"/>
          <w:lang w:val="en-US" w:eastAsia="zh-CN"/>
        </w:rPr>
        <w:t>65.42</w:t>
      </w:r>
      <w:r>
        <w:rPr>
          <w:rFonts w:ascii="仿宋" w:hAnsi="仿宋" w:eastAsia="仿宋"/>
          <w:sz w:val="32"/>
          <w:szCs w:val="32"/>
        </w:rPr>
        <w:t>%</w:t>
      </w:r>
      <w:r>
        <w:rPr>
          <w:rFonts w:hint="eastAsia" w:ascii="仿宋" w:hAnsi="仿宋" w:eastAsia="仿宋"/>
          <w:sz w:val="32"/>
          <w:szCs w:val="32"/>
          <w:lang w:eastAsia="zh-CN"/>
        </w:rPr>
        <w:t>；支出总计减少</w:t>
      </w:r>
      <w:r>
        <w:rPr>
          <w:rFonts w:hint="eastAsia" w:ascii="仿宋" w:hAnsi="仿宋" w:eastAsia="仿宋"/>
          <w:sz w:val="32"/>
          <w:szCs w:val="32"/>
          <w:lang w:val="en-US" w:eastAsia="zh-CN"/>
        </w:rPr>
        <w:t>1659.58万元，下降66.48%</w:t>
      </w:r>
      <w:r>
        <w:rPr>
          <w:rFonts w:hint="eastAsia" w:ascii="仿宋" w:hAnsi="仿宋" w:eastAsia="仿宋"/>
          <w:sz w:val="32"/>
          <w:szCs w:val="32"/>
        </w:rPr>
        <w:t>。</w:t>
      </w:r>
      <w:r>
        <w:rPr>
          <w:rFonts w:hint="eastAsia" w:ascii="仿宋_GB2312" w:hAnsi="仿宋_GB2312" w:eastAsia="仿宋_GB2312" w:cs="仿宋_GB2312"/>
          <w:b w:val="0"/>
          <w:bCs/>
          <w:sz w:val="32"/>
          <w:szCs w:val="32"/>
          <w:lang w:val="en-US" w:eastAsia="zh-CN"/>
        </w:rPr>
        <w:t>主要变动原因是2023年城乡养老财政配套资金仅被征地资金514.03万元由本单位填报，其余城乡养老财政配套资金由财政局统一填报，而2022年城乡养老县级财政配套资金2180.46万元由本单位填报导致2023年收支减少较大</w:t>
      </w:r>
      <w:r>
        <w:rPr>
          <w:rFonts w:hint="eastAsia" w:ascii="仿宋" w:hAnsi="仿宋" w:eastAsia="仿宋"/>
          <w:sz w:val="32"/>
          <w:szCs w:val="32"/>
        </w:rPr>
        <w:t>。</w:t>
      </w:r>
    </w:p>
    <w:p w14:paraId="0716E43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3330CE8">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-356870</wp:posOffset>
            </wp:positionH>
            <wp:positionV relativeFrom="paragraph">
              <wp:posOffset>167005</wp:posOffset>
            </wp:positionV>
            <wp:extent cx="5939155" cy="3570605"/>
            <wp:effectExtent l="4445" t="4445" r="19050" b="63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EEBF39C">
      <w:pPr>
        <w:pStyle w:val="27"/>
        <w:numPr>
          <w:ilvl w:val="0"/>
          <w:numId w:val="2"/>
        </w:numPr>
        <w:spacing w:line="600" w:lineRule="exact"/>
        <w:ind w:firstLineChars="0"/>
        <w:outlineLvl w:val="1"/>
        <w:rPr>
          <w:rStyle w:val="29"/>
          <w:rFonts w:ascii="黑体" w:hAnsi="黑体" w:eastAsia="黑体"/>
          <w:b w:val="0"/>
        </w:rPr>
      </w:pPr>
      <w:bookmarkStart w:id="40" w:name="_Toc4678"/>
      <w:bookmarkStart w:id="41" w:name="_Toc15377206"/>
      <w:bookmarkStart w:id="42" w:name="_Toc13038"/>
      <w:bookmarkStart w:id="43" w:name="_Toc15396604"/>
      <w:r>
        <w:rPr>
          <w:rFonts w:hint="eastAsia" w:ascii="黑体" w:hAnsi="黑体" w:eastAsia="黑体"/>
          <w:sz w:val="32"/>
          <w:szCs w:val="32"/>
        </w:rPr>
        <w:t>收</w:t>
      </w:r>
      <w:r>
        <w:rPr>
          <w:rStyle w:val="29"/>
          <w:rFonts w:hint="eastAsia" w:ascii="黑体" w:hAnsi="黑体" w:eastAsia="黑体"/>
          <w:b w:val="0"/>
        </w:rPr>
        <w:t>入决算情况说明</w:t>
      </w:r>
      <w:bookmarkEnd w:id="40"/>
      <w:bookmarkEnd w:id="41"/>
      <w:bookmarkEnd w:id="42"/>
      <w:bookmarkEnd w:id="43"/>
    </w:p>
    <w:p w14:paraId="4A9C5B91">
      <w:pPr>
        <w:spacing w:line="600" w:lineRule="exact"/>
        <w:ind w:firstLine="640" w:firstLineChars="200"/>
        <w:outlineLvl w:val="1"/>
        <w:rPr>
          <w:rFonts w:ascii="仿宋" w:hAnsi="仿宋" w:eastAsia="仿宋"/>
          <w:sz w:val="32"/>
          <w:szCs w:val="32"/>
        </w:rPr>
      </w:pPr>
      <w:bookmarkStart w:id="44" w:name="_Toc16996"/>
      <w:bookmarkStart w:id="45" w:name="_Toc26675"/>
      <w:r>
        <w:rPr>
          <w:rFonts w:hint="eastAsia" w:ascii="仿宋" w:hAnsi="仿宋" w:eastAsia="仿宋"/>
          <w:sz w:val="32"/>
          <w:szCs w:val="32"/>
        </w:rPr>
        <w:t>2023年度本年收入合计</w:t>
      </w:r>
      <w:r>
        <w:rPr>
          <w:rFonts w:ascii="仿宋" w:hAnsi="仿宋" w:eastAsia="仿宋"/>
          <w:b/>
          <w:sz w:val="32"/>
          <w:szCs w:val="32"/>
        </w:rPr>
        <w:t>836.69</w:t>
      </w:r>
      <w:r>
        <w:rPr>
          <w:rFonts w:hint="eastAsia" w:ascii="仿宋" w:hAnsi="仿宋" w:eastAsia="仿宋"/>
          <w:sz w:val="32"/>
          <w:szCs w:val="32"/>
        </w:rPr>
        <w:t>万元，其中：一般公共预算财政拨款收入</w:t>
      </w:r>
      <w:r>
        <w:rPr>
          <w:rFonts w:ascii="仿宋" w:hAnsi="仿宋" w:eastAsia="仿宋"/>
          <w:b/>
          <w:sz w:val="32"/>
          <w:szCs w:val="32"/>
        </w:rPr>
        <w:t>322.67</w:t>
      </w:r>
      <w:r>
        <w:rPr>
          <w:rFonts w:hint="eastAsia" w:ascii="仿宋" w:hAnsi="仿宋" w:eastAsia="仿宋"/>
          <w:sz w:val="32"/>
          <w:szCs w:val="32"/>
        </w:rPr>
        <w:t>万元，占</w:t>
      </w:r>
      <w:r>
        <w:rPr>
          <w:rFonts w:ascii="仿宋" w:hAnsi="仿宋" w:eastAsia="仿宋"/>
          <w:b/>
          <w:sz w:val="32"/>
          <w:szCs w:val="32"/>
        </w:rPr>
        <w:t>38.56%</w:t>
      </w:r>
      <w:r>
        <w:rPr>
          <w:rFonts w:hint="eastAsia" w:ascii="仿宋" w:hAnsi="仿宋" w:eastAsia="仿宋"/>
          <w:sz w:val="32"/>
          <w:szCs w:val="32"/>
        </w:rPr>
        <w:t>；政府性基金预算财政拨款收入</w:t>
      </w:r>
      <w:r>
        <w:rPr>
          <w:rFonts w:ascii="仿宋" w:hAnsi="仿宋" w:eastAsia="仿宋"/>
          <w:b/>
          <w:sz w:val="32"/>
          <w:szCs w:val="32"/>
        </w:rPr>
        <w:t>514.03</w:t>
      </w:r>
      <w:r>
        <w:rPr>
          <w:rFonts w:hint="eastAsia" w:ascii="仿宋" w:hAnsi="仿宋" w:eastAsia="仿宋"/>
          <w:sz w:val="32"/>
          <w:szCs w:val="32"/>
        </w:rPr>
        <w:t>万元，占</w:t>
      </w:r>
      <w:r>
        <w:rPr>
          <w:rFonts w:ascii="仿宋" w:hAnsi="仿宋" w:eastAsia="仿宋"/>
          <w:b/>
          <w:sz w:val="32"/>
          <w:szCs w:val="32"/>
        </w:rPr>
        <w:t>61.43</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44"/>
      <w:bookmarkEnd w:id="45"/>
    </w:p>
    <w:p w14:paraId="6F154521">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95E3ABF">
      <w:pPr>
        <w:spacing w:line="600" w:lineRule="exact"/>
        <w:ind w:firstLine="420" w:firstLineChars="200"/>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328295</wp:posOffset>
            </wp:positionH>
            <wp:positionV relativeFrom="paragraph">
              <wp:posOffset>375920</wp:posOffset>
            </wp:positionV>
            <wp:extent cx="4826000" cy="2743200"/>
            <wp:effectExtent l="4445" t="4445" r="8255" b="1460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7C4B8DA">
      <w:pPr>
        <w:pStyle w:val="27"/>
        <w:numPr>
          <w:ilvl w:val="0"/>
          <w:numId w:val="2"/>
        </w:numPr>
        <w:spacing w:line="600" w:lineRule="exact"/>
        <w:ind w:firstLineChars="0"/>
        <w:outlineLvl w:val="1"/>
        <w:rPr>
          <w:rStyle w:val="29"/>
          <w:rFonts w:ascii="黑体" w:hAnsi="黑体" w:eastAsia="黑体"/>
          <w:b w:val="0"/>
        </w:rPr>
      </w:pPr>
      <w:bookmarkStart w:id="46" w:name="_Toc15396605"/>
      <w:bookmarkStart w:id="47" w:name="_Toc11283"/>
      <w:bookmarkStart w:id="48" w:name="_Toc15377207"/>
      <w:bookmarkStart w:id="49" w:name="_Toc8653"/>
      <w:r>
        <w:rPr>
          <w:rFonts w:hint="eastAsia" w:ascii="黑体" w:hAnsi="黑体" w:eastAsia="黑体"/>
          <w:sz w:val="32"/>
          <w:szCs w:val="32"/>
        </w:rPr>
        <w:t>支</w:t>
      </w:r>
      <w:r>
        <w:rPr>
          <w:rStyle w:val="29"/>
          <w:rFonts w:hint="eastAsia" w:ascii="黑体" w:hAnsi="黑体" w:eastAsia="黑体"/>
          <w:b w:val="0"/>
        </w:rPr>
        <w:t>出决算情况说明</w:t>
      </w:r>
      <w:bookmarkEnd w:id="46"/>
      <w:bookmarkEnd w:id="47"/>
      <w:bookmarkEnd w:id="48"/>
      <w:bookmarkEnd w:id="49"/>
    </w:p>
    <w:p w14:paraId="66BCE57C">
      <w:pPr>
        <w:spacing w:line="600" w:lineRule="exact"/>
        <w:ind w:firstLine="640" w:firstLineChars="200"/>
        <w:outlineLvl w:val="1"/>
        <w:rPr>
          <w:rFonts w:ascii="仿宋" w:hAnsi="仿宋" w:eastAsia="仿宋"/>
          <w:sz w:val="32"/>
          <w:szCs w:val="32"/>
        </w:rPr>
      </w:pPr>
      <w:bookmarkStart w:id="50" w:name="_Toc32026"/>
      <w:bookmarkStart w:id="51" w:name="_Toc2101"/>
      <w:r>
        <w:rPr>
          <w:rFonts w:hint="eastAsia" w:ascii="仿宋" w:hAnsi="仿宋" w:eastAsia="仿宋"/>
          <w:sz w:val="32"/>
          <w:szCs w:val="32"/>
        </w:rPr>
        <w:t>2023年度本年支出合计</w:t>
      </w:r>
      <w:r>
        <w:rPr>
          <w:rFonts w:ascii="仿宋" w:hAnsi="仿宋" w:eastAsia="仿宋"/>
          <w:b/>
          <w:sz w:val="32"/>
          <w:szCs w:val="32"/>
        </w:rPr>
        <w:t>836.69</w:t>
      </w:r>
      <w:r>
        <w:rPr>
          <w:rFonts w:hint="eastAsia" w:ascii="仿宋" w:hAnsi="仿宋" w:eastAsia="仿宋"/>
          <w:sz w:val="32"/>
          <w:szCs w:val="32"/>
        </w:rPr>
        <w:t>万元，其中：基本支出</w:t>
      </w:r>
      <w:r>
        <w:rPr>
          <w:rFonts w:ascii="仿宋" w:hAnsi="仿宋" w:eastAsia="仿宋"/>
          <w:b/>
          <w:sz w:val="32"/>
          <w:szCs w:val="32"/>
        </w:rPr>
        <w:t>284.67</w:t>
      </w:r>
      <w:r>
        <w:rPr>
          <w:rFonts w:hint="eastAsia" w:ascii="仿宋" w:hAnsi="仿宋" w:eastAsia="仿宋"/>
          <w:sz w:val="32"/>
          <w:szCs w:val="32"/>
        </w:rPr>
        <w:t>万元，占</w:t>
      </w:r>
      <w:r>
        <w:rPr>
          <w:rFonts w:ascii="仿宋" w:hAnsi="仿宋" w:eastAsia="仿宋"/>
          <w:b/>
          <w:sz w:val="32"/>
          <w:szCs w:val="32"/>
        </w:rPr>
        <w:t>34.02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552.03</w:t>
      </w:r>
      <w:r>
        <w:rPr>
          <w:rFonts w:hint="eastAsia" w:ascii="仿宋" w:hAnsi="仿宋" w:eastAsia="仿宋"/>
          <w:sz w:val="32"/>
          <w:szCs w:val="32"/>
        </w:rPr>
        <w:t>万元，占</w:t>
      </w:r>
      <w:r>
        <w:rPr>
          <w:rFonts w:ascii="仿宋" w:hAnsi="仿宋" w:eastAsia="仿宋"/>
          <w:b/>
          <w:sz w:val="32"/>
          <w:szCs w:val="32"/>
        </w:rPr>
        <w:t>65.97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50"/>
      <w:bookmarkEnd w:id="51"/>
    </w:p>
    <w:p w14:paraId="5A70DDA7">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2E1ACCCE">
      <w:pPr>
        <w:spacing w:line="600" w:lineRule="exact"/>
        <w:ind w:firstLine="420" w:firstLineChars="200"/>
        <w:rPr>
          <w:rStyle w:val="29"/>
          <w:rFonts w:ascii="黑体" w:hAnsi="黑体" w:eastAsia="黑体"/>
          <w:b w:val="0"/>
        </w:rPr>
      </w:pPr>
      <w:r>
        <w:drawing>
          <wp:anchor distT="0" distB="0" distL="114300" distR="114300" simplePos="0" relativeHeight="251661312" behindDoc="0" locked="0" layoutInCell="1" allowOverlap="1">
            <wp:simplePos x="0" y="0"/>
            <wp:positionH relativeFrom="column">
              <wp:posOffset>242570</wp:posOffset>
            </wp:positionH>
            <wp:positionV relativeFrom="paragraph">
              <wp:posOffset>242570</wp:posOffset>
            </wp:positionV>
            <wp:extent cx="4826000" cy="2743200"/>
            <wp:effectExtent l="4445" t="4445" r="8255"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52" w:name="_Toc15396606"/>
      <w:bookmarkStart w:id="53"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52"/>
      <w:bookmarkEnd w:id="53"/>
    </w:p>
    <w:p w14:paraId="3CA2FB67">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836.69</w:t>
      </w:r>
      <w:r>
        <w:rPr>
          <w:rFonts w:hint="eastAsia" w:ascii="仿宋" w:hAnsi="仿宋" w:eastAsia="仿宋"/>
          <w:sz w:val="32"/>
          <w:szCs w:val="32"/>
        </w:rPr>
        <w:t>万元。与2022年度</w:t>
      </w:r>
      <w:r>
        <w:rPr>
          <w:rFonts w:hint="eastAsia" w:ascii="仿宋_GB2312" w:hAnsi="仿宋_GB2312" w:eastAsia="仿宋_GB2312" w:cs="仿宋_GB2312"/>
          <w:b w:val="0"/>
          <w:bCs/>
          <w:sz w:val="32"/>
          <w:szCs w:val="32"/>
          <w:lang w:val="en-US" w:eastAsia="zh-CN"/>
        </w:rPr>
        <w:t>收入2419.25万元，上年结转结余77.03万元，支出总计为2496.27万元</w:t>
      </w:r>
      <w:r>
        <w:rPr>
          <w:rFonts w:hint="eastAsia" w:ascii="仿宋" w:hAnsi="仿宋" w:eastAsia="仿宋"/>
          <w:sz w:val="32"/>
          <w:szCs w:val="32"/>
        </w:rPr>
        <w:t>相比，收</w:t>
      </w:r>
      <w:r>
        <w:rPr>
          <w:rFonts w:hint="eastAsia" w:ascii="仿宋" w:hAnsi="仿宋" w:eastAsia="仿宋"/>
          <w:sz w:val="32"/>
          <w:szCs w:val="32"/>
          <w:lang w:eastAsia="zh-CN"/>
        </w:rPr>
        <w:t>入</w:t>
      </w:r>
      <w:r>
        <w:rPr>
          <w:rFonts w:hint="eastAsia" w:ascii="仿宋" w:hAnsi="仿宋" w:eastAsia="仿宋"/>
          <w:sz w:val="32"/>
          <w:szCs w:val="32"/>
        </w:rPr>
        <w:t>总计减少-1582.56万元，下降</w:t>
      </w:r>
      <w:r>
        <w:rPr>
          <w:rFonts w:hint="eastAsia" w:ascii="仿宋" w:hAnsi="仿宋" w:eastAsia="仿宋"/>
          <w:sz w:val="32"/>
          <w:szCs w:val="32"/>
          <w:lang w:val="en-US" w:eastAsia="zh-CN"/>
        </w:rPr>
        <w:t>65.42</w:t>
      </w:r>
      <w:r>
        <w:rPr>
          <w:rFonts w:ascii="仿宋" w:hAnsi="仿宋" w:eastAsia="仿宋"/>
          <w:sz w:val="32"/>
          <w:szCs w:val="32"/>
        </w:rPr>
        <w:t>%</w:t>
      </w:r>
      <w:r>
        <w:rPr>
          <w:rFonts w:hint="eastAsia" w:ascii="仿宋" w:hAnsi="仿宋" w:eastAsia="仿宋"/>
          <w:sz w:val="32"/>
          <w:szCs w:val="32"/>
          <w:lang w:eastAsia="zh-CN"/>
        </w:rPr>
        <w:t>；支出总计减少</w:t>
      </w:r>
      <w:r>
        <w:rPr>
          <w:rFonts w:hint="eastAsia" w:ascii="仿宋" w:hAnsi="仿宋" w:eastAsia="仿宋"/>
          <w:sz w:val="32"/>
          <w:szCs w:val="32"/>
          <w:lang w:val="en-US" w:eastAsia="zh-CN"/>
        </w:rPr>
        <w:t>1659.58万元，下降66.48%</w:t>
      </w:r>
      <w:r>
        <w:rPr>
          <w:rFonts w:hint="eastAsia" w:ascii="仿宋" w:hAnsi="仿宋" w:eastAsia="仿宋"/>
          <w:sz w:val="32"/>
          <w:szCs w:val="32"/>
        </w:rPr>
        <w:t>。主要变动原因</w:t>
      </w:r>
      <w:r>
        <w:rPr>
          <w:rFonts w:hint="eastAsia" w:ascii="仿宋_GB2312" w:hAnsi="仿宋_GB2312" w:eastAsia="仿宋_GB2312" w:cs="仿宋_GB2312"/>
          <w:b w:val="0"/>
          <w:bCs/>
          <w:sz w:val="32"/>
          <w:szCs w:val="32"/>
          <w:lang w:val="en-US" w:eastAsia="zh-CN"/>
        </w:rPr>
        <w:t>是2023年城乡养老财政配套资金仅被征地资金514.03万元由本单位填报，其余城乡养老财政配套资金由财政局统一填报，而2022年城乡养老县级财政配套资金2180.46万元由本单位填报导致2023年收支减少较大。</w:t>
      </w:r>
    </w:p>
    <w:p w14:paraId="545F543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5E8DC92">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-509905</wp:posOffset>
            </wp:positionH>
            <wp:positionV relativeFrom="paragraph">
              <wp:posOffset>204470</wp:posOffset>
            </wp:positionV>
            <wp:extent cx="5939155" cy="3570605"/>
            <wp:effectExtent l="4445" t="4445" r="19050" b="6350"/>
            <wp:wrapTopAndBottom/>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ABD3367">
      <w:pPr>
        <w:spacing w:line="600" w:lineRule="exact"/>
        <w:ind w:firstLine="640" w:firstLineChars="200"/>
        <w:outlineLvl w:val="1"/>
        <w:rPr>
          <w:rStyle w:val="29"/>
          <w:rFonts w:ascii="黑体" w:hAnsi="黑体" w:eastAsia="黑体"/>
          <w:b w:val="0"/>
        </w:rPr>
      </w:pPr>
      <w:bookmarkStart w:id="54" w:name="_Toc2885"/>
      <w:bookmarkStart w:id="55" w:name="_Toc15396607"/>
      <w:bookmarkStart w:id="56" w:name="_Toc7429"/>
      <w:bookmarkStart w:id="5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54"/>
      <w:bookmarkEnd w:id="55"/>
      <w:bookmarkEnd w:id="56"/>
      <w:bookmarkEnd w:id="57"/>
    </w:p>
    <w:p w14:paraId="0CB12AC2">
      <w:pPr>
        <w:spacing w:line="600" w:lineRule="exact"/>
        <w:ind w:firstLine="643" w:firstLineChars="200"/>
        <w:outlineLvl w:val="2"/>
        <w:rPr>
          <w:rFonts w:ascii="仿宋" w:hAnsi="仿宋" w:eastAsia="仿宋"/>
          <w:b/>
          <w:sz w:val="32"/>
          <w:szCs w:val="32"/>
        </w:rPr>
      </w:pPr>
      <w:bookmarkStart w:id="58" w:name="_Toc15377210"/>
      <w:bookmarkStart w:id="59" w:name="_Toc2420"/>
      <w:r>
        <w:rPr>
          <w:rFonts w:hint="eastAsia" w:ascii="仿宋" w:hAnsi="仿宋" w:eastAsia="仿宋"/>
          <w:b/>
          <w:sz w:val="32"/>
          <w:szCs w:val="32"/>
        </w:rPr>
        <w:t>（一）一般公共预算财政拨款支出决算总体情况</w:t>
      </w:r>
      <w:bookmarkEnd w:id="58"/>
      <w:bookmarkEnd w:id="59"/>
    </w:p>
    <w:p w14:paraId="51359FC3">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322.67</w:t>
      </w:r>
      <w:r>
        <w:rPr>
          <w:rFonts w:hint="eastAsia" w:ascii="仿宋" w:hAnsi="仿宋" w:eastAsia="仿宋"/>
          <w:sz w:val="32"/>
          <w:szCs w:val="32"/>
        </w:rPr>
        <w:t>万元，占本年支出合计的</w:t>
      </w:r>
      <w:r>
        <w:rPr>
          <w:rFonts w:ascii="仿宋" w:hAnsi="仿宋" w:eastAsia="仿宋"/>
          <w:b/>
          <w:sz w:val="32"/>
          <w:szCs w:val="32"/>
        </w:rPr>
        <w:t>38.56</w:t>
      </w:r>
      <w:r>
        <w:rPr>
          <w:rFonts w:ascii="仿宋" w:hAnsi="仿宋" w:eastAsia="仿宋"/>
          <w:sz w:val="32"/>
          <w:szCs w:val="32"/>
        </w:rPr>
        <w:t>%</w:t>
      </w:r>
      <w:r>
        <w:rPr>
          <w:rFonts w:hint="eastAsia" w:ascii="仿宋" w:hAnsi="仿宋" w:eastAsia="仿宋"/>
          <w:sz w:val="32"/>
          <w:szCs w:val="32"/>
        </w:rPr>
        <w:t>。与2022年</w:t>
      </w:r>
      <w:r>
        <w:rPr>
          <w:rFonts w:hint="eastAsia" w:ascii="仿宋_GB2312" w:hAnsi="仿宋_GB2312" w:eastAsia="仿宋_GB2312" w:cs="仿宋_GB2312"/>
          <w:color w:val="000000"/>
          <w:sz w:val="32"/>
          <w:szCs w:val="32"/>
        </w:rPr>
        <w:t>一般公共预算财政拨款支出</w:t>
      </w:r>
      <w:r>
        <w:rPr>
          <w:rFonts w:hint="eastAsia" w:ascii="仿宋_GB2312" w:hAnsi="仿宋_GB2312" w:eastAsia="仿宋_GB2312" w:cs="仿宋_GB2312"/>
          <w:color w:val="000000"/>
          <w:sz w:val="32"/>
          <w:szCs w:val="32"/>
          <w:lang w:val="en-US" w:eastAsia="zh-CN"/>
        </w:rPr>
        <w:t>2496.27</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 w:hAnsi="仿宋" w:eastAsia="仿宋"/>
          <w:sz w:val="32"/>
          <w:szCs w:val="32"/>
        </w:rPr>
        <w:t>度相比，一般公共预算财政拨款支出减少</w:t>
      </w:r>
      <w:r>
        <w:rPr>
          <w:rFonts w:hint="eastAsia" w:ascii="仿宋" w:hAnsi="仿宋" w:eastAsia="仿宋"/>
          <w:sz w:val="32"/>
          <w:szCs w:val="32"/>
          <w:lang w:val="en-US" w:eastAsia="zh-CN"/>
        </w:rPr>
        <w:t>2173.6</w:t>
      </w:r>
      <w:r>
        <w:rPr>
          <w:rFonts w:hint="eastAsia" w:ascii="仿宋" w:hAnsi="仿宋" w:eastAsia="仿宋"/>
          <w:sz w:val="32"/>
          <w:szCs w:val="32"/>
        </w:rPr>
        <w:t>万元，下降</w:t>
      </w:r>
      <w:r>
        <w:rPr>
          <w:rFonts w:hint="eastAsia" w:ascii="仿宋" w:hAnsi="仿宋" w:eastAsia="仿宋"/>
          <w:sz w:val="32"/>
          <w:szCs w:val="32"/>
          <w:lang w:val="en-US" w:eastAsia="zh-CN"/>
        </w:rPr>
        <w:t>87.07</w:t>
      </w:r>
      <w:r>
        <w:rPr>
          <w:rFonts w:ascii="仿宋" w:hAnsi="仿宋" w:eastAsia="仿宋"/>
          <w:sz w:val="32"/>
          <w:szCs w:val="32"/>
        </w:rPr>
        <w:t>%</w:t>
      </w:r>
      <w:r>
        <w:rPr>
          <w:rFonts w:hint="eastAsia" w:ascii="仿宋" w:hAnsi="仿宋" w:eastAsia="仿宋"/>
          <w:sz w:val="32"/>
          <w:szCs w:val="32"/>
        </w:rPr>
        <w:t>。主要变动原因</w:t>
      </w:r>
      <w:r>
        <w:rPr>
          <w:rFonts w:hint="eastAsia" w:ascii="仿宋_GB2312" w:hAnsi="仿宋_GB2312" w:eastAsia="仿宋_GB2312" w:cs="仿宋_GB2312"/>
          <w:b w:val="0"/>
          <w:bCs/>
          <w:sz w:val="32"/>
          <w:szCs w:val="32"/>
          <w:lang w:val="en-US" w:eastAsia="zh-CN"/>
        </w:rPr>
        <w:t>是2023年城乡养老财政配套资金仅被征地资金514.03万元由本单位填报，其余城乡养老财政配套资金由财政局统一填报，而2022年城乡养老县级财政配套资金2180.46万元由本单位填报导致2023年收支减少较大。</w:t>
      </w:r>
    </w:p>
    <w:p w14:paraId="2E37E80B">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B817DFE">
      <w:pPr>
        <w:spacing w:line="600" w:lineRule="exact"/>
        <w:ind w:firstLine="640" w:firstLineChars="200"/>
        <w:rPr>
          <w:rFonts w:ascii="仿宋" w:hAnsi="仿宋" w:eastAsia="仿宋"/>
          <w:sz w:val="32"/>
          <w:szCs w:val="32"/>
        </w:rPr>
      </w:pPr>
    </w:p>
    <w:p w14:paraId="061E4D36">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-100330</wp:posOffset>
            </wp:positionH>
            <wp:positionV relativeFrom="paragraph">
              <wp:posOffset>24130</wp:posOffset>
            </wp:positionV>
            <wp:extent cx="5253990" cy="2800350"/>
            <wp:effectExtent l="4445" t="4445" r="18415" b="14605"/>
            <wp:wrapTopAndBottom/>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6B047C4">
      <w:pPr>
        <w:spacing w:line="600" w:lineRule="exact"/>
        <w:ind w:firstLine="643" w:firstLineChars="200"/>
        <w:outlineLvl w:val="2"/>
        <w:rPr>
          <w:rFonts w:ascii="仿宋" w:hAnsi="仿宋" w:eastAsia="仿宋"/>
          <w:b/>
          <w:sz w:val="32"/>
          <w:szCs w:val="32"/>
        </w:rPr>
      </w:pPr>
      <w:bookmarkStart w:id="60" w:name="_Toc4098"/>
      <w:bookmarkStart w:id="61" w:name="_Toc15377211"/>
      <w:r>
        <w:rPr>
          <w:rFonts w:hint="eastAsia" w:ascii="仿宋" w:hAnsi="仿宋" w:eastAsia="仿宋"/>
          <w:b/>
          <w:sz w:val="32"/>
          <w:szCs w:val="32"/>
        </w:rPr>
        <w:t>（二）一般公共预算财政拨款支出决算结构情况</w:t>
      </w:r>
      <w:bookmarkEnd w:id="60"/>
      <w:bookmarkEnd w:id="61"/>
    </w:p>
    <w:p w14:paraId="5284E576">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322.67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322.67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290.21</w:t>
      </w:r>
      <w:r>
        <w:rPr>
          <w:rFonts w:hint="eastAsia" w:ascii="仿宋" w:hAnsi="仿宋" w:eastAsia="仿宋"/>
          <w:sz w:val="32"/>
          <w:szCs w:val="32"/>
        </w:rPr>
        <w:t>万元，占</w:t>
      </w:r>
      <w:r>
        <w:rPr>
          <w:rFonts w:hint="eastAsia" w:ascii="仿宋" w:hAnsi="仿宋" w:eastAsia="仿宋"/>
          <w:sz w:val="32"/>
          <w:szCs w:val="32"/>
          <w:lang w:val="en-US" w:eastAsia="zh-CN"/>
        </w:rPr>
        <w:t>89.94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9.87</w:t>
      </w:r>
      <w:r>
        <w:rPr>
          <w:rFonts w:hint="eastAsia" w:ascii="仿宋" w:hAnsi="仿宋" w:eastAsia="仿宋"/>
          <w:sz w:val="32"/>
          <w:szCs w:val="32"/>
        </w:rPr>
        <w:t>万元，占</w:t>
      </w:r>
      <w:r>
        <w:rPr>
          <w:rFonts w:hint="eastAsia" w:ascii="仿宋" w:hAnsi="仿宋" w:eastAsia="仿宋"/>
          <w:sz w:val="32"/>
          <w:szCs w:val="32"/>
          <w:lang w:val="en-US" w:eastAsia="zh-CN"/>
        </w:rPr>
        <w:t>3.06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22.59</w:t>
      </w:r>
      <w:r>
        <w:rPr>
          <w:rFonts w:hint="eastAsia" w:ascii="仿宋" w:hAnsi="仿宋" w:eastAsia="仿宋"/>
          <w:sz w:val="32"/>
          <w:szCs w:val="32"/>
        </w:rPr>
        <w:t>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w:t>
      </w:r>
    </w:p>
    <w:p w14:paraId="151EB55F">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5954C6A1">
      <w:pPr>
        <w:spacing w:line="600" w:lineRule="exact"/>
        <w:ind w:firstLine="640" w:firstLineChars="200"/>
        <w:rPr>
          <w:rFonts w:ascii="仿宋" w:hAnsi="仿宋" w:eastAsia="仿宋"/>
          <w:sz w:val="32"/>
          <w:szCs w:val="32"/>
        </w:rPr>
      </w:pPr>
    </w:p>
    <w:p w14:paraId="4606A1B4">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109220</wp:posOffset>
            </wp:positionH>
            <wp:positionV relativeFrom="paragraph">
              <wp:posOffset>90170</wp:posOffset>
            </wp:positionV>
            <wp:extent cx="5216525" cy="2847340"/>
            <wp:effectExtent l="4445" t="4445" r="17780" b="5715"/>
            <wp:wrapTopAndBottom/>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5704DEC">
      <w:pPr>
        <w:spacing w:line="600" w:lineRule="exact"/>
        <w:ind w:firstLine="643" w:firstLineChars="200"/>
        <w:outlineLvl w:val="2"/>
        <w:rPr>
          <w:rFonts w:ascii="仿宋" w:hAnsi="仿宋" w:eastAsia="仿宋"/>
          <w:b/>
          <w:sz w:val="32"/>
          <w:szCs w:val="32"/>
        </w:rPr>
      </w:pPr>
      <w:bookmarkStart w:id="62" w:name="_Toc15377212"/>
      <w:bookmarkStart w:id="63" w:name="_Toc18294"/>
      <w:r>
        <w:rPr>
          <w:rFonts w:hint="eastAsia" w:ascii="仿宋" w:hAnsi="仿宋" w:eastAsia="仿宋"/>
          <w:b/>
          <w:sz w:val="32"/>
          <w:szCs w:val="32"/>
        </w:rPr>
        <w:t>（三）一般公共预算财政拨款支出决算具体情况</w:t>
      </w:r>
      <w:bookmarkEnd w:id="62"/>
      <w:bookmarkEnd w:id="63"/>
    </w:p>
    <w:p w14:paraId="45DACAD8">
      <w:pPr>
        <w:spacing w:line="600" w:lineRule="exact"/>
        <w:ind w:firstLine="643" w:firstLineChars="200"/>
        <w:outlineLvl w:val="1"/>
        <w:rPr>
          <w:rFonts w:ascii="仿宋" w:hAnsi="仿宋" w:eastAsia="仿宋"/>
          <w:sz w:val="32"/>
          <w:szCs w:val="32"/>
        </w:rPr>
      </w:pPr>
      <w:bookmarkStart w:id="64" w:name="_Toc15378460"/>
      <w:bookmarkStart w:id="65" w:name="_Toc15377213"/>
      <w:bookmarkStart w:id="66" w:name="_Toc29620"/>
      <w:bookmarkStart w:id="67" w:name="_Toc15377444"/>
      <w:bookmarkStart w:id="68" w:name="_Toc21170"/>
      <w:r>
        <w:rPr>
          <w:rFonts w:hint="eastAsia" w:ascii="仿宋" w:hAnsi="仿宋" w:eastAsia="仿宋"/>
          <w:b/>
          <w:sz w:val="32"/>
          <w:szCs w:val="32"/>
        </w:rPr>
        <w:t>2023年度一般公共预算支出决算数为</w:t>
      </w:r>
      <w:r>
        <w:rPr>
          <w:rFonts w:ascii="仿宋" w:hAnsi="仿宋" w:eastAsia="仿宋"/>
          <w:b/>
          <w:sz w:val="32"/>
          <w:szCs w:val="32"/>
        </w:rPr>
        <w:t>322.67</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64"/>
      <w:bookmarkEnd w:id="65"/>
      <w:bookmarkEnd w:id="66"/>
      <w:bookmarkEnd w:id="67"/>
      <w:bookmarkEnd w:id="68"/>
    </w:p>
    <w:p w14:paraId="2A9320A0">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一般公共服务社会保障和就业支出（208）人力资源和社会保障管理事务（01）社会保险经办机构（09）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支出决算为276.16万元，完成预算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，决算等于预算数</w:t>
      </w:r>
      <w:r>
        <w:rPr>
          <w:rStyle w:val="17"/>
          <w:rFonts w:hint="eastAsia" w:ascii="仿宋" w:hAnsi="仿宋" w:eastAsia="仿宋"/>
          <w:b w:val="0"/>
          <w:bCs/>
          <w:sz w:val="32"/>
          <w:szCs w:val="32"/>
          <w:lang w:eastAsia="zh-CN"/>
        </w:rPr>
        <w:t>持平</w:t>
      </w:r>
      <w:r>
        <w:rPr>
          <w:rStyle w:val="17"/>
          <w:rFonts w:hint="eastAsia" w:ascii="仿宋" w:hAnsi="仿宋" w:eastAsia="仿宋"/>
          <w:b w:val="0"/>
          <w:bCs/>
          <w:sz w:val="32"/>
          <w:szCs w:val="32"/>
        </w:rPr>
        <w:t>。</w:t>
      </w:r>
    </w:p>
    <w:p w14:paraId="505C58FB">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color w:val="auto"/>
          <w:sz w:val="32"/>
          <w:szCs w:val="32"/>
          <w:highlight w:val="none"/>
          <w:lang w:val="en-US" w:eastAsia="zh-CN"/>
        </w:rPr>
        <w:t>208</w:t>
      </w:r>
      <w:r>
        <w:rPr>
          <w:rFonts w:hint="eastAsia" w:ascii="仿宋_GB2312" w:hAnsi="仿宋_GB2312" w:eastAsia="仿宋_GB2312" w:cs="仿宋_GB2312"/>
          <w:b/>
          <w:color w:val="auto"/>
          <w:sz w:val="32"/>
          <w:szCs w:val="32"/>
          <w:highlight w:val="none"/>
        </w:rPr>
        <w:t>）行政事业单位养老支出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0</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lang w:eastAsia="zh-CN"/>
        </w:rPr>
        <w:t>）机关事业单位基本养老保险缴费支出（</w:t>
      </w:r>
      <w:r>
        <w:rPr>
          <w:rFonts w:hint="eastAsia" w:ascii="仿宋_GB2312" w:hAnsi="仿宋_GB2312" w:eastAsia="仿宋_GB2312" w:cs="仿宋_GB2312"/>
          <w:b/>
          <w:color w:val="auto"/>
          <w:sz w:val="32"/>
          <w:szCs w:val="32"/>
          <w:highlight w:val="none"/>
          <w:lang w:val="en-US" w:eastAsia="zh-CN"/>
        </w:rPr>
        <w:t>05</w:t>
      </w:r>
      <w:r>
        <w:rPr>
          <w:rFonts w:hint="eastAsia" w:ascii="仿宋_GB2312" w:hAnsi="仿宋_GB2312" w:eastAsia="仿宋_GB2312" w:cs="仿宋_GB2312"/>
          <w:b/>
          <w:color w:val="auto"/>
          <w:sz w:val="32"/>
          <w:szCs w:val="32"/>
          <w:highlight w:val="none"/>
          <w:lang w:eastAsia="zh-CN"/>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支出决算为11.29万元，完成预算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CCEB0ED">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color w:val="auto"/>
          <w:sz w:val="32"/>
          <w:szCs w:val="32"/>
          <w:highlight w:val="none"/>
          <w:lang w:val="en-US" w:eastAsia="zh-CN"/>
        </w:rPr>
        <w:t>208</w:t>
      </w:r>
      <w:r>
        <w:rPr>
          <w:rFonts w:hint="eastAsia" w:ascii="仿宋_GB2312" w:hAnsi="仿宋_GB2312" w:eastAsia="仿宋_GB2312" w:cs="仿宋_GB2312"/>
          <w:b/>
          <w:color w:val="auto"/>
          <w:sz w:val="32"/>
          <w:szCs w:val="32"/>
          <w:highlight w:val="none"/>
        </w:rPr>
        <w:t>）行政事业单位养老支出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0</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lang w:eastAsia="zh-CN"/>
        </w:rPr>
        <w:t>）其他行政事业单位养老支出（</w:t>
      </w:r>
      <w:r>
        <w:rPr>
          <w:rFonts w:hint="eastAsia" w:ascii="仿宋_GB2312" w:hAnsi="仿宋_GB2312" w:eastAsia="仿宋_GB2312" w:cs="仿宋_GB2312"/>
          <w:b/>
          <w:color w:val="auto"/>
          <w:sz w:val="32"/>
          <w:szCs w:val="32"/>
          <w:highlight w:val="none"/>
          <w:lang w:val="en-US" w:eastAsia="zh-CN"/>
        </w:rPr>
        <w:t>99</w:t>
      </w:r>
      <w:r>
        <w:rPr>
          <w:rFonts w:hint="eastAsia" w:ascii="仿宋_GB2312" w:hAnsi="仿宋_GB2312" w:eastAsia="仿宋_GB2312" w:cs="仿宋_GB2312"/>
          <w:b/>
          <w:color w:val="auto"/>
          <w:sz w:val="32"/>
          <w:szCs w:val="32"/>
          <w:highlight w:val="none"/>
          <w:lang w:eastAsia="zh-CN"/>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支出决算为1.69万元，完成预算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50CE2BA8">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color w:val="auto"/>
          <w:sz w:val="32"/>
          <w:szCs w:val="32"/>
          <w:highlight w:val="none"/>
          <w:lang w:val="en-US" w:eastAsia="zh-CN"/>
        </w:rPr>
        <w:t>208</w:t>
      </w:r>
      <w:r>
        <w:rPr>
          <w:rFonts w:hint="eastAsia" w:ascii="仿宋_GB2312" w:hAnsi="仿宋_GB2312" w:eastAsia="仿宋_GB2312" w:cs="仿宋_GB2312"/>
          <w:b/>
          <w:color w:val="auto"/>
          <w:sz w:val="32"/>
          <w:szCs w:val="32"/>
          <w:highlight w:val="none"/>
        </w:rPr>
        <w:t>）其他社会保障和就业支出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0</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lang w:eastAsia="zh-CN"/>
        </w:rPr>
        <w:t>）其他行政事业单位养老支出（</w:t>
      </w:r>
      <w:r>
        <w:rPr>
          <w:rFonts w:hint="eastAsia" w:ascii="仿宋_GB2312" w:hAnsi="仿宋_GB2312" w:eastAsia="仿宋_GB2312" w:cs="仿宋_GB2312"/>
          <w:b/>
          <w:color w:val="auto"/>
          <w:sz w:val="32"/>
          <w:szCs w:val="32"/>
          <w:highlight w:val="none"/>
          <w:lang w:val="en-US" w:eastAsia="zh-CN"/>
        </w:rPr>
        <w:t>99</w:t>
      </w:r>
      <w:r>
        <w:rPr>
          <w:rFonts w:hint="eastAsia" w:ascii="仿宋_GB2312" w:hAnsi="仿宋_GB2312" w:eastAsia="仿宋_GB2312" w:cs="仿宋_GB2312"/>
          <w:b/>
          <w:color w:val="auto"/>
          <w:sz w:val="32"/>
          <w:szCs w:val="32"/>
          <w:highlight w:val="none"/>
          <w:lang w:eastAsia="zh-CN"/>
        </w:rPr>
        <w:t>）</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支出决算为1.07万元，完成预算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072FA32">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Fonts w:hint="eastAsia" w:ascii="仿宋_GB2312" w:hAnsi="仿宋_GB2312" w:eastAsia="仿宋_GB2312" w:cs="仿宋_GB2312"/>
          <w:b/>
          <w:bCs/>
          <w:color w:val="auto"/>
          <w:sz w:val="32"/>
          <w:szCs w:val="32"/>
          <w:highlight w:val="none"/>
        </w:rPr>
        <w:t>卫生健康</w:t>
      </w:r>
      <w:r>
        <w:rPr>
          <w:rStyle w:val="17"/>
          <w:rFonts w:hint="eastAsia" w:ascii="仿宋_GB2312" w:hAnsi="仿宋_GB2312" w:eastAsia="仿宋_GB2312" w:cs="仿宋_GB2312"/>
          <w:bCs/>
          <w:color w:val="auto"/>
          <w:sz w:val="32"/>
          <w:szCs w:val="32"/>
          <w:highlight w:val="none"/>
        </w:rPr>
        <w:t>（210）行政事业单位医疗（11）事业单位医疗（02）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支出决算为9.87万元，完成预算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4554AE58">
      <w:pPr>
        <w:spacing w:line="600" w:lineRule="exact"/>
        <w:ind w:firstLine="643" w:firstLineChars="200"/>
        <w:rPr>
          <w:rFonts w:ascii="仿宋" w:hAnsi="仿宋" w:eastAsia="仿宋"/>
          <w:b/>
          <w:sz w:val="32"/>
          <w:szCs w:val="32"/>
        </w:rPr>
      </w:pPr>
      <w:r>
        <w:rPr>
          <w:rStyle w:val="17"/>
          <w:rFonts w:ascii="仿宋" w:hAnsi="仿宋" w:eastAsia="仿宋"/>
          <w:bCs/>
          <w:sz w:val="32"/>
          <w:szCs w:val="32"/>
        </w:rPr>
        <w:t>6.</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221</w:t>
      </w:r>
      <w:r>
        <w:rPr>
          <w:rFonts w:hint="eastAsia" w:ascii="仿宋_GB2312" w:hAnsi="仿宋_GB2312" w:eastAsia="仿宋_GB2312" w:cs="仿宋_GB2312"/>
          <w:b/>
          <w:bCs/>
          <w:color w:val="auto"/>
          <w:sz w:val="32"/>
          <w:szCs w:val="32"/>
          <w:highlight w:val="none"/>
          <w:lang w:eastAsia="zh-CN"/>
        </w:rPr>
        <w:t>）住房改革支出（</w:t>
      </w:r>
      <w:r>
        <w:rPr>
          <w:rFonts w:hint="eastAsia" w:ascii="仿宋_GB2312" w:hAnsi="仿宋_GB2312" w:eastAsia="仿宋_GB2312" w:cs="仿宋_GB2312"/>
          <w:b/>
          <w:bCs/>
          <w:color w:val="auto"/>
          <w:sz w:val="32"/>
          <w:szCs w:val="32"/>
          <w:highlight w:val="none"/>
        </w:rPr>
        <w:t>02</w:t>
      </w:r>
      <w:r>
        <w:rPr>
          <w:rFonts w:hint="eastAsia" w:ascii="仿宋_GB2312" w:hAnsi="仿宋_GB2312" w:eastAsia="仿宋_GB2312" w:cs="仿宋_GB2312"/>
          <w:b/>
          <w:bCs/>
          <w:color w:val="auto"/>
          <w:sz w:val="32"/>
          <w:szCs w:val="32"/>
          <w:highlight w:val="none"/>
          <w:lang w:eastAsia="zh-CN"/>
        </w:rPr>
        <w:t>）住房公积金（</w:t>
      </w:r>
      <w:r>
        <w:rPr>
          <w:rFonts w:hint="eastAsia" w:ascii="仿宋_GB2312" w:hAnsi="仿宋_GB2312" w:eastAsia="仿宋_GB2312" w:cs="仿宋_GB2312"/>
          <w:b/>
          <w:bCs/>
          <w:color w:val="auto"/>
          <w:sz w:val="32"/>
          <w:szCs w:val="32"/>
          <w:highlight w:val="none"/>
        </w:rPr>
        <w:t>01</w:t>
      </w:r>
      <w:r>
        <w:rPr>
          <w:rFonts w:hint="eastAsia" w:ascii="仿宋_GB2312" w:hAnsi="仿宋_GB2312" w:eastAsia="仿宋_GB2312" w:cs="仿宋_GB2312"/>
          <w:b/>
          <w:bCs/>
          <w:color w:val="auto"/>
          <w:sz w:val="32"/>
          <w:szCs w:val="32"/>
          <w:highlight w:val="none"/>
          <w:lang w:eastAsia="zh-CN"/>
        </w:rPr>
        <w:t>）</w:t>
      </w:r>
      <w:r>
        <w:rPr>
          <w:rStyle w:val="17"/>
          <w:rFonts w:ascii="仿宋" w:hAnsi="仿宋" w:eastAsia="仿宋"/>
          <w:bCs/>
          <w:sz w:val="32"/>
          <w:szCs w:val="32"/>
        </w:rPr>
        <w:t>:</w:t>
      </w:r>
      <w:r>
        <w:rPr>
          <w:rStyle w:val="17"/>
          <w:rFonts w:hint="eastAsia" w:ascii="仿宋" w:hAnsi="仿宋" w:eastAsia="仿宋"/>
          <w:b w:val="0"/>
          <w:bCs/>
          <w:sz w:val="32"/>
          <w:szCs w:val="32"/>
        </w:rPr>
        <w:t>支出决算为22.59万元，完成预算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063CB3C6">
      <w:pPr>
        <w:tabs>
          <w:tab w:val="right" w:pos="8306"/>
        </w:tabs>
        <w:spacing w:line="600" w:lineRule="exact"/>
        <w:ind w:firstLine="640"/>
        <w:outlineLvl w:val="1"/>
        <w:rPr>
          <w:rStyle w:val="29"/>
        </w:rPr>
      </w:pPr>
      <w:bookmarkStart w:id="69" w:name="_Toc15396608"/>
      <w:bookmarkStart w:id="70" w:name="_Toc28738"/>
      <w:bookmarkStart w:id="71" w:name="_Toc7000"/>
      <w:bookmarkStart w:id="7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9"/>
      <w:bookmarkEnd w:id="70"/>
      <w:bookmarkEnd w:id="71"/>
      <w:bookmarkEnd w:id="72"/>
      <w:r>
        <w:rPr>
          <w:rStyle w:val="29"/>
          <w:rFonts w:ascii="黑体" w:hAnsi="黑体" w:eastAsia="黑体"/>
          <w:b w:val="0"/>
        </w:rPr>
        <w:tab/>
      </w:r>
    </w:p>
    <w:p w14:paraId="3B893F7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284.67</w:t>
      </w:r>
      <w:r>
        <w:rPr>
          <w:rFonts w:hint="eastAsia" w:ascii="仿宋" w:hAnsi="仿宋" w:eastAsia="仿宋"/>
          <w:sz w:val="32"/>
          <w:szCs w:val="32"/>
        </w:rPr>
        <w:t>万元，其中：</w:t>
      </w:r>
    </w:p>
    <w:p w14:paraId="02304146">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258.14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26.52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759A1A1">
      <w:pPr>
        <w:spacing w:line="600" w:lineRule="exact"/>
        <w:ind w:firstLine="640"/>
        <w:outlineLvl w:val="1"/>
        <w:rPr>
          <w:rStyle w:val="29"/>
          <w:rFonts w:ascii="黑体" w:hAnsi="黑体" w:eastAsia="黑体"/>
          <w:b w:val="0"/>
        </w:rPr>
      </w:pPr>
      <w:bookmarkStart w:id="73" w:name="_Toc15377215"/>
      <w:bookmarkStart w:id="74" w:name="_Toc29377"/>
      <w:bookmarkStart w:id="75" w:name="_Toc19195"/>
      <w:bookmarkStart w:id="76"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73"/>
      <w:bookmarkEnd w:id="74"/>
      <w:bookmarkEnd w:id="75"/>
      <w:bookmarkEnd w:id="76"/>
    </w:p>
    <w:p w14:paraId="6CFB73DE">
      <w:pPr>
        <w:spacing w:line="600" w:lineRule="exact"/>
        <w:ind w:firstLine="640"/>
        <w:outlineLvl w:val="2"/>
        <w:rPr>
          <w:rFonts w:ascii="仿宋" w:hAnsi="仿宋" w:eastAsia="仿宋"/>
          <w:b/>
          <w:sz w:val="32"/>
          <w:szCs w:val="32"/>
        </w:rPr>
      </w:pPr>
      <w:bookmarkStart w:id="77" w:name="_Toc18230"/>
      <w:bookmarkStart w:id="78" w:name="_Toc15377216"/>
      <w:r>
        <w:rPr>
          <w:rFonts w:hint="eastAsia" w:ascii="仿宋" w:hAnsi="仿宋" w:eastAsia="仿宋"/>
          <w:b/>
          <w:sz w:val="32"/>
          <w:szCs w:val="32"/>
        </w:rPr>
        <w:t>（一）“三公”经费财政拨款支出决算总体情况说明</w:t>
      </w:r>
      <w:bookmarkEnd w:id="77"/>
      <w:bookmarkEnd w:id="78"/>
    </w:p>
    <w:p w14:paraId="5B8DD14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0.5</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0.33</w:t>
      </w:r>
      <w:r>
        <w:rPr>
          <w:rFonts w:hint="eastAsia" w:ascii="仿宋" w:hAnsi="仿宋" w:eastAsia="仿宋"/>
          <w:sz w:val="32"/>
          <w:szCs w:val="32"/>
        </w:rPr>
        <w:t>万元，下降</w:t>
      </w:r>
      <w:r>
        <w:rPr>
          <w:rFonts w:hint="eastAsia" w:ascii="仿宋" w:hAnsi="仿宋" w:eastAsia="仿宋"/>
          <w:sz w:val="32"/>
          <w:szCs w:val="32"/>
          <w:lang w:val="en-US" w:eastAsia="zh-CN"/>
        </w:rPr>
        <w:t>37.5</w:t>
      </w:r>
      <w:r>
        <w:rPr>
          <w:rFonts w:hint="eastAsia" w:ascii="仿宋" w:hAnsi="仿宋" w:eastAsia="仿宋"/>
          <w:sz w:val="32"/>
          <w:szCs w:val="32"/>
        </w:rPr>
        <w:t>%。决算数小于预算数（或与预算数持平）的主要原因是</w:t>
      </w:r>
      <w:r>
        <w:rPr>
          <w:rFonts w:hint="eastAsia" w:ascii="仿宋_GB2312" w:hAnsi="仿宋_GB2312" w:eastAsia="仿宋_GB2312" w:cs="仿宋_GB2312"/>
          <w:color w:val="000000"/>
          <w:sz w:val="32"/>
          <w:szCs w:val="32"/>
          <w:lang w:eastAsia="zh-CN"/>
        </w:rPr>
        <w:t>严格执行各项规章制度，</w:t>
      </w:r>
      <w:r>
        <w:rPr>
          <w:rFonts w:hint="eastAsia" w:ascii="仿宋_GB2312" w:hAnsi="仿宋_GB2312" w:eastAsia="仿宋_GB2312" w:cs="仿宋_GB2312"/>
          <w:sz w:val="32"/>
          <w:szCs w:val="32"/>
        </w:rPr>
        <w:t>厉行节约，公务接待费</w:t>
      </w:r>
      <w:r>
        <w:rPr>
          <w:rFonts w:hint="eastAsia" w:ascii="仿宋_GB2312" w:hAnsi="仿宋_GB2312" w:eastAsia="仿宋_GB2312" w:cs="仿宋_GB2312"/>
          <w:sz w:val="32"/>
          <w:szCs w:val="32"/>
          <w:lang w:eastAsia="zh-CN"/>
        </w:rPr>
        <w:t>压减</w:t>
      </w:r>
      <w:r>
        <w:rPr>
          <w:rFonts w:hint="eastAsia" w:ascii="仿宋_GB2312" w:hAnsi="仿宋_GB2312" w:eastAsia="仿宋_GB2312" w:cs="仿宋_GB2312"/>
          <w:sz w:val="32"/>
          <w:szCs w:val="32"/>
          <w:lang w:val="en-US" w:eastAsia="zh-CN"/>
        </w:rPr>
        <w:t>37.5%</w:t>
      </w:r>
      <w:r>
        <w:rPr>
          <w:rFonts w:hint="eastAsia" w:ascii="仿宋" w:hAnsi="仿宋" w:eastAsia="仿宋"/>
          <w:sz w:val="32"/>
          <w:szCs w:val="32"/>
        </w:rPr>
        <w:t>。</w:t>
      </w:r>
    </w:p>
    <w:p w14:paraId="54EA8673">
      <w:pPr>
        <w:spacing w:line="600" w:lineRule="exact"/>
        <w:ind w:firstLine="640"/>
        <w:outlineLvl w:val="2"/>
        <w:rPr>
          <w:rFonts w:ascii="仿宋" w:hAnsi="仿宋" w:eastAsia="仿宋"/>
          <w:b/>
          <w:sz w:val="32"/>
          <w:szCs w:val="32"/>
        </w:rPr>
      </w:pPr>
      <w:bookmarkStart w:id="79" w:name="_Toc15377217"/>
      <w:bookmarkStart w:id="80" w:name="_Toc10425"/>
      <w:r>
        <w:rPr>
          <w:rFonts w:hint="eastAsia" w:ascii="仿宋" w:hAnsi="仿宋" w:eastAsia="仿宋"/>
          <w:b/>
          <w:sz w:val="32"/>
          <w:szCs w:val="32"/>
        </w:rPr>
        <w:t>（二）“三公”经费财政拨款支出决算具体情况说明</w:t>
      </w:r>
      <w:bookmarkEnd w:id="79"/>
      <w:bookmarkEnd w:id="80"/>
    </w:p>
    <w:p w14:paraId="0138C2F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F7872D0">
      <w:pPr>
        <w:spacing w:line="600" w:lineRule="exact"/>
        <w:ind w:firstLine="640"/>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column">
              <wp:posOffset>239395</wp:posOffset>
            </wp:positionH>
            <wp:positionV relativeFrom="paragraph">
              <wp:posOffset>503555</wp:posOffset>
            </wp:positionV>
            <wp:extent cx="5112385" cy="2628900"/>
            <wp:effectExtent l="4445" t="4445" r="7620"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（图7：“三公”经费财政拨款支出结构）（饼状图）</w:t>
      </w:r>
    </w:p>
    <w:p w14:paraId="1EA68720">
      <w:pPr>
        <w:spacing w:line="600" w:lineRule="exact"/>
        <w:ind w:firstLine="640"/>
        <w:rPr>
          <w:rFonts w:hint="eastAsia" w:ascii="仿宋" w:hAnsi="仿宋" w:eastAsia="仿宋"/>
          <w:sz w:val="32"/>
          <w:szCs w:val="32"/>
        </w:rPr>
      </w:pPr>
    </w:p>
    <w:p w14:paraId="0887B58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color w:val="000000"/>
          <w:sz w:val="32"/>
          <w:szCs w:val="32"/>
        </w:rPr>
      </w:pPr>
      <w:bookmarkStart w:id="81" w:name="_Toc15396610"/>
      <w:bookmarkStart w:id="82" w:name="_Toc15377218"/>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次，出国（境）</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人。因公出国（境）支出决算比</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我单位未安排出国（境）考察调研等活动</w:t>
      </w:r>
      <w:r>
        <w:rPr>
          <w:rFonts w:hint="eastAsia" w:ascii="仿宋_GB2312" w:hAnsi="仿宋_GB2312" w:eastAsia="仿宋_GB2312" w:cs="仿宋_GB2312"/>
          <w:color w:val="000000"/>
          <w:sz w:val="32"/>
          <w:szCs w:val="32"/>
        </w:rPr>
        <w:t>。</w:t>
      </w:r>
    </w:p>
    <w:p w14:paraId="29CABEB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eastAsia="zh-CN"/>
        </w:rPr>
        <w:t>比202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因公车改革，我单位未购置公务用车，也无公务用车运行维护费</w:t>
      </w:r>
      <w:r>
        <w:rPr>
          <w:rFonts w:hint="eastAsia" w:ascii="仿宋_GB2312" w:hAnsi="仿宋_GB2312" w:eastAsia="仿宋_GB2312" w:cs="仿宋_GB2312"/>
          <w:color w:val="000000"/>
          <w:sz w:val="32"/>
          <w:szCs w:val="32"/>
        </w:rPr>
        <w:t>。</w:t>
      </w:r>
    </w:p>
    <w:p w14:paraId="1219C4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。全年按规定更新购置公务用车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万元，越野车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万元，载客汽车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万元。截至202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年12月底，单位共有公务用车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辆、越野车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辆、载客汽车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p>
    <w:p w14:paraId="4D38279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万元。</w:t>
      </w:r>
    </w:p>
    <w:p w14:paraId="6308AFEC">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0.38</w:t>
      </w:r>
      <w:r>
        <w:rPr>
          <w:rFonts w:hint="eastAsia" w:ascii="仿宋_GB2312" w:eastAsia="仿宋_GB2312"/>
          <w:sz w:val="32"/>
          <w:szCs w:val="32"/>
        </w:rPr>
        <w:t>万元，</w:t>
      </w:r>
      <w:r>
        <w:rPr>
          <w:rFonts w:hint="eastAsia" w:ascii="仿宋_GB2312" w:hAnsi="仿宋_GB2312" w:eastAsia="仿宋_GB2312" w:cs="仿宋_GB2312"/>
          <w:color w:val="000000"/>
          <w:sz w:val="32"/>
          <w:szCs w:val="32"/>
          <w:lang w:eastAsia="zh-CN"/>
        </w:rPr>
        <w:t>严格执行各项规章制度，</w:t>
      </w:r>
      <w:r>
        <w:rPr>
          <w:rFonts w:hint="eastAsia" w:ascii="仿宋_GB2312" w:hAnsi="仿宋_GB2312" w:eastAsia="仿宋_GB2312" w:cs="仿宋_GB2312"/>
          <w:sz w:val="32"/>
          <w:szCs w:val="32"/>
        </w:rPr>
        <w:t>厉行节约，公务接待费</w:t>
      </w:r>
      <w:r>
        <w:rPr>
          <w:rFonts w:hint="eastAsia" w:ascii="仿宋_GB2312" w:hAnsi="仿宋_GB2312" w:eastAsia="仿宋_GB2312" w:cs="仿宋_GB2312"/>
          <w:sz w:val="32"/>
          <w:szCs w:val="32"/>
          <w:lang w:eastAsia="zh-CN"/>
        </w:rPr>
        <w:t>压减</w:t>
      </w:r>
      <w:r>
        <w:rPr>
          <w:rFonts w:hint="eastAsia" w:ascii="仿宋_GB2312" w:hAnsi="仿宋_GB2312" w:eastAsia="仿宋_GB2312" w:cs="仿宋_GB2312"/>
          <w:sz w:val="32"/>
          <w:szCs w:val="32"/>
          <w:lang w:val="en-US" w:eastAsia="zh-CN"/>
        </w:rPr>
        <w:t>37.5%</w:t>
      </w:r>
      <w:r>
        <w:rPr>
          <w:rFonts w:hint="eastAsia" w:ascii="仿宋_GB2312" w:eastAsia="仿宋_GB2312"/>
          <w:sz w:val="32"/>
          <w:szCs w:val="32"/>
        </w:rPr>
        <w:t>。其中：</w:t>
      </w:r>
    </w:p>
    <w:p w14:paraId="5749CD19">
      <w:pPr>
        <w:spacing w:line="600" w:lineRule="exact"/>
        <w:ind w:firstLine="640"/>
        <w:rPr>
          <w:rFonts w:hint="eastAsia" w:ascii="仿宋_GB2312" w:hAnsi="仿宋_GB2312" w:eastAsia="仿宋_GB2312" w:cs="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0.5</w:t>
      </w:r>
      <w:r>
        <w:rPr>
          <w:rFonts w:hint="eastAsia" w:ascii="仿宋_GB2312" w:eastAsia="仿宋_GB2312"/>
          <w:sz w:val="32"/>
          <w:szCs w:val="32"/>
        </w:rPr>
        <w:t>万元，主要</w:t>
      </w:r>
      <w:r>
        <w:rPr>
          <w:rFonts w:hint="eastAsia" w:ascii="仿宋_GB2312" w:hAnsi="仿宋_GB2312" w:eastAsia="仿宋_GB2312" w:cs="仿宋_GB2312"/>
          <w:color w:val="000000"/>
          <w:sz w:val="32"/>
          <w:szCs w:val="32"/>
        </w:rPr>
        <w:t>用于</w:t>
      </w:r>
      <w:r>
        <w:rPr>
          <w:rFonts w:hint="eastAsia" w:ascii="仿宋_GB2312" w:hAnsi="仿宋_GB2312" w:eastAsia="仿宋_GB2312" w:cs="仿宋_GB2312"/>
          <w:sz w:val="32"/>
          <w:szCs w:val="32"/>
        </w:rPr>
        <w:t>执行公务、开展业务活动开支的用餐费。具体内容包括：</w:t>
      </w:r>
      <w:r>
        <w:rPr>
          <w:rFonts w:hint="eastAsia" w:ascii="仿宋_GB2312" w:hAnsi="仿宋_GB2312" w:eastAsia="仿宋_GB2312" w:cs="仿宋_GB2312"/>
          <w:sz w:val="32"/>
          <w:szCs w:val="32"/>
          <w:lang w:eastAsia="zh-CN"/>
        </w:rPr>
        <w:t>城乡居保业务调研、全民参保推进、风险防控</w:t>
      </w:r>
      <w:r>
        <w:rPr>
          <w:rFonts w:hint="eastAsia" w:ascii="仿宋_GB2312" w:hAnsi="仿宋_GB2312" w:eastAsia="仿宋_GB2312" w:cs="仿宋_GB2312"/>
          <w:sz w:val="32"/>
          <w:szCs w:val="32"/>
        </w:rPr>
        <w:t>、安全、维稳、信访、党建、交流</w:t>
      </w:r>
      <w:r>
        <w:rPr>
          <w:rFonts w:hint="eastAsia" w:ascii="仿宋_GB2312" w:hAnsi="仿宋_GB2312" w:eastAsia="仿宋_GB2312" w:cs="仿宋_GB2312"/>
          <w:sz w:val="32"/>
          <w:szCs w:val="32"/>
          <w:lang w:eastAsia="zh-CN"/>
        </w:rPr>
        <w:t>考察</w:t>
      </w:r>
      <w:r>
        <w:rPr>
          <w:rFonts w:hint="eastAsia" w:ascii="仿宋_GB2312" w:hAnsi="仿宋_GB2312" w:eastAsia="仿宋_GB2312" w:cs="仿宋_GB2312"/>
          <w:sz w:val="32"/>
          <w:szCs w:val="32"/>
        </w:rPr>
        <w:t>等工作用餐。</w:t>
      </w:r>
      <w:r>
        <w:rPr>
          <w:rFonts w:hint="eastAsia" w:ascii="仿宋_GB2312" w:hAnsi="仿宋_GB2312" w:eastAsia="仿宋_GB2312" w:cs="仿宋_GB2312"/>
          <w:sz w:val="32"/>
          <w:szCs w:val="32"/>
          <w:lang w:eastAsia="zh-CN"/>
        </w:rPr>
        <w:t>国内公务接待</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批次，</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eastAsia="zh-CN"/>
        </w:rPr>
        <w:t>人次（不包括陪同人员），共计支出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w:t>
      </w:r>
    </w:p>
    <w:p w14:paraId="745BC7F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hAnsi="仿宋_GB2312" w:eastAsia="仿宋_GB2312" w:cs="仿宋_GB2312"/>
          <w:color w:val="000000"/>
          <w:sz w:val="32"/>
          <w:szCs w:val="32"/>
        </w:rPr>
        <w:t>外事接待</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人，共计支出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14:paraId="68898454">
      <w:pPr>
        <w:spacing w:line="600" w:lineRule="exact"/>
        <w:ind w:firstLine="640" w:firstLineChars="200"/>
        <w:rPr>
          <w:rFonts w:ascii="仿宋_GB2312" w:eastAsia="仿宋_GB2312"/>
          <w:sz w:val="32"/>
          <w:szCs w:val="32"/>
        </w:rPr>
      </w:pPr>
    </w:p>
    <w:p w14:paraId="492423FD">
      <w:pPr>
        <w:spacing w:line="600" w:lineRule="exact"/>
        <w:ind w:firstLine="640"/>
        <w:outlineLvl w:val="1"/>
        <w:rPr>
          <w:rStyle w:val="29"/>
          <w:rFonts w:ascii="黑体" w:hAnsi="黑体" w:eastAsia="黑体"/>
        </w:rPr>
      </w:pPr>
      <w:bookmarkStart w:id="83" w:name="_Toc23223"/>
      <w:bookmarkStart w:id="84" w:name="_Toc13249"/>
      <w:r>
        <w:rPr>
          <w:rFonts w:hint="eastAsia" w:ascii="黑体" w:eastAsia="黑体"/>
          <w:sz w:val="32"/>
          <w:szCs w:val="32"/>
        </w:rPr>
        <w:t>八、</w:t>
      </w:r>
      <w:r>
        <w:rPr>
          <w:rStyle w:val="29"/>
          <w:rFonts w:hint="eastAsia" w:ascii="黑体" w:hAnsi="黑体" w:eastAsia="黑体"/>
          <w:b w:val="0"/>
        </w:rPr>
        <w:t>政府性基金预算支出决算情况说明</w:t>
      </w:r>
      <w:bookmarkEnd w:id="81"/>
      <w:bookmarkEnd w:id="82"/>
      <w:bookmarkEnd w:id="83"/>
      <w:bookmarkEnd w:id="84"/>
    </w:p>
    <w:p w14:paraId="57CF1E7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514.03</w:t>
      </w:r>
      <w:r>
        <w:rPr>
          <w:rFonts w:hint="eastAsia" w:ascii="仿宋_GB2312" w:eastAsia="仿宋_GB2312"/>
          <w:sz w:val="32"/>
          <w:szCs w:val="32"/>
        </w:rPr>
        <w:t>万元。</w:t>
      </w:r>
    </w:p>
    <w:p w14:paraId="77666DD9">
      <w:pPr>
        <w:spacing w:line="600" w:lineRule="exact"/>
        <w:ind w:firstLine="640"/>
        <w:rPr>
          <w:rFonts w:ascii="仿宋_GB2312" w:eastAsia="仿宋_GB2312"/>
          <w:sz w:val="32"/>
          <w:szCs w:val="32"/>
        </w:rPr>
      </w:pPr>
    </w:p>
    <w:p w14:paraId="1D9497D8">
      <w:pPr>
        <w:numPr>
          <w:ilvl w:val="0"/>
          <w:numId w:val="3"/>
        </w:numPr>
        <w:spacing w:line="600" w:lineRule="exact"/>
        <w:ind w:firstLine="640"/>
        <w:outlineLvl w:val="1"/>
        <w:rPr>
          <w:rStyle w:val="29"/>
          <w:rFonts w:ascii="黑体" w:hAnsi="黑体" w:eastAsia="黑体"/>
          <w:b w:val="0"/>
        </w:rPr>
      </w:pPr>
      <w:bookmarkStart w:id="85" w:name="_Toc5394"/>
      <w:bookmarkStart w:id="86" w:name="_Toc15396611"/>
      <w:bookmarkStart w:id="87" w:name="_Toc10136"/>
      <w:bookmarkStart w:id="88" w:name="_Toc15377219"/>
      <w:r>
        <w:rPr>
          <w:rStyle w:val="29"/>
          <w:rFonts w:hint="eastAsia" w:ascii="黑体" w:hAnsi="黑体" w:eastAsia="黑体"/>
          <w:b w:val="0"/>
        </w:rPr>
        <w:t>国有资本经营预算支出决算情况说明</w:t>
      </w:r>
      <w:bookmarkEnd w:id="85"/>
      <w:bookmarkEnd w:id="86"/>
      <w:bookmarkEnd w:id="87"/>
      <w:bookmarkEnd w:id="88"/>
    </w:p>
    <w:p w14:paraId="08F028B0">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D06EB21">
      <w:pPr>
        <w:spacing w:line="580" w:lineRule="exact"/>
        <w:jc w:val="center"/>
        <w:rPr>
          <w:rFonts w:ascii="方正小标宋简体" w:hAnsi="方正小标宋简体" w:eastAsia="方正小标宋简体" w:cs="方正小标宋简体"/>
          <w:sz w:val="44"/>
          <w:szCs w:val="44"/>
        </w:rPr>
      </w:pPr>
    </w:p>
    <w:p w14:paraId="73A44D2C">
      <w:pPr>
        <w:numPr>
          <w:ilvl w:val="0"/>
          <w:numId w:val="3"/>
        </w:numPr>
        <w:spacing w:line="600" w:lineRule="exact"/>
        <w:ind w:firstLine="640"/>
        <w:outlineLvl w:val="1"/>
        <w:rPr>
          <w:rStyle w:val="29"/>
          <w:rFonts w:ascii="黑体" w:hAnsi="黑体" w:eastAsia="黑体"/>
          <w:b w:val="0"/>
        </w:rPr>
      </w:pPr>
      <w:bookmarkStart w:id="89" w:name="_Toc9492"/>
      <w:bookmarkStart w:id="90" w:name="_Toc19171"/>
      <w:bookmarkStart w:id="91" w:name="_Toc15377221"/>
      <w:bookmarkStart w:id="92" w:name="_Toc15396612"/>
      <w:r>
        <w:rPr>
          <w:rStyle w:val="29"/>
          <w:rFonts w:hint="eastAsia" w:ascii="黑体" w:hAnsi="黑体" w:eastAsia="黑体"/>
          <w:b w:val="0"/>
        </w:rPr>
        <w:t>其他重要事项的情况说明</w:t>
      </w:r>
      <w:bookmarkEnd w:id="89"/>
      <w:bookmarkEnd w:id="90"/>
      <w:bookmarkEnd w:id="91"/>
      <w:bookmarkEnd w:id="92"/>
    </w:p>
    <w:p w14:paraId="2AE1F804">
      <w:pPr>
        <w:spacing w:line="600" w:lineRule="exact"/>
        <w:ind w:firstLine="643" w:firstLineChars="200"/>
        <w:outlineLvl w:val="2"/>
        <w:rPr>
          <w:rFonts w:ascii="仿宋" w:hAnsi="仿宋" w:eastAsia="仿宋"/>
          <w:sz w:val="32"/>
          <w:szCs w:val="32"/>
        </w:rPr>
      </w:pPr>
      <w:bookmarkStart w:id="93" w:name="_Toc15377222"/>
      <w:bookmarkStart w:id="94" w:name="_Toc6711"/>
      <w:r>
        <w:rPr>
          <w:rFonts w:hint="eastAsia" w:ascii="仿宋" w:hAnsi="仿宋" w:eastAsia="仿宋"/>
          <w:b/>
          <w:sz w:val="32"/>
          <w:szCs w:val="32"/>
        </w:rPr>
        <w:t>（一）机关运行经费支出情况</w:t>
      </w:r>
      <w:bookmarkEnd w:id="93"/>
      <w:bookmarkEnd w:id="94"/>
    </w:p>
    <w:p w14:paraId="15E84C4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大竹县城乡居民社会养老保险局</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2022年持平</w:t>
      </w:r>
      <w:r>
        <w:rPr>
          <w:rFonts w:hint="eastAsia" w:ascii="仿宋_GB2312" w:eastAsia="仿宋_GB2312"/>
          <w:sz w:val="32"/>
          <w:szCs w:val="32"/>
        </w:rPr>
        <w:t>。</w:t>
      </w:r>
    </w:p>
    <w:p w14:paraId="138F1F84">
      <w:pPr>
        <w:autoSpaceDE w:val="0"/>
        <w:autoSpaceDN w:val="0"/>
        <w:adjustRightInd w:val="0"/>
        <w:spacing w:line="600" w:lineRule="exact"/>
        <w:ind w:firstLine="643" w:firstLineChars="200"/>
        <w:jc w:val="left"/>
        <w:outlineLvl w:val="2"/>
        <w:rPr>
          <w:rFonts w:ascii="仿宋" w:hAnsi="仿宋" w:eastAsia="仿宋"/>
          <w:b/>
          <w:sz w:val="32"/>
          <w:szCs w:val="32"/>
        </w:rPr>
      </w:pPr>
      <w:bookmarkStart w:id="95" w:name="_Toc15377223"/>
      <w:bookmarkStart w:id="96" w:name="_Toc25658"/>
      <w:r>
        <w:rPr>
          <w:rFonts w:hint="eastAsia" w:ascii="仿宋" w:hAnsi="仿宋" w:eastAsia="仿宋"/>
          <w:b/>
          <w:sz w:val="32"/>
          <w:szCs w:val="32"/>
        </w:rPr>
        <w:t>（二）政府采购支出情况</w:t>
      </w:r>
      <w:bookmarkEnd w:id="95"/>
      <w:bookmarkEnd w:id="96"/>
    </w:p>
    <w:p w14:paraId="34A59FD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大竹县城乡居民社会养老保险局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CE90EFC">
      <w:pPr>
        <w:autoSpaceDE w:val="0"/>
        <w:autoSpaceDN w:val="0"/>
        <w:adjustRightInd w:val="0"/>
        <w:spacing w:line="600" w:lineRule="exact"/>
        <w:ind w:firstLine="643" w:firstLineChars="200"/>
        <w:jc w:val="left"/>
        <w:outlineLvl w:val="2"/>
        <w:rPr>
          <w:rFonts w:ascii="仿宋" w:hAnsi="仿宋" w:eastAsia="仿宋"/>
          <w:b/>
          <w:sz w:val="32"/>
          <w:szCs w:val="32"/>
        </w:rPr>
      </w:pPr>
      <w:bookmarkStart w:id="97" w:name="_Toc15377224"/>
      <w:bookmarkStart w:id="98" w:name="_Toc29534"/>
      <w:r>
        <w:rPr>
          <w:rFonts w:hint="eastAsia" w:ascii="仿宋" w:hAnsi="仿宋" w:eastAsia="仿宋"/>
          <w:b/>
          <w:sz w:val="32"/>
          <w:szCs w:val="32"/>
        </w:rPr>
        <w:t>（三）国有资产占有使用情况</w:t>
      </w:r>
      <w:bookmarkEnd w:id="97"/>
      <w:bookmarkEnd w:id="98"/>
    </w:p>
    <w:p w14:paraId="37DC337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大竹县城乡居民社会养老保险局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007B1E7">
      <w:pPr>
        <w:autoSpaceDE w:val="0"/>
        <w:autoSpaceDN w:val="0"/>
        <w:adjustRightInd w:val="0"/>
        <w:spacing w:line="600" w:lineRule="exact"/>
        <w:ind w:firstLine="643" w:firstLineChars="200"/>
        <w:jc w:val="left"/>
        <w:outlineLvl w:val="2"/>
        <w:rPr>
          <w:rFonts w:ascii="仿宋" w:hAnsi="仿宋" w:eastAsia="仿宋"/>
          <w:b/>
          <w:sz w:val="32"/>
          <w:szCs w:val="32"/>
        </w:rPr>
      </w:pPr>
      <w:bookmarkStart w:id="99" w:name="_Toc539"/>
      <w:r>
        <w:rPr>
          <w:rFonts w:hint="eastAsia" w:ascii="仿宋" w:hAnsi="仿宋" w:eastAsia="仿宋"/>
          <w:b/>
          <w:sz w:val="32"/>
          <w:szCs w:val="32"/>
        </w:rPr>
        <w:t>（四）预算绩效管理情况</w:t>
      </w:r>
      <w:bookmarkEnd w:id="99"/>
    </w:p>
    <w:p w14:paraId="150A337A">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3</w:t>
      </w:r>
      <w:r>
        <w:rPr>
          <w:rFonts w:hint="eastAsia" w:ascii="仿宋_GB2312" w:eastAsia="仿宋_GB2312"/>
          <w:sz w:val="32"/>
          <w:szCs w:val="32"/>
        </w:rPr>
        <w:t>项目（城乡养老业务档案管理费</w:t>
      </w:r>
      <w:r>
        <w:rPr>
          <w:rFonts w:hint="eastAsia" w:ascii="仿宋_GB2312" w:eastAsia="仿宋_GB2312"/>
          <w:sz w:val="32"/>
          <w:szCs w:val="32"/>
          <w:lang w:eastAsia="zh-CN"/>
        </w:rPr>
        <w:t>、网络信息费项目、被征地农民保障资金项目</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14:paraId="3551F2FD">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sz w:val="32"/>
          <w:szCs w:val="32"/>
        </w:rPr>
        <w:br w:type="page"/>
      </w:r>
    </w:p>
    <w:p w14:paraId="58177340">
      <w:pPr>
        <w:spacing w:line="600" w:lineRule="exact"/>
        <w:rPr>
          <w:rFonts w:ascii="仿宋_GB2312" w:eastAsia="仿宋_GB2312"/>
          <w:sz w:val="32"/>
          <w:szCs w:val="32"/>
        </w:rPr>
      </w:pPr>
    </w:p>
    <w:p w14:paraId="5378CEDC">
      <w:pPr>
        <w:numPr>
          <w:ilvl w:val="0"/>
          <w:numId w:val="4"/>
        </w:numPr>
        <w:spacing w:line="600" w:lineRule="exact"/>
        <w:ind w:firstLine="660" w:firstLineChars="150"/>
        <w:jc w:val="center"/>
        <w:outlineLvl w:val="0"/>
        <w:rPr>
          <w:rStyle w:val="28"/>
          <w:rFonts w:ascii="黑体" w:hAnsi="黑体" w:eastAsia="黑体"/>
          <w:b w:val="0"/>
        </w:rPr>
      </w:pPr>
      <w:bookmarkStart w:id="100" w:name="_Toc15377225"/>
      <w:bookmarkStart w:id="101" w:name="_Toc15396613"/>
      <w:bookmarkStart w:id="102" w:name="_Toc22033"/>
      <w:bookmarkStart w:id="103" w:name="_Toc22105"/>
      <w:r>
        <w:rPr>
          <w:rFonts w:hint="eastAsia" w:ascii="黑体" w:hAnsi="黑体" w:eastAsia="黑体"/>
          <w:sz w:val="44"/>
          <w:szCs w:val="44"/>
        </w:rPr>
        <w:t>名</w:t>
      </w:r>
      <w:r>
        <w:rPr>
          <w:rStyle w:val="28"/>
          <w:rFonts w:hint="eastAsia" w:ascii="黑体" w:hAnsi="黑体" w:eastAsia="黑体"/>
          <w:b w:val="0"/>
        </w:rPr>
        <w:t>词解释</w:t>
      </w:r>
      <w:bookmarkEnd w:id="100"/>
      <w:bookmarkEnd w:id="101"/>
      <w:bookmarkEnd w:id="102"/>
      <w:bookmarkEnd w:id="103"/>
    </w:p>
    <w:p w14:paraId="32DEF6F3">
      <w:pPr>
        <w:spacing w:line="600" w:lineRule="exact"/>
        <w:jc w:val="left"/>
        <w:rPr>
          <w:rFonts w:ascii="宋体"/>
          <w:b/>
          <w:sz w:val="44"/>
          <w:szCs w:val="44"/>
        </w:rPr>
      </w:pPr>
    </w:p>
    <w:p w14:paraId="729C923A">
      <w:pPr>
        <w:pStyle w:val="26"/>
        <w:spacing w:line="560" w:lineRule="exact"/>
        <w:ind w:firstLine="640" w:firstLineChars="200"/>
        <w:outlineLvl w:val="1"/>
        <w:rPr>
          <w:rFonts w:ascii="仿宋_GB2312" w:eastAsia="仿宋_GB2312"/>
          <w:color w:val="auto"/>
          <w:sz w:val="32"/>
          <w:szCs w:val="32"/>
        </w:rPr>
      </w:pPr>
      <w:bookmarkStart w:id="104" w:name="_Toc16601"/>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104"/>
    </w:p>
    <w:p w14:paraId="7E70A196">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lang w:eastAsia="zh-CN"/>
        </w:rPr>
      </w:pPr>
      <w:r>
        <w:rPr>
          <w:rFonts w:ascii="仿宋_GB2312" w:eastAsia="仿宋_GB2312"/>
          <w:color w:val="auto"/>
          <w:sz w:val="32"/>
          <w:szCs w:val="32"/>
        </w:rPr>
        <w:t>2.</w:t>
      </w:r>
      <w:r>
        <w:rPr>
          <w:rStyle w:val="17"/>
          <w:rFonts w:hint="eastAsia" w:ascii="仿宋_GB2312" w:hAnsi="仿宋_GB2312" w:eastAsia="仿宋_GB2312" w:cs="仿宋_GB2312"/>
          <w:b w:val="0"/>
          <w:color w:val="000000"/>
          <w:sz w:val="32"/>
          <w:szCs w:val="32"/>
          <w:lang w:eastAsia="zh-CN"/>
        </w:rPr>
        <w:t>社会保障和就业</w:t>
      </w:r>
      <w:r>
        <w:rPr>
          <w:rStyle w:val="17"/>
          <w:rFonts w:hint="default" w:ascii="仿宋_GB2312" w:hAnsi="仿宋_GB2312" w:eastAsia="仿宋_GB2312" w:cs="仿宋_GB2312"/>
          <w:b w:val="0"/>
          <w:color w:val="000000"/>
          <w:sz w:val="32"/>
          <w:szCs w:val="32"/>
        </w:rPr>
        <w:t>支出（</w:t>
      </w:r>
      <w:r>
        <w:rPr>
          <w:rStyle w:val="17"/>
          <w:rFonts w:hint="eastAsia" w:ascii="仿宋_GB2312" w:hAnsi="仿宋_GB2312" w:eastAsia="仿宋_GB2312" w:cs="仿宋_GB2312"/>
          <w:b w:val="0"/>
          <w:color w:val="000000"/>
          <w:sz w:val="32"/>
          <w:szCs w:val="32"/>
          <w:lang w:eastAsia="zh-CN"/>
        </w:rPr>
        <w:t>类</w:t>
      </w:r>
      <w:r>
        <w:rPr>
          <w:rStyle w:val="17"/>
          <w:rFonts w:hint="default" w:ascii="仿宋_GB2312" w:hAnsi="仿宋_GB2312" w:eastAsia="仿宋_GB2312" w:cs="仿宋_GB2312"/>
          <w:b w:val="0"/>
          <w:color w:val="000000"/>
          <w:sz w:val="32"/>
          <w:szCs w:val="32"/>
        </w:rPr>
        <w:t>）人力资源</w:t>
      </w:r>
      <w:r>
        <w:rPr>
          <w:rStyle w:val="17"/>
          <w:rFonts w:hint="eastAsia" w:ascii="仿宋_GB2312" w:hAnsi="仿宋_GB2312" w:eastAsia="仿宋_GB2312" w:cs="仿宋_GB2312"/>
          <w:b w:val="0"/>
          <w:color w:val="000000"/>
          <w:sz w:val="32"/>
          <w:szCs w:val="32"/>
          <w:lang w:eastAsia="zh-CN"/>
        </w:rPr>
        <w:t>和社会保障管理</w:t>
      </w:r>
      <w:r>
        <w:rPr>
          <w:rStyle w:val="17"/>
          <w:rFonts w:hint="default" w:ascii="仿宋_GB2312" w:hAnsi="仿宋_GB2312" w:eastAsia="仿宋_GB2312" w:cs="仿宋_GB2312"/>
          <w:b w:val="0"/>
          <w:color w:val="000000"/>
          <w:sz w:val="32"/>
          <w:szCs w:val="32"/>
        </w:rPr>
        <w:t>事务（</w:t>
      </w:r>
      <w:r>
        <w:rPr>
          <w:rStyle w:val="17"/>
          <w:rFonts w:hint="eastAsia" w:ascii="仿宋_GB2312" w:hAnsi="仿宋_GB2312" w:eastAsia="仿宋_GB2312" w:cs="仿宋_GB2312"/>
          <w:b w:val="0"/>
          <w:color w:val="000000"/>
          <w:sz w:val="32"/>
          <w:szCs w:val="32"/>
          <w:lang w:eastAsia="zh-CN"/>
        </w:rPr>
        <w:t>款</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事业运行</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项</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：指事业</w:t>
      </w:r>
      <w:r>
        <w:rPr>
          <w:rStyle w:val="17"/>
          <w:rFonts w:hint="eastAsia" w:ascii="仿宋_GB2312" w:hAnsi="仿宋_GB2312" w:eastAsia="仿宋_GB2312" w:cs="仿宋_GB2312"/>
          <w:b w:val="0"/>
          <w:color w:val="000000"/>
          <w:sz w:val="32"/>
          <w:szCs w:val="32"/>
        </w:rPr>
        <w:t>单位的基本支出</w:t>
      </w:r>
      <w:r>
        <w:rPr>
          <w:rStyle w:val="17"/>
          <w:rFonts w:hint="default" w:ascii="仿宋_GB2312" w:hAnsi="仿宋_GB2312" w:eastAsia="仿宋_GB2312" w:cs="仿宋_GB2312"/>
          <w:b w:val="0"/>
          <w:color w:val="000000"/>
          <w:sz w:val="32"/>
          <w:szCs w:val="32"/>
        </w:rPr>
        <w:t>。</w:t>
      </w:r>
    </w:p>
    <w:p w14:paraId="6E4291C4">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lang w:val="en-US" w:eastAsia="zh-CN"/>
        </w:rPr>
      </w:pPr>
      <w:r>
        <w:rPr>
          <w:rStyle w:val="17"/>
          <w:rFonts w:hint="eastAsia" w:ascii="仿宋_GB2312" w:hAnsi="仿宋_GB2312" w:eastAsia="仿宋_GB2312" w:cs="仿宋_GB2312"/>
          <w:b w:val="0"/>
          <w:color w:val="000000"/>
          <w:sz w:val="32"/>
          <w:szCs w:val="32"/>
          <w:lang w:val="en-US" w:eastAsia="zh-CN"/>
        </w:rPr>
        <w:t>3.</w:t>
      </w:r>
      <w:r>
        <w:rPr>
          <w:rStyle w:val="17"/>
          <w:rFonts w:hint="eastAsia" w:ascii="仿宋_GB2312" w:hAnsi="仿宋_GB2312" w:eastAsia="仿宋_GB2312" w:cs="仿宋_GB2312"/>
          <w:b w:val="0"/>
          <w:color w:val="000000"/>
          <w:sz w:val="32"/>
          <w:szCs w:val="32"/>
          <w:lang w:eastAsia="zh-CN"/>
        </w:rPr>
        <w:t>社会保障和就业</w:t>
      </w:r>
      <w:r>
        <w:rPr>
          <w:rStyle w:val="17"/>
          <w:rFonts w:hint="default" w:ascii="仿宋_GB2312" w:hAnsi="仿宋_GB2312" w:eastAsia="仿宋_GB2312" w:cs="仿宋_GB2312"/>
          <w:b w:val="0"/>
          <w:color w:val="000000"/>
          <w:sz w:val="32"/>
          <w:szCs w:val="32"/>
        </w:rPr>
        <w:t>支出（</w:t>
      </w:r>
      <w:r>
        <w:rPr>
          <w:rStyle w:val="17"/>
          <w:rFonts w:hint="eastAsia" w:ascii="仿宋_GB2312" w:hAnsi="仿宋_GB2312" w:eastAsia="仿宋_GB2312" w:cs="仿宋_GB2312"/>
          <w:b w:val="0"/>
          <w:color w:val="000000"/>
          <w:sz w:val="32"/>
          <w:szCs w:val="32"/>
          <w:lang w:eastAsia="zh-CN"/>
        </w:rPr>
        <w:t>类</w:t>
      </w:r>
      <w:r>
        <w:rPr>
          <w:rStyle w:val="17"/>
          <w:rFonts w:hint="default" w:ascii="仿宋_GB2312" w:hAnsi="仿宋_GB2312" w:eastAsia="仿宋_GB2312" w:cs="仿宋_GB2312"/>
          <w:b w:val="0"/>
          <w:color w:val="000000"/>
          <w:sz w:val="32"/>
          <w:szCs w:val="32"/>
        </w:rPr>
        <w:t>）人力资源</w:t>
      </w:r>
      <w:r>
        <w:rPr>
          <w:rStyle w:val="17"/>
          <w:rFonts w:hint="eastAsia" w:ascii="仿宋_GB2312" w:hAnsi="仿宋_GB2312" w:eastAsia="仿宋_GB2312" w:cs="仿宋_GB2312"/>
          <w:b w:val="0"/>
          <w:color w:val="000000"/>
          <w:sz w:val="32"/>
          <w:szCs w:val="32"/>
          <w:lang w:eastAsia="zh-CN"/>
        </w:rPr>
        <w:t>和社会保障管理</w:t>
      </w:r>
      <w:r>
        <w:rPr>
          <w:rStyle w:val="17"/>
          <w:rFonts w:hint="default" w:ascii="仿宋_GB2312" w:hAnsi="仿宋_GB2312" w:eastAsia="仿宋_GB2312" w:cs="仿宋_GB2312"/>
          <w:b w:val="0"/>
          <w:color w:val="000000"/>
          <w:sz w:val="32"/>
          <w:szCs w:val="32"/>
        </w:rPr>
        <w:t>事务（</w:t>
      </w:r>
      <w:r>
        <w:rPr>
          <w:rStyle w:val="17"/>
          <w:rFonts w:hint="eastAsia" w:ascii="仿宋_GB2312" w:hAnsi="仿宋_GB2312" w:eastAsia="仿宋_GB2312" w:cs="仿宋_GB2312"/>
          <w:b w:val="0"/>
          <w:color w:val="000000"/>
          <w:sz w:val="32"/>
          <w:szCs w:val="32"/>
          <w:lang w:eastAsia="zh-CN"/>
        </w:rPr>
        <w:t>款</w:t>
      </w:r>
      <w:r>
        <w:rPr>
          <w:rStyle w:val="17"/>
          <w:rFonts w:hint="default" w:ascii="仿宋_GB2312" w:hAnsi="仿宋_GB2312" w:eastAsia="仿宋_GB2312" w:cs="仿宋_GB2312"/>
          <w:b w:val="0"/>
          <w:color w:val="000000"/>
          <w:sz w:val="32"/>
          <w:szCs w:val="32"/>
        </w:rPr>
        <w:t>）</w:t>
      </w:r>
      <w:r>
        <w:rPr>
          <w:rStyle w:val="17"/>
          <w:rFonts w:hint="default" w:ascii="仿宋_GB2312" w:hAnsi="仿宋_GB2312" w:eastAsia="仿宋_GB2312" w:cs="仿宋_GB2312"/>
          <w:b w:val="0"/>
          <w:color w:val="000000"/>
          <w:sz w:val="32"/>
          <w:szCs w:val="32"/>
          <w:lang w:eastAsia="zh-CN"/>
        </w:rPr>
        <w:t>其他人力资源事务支出</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val="en-US" w:eastAsia="zh-CN"/>
        </w:rPr>
        <w:t>项</w:t>
      </w:r>
      <w:r>
        <w:rPr>
          <w:rStyle w:val="17"/>
          <w:rFonts w:hint="default" w:ascii="仿宋_GB2312" w:hAnsi="仿宋_GB2312" w:eastAsia="仿宋_GB2312" w:cs="仿宋_GB2312"/>
          <w:b w:val="0"/>
          <w:color w:val="000000"/>
          <w:sz w:val="32"/>
          <w:szCs w:val="32"/>
        </w:rPr>
        <w:t xml:space="preserve">）: </w:t>
      </w:r>
      <w:r>
        <w:rPr>
          <w:rStyle w:val="17"/>
          <w:rFonts w:hint="eastAsia" w:ascii="仿宋_GB2312" w:hAnsi="仿宋_GB2312" w:eastAsia="仿宋_GB2312" w:cs="仿宋_GB2312"/>
          <w:b w:val="0"/>
          <w:color w:val="000000"/>
          <w:sz w:val="32"/>
          <w:szCs w:val="32"/>
        </w:rPr>
        <w:t>指其他人力资源事务方面管理支出。</w:t>
      </w:r>
    </w:p>
    <w:p w14:paraId="7EE07663">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rPr>
      </w:pPr>
      <w:r>
        <w:rPr>
          <w:rStyle w:val="17"/>
          <w:rFonts w:hint="eastAsia" w:ascii="仿宋_GB2312" w:hAnsi="仿宋_GB2312" w:eastAsia="仿宋_GB2312" w:cs="仿宋_GB2312"/>
          <w:b w:val="0"/>
          <w:color w:val="000000"/>
          <w:sz w:val="32"/>
          <w:szCs w:val="32"/>
          <w:lang w:val="en-US" w:eastAsia="zh-CN"/>
        </w:rPr>
        <w:t>4</w:t>
      </w:r>
      <w:r>
        <w:rPr>
          <w:rStyle w:val="17"/>
          <w:rFonts w:hint="default" w:ascii="仿宋_GB2312" w:hAnsi="仿宋_GB2312" w:eastAsia="仿宋_GB2312" w:cs="仿宋_GB2312"/>
          <w:b w:val="0"/>
          <w:color w:val="000000"/>
          <w:sz w:val="32"/>
          <w:szCs w:val="32"/>
        </w:rPr>
        <w:t>.社会保障和就业支出（</w:t>
      </w:r>
      <w:r>
        <w:rPr>
          <w:rStyle w:val="17"/>
          <w:rFonts w:hint="eastAsia" w:ascii="仿宋_GB2312" w:hAnsi="仿宋_GB2312" w:eastAsia="仿宋_GB2312" w:cs="仿宋_GB2312"/>
          <w:b w:val="0"/>
          <w:color w:val="000000"/>
          <w:sz w:val="32"/>
          <w:szCs w:val="32"/>
          <w:lang w:eastAsia="zh-CN"/>
        </w:rPr>
        <w:t>类</w:t>
      </w:r>
      <w:r>
        <w:rPr>
          <w:rStyle w:val="17"/>
          <w:rFonts w:hint="default" w:ascii="仿宋_GB2312" w:hAnsi="仿宋_GB2312" w:eastAsia="仿宋_GB2312" w:cs="仿宋_GB2312"/>
          <w:b w:val="0"/>
          <w:color w:val="000000"/>
          <w:sz w:val="32"/>
          <w:szCs w:val="32"/>
        </w:rPr>
        <w:t>）行政事业单位离退休（</w:t>
      </w:r>
      <w:r>
        <w:rPr>
          <w:rStyle w:val="17"/>
          <w:rFonts w:hint="eastAsia" w:ascii="仿宋_GB2312" w:hAnsi="仿宋_GB2312" w:eastAsia="仿宋_GB2312" w:cs="仿宋_GB2312"/>
          <w:b w:val="0"/>
          <w:color w:val="000000"/>
          <w:sz w:val="32"/>
          <w:szCs w:val="32"/>
          <w:lang w:eastAsia="zh-CN"/>
        </w:rPr>
        <w:t>款</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行政单位离退休</w:t>
      </w:r>
      <w:r>
        <w:rPr>
          <w:rStyle w:val="17"/>
          <w:rFonts w:hint="default"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项</w:t>
      </w:r>
      <w:r>
        <w:rPr>
          <w:rStyle w:val="17"/>
          <w:rFonts w:hint="default" w:ascii="仿宋_GB2312" w:hAnsi="仿宋_GB2312" w:eastAsia="仿宋_GB2312" w:cs="仿宋_GB2312"/>
          <w:b w:val="0"/>
          <w:color w:val="000000"/>
          <w:sz w:val="32"/>
          <w:szCs w:val="32"/>
        </w:rPr>
        <w:t xml:space="preserve">）: </w:t>
      </w:r>
      <w:r>
        <w:rPr>
          <w:rStyle w:val="17"/>
          <w:rFonts w:hint="eastAsia" w:ascii="仿宋_GB2312" w:hAnsi="仿宋_GB2312" w:eastAsia="仿宋_GB2312" w:cs="仿宋_GB2312"/>
          <w:b w:val="0"/>
          <w:color w:val="000000"/>
          <w:sz w:val="32"/>
          <w:szCs w:val="32"/>
          <w:lang w:eastAsia="zh-CN"/>
        </w:rPr>
        <w:t>行政事业单位离退休方面的支出</w:t>
      </w:r>
      <w:r>
        <w:rPr>
          <w:rStyle w:val="17"/>
          <w:rFonts w:hint="eastAsia" w:ascii="仿宋_GB2312" w:hAnsi="仿宋_GB2312" w:eastAsia="仿宋_GB2312" w:cs="仿宋_GB2312"/>
          <w:b w:val="0"/>
          <w:color w:val="000000"/>
          <w:sz w:val="32"/>
          <w:szCs w:val="32"/>
        </w:rPr>
        <w:t>。</w:t>
      </w:r>
    </w:p>
    <w:p w14:paraId="1D097620">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default" w:ascii="仿宋_GB2312" w:hAnsi="仿宋_GB2312" w:eastAsia="仿宋_GB2312" w:cs="仿宋_GB2312"/>
          <w:b w:val="0"/>
          <w:color w:val="000000"/>
          <w:sz w:val="32"/>
          <w:szCs w:val="32"/>
          <w:lang w:val="en-US" w:eastAsia="zh-CN"/>
        </w:rPr>
      </w:pPr>
      <w:r>
        <w:rPr>
          <w:rStyle w:val="17"/>
          <w:rFonts w:hint="eastAsia" w:ascii="仿宋_GB2312" w:hAnsi="仿宋_GB2312" w:eastAsia="仿宋_GB2312" w:cs="仿宋_GB2312"/>
          <w:b w:val="0"/>
          <w:color w:val="000000"/>
          <w:sz w:val="32"/>
          <w:szCs w:val="32"/>
          <w:lang w:val="en-US" w:eastAsia="zh-CN"/>
        </w:rPr>
        <w:t>5</w:t>
      </w:r>
      <w:r>
        <w:rPr>
          <w:rStyle w:val="17"/>
          <w:rFonts w:hint="default" w:ascii="仿宋_GB2312" w:hAnsi="仿宋_GB2312" w:eastAsia="仿宋_GB2312" w:cs="仿宋_GB2312"/>
          <w:b w:val="0"/>
          <w:color w:val="000000"/>
          <w:sz w:val="32"/>
          <w:szCs w:val="32"/>
          <w:lang w:val="en-US" w:eastAsia="zh-CN"/>
        </w:rPr>
        <w:t>.卫生健康支出（</w:t>
      </w:r>
      <w:r>
        <w:rPr>
          <w:rStyle w:val="17"/>
          <w:rFonts w:hint="eastAsia" w:ascii="仿宋_GB2312" w:hAnsi="仿宋_GB2312" w:eastAsia="仿宋_GB2312" w:cs="仿宋_GB2312"/>
          <w:b w:val="0"/>
          <w:color w:val="000000"/>
          <w:sz w:val="32"/>
          <w:szCs w:val="32"/>
          <w:lang w:val="en-US" w:eastAsia="zh-CN"/>
        </w:rPr>
        <w:t>类</w:t>
      </w:r>
      <w:r>
        <w:rPr>
          <w:rStyle w:val="17"/>
          <w:rFonts w:hint="default" w:ascii="仿宋_GB2312" w:hAnsi="仿宋_GB2312" w:eastAsia="仿宋_GB2312" w:cs="仿宋_GB2312"/>
          <w:b w:val="0"/>
          <w:color w:val="000000"/>
          <w:sz w:val="32"/>
          <w:szCs w:val="32"/>
          <w:lang w:val="en-US" w:eastAsia="zh-CN"/>
        </w:rPr>
        <w:t>）行政事业单位医疗（</w:t>
      </w:r>
      <w:r>
        <w:rPr>
          <w:rStyle w:val="17"/>
          <w:rFonts w:hint="eastAsia" w:ascii="仿宋_GB2312" w:hAnsi="仿宋_GB2312" w:eastAsia="仿宋_GB2312" w:cs="仿宋_GB2312"/>
          <w:b w:val="0"/>
          <w:color w:val="000000"/>
          <w:sz w:val="32"/>
          <w:szCs w:val="32"/>
          <w:lang w:val="en-US" w:eastAsia="zh-CN"/>
        </w:rPr>
        <w:t>款</w:t>
      </w:r>
      <w:r>
        <w:rPr>
          <w:rStyle w:val="17"/>
          <w:rFonts w:hint="default" w:ascii="仿宋_GB2312" w:hAnsi="仿宋_GB2312" w:eastAsia="仿宋_GB2312" w:cs="仿宋_GB2312"/>
          <w:b w:val="0"/>
          <w:color w:val="000000"/>
          <w:sz w:val="32"/>
          <w:szCs w:val="32"/>
          <w:lang w:val="en-US" w:eastAsia="zh-CN"/>
        </w:rPr>
        <w:t>）</w:t>
      </w:r>
      <w:r>
        <w:rPr>
          <w:rStyle w:val="17"/>
          <w:rFonts w:hint="eastAsia" w:ascii="仿宋_GB2312" w:hAnsi="仿宋_GB2312" w:eastAsia="仿宋_GB2312" w:cs="仿宋_GB2312"/>
          <w:b w:val="0"/>
          <w:color w:val="000000"/>
          <w:sz w:val="32"/>
          <w:szCs w:val="32"/>
          <w:lang w:val="en-US" w:eastAsia="zh-CN"/>
        </w:rPr>
        <w:t>事业</w:t>
      </w:r>
      <w:r>
        <w:rPr>
          <w:rStyle w:val="17"/>
          <w:rFonts w:hint="default" w:ascii="仿宋_GB2312" w:hAnsi="仿宋_GB2312" w:eastAsia="仿宋_GB2312" w:cs="仿宋_GB2312"/>
          <w:b w:val="0"/>
          <w:color w:val="000000"/>
          <w:sz w:val="32"/>
          <w:szCs w:val="32"/>
          <w:lang w:val="en-US" w:eastAsia="zh-CN"/>
        </w:rPr>
        <w:t>单位医疗（</w:t>
      </w:r>
      <w:r>
        <w:rPr>
          <w:rStyle w:val="17"/>
          <w:rFonts w:hint="eastAsia" w:ascii="仿宋_GB2312" w:hAnsi="仿宋_GB2312" w:eastAsia="仿宋_GB2312" w:cs="仿宋_GB2312"/>
          <w:b w:val="0"/>
          <w:color w:val="000000"/>
          <w:sz w:val="32"/>
          <w:szCs w:val="32"/>
          <w:lang w:val="en-US" w:eastAsia="zh-CN"/>
        </w:rPr>
        <w:t>项</w:t>
      </w:r>
      <w:r>
        <w:rPr>
          <w:rStyle w:val="17"/>
          <w:rFonts w:hint="default" w:ascii="仿宋_GB2312" w:hAnsi="仿宋_GB2312" w:eastAsia="仿宋_GB2312" w:cs="仿宋_GB2312"/>
          <w:b w:val="0"/>
          <w:color w:val="000000"/>
          <w:sz w:val="32"/>
          <w:szCs w:val="32"/>
          <w:lang w:eastAsia="zh-CN"/>
        </w:rPr>
        <w:t>）：</w:t>
      </w:r>
      <w:r>
        <w:rPr>
          <w:rStyle w:val="17"/>
          <w:rFonts w:hint="eastAsia" w:ascii="仿宋_GB2312" w:hAnsi="仿宋_GB2312" w:eastAsia="仿宋_GB2312" w:cs="仿宋_GB2312"/>
          <w:b w:val="0"/>
          <w:color w:val="000000"/>
          <w:sz w:val="32"/>
          <w:szCs w:val="32"/>
          <w:lang w:eastAsia="zh-CN"/>
        </w:rPr>
        <w:t>指财政部门集中安排的事业单位基本医疗保险缴费经费支出</w:t>
      </w:r>
      <w:r>
        <w:rPr>
          <w:rStyle w:val="17"/>
          <w:rFonts w:hint="eastAsia" w:ascii="仿宋_GB2312" w:hAnsi="仿宋_GB2312" w:eastAsia="仿宋_GB2312" w:cs="仿宋_GB2312"/>
          <w:b w:val="0"/>
          <w:color w:val="000000"/>
          <w:sz w:val="32"/>
          <w:szCs w:val="32"/>
        </w:rPr>
        <w:t>。</w:t>
      </w:r>
    </w:p>
    <w:p w14:paraId="1AB61F9D">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default" w:ascii="仿宋_GB2312" w:hAnsi="仿宋_GB2312" w:eastAsia="仿宋_GB2312" w:cs="仿宋_GB2312"/>
          <w:b w:val="0"/>
          <w:color w:val="000000"/>
          <w:sz w:val="32"/>
          <w:szCs w:val="32"/>
          <w:lang w:eastAsia="zh-CN"/>
        </w:rPr>
      </w:pPr>
      <w:r>
        <w:rPr>
          <w:rStyle w:val="17"/>
          <w:rFonts w:hint="eastAsia" w:ascii="仿宋_GB2312" w:hAnsi="仿宋_GB2312" w:eastAsia="仿宋_GB2312" w:cs="仿宋_GB2312"/>
          <w:b w:val="0"/>
          <w:color w:val="000000"/>
          <w:sz w:val="32"/>
          <w:szCs w:val="32"/>
          <w:lang w:val="en-US" w:eastAsia="zh-CN"/>
        </w:rPr>
        <w:t>6</w:t>
      </w:r>
      <w:r>
        <w:rPr>
          <w:rStyle w:val="17"/>
          <w:rFonts w:hint="default" w:ascii="仿宋_GB2312" w:hAnsi="仿宋_GB2312" w:eastAsia="仿宋_GB2312" w:cs="仿宋_GB2312"/>
          <w:b w:val="0"/>
          <w:color w:val="000000"/>
          <w:sz w:val="32"/>
          <w:szCs w:val="32"/>
          <w:lang w:val="en-US" w:eastAsia="zh-CN"/>
        </w:rPr>
        <w:t>.</w:t>
      </w:r>
      <w:r>
        <w:rPr>
          <w:rStyle w:val="17"/>
          <w:rFonts w:hint="default" w:ascii="仿宋_GB2312" w:hAnsi="仿宋_GB2312" w:eastAsia="仿宋_GB2312" w:cs="仿宋_GB2312"/>
          <w:b w:val="0"/>
          <w:color w:val="000000"/>
          <w:sz w:val="32"/>
          <w:szCs w:val="32"/>
          <w:lang w:eastAsia="zh-CN"/>
        </w:rPr>
        <w:t>住房保障支出（</w:t>
      </w:r>
      <w:r>
        <w:rPr>
          <w:rStyle w:val="17"/>
          <w:rFonts w:hint="eastAsia" w:ascii="仿宋_GB2312" w:hAnsi="仿宋_GB2312" w:eastAsia="仿宋_GB2312" w:cs="仿宋_GB2312"/>
          <w:b w:val="0"/>
          <w:color w:val="000000"/>
          <w:sz w:val="32"/>
          <w:szCs w:val="32"/>
          <w:lang w:eastAsia="zh-CN"/>
        </w:rPr>
        <w:t>类</w:t>
      </w:r>
      <w:r>
        <w:rPr>
          <w:rStyle w:val="17"/>
          <w:rFonts w:hint="default" w:ascii="仿宋_GB2312" w:hAnsi="仿宋_GB2312" w:eastAsia="仿宋_GB2312" w:cs="仿宋_GB2312"/>
          <w:b w:val="0"/>
          <w:color w:val="000000"/>
          <w:sz w:val="32"/>
          <w:szCs w:val="32"/>
          <w:lang w:eastAsia="zh-CN"/>
        </w:rPr>
        <w:t>）住房改革支出（</w:t>
      </w:r>
      <w:r>
        <w:rPr>
          <w:rStyle w:val="17"/>
          <w:rFonts w:hint="eastAsia" w:ascii="仿宋_GB2312" w:hAnsi="仿宋_GB2312" w:eastAsia="仿宋_GB2312" w:cs="仿宋_GB2312"/>
          <w:b w:val="0"/>
          <w:color w:val="000000"/>
          <w:sz w:val="32"/>
          <w:szCs w:val="32"/>
          <w:lang w:eastAsia="zh-CN"/>
        </w:rPr>
        <w:t>款</w:t>
      </w:r>
      <w:r>
        <w:rPr>
          <w:rStyle w:val="17"/>
          <w:rFonts w:hint="default" w:ascii="仿宋_GB2312" w:hAnsi="仿宋_GB2312" w:eastAsia="仿宋_GB2312" w:cs="仿宋_GB2312"/>
          <w:b w:val="0"/>
          <w:color w:val="000000"/>
          <w:sz w:val="32"/>
          <w:szCs w:val="32"/>
          <w:lang w:eastAsia="zh-CN"/>
        </w:rPr>
        <w:t>）住房公积金（</w:t>
      </w:r>
      <w:r>
        <w:rPr>
          <w:rStyle w:val="17"/>
          <w:rFonts w:hint="eastAsia" w:ascii="仿宋_GB2312" w:hAnsi="仿宋_GB2312" w:eastAsia="仿宋_GB2312" w:cs="仿宋_GB2312"/>
          <w:b w:val="0"/>
          <w:color w:val="000000"/>
          <w:sz w:val="32"/>
          <w:szCs w:val="32"/>
          <w:lang w:eastAsia="zh-CN"/>
        </w:rPr>
        <w:t>项</w:t>
      </w:r>
      <w:r>
        <w:rPr>
          <w:rStyle w:val="17"/>
          <w:rFonts w:hint="default" w:ascii="仿宋_GB2312" w:hAnsi="仿宋_GB2312" w:eastAsia="仿宋_GB2312" w:cs="仿宋_GB2312"/>
          <w:b w:val="0"/>
          <w:color w:val="000000"/>
          <w:sz w:val="32"/>
          <w:szCs w:val="32"/>
          <w:lang w:eastAsia="zh-CN"/>
        </w:rPr>
        <w:t>）：</w:t>
      </w:r>
      <w:r>
        <w:rPr>
          <w:rStyle w:val="17"/>
          <w:rFonts w:hint="eastAsia" w:ascii="仿宋_GB2312" w:hAnsi="仿宋_GB2312" w:eastAsia="仿宋_GB2312" w:cs="仿宋_GB2312"/>
          <w:b w:val="0"/>
          <w:color w:val="000000"/>
          <w:sz w:val="32"/>
          <w:szCs w:val="32"/>
          <w:lang w:eastAsia="zh-CN"/>
        </w:rPr>
        <w:t>指反映行政事业单位用财政拨款资金和其他资金 等安排的住房改革支出</w:t>
      </w:r>
      <w:r>
        <w:rPr>
          <w:rStyle w:val="17"/>
          <w:rFonts w:hint="default" w:ascii="仿宋_GB2312" w:hAnsi="仿宋_GB2312" w:eastAsia="仿宋_GB2312" w:cs="仿宋_GB2312"/>
          <w:b w:val="0"/>
          <w:color w:val="000000"/>
          <w:sz w:val="32"/>
          <w:szCs w:val="32"/>
          <w:lang w:eastAsia="zh-CN"/>
        </w:rPr>
        <w:t>。</w:t>
      </w:r>
    </w:p>
    <w:p w14:paraId="76B49509">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lang w:eastAsia="zh-CN"/>
        </w:rPr>
      </w:pPr>
      <w:r>
        <w:rPr>
          <w:rStyle w:val="17"/>
          <w:rFonts w:hint="eastAsia" w:ascii="仿宋_GB2312" w:hAnsi="仿宋_GB2312" w:eastAsia="仿宋_GB2312" w:cs="仿宋_GB2312"/>
          <w:b w:val="0"/>
          <w:color w:val="000000"/>
          <w:sz w:val="32"/>
          <w:szCs w:val="32"/>
          <w:lang w:val="en-US" w:eastAsia="zh-CN"/>
        </w:rPr>
        <w:t>7</w:t>
      </w:r>
      <w:r>
        <w:rPr>
          <w:rStyle w:val="17"/>
          <w:rFonts w:hint="default" w:ascii="仿宋_GB2312" w:hAnsi="仿宋_GB2312" w:eastAsia="仿宋_GB2312" w:cs="仿宋_GB2312"/>
          <w:b w:val="0"/>
          <w:color w:val="000000"/>
          <w:sz w:val="32"/>
          <w:szCs w:val="32"/>
          <w:lang w:eastAsia="zh-CN"/>
        </w:rPr>
        <w:t>.</w:t>
      </w:r>
      <w:r>
        <w:rPr>
          <w:rStyle w:val="17"/>
          <w:rFonts w:hint="eastAsia" w:ascii="仿宋_GB2312" w:hAnsi="仿宋_GB2312" w:eastAsia="仿宋_GB2312" w:cs="仿宋_GB2312"/>
          <w:b w:val="0"/>
          <w:color w:val="000000"/>
          <w:sz w:val="32"/>
          <w:szCs w:val="32"/>
          <w:lang w:eastAsia="zh-CN"/>
        </w:rPr>
        <w:t>基本支出：指为保障机构正常运转、完成日常工作任务而发生的人员支出和公用支出。</w:t>
      </w:r>
    </w:p>
    <w:p w14:paraId="2D3B431B">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lang w:eastAsia="zh-CN"/>
        </w:rPr>
      </w:pPr>
      <w:r>
        <w:rPr>
          <w:rStyle w:val="17"/>
          <w:rFonts w:hint="eastAsia" w:ascii="仿宋_GB2312" w:hAnsi="仿宋_GB2312" w:eastAsia="仿宋_GB2312" w:cs="仿宋_GB2312"/>
          <w:b w:val="0"/>
          <w:color w:val="000000"/>
          <w:sz w:val="32"/>
          <w:szCs w:val="32"/>
          <w:lang w:val="en-US" w:eastAsia="zh-CN"/>
        </w:rPr>
        <w:t>8</w:t>
      </w:r>
      <w:r>
        <w:rPr>
          <w:rStyle w:val="17"/>
          <w:rFonts w:hint="default" w:ascii="仿宋_GB2312" w:hAnsi="仿宋_GB2312" w:eastAsia="仿宋_GB2312" w:cs="仿宋_GB2312"/>
          <w:b w:val="0"/>
          <w:color w:val="000000"/>
          <w:sz w:val="32"/>
          <w:szCs w:val="32"/>
          <w:lang w:eastAsia="zh-CN"/>
        </w:rPr>
        <w:t>.</w:t>
      </w:r>
      <w:r>
        <w:rPr>
          <w:rStyle w:val="17"/>
          <w:rFonts w:hint="eastAsia" w:ascii="仿宋_GB2312" w:hAnsi="仿宋_GB2312" w:eastAsia="仿宋_GB2312" w:cs="仿宋_GB2312"/>
          <w:b w:val="0"/>
          <w:color w:val="000000"/>
          <w:sz w:val="32"/>
          <w:szCs w:val="32"/>
          <w:lang w:eastAsia="zh-CN"/>
        </w:rPr>
        <w:t xml:space="preserve">项目支出：指在基本支出之外为完成特定行政任务和事业发展目标所发生的支出。 </w:t>
      </w:r>
    </w:p>
    <w:p w14:paraId="11B3EF37">
      <w:pPr>
        <w:keepNext w:val="0"/>
        <w:keepLines w:val="0"/>
        <w:pageBreakBefore w:val="0"/>
        <w:widowControl w:val="0"/>
        <w:kinsoku/>
        <w:wordWrap/>
        <w:overflowPunct/>
        <w:topLinePunct w:val="0"/>
        <w:bidi w:val="0"/>
        <w:snapToGrid/>
        <w:spacing w:line="578" w:lineRule="exact"/>
        <w:ind w:firstLine="640" w:firstLineChars="200"/>
        <w:textAlignment w:val="auto"/>
        <w:rPr>
          <w:rStyle w:val="17"/>
          <w:rFonts w:hint="eastAsia" w:ascii="仿宋_GB2312" w:hAnsi="仿宋_GB2312" w:eastAsia="仿宋_GB2312" w:cs="仿宋_GB2312"/>
          <w:b w:val="0"/>
          <w:color w:val="000000"/>
          <w:sz w:val="32"/>
          <w:szCs w:val="32"/>
          <w:lang w:eastAsia="zh-CN"/>
        </w:rPr>
      </w:pPr>
      <w:r>
        <w:rPr>
          <w:rStyle w:val="17"/>
          <w:rFonts w:hint="eastAsia" w:ascii="仿宋_GB2312" w:hAnsi="仿宋_GB2312" w:eastAsia="仿宋_GB2312" w:cs="仿宋_GB2312"/>
          <w:b w:val="0"/>
          <w:color w:val="000000"/>
          <w:sz w:val="32"/>
          <w:szCs w:val="32"/>
          <w:lang w:val="en-US" w:eastAsia="zh-CN"/>
        </w:rPr>
        <w:t>9</w:t>
      </w:r>
      <w:r>
        <w:rPr>
          <w:rStyle w:val="17"/>
          <w:rFonts w:hint="default" w:ascii="仿宋_GB2312" w:hAnsi="仿宋_GB2312" w:eastAsia="仿宋_GB2312" w:cs="仿宋_GB2312"/>
          <w:b w:val="0"/>
          <w:color w:val="000000"/>
          <w:sz w:val="32"/>
          <w:szCs w:val="32"/>
          <w:lang w:eastAsia="zh-CN"/>
        </w:rPr>
        <w:t>.</w:t>
      </w:r>
      <w:r>
        <w:rPr>
          <w:rStyle w:val="17"/>
          <w:rFonts w:hint="eastAsia" w:ascii="仿宋_GB2312" w:hAnsi="仿宋_GB2312" w:eastAsia="仿宋_GB2312" w:cs="仿宋_GB2312"/>
          <w:b w:val="0"/>
          <w:color w:val="000000"/>
          <w:sz w:val="32"/>
          <w:szCs w:val="32"/>
          <w:lang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429CFDF">
      <w:pPr>
        <w:pStyle w:val="26"/>
        <w:spacing w:line="560" w:lineRule="exact"/>
        <w:ind w:firstLine="640" w:firstLineChars="200"/>
        <w:rPr>
          <w:rFonts w:ascii="仿宋_GB2312" w:eastAsia="仿宋_GB2312"/>
          <w:color w:val="auto"/>
          <w:sz w:val="32"/>
          <w:szCs w:val="32"/>
        </w:rPr>
      </w:pPr>
    </w:p>
    <w:p w14:paraId="42B407E0">
      <w:pPr>
        <w:spacing w:line="600" w:lineRule="exact"/>
        <w:jc w:val="center"/>
        <w:outlineLvl w:val="0"/>
        <w:rPr>
          <w:rStyle w:val="28"/>
          <w:rFonts w:ascii="黑体" w:hAnsi="黑体" w:eastAsia="黑体"/>
          <w:b w:val="0"/>
        </w:rPr>
      </w:pPr>
      <w:bookmarkStart w:id="105" w:name="_Toc15377226"/>
      <w:r>
        <w:rPr>
          <w:rFonts w:ascii="宋体"/>
          <w:b/>
          <w:sz w:val="44"/>
          <w:szCs w:val="44"/>
        </w:rPr>
        <w:br w:type="page"/>
      </w:r>
      <w:bookmarkStart w:id="106" w:name="_Toc31085"/>
      <w:bookmarkStart w:id="107" w:name="_Toc15396614"/>
      <w:bookmarkStart w:id="108" w:name="_Toc25845"/>
      <w:r>
        <w:rPr>
          <w:rFonts w:hint="eastAsia" w:ascii="黑体" w:hAnsi="黑体" w:eastAsia="黑体"/>
          <w:sz w:val="44"/>
          <w:szCs w:val="44"/>
        </w:rPr>
        <w:t>第</w:t>
      </w:r>
      <w:r>
        <w:rPr>
          <w:rStyle w:val="28"/>
          <w:rFonts w:hint="eastAsia" w:ascii="黑体" w:hAnsi="黑体" w:eastAsia="黑体"/>
          <w:b w:val="0"/>
        </w:rPr>
        <w:t>四部分 附件</w:t>
      </w:r>
      <w:bookmarkEnd w:id="106"/>
      <w:bookmarkEnd w:id="107"/>
      <w:bookmarkEnd w:id="108"/>
    </w:p>
    <w:p w14:paraId="611A44C9">
      <w:pPr>
        <w:spacing w:line="572" w:lineRule="exact"/>
        <w:jc w:val="left"/>
        <w:outlineLvl w:val="9"/>
        <w:rPr>
          <w:rFonts w:ascii="仿宋_GB2312" w:hAnsi="仿宋_GB2312" w:eastAsia="仿宋_GB2312" w:cs="仿宋_GB2312"/>
          <w:sz w:val="32"/>
          <w:szCs w:val="32"/>
        </w:rPr>
      </w:pPr>
    </w:p>
    <w:p w14:paraId="7BD8ACCC">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1"/>
        <w:rPr>
          <w:rFonts w:hint="eastAsia" w:ascii="方正小标宋简体" w:hAnsi="方正小标宋简体" w:eastAsia="方正小标宋简体" w:cs="方正小标宋简体"/>
          <w:sz w:val="44"/>
          <w:szCs w:val="44"/>
          <w:lang w:eastAsia="zh-CN"/>
        </w:rPr>
      </w:pPr>
      <w:bookmarkStart w:id="109" w:name="_Toc28402"/>
      <w:bookmarkStart w:id="110" w:name="_Toc15396618"/>
      <w:r>
        <w:rPr>
          <w:rFonts w:hint="eastAsia" w:ascii="方正小标宋简体" w:hAnsi="方正小标宋简体" w:eastAsia="方正小标宋简体" w:cs="方正小标宋简体"/>
          <w:sz w:val="44"/>
          <w:szCs w:val="44"/>
          <w:lang w:eastAsia="zh-CN"/>
        </w:rPr>
        <w:t>大竹县城乡居民社会养老保险局</w:t>
      </w:r>
      <w:bookmarkEnd w:id="109"/>
    </w:p>
    <w:p w14:paraId="488BD7A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eastAsia="zh-CN"/>
        </w:rPr>
        <w:t>关于</w:t>
      </w:r>
      <w:r>
        <w:rPr>
          <w:rFonts w:hint="eastAsia" w:ascii="方正小标宋简体" w:hAnsi="方正小标宋简体" w:eastAsia="方正小标宋简体" w:cs="方正小标宋简体"/>
          <w:spacing w:val="-20"/>
          <w:sz w:val="44"/>
          <w:szCs w:val="44"/>
        </w:rPr>
        <w:t>202</w:t>
      </w:r>
      <w:r>
        <w:rPr>
          <w:rFonts w:hint="eastAsia" w:ascii="方正小标宋简体" w:hAnsi="方正小标宋简体" w:eastAsia="方正小标宋简体" w:cs="方正小标宋简体"/>
          <w:spacing w:val="-20"/>
          <w:sz w:val="44"/>
          <w:szCs w:val="44"/>
          <w:lang w:val="en-US" w:eastAsia="zh-CN"/>
        </w:rPr>
        <w:t>3</w:t>
      </w:r>
      <w:r>
        <w:rPr>
          <w:rFonts w:hint="eastAsia" w:ascii="方正小标宋简体" w:hAnsi="方正小标宋简体" w:eastAsia="方正小标宋简体" w:cs="方正小标宋简体"/>
          <w:spacing w:val="-20"/>
          <w:sz w:val="44"/>
          <w:szCs w:val="44"/>
        </w:rPr>
        <w:t>年度预算绩效管理工作自</w:t>
      </w:r>
      <w:r>
        <w:rPr>
          <w:rFonts w:hint="eastAsia" w:ascii="方正小标宋简体" w:hAnsi="方正小标宋简体" w:eastAsia="方正小标宋简体" w:cs="方正小标宋简体"/>
          <w:spacing w:val="-20"/>
          <w:sz w:val="44"/>
          <w:szCs w:val="44"/>
          <w:lang w:eastAsia="zh-CN"/>
        </w:rPr>
        <w:t>评</w:t>
      </w:r>
      <w:r>
        <w:rPr>
          <w:rFonts w:hint="eastAsia" w:ascii="方正小标宋简体" w:hAnsi="方正小标宋简体" w:eastAsia="方正小标宋简体" w:cs="方正小标宋简体"/>
          <w:spacing w:val="-20"/>
          <w:sz w:val="44"/>
          <w:szCs w:val="44"/>
        </w:rPr>
        <w:t>报告</w:t>
      </w:r>
    </w:p>
    <w:p w14:paraId="5D0C33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14:paraId="7C4BEE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大竹县城乡居民社会养老保险局</w:t>
      </w:r>
      <w:r>
        <w:rPr>
          <w:rFonts w:hint="eastAsia" w:ascii="仿宋_GB2312" w:hAnsi="仿宋_GB2312" w:eastAsia="仿宋_GB2312" w:cs="仿宋_GB2312"/>
          <w:sz w:val="32"/>
          <w:szCs w:val="32"/>
        </w:rPr>
        <w:t>在财政局各部门的指导下，认真规范财务管理，及时完成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交办的各项工作任务，现将202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年度预算绩效管理工作自</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情况报告如下：</w:t>
      </w:r>
    </w:p>
    <w:p w14:paraId="7E7700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sz w:val="32"/>
          <w:szCs w:val="32"/>
        </w:rPr>
      </w:pPr>
      <w:bookmarkStart w:id="111" w:name="_Toc17147"/>
      <w:r>
        <w:rPr>
          <w:rFonts w:hint="eastAsia" w:ascii="黑体" w:hAnsi="黑体" w:eastAsia="黑体" w:cs="黑体"/>
          <w:sz w:val="32"/>
          <w:szCs w:val="32"/>
        </w:rPr>
        <w:t>一、总体情况</w:t>
      </w:r>
      <w:bookmarkEnd w:id="111"/>
    </w:p>
    <w:p w14:paraId="676559F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为切实推进预算绩效管理工作全面、均衡、深入发展，着力提升财政资金绩效为主线，以绩效目标实现为向导，以评价结果应用为保障，探索建立完善预算绩效管理体系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一是落实组织保障，抓好绩效目标编制。</w:t>
      </w:r>
      <w:r>
        <w:rPr>
          <w:rFonts w:hint="eastAsia" w:ascii="仿宋_GB2312" w:hAnsi="仿宋_GB2312" w:eastAsia="仿宋_GB2312" w:cs="仿宋_GB2312"/>
          <w:sz w:val="32"/>
          <w:szCs w:val="32"/>
          <w:lang w:val="en-US" w:eastAsia="zh-CN"/>
        </w:rPr>
        <w:t>结合单位实际，建立健全预算绩效管理办法，提高预算绩效规范化、制度化水平。</w:t>
      </w:r>
      <w:r>
        <w:rPr>
          <w:rFonts w:hint="eastAsia" w:ascii="仿宋_GB2312" w:hAnsi="仿宋_GB2312" w:eastAsia="仿宋_GB2312" w:cs="仿宋_GB2312"/>
          <w:b/>
          <w:bCs/>
          <w:sz w:val="32"/>
          <w:szCs w:val="32"/>
          <w:lang w:val="en-US" w:eastAsia="zh-CN"/>
        </w:rPr>
        <w:t>二是健全工作机制，抓好职责分工。</w:t>
      </w:r>
      <w:r>
        <w:rPr>
          <w:rFonts w:hint="eastAsia" w:ascii="仿宋_GB2312" w:hAnsi="仿宋_GB2312" w:eastAsia="仿宋_GB2312" w:cs="仿宋_GB2312"/>
          <w:sz w:val="32"/>
          <w:szCs w:val="32"/>
          <w:lang w:val="en-US" w:eastAsia="zh-CN"/>
        </w:rPr>
        <w:t>由单位主要领导负总责，副局长牵头，2名会计工作人员具体抓落实的“层级化”管理。</w:t>
      </w:r>
      <w:r>
        <w:rPr>
          <w:rFonts w:hint="eastAsia" w:ascii="仿宋_GB2312" w:hAnsi="仿宋_GB2312" w:eastAsia="仿宋_GB2312" w:cs="仿宋_GB2312"/>
          <w:b/>
          <w:bCs/>
          <w:sz w:val="32"/>
          <w:szCs w:val="32"/>
          <w:lang w:val="en-US" w:eastAsia="zh-CN"/>
        </w:rPr>
        <w:t>三是规范过程管理，抓好绩效目标报送。</w:t>
      </w:r>
      <w:r>
        <w:rPr>
          <w:rFonts w:hint="eastAsia" w:ascii="仿宋_GB2312" w:hAnsi="仿宋_GB2312" w:eastAsia="仿宋_GB2312" w:cs="仿宋_GB2312"/>
          <w:sz w:val="32"/>
          <w:szCs w:val="32"/>
          <w:lang w:val="en-US" w:eastAsia="zh-CN"/>
        </w:rPr>
        <w:t>编制预算时对申报的项目加强审核，在预算的过程中加强了事中监控，确保达到年初绩效预算目标。</w:t>
      </w:r>
    </w:p>
    <w:p w14:paraId="67B082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s="黑体"/>
          <w:sz w:val="32"/>
          <w:szCs w:val="32"/>
        </w:rPr>
      </w:pPr>
      <w:bookmarkStart w:id="112" w:name="_Toc12820"/>
      <w:r>
        <w:rPr>
          <w:rFonts w:hint="eastAsia" w:ascii="黑体" w:hAnsi="黑体" w:eastAsia="黑体" w:cs="黑体"/>
          <w:sz w:val="32"/>
          <w:szCs w:val="32"/>
        </w:rPr>
        <w:t>二、自评得分情况及说明</w:t>
      </w:r>
      <w:bookmarkEnd w:id="112"/>
    </w:p>
    <w:p w14:paraId="28BC77D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根据预算绩效管理评价考核办法，从过程管理体系、基础支撑体系及其他考核事项等方面进行了自查自评，在数据准确、资料齐全、佐证充分基础上综合自评得分为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w:t>
      </w:r>
    </w:p>
    <w:p w14:paraId="703E907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（一）过程管控体系。</w:t>
      </w:r>
      <w:r>
        <w:rPr>
          <w:rFonts w:hint="eastAsia" w:ascii="仿宋_GB2312" w:hAnsi="仿宋_GB2312" w:eastAsia="仿宋_GB2312" w:cs="仿宋_GB2312"/>
          <w:sz w:val="32"/>
          <w:szCs w:val="32"/>
        </w:rPr>
        <w:t>我局20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共编制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项项目经费，分别为</w:t>
      </w:r>
      <w:r>
        <w:rPr>
          <w:rFonts w:hint="eastAsia" w:ascii="仿宋_GB2312" w:hAnsi="仿宋_GB2312" w:eastAsia="仿宋_GB2312" w:cs="仿宋_GB2312"/>
          <w:sz w:val="32"/>
          <w:szCs w:val="32"/>
          <w:lang w:eastAsia="zh-CN"/>
        </w:rPr>
        <w:t>网络信息费</w:t>
      </w:r>
      <w:r>
        <w:rPr>
          <w:rFonts w:hint="eastAsia" w:ascii="仿宋_GB2312" w:hAnsi="仿宋_GB2312" w:eastAsia="仿宋_GB2312" w:cs="仿宋_GB2312"/>
          <w:sz w:val="32"/>
          <w:szCs w:val="32"/>
          <w:lang w:val="en-US" w:eastAsia="zh-CN"/>
        </w:rPr>
        <w:t>23万；业务档案管理费15万，被征地农民保障资金514.03万元</w:t>
      </w:r>
      <w:r>
        <w:rPr>
          <w:rFonts w:hint="eastAsia" w:ascii="仿宋_GB2312" w:hAnsi="仿宋_GB2312" w:eastAsia="仿宋_GB2312" w:cs="仿宋_GB2312"/>
          <w:sz w:val="32"/>
          <w:szCs w:val="32"/>
          <w:lang w:val="zh-CN"/>
        </w:rPr>
        <w:t>。</w:t>
      </w:r>
    </w:p>
    <w:p w14:paraId="4DB5805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1.建立目标，迅速落实。</w:t>
      </w:r>
      <w:r>
        <w:rPr>
          <w:rFonts w:hint="eastAsia" w:ascii="仿宋_GB2312" w:hAnsi="仿宋_GB2312" w:eastAsia="仿宋_GB2312" w:cs="仿宋_GB2312"/>
          <w:sz w:val="32"/>
          <w:szCs w:val="32"/>
          <w:lang w:val="en-US" w:eastAsia="zh-CN"/>
        </w:rPr>
        <w:t>我单位领导非常重视预算绩效管理工作，对该项工作给予了大力支持和指导，对上级作出的批示高度重视，要求编制绩效目标按时间报送县财政局。同时强调申报绩效目标内容完整，手续齐全，符合相关格式要求。</w:t>
      </w:r>
    </w:p>
    <w:p w14:paraId="7748002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2.事中监控，措施得当。</w:t>
      </w:r>
      <w:r>
        <w:rPr>
          <w:rFonts w:hint="eastAsia" w:ascii="仿宋_GB2312" w:hAnsi="仿宋_GB2312" w:eastAsia="仿宋_GB2312" w:cs="仿宋_GB2312"/>
          <w:sz w:val="32"/>
          <w:szCs w:val="32"/>
          <w:lang w:val="en-US" w:eastAsia="zh-CN"/>
        </w:rPr>
        <w:t>按要求完成了对预算执行动态监控、中期评估、绩效跟踪监控管理工作。严格执行了部门内控制度及绩效管理实施细则。按要求向县财政局提交了跟踪监控表及相关资料。在专项工作完成检验后，按规定及时将上级财政专项预算资金拨付到位。厉行节约、精打细算，严格按照预算安排金额执行基本工资、津贴补贴等人员经费发放以及办公费、水电费等各项日常公用经费支出。本年度“三公”经费只涉及公务接待费一项支出0.5万元，没超年初预算。</w:t>
      </w:r>
    </w:p>
    <w:p w14:paraId="342378B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3.事后评价，及时反馈。</w:t>
      </w:r>
      <w:r>
        <w:rPr>
          <w:rFonts w:hint="eastAsia" w:ascii="仿宋_GB2312" w:hAnsi="仿宋_GB2312" w:eastAsia="仿宋_GB2312" w:cs="仿宋_GB2312"/>
          <w:sz w:val="32"/>
          <w:szCs w:val="32"/>
          <w:lang w:val="en-US" w:eastAsia="zh-CN"/>
        </w:rPr>
        <w:t>我单位在规定的时间内向县财政局报送了部门整体支出绩效评价自评报告。自评报告内容完整，手续齐全，各项评价指标明确。评价结论合理有据、客观公正，如实地体现了单位取得绩效与存在的问题。</w:t>
      </w:r>
    </w:p>
    <w:p w14:paraId="7C0FDB4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4.结果应用，跟踪监控。</w:t>
      </w:r>
      <w:r>
        <w:rPr>
          <w:rFonts w:hint="eastAsia" w:ascii="仿宋_GB2312" w:hAnsi="仿宋_GB2312" w:eastAsia="仿宋_GB2312" w:cs="仿宋_GB2312"/>
          <w:sz w:val="32"/>
          <w:szCs w:val="32"/>
          <w:lang w:val="en-US" w:eastAsia="zh-CN"/>
        </w:rPr>
        <w:t>绩效预算管理强化结果应用，组织绩效自评和绩效跟踪监控。对发现问题及时进行整改，加强评价结果与资金项目的有效衔接。过程管控体系自评得分74分。</w:t>
      </w:r>
    </w:p>
    <w:p w14:paraId="226C80AD">
      <w:pPr>
        <w:snapToGrid w:val="0"/>
        <w:spacing w:line="520" w:lineRule="exact"/>
        <w:ind w:firstLine="643" w:firstLineChars="200"/>
        <w:rPr>
          <w:rFonts w:hint="default" w:ascii="仿宋_GB2312" w:hAnsi="仿宋" w:eastAsia="仿宋_GB2312"/>
          <w:sz w:val="32"/>
          <w:szCs w:val="32"/>
          <w:highlight w:val="none"/>
          <w:lang w:val="en-US"/>
        </w:rPr>
      </w:pPr>
      <w:r>
        <w:rPr>
          <w:rFonts w:hint="eastAsia" w:ascii="楷体_GB2312" w:hAnsi="楷体_GB2312" w:eastAsia="楷体_GB2312" w:cs="楷体_GB2312"/>
          <w:b/>
          <w:bCs/>
          <w:sz w:val="32"/>
          <w:szCs w:val="32"/>
          <w:lang w:val="en-US" w:eastAsia="zh-CN"/>
        </w:rPr>
        <w:t>（二）基础支撑体系。</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836.69万元，一般财政拨款预算836.69万元，占100%。2023年度本单位决算支出</w:t>
      </w:r>
      <w:r>
        <w:rPr>
          <w:rFonts w:hint="eastAsia" w:ascii="仿宋_GB2312" w:hAnsi="仿宋_GB2312" w:eastAsia="仿宋_GB2312" w:cs="仿宋_GB2312"/>
          <w:sz w:val="32"/>
          <w:szCs w:val="32"/>
        </w:rPr>
        <w:t>合计为</w:t>
      </w:r>
      <w:r>
        <w:rPr>
          <w:rFonts w:hint="eastAsia" w:ascii="仿宋_GB2312" w:hAnsi="仿宋_GB2312" w:eastAsia="仿宋_GB2312" w:cs="仿宋_GB2312"/>
          <w:sz w:val="32"/>
          <w:szCs w:val="32"/>
          <w:lang w:val="en-US" w:eastAsia="zh-CN"/>
        </w:rPr>
        <w:t>836.69万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为财</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按功能科目分：</w:t>
      </w:r>
      <w:r>
        <w:rPr>
          <w:rFonts w:hint="eastAsia" w:ascii="仿宋_GB2312" w:hAnsi="仿宋" w:eastAsia="仿宋_GB2312"/>
          <w:sz w:val="32"/>
          <w:szCs w:val="32"/>
          <w:highlight w:val="none"/>
          <w:lang w:val="en-US" w:eastAsia="zh-CN"/>
        </w:rPr>
        <w:t>按功能科目分，社会保障和就业支出290.20万元，占财政拨款收入的34.68%；城乡社区支出514.03万元，占财政拨款收入的61.44%；卫生健康支出9.87万元，占财政拨款收入的1.18</w:t>
      </w:r>
      <w:r>
        <w:rPr>
          <w:rFonts w:hint="eastAsia" w:ascii="仿宋_GB2312" w:hAnsi="仿宋" w:eastAsia="仿宋_GB2312"/>
          <w:color w:val="000000"/>
          <w:sz w:val="32"/>
          <w:szCs w:val="32"/>
          <w:highlight w:val="none"/>
          <w:lang w:val="en-US" w:eastAsia="zh-CN"/>
        </w:rPr>
        <w:t>%</w:t>
      </w:r>
      <w:r>
        <w:rPr>
          <w:rFonts w:hint="eastAsia" w:ascii="仿宋_GB2312" w:hAnsi="仿宋" w:eastAsia="仿宋_GB2312"/>
          <w:sz w:val="32"/>
          <w:szCs w:val="32"/>
          <w:highlight w:val="none"/>
          <w:lang w:val="en-US" w:eastAsia="zh-CN"/>
        </w:rPr>
        <w:t>；住房保障支出22.59元，占财政拨款收入的2.7%。按支出性质分类：</w:t>
      </w:r>
      <w:r>
        <w:rPr>
          <w:rFonts w:hint="eastAsia" w:ascii="仿宋_GB2312" w:hAnsi="仿宋" w:eastAsia="仿宋_GB2312"/>
          <w:sz w:val="32"/>
          <w:szCs w:val="32"/>
          <w:highlight w:val="none"/>
        </w:rPr>
        <w:t>其中人员经费</w:t>
      </w:r>
      <w:r>
        <w:rPr>
          <w:rFonts w:hint="eastAsia" w:ascii="仿宋_GB2312" w:hAnsi="仿宋" w:eastAsia="仿宋_GB2312"/>
          <w:sz w:val="32"/>
          <w:szCs w:val="32"/>
          <w:highlight w:val="none"/>
          <w:lang w:val="en-US" w:eastAsia="zh-CN"/>
        </w:rPr>
        <w:t>258.14万</w:t>
      </w:r>
      <w:r>
        <w:rPr>
          <w:rFonts w:hint="eastAsia" w:ascii="仿宋_GB2312" w:hAnsi="仿宋" w:eastAsia="仿宋_GB2312"/>
          <w:sz w:val="32"/>
          <w:szCs w:val="32"/>
          <w:highlight w:val="none"/>
        </w:rPr>
        <w:t>元，占总</w:t>
      </w:r>
      <w:r>
        <w:rPr>
          <w:rFonts w:hint="eastAsia" w:ascii="仿宋_GB2312" w:hAnsi="仿宋" w:eastAsia="仿宋_GB2312"/>
          <w:sz w:val="32"/>
          <w:szCs w:val="32"/>
          <w:highlight w:val="none"/>
          <w:lang w:eastAsia="zh-CN"/>
        </w:rPr>
        <w:t>支出</w:t>
      </w:r>
      <w:r>
        <w:rPr>
          <w:rFonts w:hint="eastAsia" w:ascii="仿宋_GB2312" w:hAnsi="仿宋" w:eastAsia="仿宋_GB2312"/>
          <w:sz w:val="32"/>
          <w:szCs w:val="32"/>
          <w:highlight w:val="none"/>
        </w:rPr>
        <w:t>的</w:t>
      </w:r>
      <w:r>
        <w:rPr>
          <w:rFonts w:hint="eastAsia" w:ascii="仿宋_GB2312" w:hAnsi="仿宋" w:eastAsia="仿宋_GB2312"/>
          <w:sz w:val="32"/>
          <w:szCs w:val="32"/>
          <w:highlight w:val="none"/>
          <w:lang w:val="en-US" w:eastAsia="zh-CN"/>
        </w:rPr>
        <w:t>30.85</w:t>
      </w:r>
      <w:r>
        <w:rPr>
          <w:rFonts w:hint="eastAsia" w:ascii="仿宋_GB2312" w:hAnsi="仿宋" w:eastAsia="仿宋_GB2312"/>
          <w:sz w:val="32"/>
          <w:szCs w:val="32"/>
          <w:highlight w:val="none"/>
        </w:rPr>
        <w:t>%；日常公用经费</w:t>
      </w:r>
      <w:r>
        <w:rPr>
          <w:rFonts w:hint="eastAsia" w:ascii="仿宋_GB2312" w:hAnsi="仿宋" w:eastAsia="仿宋_GB2312"/>
          <w:sz w:val="32"/>
          <w:szCs w:val="32"/>
          <w:highlight w:val="none"/>
          <w:lang w:val="en-US" w:eastAsia="zh-CN"/>
        </w:rPr>
        <w:t>26.52万</w:t>
      </w:r>
      <w:r>
        <w:rPr>
          <w:rFonts w:hint="eastAsia" w:ascii="仿宋_GB2312" w:hAnsi="仿宋" w:eastAsia="仿宋_GB2312"/>
          <w:sz w:val="32"/>
          <w:szCs w:val="32"/>
          <w:highlight w:val="none"/>
        </w:rPr>
        <w:t>元，占总收入的</w:t>
      </w:r>
      <w:r>
        <w:rPr>
          <w:rFonts w:hint="eastAsia" w:ascii="仿宋_GB2312" w:hAnsi="仿宋" w:eastAsia="仿宋_GB2312"/>
          <w:sz w:val="32"/>
          <w:szCs w:val="32"/>
          <w:highlight w:val="none"/>
          <w:lang w:val="en-US" w:eastAsia="zh-CN"/>
        </w:rPr>
        <w:t>3.17</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eastAsia="zh-CN"/>
        </w:rPr>
        <w:t>支出</w:t>
      </w:r>
      <w:r>
        <w:rPr>
          <w:rFonts w:hint="eastAsia" w:ascii="仿宋_GB2312" w:hAnsi="仿宋" w:eastAsia="仿宋_GB2312"/>
          <w:sz w:val="32"/>
          <w:szCs w:val="32"/>
          <w:highlight w:val="none"/>
          <w:lang w:val="en-US" w:eastAsia="zh-CN"/>
        </w:rPr>
        <w:t>552.03万</w:t>
      </w:r>
      <w:r>
        <w:rPr>
          <w:rFonts w:hint="eastAsia" w:ascii="仿宋_GB2312" w:hAnsi="仿宋" w:eastAsia="仿宋_GB2312"/>
          <w:sz w:val="32"/>
          <w:szCs w:val="32"/>
          <w:highlight w:val="none"/>
        </w:rPr>
        <w:t>元，占总</w:t>
      </w:r>
      <w:r>
        <w:rPr>
          <w:rFonts w:hint="eastAsia" w:ascii="仿宋_GB2312" w:hAnsi="仿宋" w:eastAsia="仿宋_GB2312"/>
          <w:sz w:val="32"/>
          <w:szCs w:val="32"/>
          <w:highlight w:val="none"/>
          <w:lang w:eastAsia="zh-CN"/>
        </w:rPr>
        <w:t>支出</w:t>
      </w:r>
      <w:r>
        <w:rPr>
          <w:rFonts w:hint="eastAsia" w:ascii="仿宋_GB2312" w:hAnsi="仿宋" w:eastAsia="仿宋_GB2312"/>
          <w:sz w:val="32"/>
          <w:szCs w:val="32"/>
          <w:highlight w:val="none"/>
        </w:rPr>
        <w:t>的</w:t>
      </w:r>
      <w:r>
        <w:rPr>
          <w:rFonts w:hint="eastAsia" w:ascii="仿宋_GB2312" w:hAnsi="仿宋" w:eastAsia="仿宋_GB2312"/>
          <w:sz w:val="32"/>
          <w:szCs w:val="32"/>
          <w:highlight w:val="none"/>
          <w:lang w:val="en-US" w:eastAsia="zh-CN"/>
        </w:rPr>
        <w:t>65.98%</w:t>
      </w:r>
      <w:r>
        <w:rPr>
          <w:rFonts w:hint="eastAsia" w:ascii="仿宋_GB2312" w:hAnsi="仿宋" w:eastAsia="仿宋_GB2312"/>
          <w:sz w:val="32"/>
          <w:szCs w:val="32"/>
          <w:highlight w:val="none"/>
        </w:rPr>
        <w:t>。</w:t>
      </w:r>
    </w:p>
    <w:p w14:paraId="4B9741E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1.加强制度建设，强化监督机制。</w:t>
      </w:r>
      <w:r>
        <w:rPr>
          <w:rFonts w:hint="eastAsia" w:ascii="仿宋_GB2312" w:hAnsi="仿宋_GB2312" w:eastAsia="仿宋_GB2312" w:cs="仿宋_GB2312"/>
          <w:sz w:val="32"/>
          <w:szCs w:val="32"/>
        </w:rPr>
        <w:t>近年来，按照新预算法、监督法等法律法规要求，</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将预算绩效审查监督贯穿于预决算审查监督全过程，不断提升预算绩效审查监督实效。初步构建了“预算编制有目标、预算执行有监控、预算完成有评价、评价结果有反馈、反馈结果有应用”的全过程预算绩效管理机制，</w:t>
      </w:r>
    </w:p>
    <w:p w14:paraId="716C32F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推动信息公开，</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lang w:val="en-US" w:eastAsia="zh-CN"/>
        </w:rPr>
        <w:t>培训宣传。</w:t>
      </w:r>
      <w:r>
        <w:rPr>
          <w:rFonts w:hint="eastAsia" w:ascii="仿宋_GB2312" w:hAnsi="仿宋_GB2312" w:eastAsia="仿宋_GB2312" w:cs="仿宋_GB2312"/>
          <w:sz w:val="32"/>
          <w:szCs w:val="32"/>
        </w:rPr>
        <w:t>积极利用各种媒体形式宣传财政绩效管理工作，创造良好的社会舆论氛围。一是</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QQ及微信群等新媒体向机关干部进行宣传，让职工深刻领会开展此项工作的重要性。二是在职工会议上对开展</w:t>
      </w:r>
      <w:r>
        <w:rPr>
          <w:rFonts w:hint="eastAsia" w:ascii="仿宋_GB2312" w:hAnsi="仿宋_GB2312" w:eastAsia="仿宋_GB2312" w:cs="仿宋_GB2312"/>
          <w:sz w:val="32"/>
          <w:szCs w:val="32"/>
          <w:lang w:eastAsia="zh-CN"/>
        </w:rPr>
        <w:t>预算绩效管理</w:t>
      </w:r>
      <w:r>
        <w:rPr>
          <w:rFonts w:hint="eastAsia" w:ascii="仿宋_GB2312" w:hAnsi="仿宋_GB2312" w:eastAsia="仿宋_GB2312" w:cs="仿宋_GB2312"/>
          <w:sz w:val="32"/>
          <w:szCs w:val="32"/>
        </w:rPr>
        <w:t>进行宣传。</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自觉接受人大和社会各界监督，</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提升人民群众的满意度。</w:t>
      </w:r>
    </w:p>
    <w:p w14:paraId="37A605F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3.务实清廉作风，</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lang w:val="en-US" w:eastAsia="zh-CN"/>
        </w:rPr>
        <w:t>协同配合。</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财政局工作</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，在规定时间内全面完成当年财政绩效管理工作目标，积极配合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级评价组开展绩效管理工作。</w:t>
      </w:r>
      <w:r>
        <w:rPr>
          <w:rFonts w:hint="eastAsia" w:ascii="仿宋_GB2312" w:hAnsi="仿宋_GB2312" w:eastAsia="仿宋_GB2312" w:cs="仿宋_GB2312"/>
          <w:sz w:val="32"/>
          <w:szCs w:val="32"/>
          <w:lang w:val="en-US" w:eastAsia="zh-CN"/>
        </w:rPr>
        <w:t>基础支撑体系自评得分12分。</w:t>
      </w:r>
    </w:p>
    <w:p w14:paraId="2434EAE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（三）其他考评体系。</w:t>
      </w:r>
      <w:r>
        <w:rPr>
          <w:rFonts w:hint="eastAsia" w:ascii="仿宋_GB2312" w:hAnsi="仿宋_GB2312" w:eastAsia="仿宋_GB2312" w:cs="仿宋_GB2312"/>
          <w:sz w:val="32"/>
          <w:szCs w:val="32"/>
          <w:lang w:val="en-US" w:eastAsia="zh-CN"/>
        </w:rPr>
        <w:t xml:space="preserve"> 建立“码上办”综合柜员系统，实现“一键式”、“一站式”居保服务。大胆探索“13431”社保基金专项整治工作思路，创新打造“死亡月零报告”系统，将社保基金防控下延“神经末梢”。</w:t>
      </w:r>
    </w:p>
    <w:p w14:paraId="6A77EE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积极配合</w:t>
      </w: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开展绩效评价工作，按时提供了自评报告以及相关数据、</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资料等，并按时报送了预算绩效管理工作考核自评表与相关材料。</w:t>
      </w:r>
      <w:r>
        <w:rPr>
          <w:rFonts w:hint="eastAsia" w:ascii="仿宋_GB2312" w:hAnsi="仿宋_GB2312" w:eastAsia="仿宋_GB2312" w:cs="仿宋_GB2312"/>
          <w:sz w:val="32"/>
          <w:szCs w:val="32"/>
          <w:lang w:val="en-US" w:eastAsia="zh-CN"/>
        </w:rPr>
        <w:t>其他考评体系自评得分8分。</w:t>
      </w:r>
    </w:p>
    <w:p w14:paraId="6A1A3E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sz w:val="32"/>
          <w:szCs w:val="32"/>
        </w:rPr>
      </w:pPr>
      <w:bookmarkStart w:id="113" w:name="_Toc8092"/>
      <w:r>
        <w:rPr>
          <w:rFonts w:hint="eastAsia" w:ascii="黑体" w:hAnsi="黑体" w:eastAsia="黑体" w:cs="黑体"/>
          <w:sz w:val="32"/>
          <w:szCs w:val="32"/>
        </w:rPr>
        <w:t>三、主要经验和存在不足</w:t>
      </w:r>
      <w:bookmarkEnd w:id="113"/>
    </w:p>
    <w:p w14:paraId="26F9DD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预算绩效管理工作时间紧、任务重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专业性较强，而我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只有</w:t>
      </w:r>
      <w:r>
        <w:rPr>
          <w:rFonts w:hint="eastAsia" w:ascii="仿宋_GB2312" w:hAnsi="仿宋_GB2312" w:eastAsia="仿宋_GB2312" w:cs="仿宋_GB2312"/>
          <w:sz w:val="32"/>
          <w:szCs w:val="32"/>
          <w:lang w:val="en-US" w:eastAsia="zh-CN"/>
        </w:rPr>
        <w:t>2名同志兼职</w:t>
      </w:r>
      <w:r>
        <w:rPr>
          <w:rFonts w:hint="eastAsia" w:ascii="仿宋_GB2312" w:hAnsi="仿宋_GB2312" w:eastAsia="仿宋_GB2312" w:cs="仿宋_GB2312"/>
          <w:sz w:val="32"/>
          <w:szCs w:val="32"/>
        </w:rPr>
        <w:t>负责日常处理工作，由于</w:t>
      </w:r>
      <w:r>
        <w:rPr>
          <w:rFonts w:hint="eastAsia" w:ascii="仿宋_GB2312" w:hAnsi="仿宋_GB2312" w:eastAsia="仿宋_GB2312" w:cs="仿宋_GB2312"/>
          <w:sz w:val="32"/>
          <w:szCs w:val="32"/>
          <w:lang w:eastAsia="zh-CN"/>
        </w:rPr>
        <w:t>城乡居保</w:t>
      </w:r>
      <w:r>
        <w:rPr>
          <w:rFonts w:hint="eastAsia" w:ascii="仿宋_GB2312" w:hAnsi="仿宋_GB2312" w:eastAsia="仿宋_GB2312" w:cs="仿宋_GB2312"/>
          <w:sz w:val="32"/>
          <w:szCs w:val="32"/>
        </w:rPr>
        <w:t>日常业务量大、</w:t>
      </w:r>
      <w:r>
        <w:rPr>
          <w:rFonts w:hint="eastAsia" w:ascii="仿宋_GB2312" w:hAnsi="仿宋_GB2312" w:eastAsia="仿宋_GB2312" w:cs="仿宋_GB2312"/>
          <w:sz w:val="32"/>
          <w:szCs w:val="32"/>
          <w:lang w:eastAsia="zh-CN"/>
        </w:rPr>
        <w:t>面广、社会关注度高，</w:t>
      </w:r>
      <w:r>
        <w:rPr>
          <w:rFonts w:hint="eastAsia" w:ascii="仿宋_GB2312" w:hAnsi="仿宋_GB2312" w:eastAsia="仿宋_GB2312" w:cs="仿宋_GB2312"/>
          <w:sz w:val="32"/>
          <w:szCs w:val="32"/>
        </w:rPr>
        <w:t>缺少系统的学习，只能在探索中工作。</w:t>
      </w:r>
    </w:p>
    <w:p w14:paraId="7132C8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s="黑体"/>
          <w:sz w:val="32"/>
          <w:szCs w:val="32"/>
        </w:rPr>
      </w:pPr>
      <w:bookmarkStart w:id="114" w:name="_Toc28987"/>
      <w:r>
        <w:rPr>
          <w:rFonts w:hint="eastAsia" w:ascii="黑体" w:hAnsi="黑体" w:eastAsia="黑体" w:cs="黑体"/>
          <w:sz w:val="32"/>
          <w:szCs w:val="32"/>
        </w:rPr>
        <w:t>四、下步工作打算和改进举措</w:t>
      </w:r>
      <w:bookmarkEnd w:id="114"/>
    </w:p>
    <w:p w14:paraId="0A69B87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（一）提高全局思想认识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在管理层扩大宣传，让预算绩效管理理念深入人心，形成讲绩效、重绩效的浓厚气氛。研究制定我单位更加具体的预算绩效管理工作计划，规范、细化各类专项资金绩效评价，进一步提高财政专项资金绩效评价的质量。</w:t>
      </w:r>
    </w:p>
    <w:p w14:paraId="4D06DAF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抓实抓细日常管理。</w:t>
      </w:r>
      <w:r>
        <w:rPr>
          <w:rFonts w:hint="eastAsia" w:ascii="仿宋_GB2312" w:hAnsi="仿宋_GB2312" w:eastAsia="仿宋_GB2312" w:cs="仿宋_GB2312"/>
          <w:sz w:val="32"/>
          <w:szCs w:val="32"/>
        </w:rPr>
        <w:t>进一步重视预算绩效管理工作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全力抓好专项支出绩效目标管理工作落实，高效推进财政专项资金预算绩效目标管理工作。</w:t>
      </w:r>
    </w:p>
    <w:p w14:paraId="6181E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s="黑体"/>
          <w:sz w:val="32"/>
          <w:szCs w:val="32"/>
        </w:rPr>
      </w:pPr>
      <w:bookmarkStart w:id="115" w:name="_Toc3498"/>
      <w:r>
        <w:rPr>
          <w:rFonts w:hint="eastAsia" w:ascii="黑体" w:hAnsi="黑体" w:eastAsia="黑体" w:cs="黑体"/>
          <w:sz w:val="32"/>
          <w:szCs w:val="32"/>
        </w:rPr>
        <w:t>五、建议意见</w:t>
      </w:r>
      <w:bookmarkEnd w:id="115"/>
    </w:p>
    <w:p w14:paraId="389354B1">
      <w:pPr>
        <w:pStyle w:val="6"/>
        <w:spacing w:before="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预算绩效管理面广、量大，缺乏业务体系的支撑，核心业务就无法拓展实施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eastAsia="zh-CN"/>
        </w:rPr>
        <w:t>政策宣传。</w:t>
      </w:r>
      <w:r>
        <w:rPr>
          <w:rFonts w:hint="eastAsia" w:ascii="仿宋_GB2312" w:hAnsi="仿宋_GB2312" w:eastAsia="仿宋_GB2312" w:cs="仿宋_GB2312"/>
          <w:sz w:val="32"/>
          <w:szCs w:val="32"/>
        </w:rPr>
        <w:t>提高思想认识，扩大舆论宣传，尽快让预算绩效理念深入人心，形成讲绩效、重绩效的浓厚气氛。</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eastAsia="zh-CN"/>
        </w:rPr>
        <w:t>业务培训。</w:t>
      </w:r>
      <w:r>
        <w:rPr>
          <w:rFonts w:hint="eastAsia" w:ascii="仿宋_GB2312" w:hAnsi="仿宋_GB2312" w:eastAsia="仿宋_GB2312" w:cs="仿宋_GB2312"/>
          <w:sz w:val="32"/>
          <w:szCs w:val="32"/>
        </w:rPr>
        <w:t>进一步加强预算绩效工作系统化培训，提高从事该项工作人员理论知识水平和业务能力。</w:t>
      </w:r>
    </w:p>
    <w:p w14:paraId="00D66BA1">
      <w:pPr>
        <w:pStyle w:val="6"/>
        <w:spacing w:before="93"/>
        <w:rPr>
          <w:rFonts w:hint="eastAsia" w:ascii="仿宋_GB2312" w:hAnsi="仿宋_GB2312" w:eastAsia="仿宋_GB2312" w:cs="仿宋_GB2312"/>
          <w:sz w:val="32"/>
          <w:szCs w:val="32"/>
        </w:rPr>
      </w:pPr>
    </w:p>
    <w:p w14:paraId="1424C9AE">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大竹县城乡居民社会养老保险局</w:t>
      </w:r>
    </w:p>
    <w:p w14:paraId="2B97DB0B">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14:paraId="669447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F4976E4">
      <w:pPr>
        <w:pStyle w:val="6"/>
        <w:spacing w:before="93"/>
        <w:rPr>
          <w:rFonts w:hint="eastAsia" w:ascii="仿宋_GB2312" w:hAnsi="仿宋_GB2312" w:eastAsia="仿宋_GB2312" w:cs="仿宋_GB2312"/>
          <w:sz w:val="32"/>
          <w:szCs w:val="32"/>
        </w:rPr>
      </w:pPr>
      <w:r>
        <w:drawing>
          <wp:inline distT="0" distB="0" distL="114300" distR="114300">
            <wp:extent cx="8918575" cy="5538470"/>
            <wp:effectExtent l="0" t="0" r="5080"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rot="5400000">
                      <a:off x="0" y="0"/>
                      <a:ext cx="8918575" cy="5538470"/>
                    </a:xfrm>
                    <a:prstGeom prst="rect">
                      <a:avLst/>
                    </a:prstGeom>
                    <a:noFill/>
                    <a:ln>
                      <a:noFill/>
                    </a:ln>
                  </pic:spPr>
                </pic:pic>
              </a:graphicData>
            </a:graphic>
          </wp:inline>
        </w:drawing>
      </w:r>
    </w:p>
    <w:p w14:paraId="50D7DC4C">
      <w:pPr>
        <w:pStyle w:val="6"/>
        <w:spacing w:before="93"/>
        <w:rPr>
          <w:rFonts w:hAnsi="Calibri" w:cs="仿宋"/>
          <w:sz w:val="32"/>
          <w:szCs w:val="32"/>
        </w:rPr>
      </w:pPr>
      <w:r>
        <w:drawing>
          <wp:inline distT="0" distB="0" distL="114300" distR="114300">
            <wp:extent cx="5432425" cy="5409565"/>
            <wp:effectExtent l="0" t="0" r="15875" b="63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4"/>
                    <a:stretch>
                      <a:fillRect/>
                    </a:stretch>
                  </pic:blipFill>
                  <pic:spPr>
                    <a:xfrm>
                      <a:off x="0" y="0"/>
                      <a:ext cx="5432425" cy="5409565"/>
                    </a:xfrm>
                    <a:prstGeom prst="rect">
                      <a:avLst/>
                    </a:prstGeom>
                    <a:noFill/>
                    <a:ln>
                      <a:noFill/>
                    </a:ln>
                  </pic:spPr>
                </pic:pic>
              </a:graphicData>
            </a:graphic>
          </wp:inline>
        </w:drawing>
      </w:r>
    </w:p>
    <w:p w14:paraId="2E9693B5">
      <w:pPr>
        <w:pStyle w:val="6"/>
        <w:spacing w:before="93"/>
        <w:rPr>
          <w:rFonts w:hAnsi="Calibri" w:cs="仿宋"/>
          <w:sz w:val="32"/>
          <w:szCs w:val="32"/>
        </w:rPr>
      </w:pPr>
    </w:p>
    <w:p w14:paraId="1B2C1CF3">
      <w:pPr>
        <w:pStyle w:val="6"/>
        <w:spacing w:before="93"/>
        <w:rPr>
          <w:rFonts w:hAnsi="Calibri" w:cs="仿宋"/>
          <w:sz w:val="32"/>
          <w:szCs w:val="32"/>
        </w:rPr>
      </w:pPr>
    </w:p>
    <w:p w14:paraId="664D2BC3">
      <w:pPr>
        <w:pStyle w:val="6"/>
        <w:spacing w:before="93"/>
        <w:rPr>
          <w:rFonts w:hAnsi="Calibri" w:cs="仿宋"/>
          <w:sz w:val="32"/>
          <w:szCs w:val="32"/>
        </w:rPr>
      </w:pPr>
    </w:p>
    <w:p w14:paraId="29F4E48D">
      <w:pPr>
        <w:pStyle w:val="6"/>
        <w:spacing w:before="93"/>
        <w:rPr>
          <w:rFonts w:hAnsi="Calibri" w:cs="仿宋"/>
          <w:sz w:val="32"/>
          <w:szCs w:val="32"/>
        </w:rPr>
      </w:pPr>
    </w:p>
    <w:p w14:paraId="5ACB7D26">
      <w:pPr>
        <w:pStyle w:val="6"/>
        <w:spacing w:before="93"/>
        <w:rPr>
          <w:rFonts w:hAnsi="Calibri" w:cs="仿宋"/>
          <w:sz w:val="32"/>
          <w:szCs w:val="32"/>
        </w:rPr>
      </w:pPr>
    </w:p>
    <w:p w14:paraId="6DD55642">
      <w:pPr>
        <w:pStyle w:val="6"/>
        <w:spacing w:before="93"/>
        <w:rPr>
          <w:rFonts w:hAnsi="Calibri" w:cs="仿宋"/>
          <w:sz w:val="32"/>
          <w:szCs w:val="32"/>
        </w:rPr>
      </w:pPr>
    </w:p>
    <w:p w14:paraId="1ADE5FC4">
      <w:pPr>
        <w:pStyle w:val="6"/>
        <w:spacing w:before="93"/>
        <w:rPr>
          <w:rFonts w:hAnsi="Calibri" w:cs="仿宋"/>
          <w:sz w:val="32"/>
          <w:szCs w:val="32"/>
        </w:rPr>
      </w:pPr>
    </w:p>
    <w:p w14:paraId="21F4FD39">
      <w:pPr>
        <w:pStyle w:val="6"/>
        <w:spacing w:before="93"/>
        <w:rPr>
          <w:rFonts w:hAnsi="Calibri" w:cs="仿宋"/>
          <w:sz w:val="32"/>
          <w:szCs w:val="32"/>
        </w:rPr>
      </w:pPr>
    </w:p>
    <w:p w14:paraId="327E6CAC">
      <w:pPr>
        <w:pStyle w:val="6"/>
        <w:spacing w:before="93"/>
        <w:rPr>
          <w:rFonts w:hAnsi="Calibri" w:cs="仿宋"/>
          <w:sz w:val="32"/>
          <w:szCs w:val="32"/>
        </w:rPr>
      </w:pPr>
      <w:r>
        <w:drawing>
          <wp:inline distT="0" distB="0" distL="114300" distR="114300">
            <wp:extent cx="5327650" cy="5893435"/>
            <wp:effectExtent l="0" t="0" r="6350" b="1206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5"/>
                    <a:stretch>
                      <a:fillRect/>
                    </a:stretch>
                  </pic:blipFill>
                  <pic:spPr>
                    <a:xfrm>
                      <a:off x="0" y="0"/>
                      <a:ext cx="5327650" cy="5893435"/>
                    </a:xfrm>
                    <a:prstGeom prst="rect">
                      <a:avLst/>
                    </a:prstGeom>
                    <a:noFill/>
                    <a:ln>
                      <a:noFill/>
                    </a:ln>
                  </pic:spPr>
                </pic:pic>
              </a:graphicData>
            </a:graphic>
          </wp:inline>
        </w:drawing>
      </w:r>
    </w:p>
    <w:p w14:paraId="1D932AED">
      <w:pPr>
        <w:pStyle w:val="6"/>
        <w:spacing w:before="93"/>
        <w:rPr>
          <w:rFonts w:hAnsi="Calibri" w:cs="仿宋"/>
          <w:sz w:val="32"/>
          <w:szCs w:val="32"/>
        </w:rPr>
      </w:pPr>
    </w:p>
    <w:p w14:paraId="23D2B7B6">
      <w:pPr>
        <w:rPr>
          <w:rFonts w:hAnsi="Calibri" w:cs="仿宋"/>
          <w:sz w:val="32"/>
          <w:szCs w:val="32"/>
        </w:rPr>
      </w:pPr>
      <w:r>
        <w:rPr>
          <w:rFonts w:hAnsi="Calibri" w:cs="仿宋"/>
          <w:sz w:val="32"/>
          <w:szCs w:val="32"/>
        </w:rPr>
        <w:br w:type="page"/>
      </w:r>
    </w:p>
    <w:p w14:paraId="5AA3F816">
      <w:pPr>
        <w:keepNext w:val="0"/>
        <w:keepLines w:val="0"/>
        <w:pageBreakBefore w:val="0"/>
        <w:tabs>
          <w:tab w:val="left" w:pos="1440"/>
        </w:tabs>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大竹县城乡居民社会养老保险局</w:t>
      </w:r>
    </w:p>
    <w:p w14:paraId="0D536D8A">
      <w:pPr>
        <w:pStyle w:val="36"/>
        <w:keepNext w:val="0"/>
        <w:keepLines w:val="0"/>
        <w:pageBreakBefore w:val="0"/>
        <w:kinsoku/>
        <w:wordWrap/>
        <w:overflowPunct/>
        <w:topLinePunct w:val="0"/>
        <w:autoSpaceDE/>
        <w:autoSpaceDN/>
        <w:bidi w:val="0"/>
        <w:spacing w:line="600" w:lineRule="exact"/>
        <w:ind w:firstLine="883"/>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被征地农民保障资金（生活补贴等）</w:t>
      </w:r>
      <w:r>
        <w:rPr>
          <w:rFonts w:hint="eastAsia" w:ascii="方正小标宋简体" w:hAnsi="宋体" w:eastAsia="方正小标宋简体"/>
          <w:sz w:val="44"/>
          <w:szCs w:val="44"/>
        </w:rPr>
        <w:t>项目支出绩效自评报告</w:t>
      </w:r>
    </w:p>
    <w:p w14:paraId="6CFF873C">
      <w:pPr>
        <w:pStyle w:val="36"/>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14:paraId="30480805">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宋体" w:eastAsia="黑体"/>
          <w:sz w:val="32"/>
          <w:szCs w:val="32"/>
          <w:lang w:val="zh-CN"/>
        </w:rPr>
      </w:pPr>
      <w:bookmarkStart w:id="116" w:name="_Toc9389"/>
      <w:r>
        <w:rPr>
          <w:rFonts w:hint="eastAsia" w:ascii="黑体" w:hAnsi="宋体" w:eastAsia="黑体"/>
          <w:sz w:val="32"/>
          <w:szCs w:val="32"/>
          <w:lang w:val="zh-CN"/>
        </w:rPr>
        <w:t>一、项目概况</w:t>
      </w:r>
      <w:bookmarkEnd w:id="116"/>
    </w:p>
    <w:p w14:paraId="04DA3BEC">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643" w:firstLineChars="200"/>
        <w:textAlignment w:val="auto"/>
        <w:rPr>
          <w:rFonts w:hint="default"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zh-CN" w:eastAsia="zh-CN" w:bidi="ar-SA"/>
        </w:rPr>
        <w:t>（</w:t>
      </w:r>
      <w:r>
        <w:rPr>
          <w:rFonts w:hint="eastAsia" w:ascii="楷体_GB2312" w:hAnsi="宋体" w:eastAsia="楷体_GB2312" w:cs="Times New Roman"/>
          <w:b/>
          <w:kern w:val="2"/>
          <w:sz w:val="32"/>
          <w:szCs w:val="32"/>
          <w:lang w:val="en-US" w:eastAsia="zh-CN" w:bidi="ar-SA"/>
        </w:rPr>
        <w:t>一）项目资金申报及批复情况</w:t>
      </w:r>
    </w:p>
    <w:p w14:paraId="3B65055E">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2"/>
          <w:sz w:val="32"/>
          <w:szCs w:val="32"/>
          <w:lang w:val="zh-CN" w:eastAsia="zh-CN" w:bidi="zh-TW"/>
        </w:rPr>
      </w:pPr>
      <w:r>
        <w:rPr>
          <w:rFonts w:hint="eastAsia" w:ascii="仿宋" w:hAnsi="仿宋" w:eastAsia="仿宋" w:cs="仿宋"/>
          <w:kern w:val="2"/>
          <w:sz w:val="32"/>
          <w:szCs w:val="32"/>
          <w:lang w:val="en-US" w:eastAsia="zh-CN" w:bidi="zh-TW"/>
        </w:rPr>
        <w:t>2023年被征地农民保障资金预算514.025688万元，年初是按照领取待遇的被征地农民391人（下清项目）预算，由于2023年度新增征地项目以及上清项目，2023年共完成804人征地农民生活补贴和22人死亡人员丧抚费发放，其资金按照要求拨付并发放到位，在使用过程中符合资金管理办法等相关规定。</w:t>
      </w:r>
    </w:p>
    <w:p w14:paraId="426BE5B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（二）项目绩效目标。</w:t>
      </w:r>
      <w:r>
        <w:rPr>
          <w:rFonts w:hint="eastAsia" w:ascii="仿宋" w:hAnsi="仿宋" w:eastAsia="仿宋" w:cs="仿宋"/>
          <w:kern w:val="2"/>
          <w:sz w:val="32"/>
          <w:szCs w:val="32"/>
          <w:lang w:val="en-US" w:eastAsia="zh-CN" w:bidi="zh-TW"/>
        </w:rPr>
        <w:t>被征地农民保障资金（生活补贴等）</w:t>
      </w:r>
      <w:r>
        <w:rPr>
          <w:rFonts w:hint="eastAsia" w:ascii="仿宋" w:hAnsi="仿宋" w:eastAsia="仿宋" w:cs="仿宋"/>
          <w:kern w:val="2"/>
          <w:sz w:val="32"/>
          <w:szCs w:val="32"/>
          <w:lang w:val="zh-CN" w:eastAsia="zh-CN" w:bidi="zh-TW"/>
        </w:rPr>
        <w:t>项目主要内容，</w:t>
      </w:r>
      <w:r>
        <w:rPr>
          <w:rFonts w:hint="eastAsia" w:ascii="仿宋" w:hAnsi="仿宋" w:eastAsia="仿宋" w:cs="仿宋"/>
          <w:kern w:val="2"/>
          <w:sz w:val="32"/>
          <w:szCs w:val="32"/>
          <w:lang w:val="en-US" w:eastAsia="zh-CN" w:bidi="zh-TW"/>
        </w:rPr>
        <w:t>被征地农民保障资金514.025688万元，2023年12月底，资金全部到位，完成率100%。</w:t>
      </w:r>
    </w:p>
    <w:p w14:paraId="5F7385DA">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（三）项目资金申报相符性。</w:t>
      </w:r>
      <w:r>
        <w:rPr>
          <w:rFonts w:hint="eastAsia" w:ascii="仿宋" w:hAnsi="仿宋" w:eastAsia="仿宋" w:cs="仿宋"/>
          <w:kern w:val="2"/>
          <w:sz w:val="32"/>
          <w:szCs w:val="32"/>
          <w:lang w:val="en-US" w:eastAsia="zh-CN" w:bidi="zh-TW"/>
        </w:rPr>
        <w:t>被征地农民保障资金（生活补贴等）</w:t>
      </w:r>
      <w:r>
        <w:rPr>
          <w:rFonts w:hint="eastAsia" w:ascii="仿宋" w:hAnsi="仿宋" w:eastAsia="仿宋" w:cs="仿宋"/>
          <w:kern w:val="2"/>
          <w:sz w:val="32"/>
          <w:szCs w:val="32"/>
          <w:lang w:val="zh-CN" w:eastAsia="zh-CN" w:bidi="zh-TW"/>
        </w:rPr>
        <w:t>项目申报内容</w:t>
      </w:r>
      <w:r>
        <w:rPr>
          <w:rFonts w:hint="eastAsia" w:ascii="仿宋" w:hAnsi="仿宋" w:eastAsia="仿宋" w:cs="仿宋"/>
          <w:kern w:val="2"/>
          <w:sz w:val="32"/>
          <w:szCs w:val="32"/>
          <w:lang w:val="en-US" w:eastAsia="zh-CN" w:bidi="zh-TW"/>
        </w:rPr>
        <w:t>与</w:t>
      </w:r>
      <w:r>
        <w:rPr>
          <w:rFonts w:hint="eastAsia" w:ascii="仿宋" w:hAnsi="仿宋" w:eastAsia="仿宋" w:cs="仿宋"/>
          <w:kern w:val="2"/>
          <w:sz w:val="32"/>
          <w:szCs w:val="32"/>
          <w:lang w:val="zh-CN" w:eastAsia="zh-CN" w:bidi="zh-TW"/>
        </w:rPr>
        <w:t>具体实施内容相符、申报目标合理可行。</w:t>
      </w:r>
    </w:p>
    <w:p w14:paraId="4990A8F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黑体" w:hAnsi="宋体" w:eastAsia="黑体"/>
          <w:sz w:val="32"/>
          <w:szCs w:val="32"/>
        </w:rPr>
      </w:pPr>
      <w:bookmarkStart w:id="117" w:name="_Toc31264"/>
      <w:r>
        <w:rPr>
          <w:rFonts w:hint="eastAsia" w:ascii="黑体" w:hAnsi="宋体" w:eastAsia="黑体"/>
          <w:sz w:val="32"/>
          <w:szCs w:val="32"/>
        </w:rPr>
        <w:t>二、项目实施及管理情况</w:t>
      </w:r>
      <w:bookmarkEnd w:id="117"/>
    </w:p>
    <w:p w14:paraId="5126A6A7">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14:paraId="5718E39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2"/>
          <w:sz w:val="32"/>
          <w:szCs w:val="32"/>
          <w:lang w:val="zh-CN" w:eastAsia="zh-CN" w:bidi="zh-TW"/>
        </w:rPr>
      </w:pPr>
      <w:r>
        <w:rPr>
          <w:rFonts w:hint="eastAsia" w:ascii="仿宋" w:hAnsi="仿宋" w:eastAsia="仿宋" w:cs="仿宋"/>
          <w:kern w:val="2"/>
          <w:sz w:val="32"/>
          <w:szCs w:val="32"/>
          <w:lang w:val="en-US" w:eastAsia="zh-CN" w:bidi="zh-TW"/>
        </w:rPr>
        <w:t>2023年被征地农民保障资金预算514.025688万元，年初是按照领取待遇的被征地农民391人（下清项目）预算，由于2023年度新增征地项目以及上清项目，2023年共完成804人征地农民生活补贴和22人死亡人员丧抚费发放，其资金按照要求拨付并发放到位，在使用过程中符合资金管理办法等相关规定。</w:t>
      </w:r>
    </w:p>
    <w:p w14:paraId="51D8811F">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0AB98923">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2"/>
          <w:sz w:val="32"/>
          <w:szCs w:val="32"/>
          <w:lang w:val="zh-CN" w:eastAsia="zh-CN" w:bidi="zh-TW"/>
        </w:rPr>
      </w:pPr>
      <w:r>
        <w:rPr>
          <w:rFonts w:hint="eastAsia" w:ascii="仿宋" w:hAnsi="仿宋" w:eastAsia="仿宋" w:cs="仿宋"/>
          <w:kern w:val="2"/>
          <w:sz w:val="32"/>
          <w:szCs w:val="32"/>
          <w:lang w:val="en-US" w:eastAsia="zh-CN" w:bidi="zh-TW"/>
        </w:rPr>
        <w:t>被征地农民保障资金（生活补贴等）</w:t>
      </w:r>
      <w:r>
        <w:rPr>
          <w:rFonts w:hint="eastAsia" w:ascii="仿宋" w:hAnsi="仿宋" w:eastAsia="仿宋" w:cs="仿宋"/>
          <w:kern w:val="2"/>
          <w:sz w:val="32"/>
          <w:szCs w:val="32"/>
          <w:lang w:val="zh-CN" w:eastAsia="zh-CN" w:bidi="zh-TW"/>
        </w:rPr>
        <w:t>项目，</w:t>
      </w:r>
      <w:r>
        <w:rPr>
          <w:rFonts w:hint="eastAsia" w:ascii="仿宋" w:hAnsi="仿宋" w:eastAsia="仿宋" w:cs="仿宋"/>
          <w:kern w:val="2"/>
          <w:sz w:val="32"/>
          <w:szCs w:val="32"/>
          <w:lang w:val="en-US" w:eastAsia="zh-CN" w:bidi="zh-TW"/>
        </w:rPr>
        <w:t>执行被征地农民保障资金的</w:t>
      </w:r>
      <w:r>
        <w:rPr>
          <w:rFonts w:hint="eastAsia" w:ascii="仿宋" w:hAnsi="仿宋" w:eastAsia="仿宋" w:cs="仿宋"/>
          <w:kern w:val="2"/>
          <w:sz w:val="32"/>
          <w:szCs w:val="32"/>
          <w:lang w:val="zh-CN" w:eastAsia="zh-CN" w:bidi="zh-TW"/>
        </w:rPr>
        <w:t>财务管理制度，由财政资环股监管，单位</w:t>
      </w:r>
      <w:r>
        <w:rPr>
          <w:rFonts w:hint="eastAsia" w:ascii="仿宋" w:hAnsi="仿宋" w:eastAsia="仿宋" w:cs="仿宋"/>
          <w:kern w:val="2"/>
          <w:sz w:val="32"/>
          <w:szCs w:val="32"/>
          <w:lang w:val="en-US" w:eastAsia="zh-CN" w:bidi="zh-TW"/>
        </w:rPr>
        <w:t>设置了基金管理股，</w:t>
      </w:r>
      <w:r>
        <w:rPr>
          <w:rFonts w:hint="eastAsia" w:ascii="仿宋" w:hAnsi="仿宋" w:eastAsia="仿宋" w:cs="仿宋"/>
          <w:kern w:val="2"/>
          <w:sz w:val="32"/>
          <w:szCs w:val="32"/>
          <w:lang w:val="zh-CN" w:eastAsia="zh-CN" w:bidi="zh-TW"/>
        </w:rPr>
        <w:t>严格执行财务管理制度，财务处理及时、会计核算规范。</w:t>
      </w:r>
    </w:p>
    <w:p w14:paraId="60781660">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项目组织实施情况。</w:t>
      </w:r>
    </w:p>
    <w:p w14:paraId="28CEA037">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default" w:ascii="楷体_GB2312" w:hAnsi="宋体" w:eastAsia="楷体_GB2312"/>
          <w:b/>
          <w:sz w:val="32"/>
          <w:szCs w:val="32"/>
          <w:lang w:val="en-US" w:eastAsia="zh-CN"/>
        </w:rPr>
      </w:pPr>
      <w:r>
        <w:rPr>
          <w:rFonts w:hint="eastAsia" w:ascii="楷体_GB2312" w:hAnsi="宋体" w:eastAsia="楷体_GB2312"/>
          <w:b/>
          <w:sz w:val="32"/>
          <w:szCs w:val="32"/>
          <w:lang w:val="en-US" w:eastAsia="zh-CN"/>
        </w:rPr>
        <w:t xml:space="preserve"> </w:t>
      </w:r>
      <w:r>
        <w:rPr>
          <w:rFonts w:hint="eastAsia" w:ascii="仿宋" w:hAnsi="仿宋" w:eastAsia="仿宋" w:cs="仿宋"/>
          <w:kern w:val="2"/>
          <w:sz w:val="32"/>
          <w:szCs w:val="32"/>
          <w:lang w:val="en-US" w:eastAsia="zh-CN" w:bidi="zh-TW"/>
        </w:rPr>
        <w:t xml:space="preserve">   该项目由大竹县城乡居民社会养老保险局组织实施，被征地农民保障资金（生活补贴等）514.025688万元，2023年12月底，资金全部到位，完成率100%。</w:t>
      </w:r>
    </w:p>
    <w:p w14:paraId="7D6C738F">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sz w:val="32"/>
          <w:szCs w:val="32"/>
          <w:lang w:val="zh-CN"/>
        </w:rPr>
      </w:pPr>
      <w:bookmarkStart w:id="118" w:name="_Toc19457"/>
      <w:r>
        <w:rPr>
          <w:rFonts w:hint="eastAsia" w:ascii="黑体" w:hAnsi="宋体" w:eastAsia="黑体"/>
          <w:sz w:val="32"/>
          <w:szCs w:val="32"/>
        </w:rPr>
        <w:t>三、项目绩效情况</w:t>
      </w:r>
      <w:bookmarkEnd w:id="118"/>
      <w:r>
        <w:rPr>
          <w:rFonts w:hint="eastAsia" w:ascii="仿宋_GB2312" w:hAnsi="宋体"/>
          <w:sz w:val="32"/>
          <w:szCs w:val="32"/>
          <w:lang w:val="zh-CN"/>
        </w:rPr>
        <w:tab/>
      </w:r>
    </w:p>
    <w:p w14:paraId="2942600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7D5EE9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kern w:val="2"/>
          <w:sz w:val="32"/>
          <w:szCs w:val="32"/>
          <w:lang w:val="zh-CN" w:eastAsia="zh-CN" w:bidi="zh-TW"/>
        </w:rPr>
      </w:pPr>
      <w:r>
        <w:rPr>
          <w:rFonts w:hint="eastAsia" w:ascii="仿宋" w:hAnsi="仿宋" w:eastAsia="仿宋" w:cs="仿宋"/>
          <w:kern w:val="2"/>
          <w:sz w:val="32"/>
          <w:szCs w:val="32"/>
          <w:lang w:val="en-US" w:eastAsia="zh-CN" w:bidi="zh-TW"/>
        </w:rPr>
        <w:t>2023年我县被征地农民保障资金预算514.025688万元，年初是按照领取待遇的被征地农民391人（下清项目）预算，由于2023年度新增征地项目以及上清项目，2023年共完成804人征地农民生活补贴和22人死亡人员丧抚费发放，按时按质按量地完成了被征地农民生活补贴和丧抚费的足额发放。</w:t>
      </w:r>
    </w:p>
    <w:p w14:paraId="6A612E9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sz w:val="32"/>
          <w:szCs w:val="32"/>
          <w:lang w:val="zh-CN"/>
        </w:rPr>
      </w:pPr>
      <w:r>
        <w:rPr>
          <w:rFonts w:hint="eastAsia" w:ascii="楷体_GB2312" w:hAnsi="宋体" w:eastAsia="楷体_GB2312"/>
          <w:b/>
          <w:sz w:val="32"/>
          <w:szCs w:val="32"/>
          <w:lang w:val="zh-CN"/>
        </w:rPr>
        <w:t>（二）项目效益情况。</w:t>
      </w:r>
    </w:p>
    <w:p w14:paraId="56D83B91">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2"/>
          <w:sz w:val="32"/>
          <w:szCs w:val="32"/>
          <w:lang w:val="en-US" w:eastAsia="zh-CN" w:bidi="zh-TW"/>
        </w:rPr>
      </w:pPr>
      <w:r>
        <w:rPr>
          <w:rFonts w:hint="eastAsia" w:ascii="仿宋" w:hAnsi="仿宋" w:eastAsia="仿宋" w:cs="仿宋"/>
          <w:kern w:val="2"/>
          <w:sz w:val="32"/>
          <w:szCs w:val="32"/>
          <w:lang w:val="en-US" w:eastAsia="zh-CN" w:bidi="zh-TW"/>
        </w:rPr>
        <w:t>经济效益：增加了我县被征地农民收入514.025688万元；</w:t>
      </w:r>
    </w:p>
    <w:p w14:paraId="24FFE5AF">
      <w:pPr>
        <w:pStyle w:val="34"/>
        <w:numPr>
          <w:ilvl w:val="0"/>
          <w:numId w:val="0"/>
        </w:numPr>
        <w:spacing w:line="578" w:lineRule="atLeast"/>
        <w:rPr>
          <w:rFonts w:hint="default" w:ascii="仿宋" w:hAnsi="仿宋" w:eastAsia="仿宋" w:cs="仿宋"/>
          <w:kern w:val="2"/>
          <w:sz w:val="32"/>
          <w:szCs w:val="32"/>
          <w:lang w:val="en-US" w:eastAsia="zh-CN" w:bidi="zh-TW"/>
        </w:rPr>
      </w:pPr>
      <w:r>
        <w:rPr>
          <w:rFonts w:hint="eastAsia" w:ascii="仿宋" w:hAnsi="仿宋" w:eastAsia="仿宋" w:cs="仿宋"/>
          <w:kern w:val="2"/>
          <w:sz w:val="32"/>
          <w:szCs w:val="32"/>
          <w:lang w:val="en-US" w:eastAsia="zh-CN" w:bidi="zh-TW"/>
        </w:rPr>
        <w:t>解决了全县804人被征地农民失地后社会保障的问题，解决了老来的后顾之忧，提升了人民群众的满意度和幸福指数，全面保障了22人死亡人员的丧葬抚恤补助，给死亡家庭带来安慰，人民群众感受到时时有关怀，处处有关爱。</w:t>
      </w:r>
    </w:p>
    <w:p w14:paraId="456B4DA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黑体" w:hAnsi="宋体" w:eastAsia="黑体"/>
          <w:sz w:val="32"/>
          <w:szCs w:val="32"/>
        </w:rPr>
      </w:pPr>
      <w:bookmarkStart w:id="119" w:name="_Toc15008"/>
      <w:r>
        <w:rPr>
          <w:rFonts w:hint="eastAsia" w:ascii="黑体" w:hAnsi="宋体" w:eastAsia="黑体"/>
          <w:sz w:val="32"/>
          <w:szCs w:val="32"/>
        </w:rPr>
        <w:t>四、问题及建议</w:t>
      </w:r>
      <w:bookmarkEnd w:id="119"/>
    </w:p>
    <w:p w14:paraId="4C473C8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0EF02A5D">
      <w:pPr>
        <w:keepNext w:val="0"/>
        <w:keepLines w:val="0"/>
        <w:pageBreakBefore w:val="0"/>
        <w:kinsoku/>
        <w:wordWrap/>
        <w:overflowPunct/>
        <w:topLinePunct w:val="0"/>
        <w:autoSpaceDE/>
        <w:autoSpaceDN/>
        <w:bidi w:val="0"/>
        <w:adjustRightInd w:val="0"/>
        <w:snapToGrid w:val="0"/>
        <w:spacing w:line="600" w:lineRule="exact"/>
        <w:ind w:firstLine="1680" w:firstLineChars="525"/>
        <w:textAlignment w:val="auto"/>
        <w:rPr>
          <w:rFonts w:hint="eastAsia" w:ascii="楷体_GB2312" w:hAnsi="宋体" w:eastAsia="楷体_GB2312"/>
          <w:b/>
          <w:sz w:val="32"/>
          <w:szCs w:val="32"/>
          <w:lang w:val="en-US" w:eastAsia="zh-CN"/>
        </w:rPr>
      </w:pPr>
      <w:r>
        <w:rPr>
          <w:rFonts w:hint="eastAsia" w:ascii="仿宋" w:hAnsi="仿宋" w:eastAsia="仿宋" w:cs="仿宋"/>
          <w:kern w:val="2"/>
          <w:sz w:val="32"/>
          <w:szCs w:val="32"/>
          <w:lang w:val="en-US" w:eastAsia="zh-CN" w:bidi="zh-TW"/>
        </w:rPr>
        <w:t>无</w:t>
      </w:r>
    </w:p>
    <w:p w14:paraId="37C306C5">
      <w:pPr>
        <w:keepNext w:val="0"/>
        <w:keepLines w:val="0"/>
        <w:pageBreakBefore w:val="0"/>
        <w:numPr>
          <w:ilvl w:val="0"/>
          <w:numId w:val="6"/>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63D665FD">
      <w:pPr>
        <w:rPr>
          <w:rFonts w:hint="eastAsia" w:ascii="仿宋" w:hAnsi="仿宋" w:eastAsia="仿宋" w:cs="仿宋"/>
          <w:kern w:val="2"/>
          <w:sz w:val="32"/>
          <w:szCs w:val="32"/>
          <w:lang w:val="en-US" w:eastAsia="zh-CN" w:bidi="zh-TW"/>
        </w:rPr>
      </w:pPr>
      <w:r>
        <w:rPr>
          <w:rFonts w:hint="eastAsia" w:ascii="楷体_GB2312" w:hAnsi="宋体" w:eastAsia="楷体_GB2312"/>
          <w:b/>
          <w:sz w:val="32"/>
          <w:szCs w:val="32"/>
          <w:lang w:val="en-US" w:eastAsia="zh-CN"/>
        </w:rPr>
        <w:t xml:space="preserve">          </w:t>
      </w:r>
      <w:r>
        <w:rPr>
          <w:rFonts w:hint="eastAsia" w:ascii="仿宋" w:hAnsi="仿宋" w:eastAsia="仿宋" w:cs="仿宋"/>
          <w:kern w:val="2"/>
          <w:sz w:val="32"/>
          <w:szCs w:val="32"/>
          <w:lang w:val="en-US" w:eastAsia="zh-CN" w:bidi="zh-TW"/>
        </w:rPr>
        <w:t>无</w:t>
      </w:r>
    </w:p>
    <w:p w14:paraId="38516DD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en-US" w:eastAsia="zh-CN"/>
        </w:rPr>
      </w:pPr>
    </w:p>
    <w:p w14:paraId="5B7F01F3">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kern w:val="2"/>
          <w:sz w:val="32"/>
          <w:szCs w:val="32"/>
          <w:lang w:val="en-US" w:eastAsia="zh-CN" w:bidi="zh-TW"/>
        </w:rPr>
      </w:pPr>
      <w:r>
        <w:rPr>
          <w:rFonts w:hint="eastAsia" w:ascii="仿宋" w:hAnsi="仿宋" w:eastAsia="仿宋" w:cs="仿宋"/>
          <w:kern w:val="2"/>
          <w:sz w:val="32"/>
          <w:szCs w:val="32"/>
          <w:lang w:val="en-US" w:eastAsia="zh-CN" w:bidi="zh-TW"/>
        </w:rPr>
        <w:t>大竹县城乡居民社会养老保险局</w:t>
      </w:r>
    </w:p>
    <w:p w14:paraId="37659427">
      <w:pPr>
        <w:keepNext w:val="0"/>
        <w:keepLines w:val="0"/>
        <w:pageBreakBefore w:val="0"/>
        <w:numPr>
          <w:ilvl w:val="0"/>
          <w:numId w:val="0"/>
        </w:numPr>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kern w:val="2"/>
          <w:sz w:val="32"/>
          <w:szCs w:val="32"/>
          <w:lang w:val="en-US" w:eastAsia="zh-CN" w:bidi="zh-TW"/>
        </w:rPr>
      </w:pPr>
      <w:r>
        <w:rPr>
          <w:rFonts w:hint="eastAsia" w:ascii="仿宋" w:hAnsi="仿宋" w:eastAsia="仿宋" w:cs="仿宋"/>
          <w:kern w:val="2"/>
          <w:sz w:val="32"/>
          <w:szCs w:val="32"/>
          <w:lang w:val="en-US" w:eastAsia="zh-CN" w:bidi="zh-TW"/>
        </w:rPr>
        <w:t xml:space="preserve">2024年3月27日   </w:t>
      </w:r>
    </w:p>
    <w:p w14:paraId="7E3ACB0A">
      <w:r>
        <w:br w:type="page"/>
      </w:r>
    </w:p>
    <w:p w14:paraId="442EDB4E">
      <w:pPr>
        <w:pStyle w:val="6"/>
        <w:spacing w:before="93"/>
      </w:pPr>
      <w:r>
        <w:drawing>
          <wp:inline distT="0" distB="0" distL="114300" distR="114300">
            <wp:extent cx="5488305" cy="5386070"/>
            <wp:effectExtent l="0" t="0" r="17145" b="508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6"/>
                    <a:stretch>
                      <a:fillRect/>
                    </a:stretch>
                  </pic:blipFill>
                  <pic:spPr>
                    <a:xfrm>
                      <a:off x="0" y="0"/>
                      <a:ext cx="5488305" cy="5386070"/>
                    </a:xfrm>
                    <a:prstGeom prst="rect">
                      <a:avLst/>
                    </a:prstGeom>
                    <a:noFill/>
                    <a:ln>
                      <a:noFill/>
                    </a:ln>
                  </pic:spPr>
                </pic:pic>
              </a:graphicData>
            </a:graphic>
          </wp:inline>
        </w:drawing>
      </w:r>
    </w:p>
    <w:p w14:paraId="07BF8CC9">
      <w:r>
        <w:br w:type="page"/>
      </w:r>
    </w:p>
    <w:p w14:paraId="639D86CB">
      <w:pPr>
        <w:pStyle w:val="6"/>
        <w:spacing w:before="93"/>
      </w:pPr>
    </w:p>
    <w:p w14:paraId="3EB3C661">
      <w:pPr>
        <w:spacing w:line="600" w:lineRule="exact"/>
        <w:jc w:val="center"/>
        <w:outlineLvl w:val="0"/>
        <w:rPr>
          <w:rFonts w:ascii="仿宋" w:hAnsi="仿宋" w:eastAsia="仿宋"/>
        </w:rPr>
      </w:pPr>
      <w:bookmarkStart w:id="120" w:name="_Toc28974"/>
      <w:bookmarkStart w:id="121" w:name="_Toc1375"/>
      <w:r>
        <w:rPr>
          <w:rFonts w:hint="eastAsia" w:ascii="黑体" w:hAnsi="黑体" w:eastAsia="黑体"/>
          <w:sz w:val="44"/>
          <w:szCs w:val="44"/>
        </w:rPr>
        <w:t>第</w:t>
      </w:r>
      <w:r>
        <w:rPr>
          <w:rStyle w:val="28"/>
          <w:rFonts w:hint="eastAsia" w:ascii="黑体" w:hAnsi="黑体" w:eastAsia="黑体"/>
          <w:b w:val="0"/>
        </w:rPr>
        <w:t>五部分 附表</w:t>
      </w:r>
      <w:bookmarkEnd w:id="105"/>
      <w:bookmarkEnd w:id="110"/>
      <w:bookmarkEnd w:id="120"/>
      <w:bookmarkEnd w:id="121"/>
      <w:bookmarkStart w:id="122" w:name="_Toc15396619"/>
    </w:p>
    <w:p w14:paraId="6C11DB6B">
      <w:pPr>
        <w:pStyle w:val="3"/>
        <w:rPr>
          <w:rFonts w:ascii="仿宋" w:hAnsi="仿宋" w:eastAsia="仿宋"/>
        </w:rPr>
      </w:pPr>
      <w:bookmarkStart w:id="123" w:name="_Toc16952"/>
      <w:bookmarkStart w:id="124" w:name="_Toc30901"/>
      <w:r>
        <w:rPr>
          <w:rFonts w:hint="eastAsia" w:ascii="仿宋" w:hAnsi="仿宋" w:eastAsia="仿宋"/>
          <w:b w:val="0"/>
        </w:rPr>
        <w:t>一、收</w:t>
      </w:r>
      <w:r>
        <w:rPr>
          <w:rStyle w:val="29"/>
          <w:rFonts w:hint="eastAsia" w:ascii="仿宋" w:hAnsi="仿宋" w:eastAsia="仿宋"/>
          <w:b w:val="0"/>
          <w:bCs w:val="0"/>
        </w:rPr>
        <w:t>入支出决算总表</w:t>
      </w:r>
      <w:bookmarkEnd w:id="122"/>
      <w:bookmarkEnd w:id="123"/>
      <w:bookmarkEnd w:id="124"/>
    </w:p>
    <w:p w14:paraId="7C920D13">
      <w:pPr>
        <w:pStyle w:val="3"/>
        <w:rPr>
          <w:rFonts w:ascii="仿宋" w:hAnsi="仿宋" w:eastAsia="仿宋"/>
        </w:rPr>
      </w:pPr>
      <w:bookmarkStart w:id="125" w:name="_Toc15396620"/>
      <w:bookmarkStart w:id="126" w:name="_Toc7189"/>
      <w:bookmarkStart w:id="127" w:name="_Toc2361"/>
      <w:r>
        <w:rPr>
          <w:rFonts w:hint="eastAsia" w:ascii="仿宋" w:hAnsi="仿宋" w:eastAsia="仿宋"/>
          <w:b w:val="0"/>
        </w:rPr>
        <w:t>二、收</w:t>
      </w:r>
      <w:r>
        <w:rPr>
          <w:rStyle w:val="29"/>
          <w:rFonts w:hint="eastAsia" w:ascii="仿宋" w:hAnsi="仿宋" w:eastAsia="仿宋"/>
          <w:b w:val="0"/>
          <w:bCs w:val="0"/>
        </w:rPr>
        <w:t>入决算表</w:t>
      </w:r>
      <w:bookmarkEnd w:id="125"/>
      <w:bookmarkEnd w:id="126"/>
      <w:bookmarkEnd w:id="127"/>
    </w:p>
    <w:p w14:paraId="7F4DB251">
      <w:pPr>
        <w:pStyle w:val="3"/>
        <w:rPr>
          <w:rFonts w:ascii="仿宋" w:hAnsi="仿宋" w:eastAsia="仿宋"/>
        </w:rPr>
      </w:pPr>
      <w:bookmarkStart w:id="128" w:name="_Toc7347"/>
      <w:bookmarkStart w:id="129" w:name="_Toc10324"/>
      <w:bookmarkStart w:id="130"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28"/>
      <w:bookmarkEnd w:id="129"/>
      <w:bookmarkEnd w:id="130"/>
    </w:p>
    <w:p w14:paraId="22A1EEF8">
      <w:pPr>
        <w:pStyle w:val="3"/>
        <w:rPr>
          <w:rFonts w:ascii="仿宋" w:hAnsi="仿宋" w:eastAsia="仿宋"/>
          <w:b w:val="0"/>
        </w:rPr>
      </w:pPr>
      <w:bookmarkStart w:id="131" w:name="_Toc29162"/>
      <w:bookmarkStart w:id="132" w:name="_Toc15396622"/>
      <w:bookmarkStart w:id="133" w:name="_Toc18240"/>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31"/>
      <w:bookmarkEnd w:id="132"/>
      <w:bookmarkEnd w:id="133"/>
    </w:p>
    <w:p w14:paraId="15628A45">
      <w:pPr>
        <w:pStyle w:val="3"/>
        <w:rPr>
          <w:rStyle w:val="29"/>
          <w:rFonts w:ascii="仿宋" w:hAnsi="仿宋" w:eastAsia="仿宋"/>
          <w:b w:val="0"/>
          <w:bCs w:val="0"/>
        </w:rPr>
      </w:pPr>
      <w:bookmarkStart w:id="134" w:name="_Toc10239"/>
      <w:bookmarkStart w:id="135" w:name="_Toc27439"/>
      <w:bookmarkStart w:id="136"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34"/>
      <w:bookmarkEnd w:id="135"/>
      <w:bookmarkEnd w:id="136"/>
      <w:bookmarkStart w:id="137" w:name="_Toc15396624"/>
    </w:p>
    <w:p w14:paraId="4DCE6901">
      <w:pPr>
        <w:pStyle w:val="3"/>
        <w:rPr>
          <w:rFonts w:ascii="仿宋" w:hAnsi="仿宋" w:eastAsia="仿宋"/>
        </w:rPr>
      </w:pPr>
      <w:bookmarkStart w:id="138" w:name="_Toc29635"/>
      <w:bookmarkStart w:id="139" w:name="_Toc23798"/>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37"/>
      <w:bookmarkEnd w:id="138"/>
      <w:bookmarkEnd w:id="139"/>
    </w:p>
    <w:p w14:paraId="2DB13A93">
      <w:pPr>
        <w:pStyle w:val="3"/>
        <w:rPr>
          <w:rFonts w:ascii="仿宋" w:hAnsi="仿宋" w:eastAsia="仿宋"/>
        </w:rPr>
      </w:pPr>
      <w:bookmarkStart w:id="140" w:name="_Toc15396625"/>
      <w:bookmarkStart w:id="141" w:name="_Toc4056"/>
      <w:bookmarkStart w:id="142" w:name="_Toc22752"/>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40"/>
      <w:bookmarkEnd w:id="141"/>
      <w:bookmarkEnd w:id="142"/>
    </w:p>
    <w:p w14:paraId="19B198DA">
      <w:pPr>
        <w:pStyle w:val="3"/>
        <w:rPr>
          <w:rFonts w:ascii="仿宋" w:hAnsi="仿宋" w:eastAsia="仿宋"/>
        </w:rPr>
      </w:pPr>
      <w:bookmarkStart w:id="143" w:name="_Toc22777"/>
      <w:bookmarkStart w:id="144" w:name="_Toc15396626"/>
      <w:bookmarkStart w:id="145" w:name="_Toc15298"/>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43"/>
      <w:bookmarkEnd w:id="144"/>
      <w:bookmarkEnd w:id="145"/>
    </w:p>
    <w:p w14:paraId="0B1FC5BC">
      <w:pPr>
        <w:pStyle w:val="3"/>
        <w:rPr>
          <w:rFonts w:ascii="仿宋" w:hAnsi="仿宋" w:eastAsia="仿宋"/>
        </w:rPr>
      </w:pPr>
      <w:bookmarkStart w:id="146" w:name="_Toc15396627"/>
      <w:bookmarkStart w:id="147" w:name="_Toc4806"/>
      <w:bookmarkStart w:id="148" w:name="_Toc28749"/>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46"/>
      <w:bookmarkEnd w:id="147"/>
      <w:bookmarkEnd w:id="148"/>
    </w:p>
    <w:p w14:paraId="4067CA79">
      <w:pPr>
        <w:pStyle w:val="3"/>
        <w:rPr>
          <w:rFonts w:ascii="仿宋" w:hAnsi="仿宋" w:eastAsia="仿宋"/>
        </w:rPr>
      </w:pPr>
      <w:bookmarkStart w:id="149" w:name="_Toc15396628"/>
      <w:bookmarkStart w:id="150" w:name="_Toc17445"/>
      <w:bookmarkStart w:id="151" w:name="_Toc12713"/>
      <w:r>
        <w:rPr>
          <w:rStyle w:val="29"/>
          <w:rFonts w:hint="eastAsia" w:ascii="仿宋" w:hAnsi="仿宋" w:eastAsia="仿宋"/>
          <w:b w:val="0"/>
          <w:bCs w:val="0"/>
        </w:rPr>
        <w:t>十、</w:t>
      </w:r>
      <w:bookmarkEnd w:id="149"/>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50"/>
      <w:bookmarkEnd w:id="151"/>
    </w:p>
    <w:p w14:paraId="2F7C4AF3">
      <w:pPr>
        <w:pStyle w:val="3"/>
        <w:rPr>
          <w:rFonts w:ascii="仿宋" w:hAnsi="仿宋" w:eastAsia="仿宋"/>
        </w:rPr>
      </w:pPr>
      <w:bookmarkStart w:id="152" w:name="_Toc15396629"/>
      <w:bookmarkStart w:id="153" w:name="_Toc11519"/>
      <w:bookmarkStart w:id="154" w:name="_Toc30905"/>
      <w:r>
        <w:rPr>
          <w:rStyle w:val="29"/>
          <w:rFonts w:hint="eastAsia" w:ascii="仿宋" w:hAnsi="仿宋" w:eastAsia="仿宋"/>
          <w:b w:val="0"/>
          <w:bCs w:val="0"/>
        </w:rPr>
        <w:t>十一、</w:t>
      </w:r>
      <w:bookmarkEnd w:id="152"/>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53"/>
      <w:bookmarkEnd w:id="154"/>
    </w:p>
    <w:p w14:paraId="60232CF1">
      <w:pPr>
        <w:pStyle w:val="3"/>
        <w:rPr>
          <w:rFonts w:ascii="仿宋" w:hAnsi="仿宋" w:eastAsia="仿宋"/>
        </w:rPr>
      </w:pPr>
      <w:bookmarkStart w:id="155" w:name="_Toc15396630"/>
      <w:bookmarkStart w:id="156" w:name="_Toc32024"/>
      <w:bookmarkStart w:id="157" w:name="_Toc15465"/>
      <w:r>
        <w:rPr>
          <w:rStyle w:val="29"/>
          <w:rFonts w:hint="eastAsia" w:ascii="仿宋" w:hAnsi="仿宋" w:eastAsia="仿宋"/>
          <w:b w:val="0"/>
          <w:bCs w:val="0"/>
        </w:rPr>
        <w:t>十二、</w:t>
      </w:r>
      <w:bookmarkEnd w:id="155"/>
      <w:r>
        <w:rPr>
          <w:rStyle w:val="29"/>
          <w:rFonts w:hint="eastAsia" w:ascii="仿宋" w:hAnsi="仿宋" w:eastAsia="仿宋"/>
          <w:b w:val="0"/>
          <w:bCs w:val="0"/>
        </w:rPr>
        <w:t>国有资本经营预算财政拨款支出决算表</w:t>
      </w:r>
      <w:bookmarkEnd w:id="156"/>
      <w:bookmarkEnd w:id="157"/>
    </w:p>
    <w:p w14:paraId="556F1779">
      <w:pPr>
        <w:pStyle w:val="3"/>
        <w:rPr>
          <w:rFonts w:eastAsia="仿宋"/>
        </w:rPr>
      </w:pPr>
      <w:bookmarkStart w:id="158" w:name="_Toc15396631"/>
      <w:bookmarkStart w:id="159" w:name="_Toc2778"/>
      <w:bookmarkStart w:id="160" w:name="_Toc21782"/>
      <w:r>
        <w:rPr>
          <w:rStyle w:val="29"/>
          <w:rFonts w:hint="eastAsia" w:ascii="仿宋" w:hAnsi="仿宋" w:eastAsia="仿宋"/>
          <w:b w:val="0"/>
          <w:bCs w:val="0"/>
        </w:rPr>
        <w:t>十三、</w:t>
      </w:r>
      <w:bookmarkEnd w:id="158"/>
      <w:r>
        <w:rPr>
          <w:rStyle w:val="29"/>
          <w:rFonts w:hint="eastAsia" w:ascii="仿宋" w:hAnsi="仿宋" w:eastAsia="仿宋"/>
          <w:b w:val="0"/>
          <w:bCs w:val="0"/>
        </w:rPr>
        <w:t>财政拨款“三公”经费支出决算表</w:t>
      </w:r>
      <w:bookmarkEnd w:id="159"/>
      <w:bookmarkEnd w:id="16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571BE39">
        <w:pPr>
          <w:pStyle w:val="10"/>
          <w:jc w:val="center"/>
        </w:pPr>
        <w:r>
          <w:fldChar w:fldCharType="begin"/>
        </w:r>
        <w:r>
          <w:instrText xml:space="preserve">PAGE   \* MERGEFORMAT</w:instrText>
        </w:r>
        <w:r>
          <w:fldChar w:fldCharType="separate"/>
        </w:r>
        <w:r>
          <w:rPr>
            <w:lang w:val="zh-CN"/>
          </w:rPr>
          <w:t>15</w:t>
        </w:r>
        <w:r>
          <w:fldChar w:fldCharType="end"/>
        </w:r>
      </w:p>
    </w:sdtContent>
  </w:sdt>
  <w:p w14:paraId="01CF04A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9AF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8C3EE10"/>
    <w:multiLevelType w:val="singleLevel"/>
    <w:tmpl w:val="F8C3EE10"/>
    <w:lvl w:ilvl="0" w:tentative="0">
      <w:start w:val="3"/>
      <w:numFmt w:val="chineseCounting"/>
      <w:suff w:val="nothing"/>
      <w:lvlText w:val="（%1）"/>
      <w:lvlJc w:val="left"/>
      <w:rPr>
        <w:rFonts w:hint="eastAsia"/>
      </w:rPr>
    </w:lvl>
  </w:abstractNum>
  <w:abstractNum w:abstractNumId="3">
    <w:nsid w:val="0B0DBC5D"/>
    <w:multiLevelType w:val="singleLevel"/>
    <w:tmpl w:val="0B0DBC5D"/>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mViMTBlOGI4NzVkZDQwNGQ4OTk3NDc1YTE4ZT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0812F8"/>
    <w:rsid w:val="081B5E94"/>
    <w:rsid w:val="0A2032A3"/>
    <w:rsid w:val="0B674587"/>
    <w:rsid w:val="0B8A37D8"/>
    <w:rsid w:val="0BD7795F"/>
    <w:rsid w:val="0C2661F0"/>
    <w:rsid w:val="0F5FFB2F"/>
    <w:rsid w:val="0F615EBD"/>
    <w:rsid w:val="0FFFCF60"/>
    <w:rsid w:val="10C055FF"/>
    <w:rsid w:val="118107EC"/>
    <w:rsid w:val="11B83D8F"/>
    <w:rsid w:val="11DD6519"/>
    <w:rsid w:val="16BB723D"/>
    <w:rsid w:val="18015F3F"/>
    <w:rsid w:val="1AA52860"/>
    <w:rsid w:val="1BBB0703"/>
    <w:rsid w:val="1BE8440E"/>
    <w:rsid w:val="1D155CEE"/>
    <w:rsid w:val="1DE90B76"/>
    <w:rsid w:val="1E641526"/>
    <w:rsid w:val="1FDBBF84"/>
    <w:rsid w:val="20F57F95"/>
    <w:rsid w:val="217750CC"/>
    <w:rsid w:val="240371BF"/>
    <w:rsid w:val="25711CC6"/>
    <w:rsid w:val="25C741E6"/>
    <w:rsid w:val="2686071E"/>
    <w:rsid w:val="276F80C0"/>
    <w:rsid w:val="27842671"/>
    <w:rsid w:val="28BA7F95"/>
    <w:rsid w:val="29FD04D3"/>
    <w:rsid w:val="2ABE7A3E"/>
    <w:rsid w:val="2AFF09B6"/>
    <w:rsid w:val="2CA234A8"/>
    <w:rsid w:val="2EFA178C"/>
    <w:rsid w:val="2EFDF86C"/>
    <w:rsid w:val="2F37233F"/>
    <w:rsid w:val="2F875074"/>
    <w:rsid w:val="2F9D17E1"/>
    <w:rsid w:val="30442F65"/>
    <w:rsid w:val="30B46D73"/>
    <w:rsid w:val="30C16364"/>
    <w:rsid w:val="319F7F4E"/>
    <w:rsid w:val="322A1CE7"/>
    <w:rsid w:val="32CD52C4"/>
    <w:rsid w:val="33D9369F"/>
    <w:rsid w:val="350B5E00"/>
    <w:rsid w:val="356A28F1"/>
    <w:rsid w:val="357C035A"/>
    <w:rsid w:val="368E000D"/>
    <w:rsid w:val="383D272C"/>
    <w:rsid w:val="39AE70AB"/>
    <w:rsid w:val="3A4DCE41"/>
    <w:rsid w:val="3B992AF8"/>
    <w:rsid w:val="3BCB56FA"/>
    <w:rsid w:val="3C0C0783"/>
    <w:rsid w:val="3C8841DA"/>
    <w:rsid w:val="3D145A6E"/>
    <w:rsid w:val="3D296EC9"/>
    <w:rsid w:val="3DD1570D"/>
    <w:rsid w:val="3EE7C2F4"/>
    <w:rsid w:val="3F371B56"/>
    <w:rsid w:val="3F792ED8"/>
    <w:rsid w:val="3F9F3A96"/>
    <w:rsid w:val="3FECA4B2"/>
    <w:rsid w:val="3FF58C48"/>
    <w:rsid w:val="40E57E4D"/>
    <w:rsid w:val="41DF50DF"/>
    <w:rsid w:val="42FF6694"/>
    <w:rsid w:val="453749EF"/>
    <w:rsid w:val="46A240EA"/>
    <w:rsid w:val="48BF60AB"/>
    <w:rsid w:val="493C27E9"/>
    <w:rsid w:val="496F39ED"/>
    <w:rsid w:val="49FF41D3"/>
    <w:rsid w:val="4B296B88"/>
    <w:rsid w:val="4B386DCB"/>
    <w:rsid w:val="4BE068DB"/>
    <w:rsid w:val="4BF6002B"/>
    <w:rsid w:val="4BFFC6BE"/>
    <w:rsid w:val="4D597C13"/>
    <w:rsid w:val="4ECE2238"/>
    <w:rsid w:val="51DB4B86"/>
    <w:rsid w:val="51F64DB0"/>
    <w:rsid w:val="52285DEB"/>
    <w:rsid w:val="55333C3E"/>
    <w:rsid w:val="5B01542B"/>
    <w:rsid w:val="5C9522CF"/>
    <w:rsid w:val="5F67802D"/>
    <w:rsid w:val="5F7DC4F2"/>
    <w:rsid w:val="5FB36814"/>
    <w:rsid w:val="5FBB8E56"/>
    <w:rsid w:val="5FFB5535"/>
    <w:rsid w:val="60981396"/>
    <w:rsid w:val="63387E58"/>
    <w:rsid w:val="64CA39A1"/>
    <w:rsid w:val="676C6322"/>
    <w:rsid w:val="69630ADE"/>
    <w:rsid w:val="69BD5F13"/>
    <w:rsid w:val="69FB0B4B"/>
    <w:rsid w:val="6A470981"/>
    <w:rsid w:val="6BFFE1FB"/>
    <w:rsid w:val="6C4A05C8"/>
    <w:rsid w:val="6C921438"/>
    <w:rsid w:val="6D3671B7"/>
    <w:rsid w:val="6D3B1A89"/>
    <w:rsid w:val="6DB7D8A3"/>
    <w:rsid w:val="6E9D5013"/>
    <w:rsid w:val="6EC78701"/>
    <w:rsid w:val="6EE92007"/>
    <w:rsid w:val="6F7A5481"/>
    <w:rsid w:val="6F8B1310"/>
    <w:rsid w:val="6FFE07A9"/>
    <w:rsid w:val="71BF4EC2"/>
    <w:rsid w:val="724F0D1A"/>
    <w:rsid w:val="72734D90"/>
    <w:rsid w:val="734D525A"/>
    <w:rsid w:val="73E75B71"/>
    <w:rsid w:val="7412278C"/>
    <w:rsid w:val="75182608"/>
    <w:rsid w:val="75DDCDA9"/>
    <w:rsid w:val="75FF44B1"/>
    <w:rsid w:val="76D417EE"/>
    <w:rsid w:val="77670518"/>
    <w:rsid w:val="777FA627"/>
    <w:rsid w:val="77DB72D8"/>
    <w:rsid w:val="77DF1B5F"/>
    <w:rsid w:val="77EF2D9D"/>
    <w:rsid w:val="79E7B28D"/>
    <w:rsid w:val="7ACFF0C2"/>
    <w:rsid w:val="7AFB9108"/>
    <w:rsid w:val="7BD5340C"/>
    <w:rsid w:val="7BEC1388"/>
    <w:rsid w:val="7BFB19D2"/>
    <w:rsid w:val="7BFD1750"/>
    <w:rsid w:val="7BFDAA1B"/>
    <w:rsid w:val="7C650F60"/>
    <w:rsid w:val="7CDF9A82"/>
    <w:rsid w:val="7CFFA1BD"/>
    <w:rsid w:val="7D2E3F7A"/>
    <w:rsid w:val="7D8F021D"/>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rPr>
      <w:rFonts w:ascii="Times New Roman" w:hAnsi="Times New Roman" w:eastAsia="宋体" w:cs="Times New Roman"/>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5">
    <w:name w:val="font21"/>
    <w:basedOn w:val="16"/>
    <w:autoRedefine/>
    <w:qFormat/>
    <w:uiPriority w:val="0"/>
    <w:rPr>
      <w:rFonts w:hint="eastAsia" w:ascii="宋体" w:hAnsi="宋体" w:eastAsia="宋体" w:cs="宋体"/>
      <w:color w:val="000000"/>
      <w:sz w:val="22"/>
      <w:szCs w:val="22"/>
      <w:u w:val="none"/>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Documents\&#32463;&#36153;&#36130;&#21153;&#25253;&#34920;\2023&#20915;&#31639;\2023&#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Documents\&#32463;&#36153;&#36130;&#21153;&#25253;&#34920;\2023&#20915;&#31639;\2023&#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Documents\&#32463;&#36153;&#36130;&#21153;&#25253;&#34920;\2023&#20915;&#31639;\2023&#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Documents\&#32463;&#36153;&#36130;&#21153;&#25253;&#34920;\2023&#20915;&#31639;\2023&#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Documents\&#32463;&#36153;&#36130;&#21153;&#25253;&#34920;\2023&#20915;&#31639;\2023&#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[工作簿1]收、支决算总计变动情况图!$A$3</c:f>
              <c:strCache>
                <c:ptCount val="1"/>
                <c:pt idx="0">
                  <c:v>上年结余</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[工作簿1]收、支决算总计变动情况图!$B$3:$E$3</c:f>
              <c:numCache>
                <c:formatCode>General</c:formatCode>
                <c:ptCount val="4"/>
                <c:pt idx="1">
                  <c:v>77.03</c:v>
                </c:pt>
                <c:pt idx="2">
                  <c:v>-77.03</c:v>
                </c:pt>
                <c:pt idx="3">
                  <c:v>-1</c:v>
                </c:pt>
              </c:numCache>
            </c:numRef>
          </c:val>
        </c:ser>
        <c:ser>
          <c:idx val="1"/>
          <c:order val="1"/>
          <c:tx>
            <c:strRef>
              <c:f>[工作簿1]收、支决算总计变动情况图!$A$4</c:f>
              <c:strCache>
                <c:ptCount val="1"/>
                <c:pt idx="0">
                  <c:v>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[工作簿1]收、支决算总计变动情况图!$B$4:$E$4</c:f>
              <c:numCache>
                <c:formatCode>General</c:formatCode>
                <c:ptCount val="4"/>
                <c:pt idx="0">
                  <c:v>836.69</c:v>
                </c:pt>
                <c:pt idx="1">
                  <c:v>2419.25</c:v>
                </c:pt>
                <c:pt idx="2">
                  <c:v>-1582.56</c:v>
                </c:pt>
                <c:pt idx="3" c:formatCode="0.00_ ">
                  <c:v>-65.4153146636354</c:v>
                </c:pt>
              </c:numCache>
            </c:numRef>
          </c:val>
        </c:ser>
        <c:ser>
          <c:idx val="2"/>
          <c:order val="2"/>
          <c:tx>
            <c:strRef>
              <c:f>[工作簿1]收、支决算总计变动情况图!$A$5</c:f>
              <c:strCache>
                <c:ptCount val="1"/>
                <c:pt idx="0">
                  <c:v>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[工作簿1]收、支决算总计变动情况图!$B$5:$E$5</c:f>
              <c:numCache>
                <c:formatCode>General</c:formatCode>
                <c:ptCount val="4"/>
                <c:pt idx="0">
                  <c:v>836.69</c:v>
                </c:pt>
                <c:pt idx="1">
                  <c:v>2496.27</c:v>
                </c:pt>
                <c:pt idx="2">
                  <c:v>-1659.58</c:v>
                </c:pt>
                <c:pt idx="3" c:formatCode="0.00_ ">
                  <c:v>-66.4823917284589</c:v>
                </c:pt>
              </c:numCache>
            </c:numRef>
          </c:val>
        </c:ser>
        <c:dLbls>
          <c:showLegendKey val="0"/>
          <c:showVal val="1"/>
          <c:showCatName val="0"/>
          <c:showSerName val="0"/>
          <c:showPercent val="0"/>
          <c:showBubbleSize val="0"/>
        </c:dLbls>
        <c:gapWidth val="246"/>
        <c:overlap val="-28"/>
        <c:axId val="411021137"/>
        <c:axId val="95717842"/>
      </c:barChart>
      <c:catAx>
        <c:axId val="4110211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17842"/>
        <c:crosses val="autoZero"/>
        <c:auto val="1"/>
        <c:lblAlgn val="ctr"/>
        <c:lblOffset val="100"/>
        <c:noMultiLvlLbl val="0"/>
      </c:catAx>
      <c:valAx>
        <c:axId val="9571784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02113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[图表.xlsx]Sheet2!$B$1:$B$3</c:f>
              <c:strCache>
                <c:ptCount val="1"/>
                <c:pt idx="0">
                  <c:v>2023年收入结构图 决算数</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[图表.xlsx]Sheet2!$A$4:$A$5</c:f>
              <c:strCache>
                <c:ptCount val="2"/>
                <c:pt idx="0">
                  <c:v>一般公共预算财政拨款收入</c:v>
                </c:pt>
                <c:pt idx="1">
                  <c:v>政府性基金预算财政拨款收入</c:v>
                </c:pt>
              </c:strCache>
            </c:strRef>
          </c:cat>
          <c:val>
            <c:numRef>
              <c:f>[图表.xlsx]Sheet2!$B$4:$B$5</c:f>
              <c:numCache>
                <c:formatCode>General</c:formatCode>
                <c:ptCount val="2"/>
                <c:pt idx="0">
                  <c:v>322.67</c:v>
                </c:pt>
                <c:pt idx="1">
                  <c:v>514.03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[图表.xlsx]支出结构!$B$1:$B$3</c:f>
              <c:strCache>
                <c:ptCount val="1"/>
                <c:pt idx="0">
                  <c:v>2023年支出结构图 决算支出数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[图表.xlsx]支出结构!$A$4:$A$5</c:f>
              <c:strCache>
                <c:ptCount val="2"/>
                <c:pt idx="0" c:formatCode="#,##0.000000">
                  <c:v>基本支出</c:v>
                </c:pt>
                <c:pt idx="1" c:formatCode="#,##0.000000">
                  <c:v>项目支出</c:v>
                </c:pt>
              </c:strCache>
            </c:strRef>
          </c:cat>
          <c:val>
            <c:numRef>
              <c:f>[图表.xlsx]支出结构!$B$4:$B$5</c:f>
              <c:numCache>
                <c:formatCode>General</c:formatCode>
                <c:ptCount val="2"/>
                <c:pt idx="0">
                  <c:v>284.67</c:v>
                </c:pt>
                <c:pt idx="1">
                  <c:v>552.03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[工作簿1]收、支决算总计变动情况图!$A$3</c:f>
              <c:strCache>
                <c:ptCount val="1"/>
                <c:pt idx="0">
                  <c:v>上年结余</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[工作簿1]收、支决算总计变动情况图!$B$3:$E$3</c:f>
              <c:numCache>
                <c:formatCode>General</c:formatCode>
                <c:ptCount val="4"/>
                <c:pt idx="1">
                  <c:v>77.03</c:v>
                </c:pt>
                <c:pt idx="2">
                  <c:v>-77.03</c:v>
                </c:pt>
                <c:pt idx="3">
                  <c:v>-1</c:v>
                </c:pt>
              </c:numCache>
            </c:numRef>
          </c:val>
        </c:ser>
        <c:ser>
          <c:idx val="1"/>
          <c:order val="1"/>
          <c:tx>
            <c:strRef>
              <c:f>[工作簿1]收、支决算总计变动情况图!$A$4</c:f>
              <c:strCache>
                <c:ptCount val="1"/>
                <c:pt idx="0">
                  <c:v>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[工作簿1]收、支决算总计变动情况图!$B$4:$E$4</c:f>
              <c:numCache>
                <c:formatCode>General</c:formatCode>
                <c:ptCount val="4"/>
                <c:pt idx="0">
                  <c:v>836.69</c:v>
                </c:pt>
                <c:pt idx="1">
                  <c:v>2419.25</c:v>
                </c:pt>
                <c:pt idx="2">
                  <c:v>-1582.56</c:v>
                </c:pt>
                <c:pt idx="3" c:formatCode="0.00_ ">
                  <c:v>-65.4153146636354</c:v>
                </c:pt>
              </c:numCache>
            </c:numRef>
          </c:val>
        </c:ser>
        <c:ser>
          <c:idx val="2"/>
          <c:order val="2"/>
          <c:tx>
            <c:strRef>
              <c:f>[工作簿1]收、支决算总计变动情况图!$A$5</c:f>
              <c:strCache>
                <c:ptCount val="1"/>
                <c:pt idx="0">
                  <c:v>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multiLvlStrRef>
              <c:f>[工作簿1]收、支决算总计变动情况图!$B$1:$E$2</c:f>
              <c:multiLvlStrCache>
                <c:ptCount val="4"/>
                <c:lvl>
                  <c:pt idx="0">
                    <c:v>2023年</c:v>
                  </c:pt>
                  <c:pt idx="1">
                    <c:v>2022年</c:v>
                  </c:pt>
                  <c:pt idx="2">
                    <c:v>增长额</c:v>
                  </c:pt>
                  <c:pt idx="3">
                    <c:v>增长率(%)</c:v>
                  </c:pt>
                </c:lvl>
                <c:lvl/>
              </c:multiLvlStrCache>
            </c:multiLvlStrRef>
          </c:cat>
          <c:val>
            <c:numRef>
              <c:f>[工作簿1]收、支决算总计变动情况图!$B$5:$E$5</c:f>
              <c:numCache>
                <c:formatCode>General</c:formatCode>
                <c:ptCount val="4"/>
                <c:pt idx="0">
                  <c:v>836.69</c:v>
                </c:pt>
                <c:pt idx="1">
                  <c:v>2496.27</c:v>
                </c:pt>
                <c:pt idx="2">
                  <c:v>-1659.58</c:v>
                </c:pt>
                <c:pt idx="3" c:formatCode="0.00_ ">
                  <c:v>-66.4823917284589</c:v>
                </c:pt>
              </c:numCache>
            </c:numRef>
          </c:val>
        </c:ser>
        <c:dLbls>
          <c:showLegendKey val="0"/>
          <c:showVal val="1"/>
          <c:showCatName val="0"/>
          <c:showSerName val="0"/>
          <c:showPercent val="0"/>
          <c:showBubbleSize val="0"/>
        </c:dLbls>
        <c:gapWidth val="246"/>
        <c:overlap val="-28"/>
        <c:axId val="411021137"/>
        <c:axId val="95717842"/>
      </c:barChart>
      <c:catAx>
        <c:axId val="4110211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17842"/>
        <c:crosses val="autoZero"/>
        <c:auto val="1"/>
        <c:lblAlgn val="ctr"/>
        <c:lblOffset val="100"/>
        <c:noMultiLvlLbl val="0"/>
      </c:catAx>
      <c:valAx>
        <c:axId val="9571784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02113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[图表.xlsx]一般公共预算!$A$4</c:f>
              <c:strCache>
                <c:ptCount val="1"/>
                <c:pt idx="0">
                  <c:v>一般公共预算财政拨款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[图表.xlsx]一般公共预算!$B$1:$E$3</c:f>
              <c:multiLvlStrCache>
                <c:ptCount val="4"/>
                <c:lvl>
                  <c:pt idx="0">
                    <c:v>2023年</c:v>
                  </c:pt>
                  <c:pt idx="1">
                    <c:v>2022年</c:v>
                  </c:pt>
                  <c:pt idx="2">
                    <c:v>增长额</c:v>
                  </c:pt>
                  <c:pt idx="3">
                    <c:v>增长率(%)</c:v>
                  </c:pt>
                </c:lvl>
                <c:lvl/>
                <c:lvl/>
              </c:multiLvlStrCache>
            </c:multiLvlStrRef>
          </c:cat>
          <c:val>
            <c:numRef>
              <c:f>[图表.xlsx]一般公共预算!$B$4:$E$4</c:f>
              <c:numCache>
                <c:formatCode>General</c:formatCode>
                <c:ptCount val="4"/>
                <c:pt idx="0">
                  <c:v>322.67</c:v>
                </c:pt>
                <c:pt idx="1">
                  <c:v>2496.27</c:v>
                </c:pt>
                <c:pt idx="2">
                  <c:v>-2173.6</c:v>
                </c:pt>
                <c:pt idx="3" c:formatCode="0.00_ ">
                  <c:v>-87.0739142801059</c:v>
                </c:pt>
              </c:numCache>
            </c:numRef>
          </c:val>
        </c:ser>
        <c:dLbls>
          <c:showLegendKey val="0"/>
          <c:showVal val="1"/>
          <c:showCatName val="0"/>
          <c:showSerName val="0"/>
          <c:showPercent val="0"/>
          <c:showBubbleSize val="0"/>
        </c:dLbls>
        <c:gapWidth val="246"/>
        <c:overlap val="-28"/>
        <c:axId val="239302184"/>
        <c:axId val="168682812"/>
      </c:barChart>
      <c:catAx>
        <c:axId val="239302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682812"/>
        <c:crosses val="autoZero"/>
        <c:auto val="1"/>
        <c:lblAlgn val="ctr"/>
        <c:lblOffset val="100"/>
        <c:noMultiLvlLbl val="0"/>
      </c:catAx>
      <c:valAx>
        <c:axId val="16868281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302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[图表.xlsx]Sheet5!$B$1:$B$3</c:f>
              <c:strCache>
                <c:ptCount val="1"/>
                <c:pt idx="0">
                  <c:v>一般公共预算财政拨款支出决算结构情况 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[图表.xlsx]Sheet5!$A$4:$A$7</c:f>
              <c:strCache>
                <c:ptCount val="4"/>
                <c:pt idx="0">
                  <c:v>社会保障和就业支出</c:v>
                </c:pt>
                <c:pt idx="1">
                  <c:v>卫生健康支出</c:v>
                </c:pt>
                <c:pt idx="2">
                  <c:v>城乡社区支出</c:v>
                </c:pt>
                <c:pt idx="3">
                  <c:v>住房保障支出</c:v>
                </c:pt>
              </c:strCache>
            </c:strRef>
          </c:cat>
          <c:val>
            <c:numRef>
              <c:f>[图表.xlsx]Sheet5!$B$4:$B$7</c:f>
              <c:numCache>
                <c:formatCode>General</c:formatCode>
                <c:ptCount val="4"/>
                <c:pt idx="0">
                  <c:v>290.2</c:v>
                </c:pt>
                <c:pt idx="1">
                  <c:v>9.87</c:v>
                </c:pt>
                <c:pt idx="2">
                  <c:v>514.03</c:v>
                </c:pt>
                <c:pt idx="3">
                  <c:v>22.59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[图表.xlsx]Sheet2!$B$1:$B$3</c:f>
              <c:strCache>
                <c:ptCount val="1"/>
                <c:pt idx="0">
                  <c:v>“三公”经费财政拨款支出结构 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[图表.xlsx]Sheet2!$A$4:$A$6</c:f>
              <c:strCache>
                <c:ptCount val="3"/>
                <c:pt idx="0">
                  <c:v>公务接待费</c:v>
                </c:pt>
                <c:pt idx="1">
                  <c:v>因公出国（境）费</c:v>
                </c:pt>
                <c:pt idx="2">
                  <c:v>因公出国（境）费</c:v>
                </c:pt>
              </c:strCache>
            </c:strRef>
          </c:cat>
          <c:val>
            <c:numRef>
              <c:f>[图表.xlsx]Sheet2!$B$4:$B$6</c:f>
              <c:numCache>
                <c:formatCode>General</c:formatCode>
                <c:ptCount val="3"/>
                <c:pt idx="0">
                  <c:v>0.5</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7896</Words>
  <Characters>8687</Characters>
  <Lines>54</Lines>
  <Paragraphs>15</Paragraphs>
  <TotalTime>2</TotalTime>
  <ScaleCrop>false</ScaleCrop>
  <LinksUpToDate>false</LinksUpToDate>
  <CharactersWithSpaces>8825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默秋</cp:lastModifiedBy>
  <cp:lastPrinted>2023-08-03T02:35:00Z</cp:lastPrinted>
  <dcterms:modified xsi:type="dcterms:W3CDTF">2024-10-25T10:18:51Z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D7E0EFB450CF4B79A19AF36CFD693F3E_12</vt:lpwstr>
  </property>
</Properties>
</file>