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96475"/>
      <w:bookmarkStart w:id="3" w:name="_Toc15378441"/>
      <w:bookmarkStart w:id="4" w:name="_Toc15377193"/>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06268"/>
      <w:bookmarkStart w:id="7" w:name="_Toc15396598"/>
      <w:bookmarkStart w:id="8" w:name="_Toc15377194"/>
      <w:bookmarkStart w:id="9" w:name="_Toc15396476"/>
      <w:bookmarkStart w:id="10" w:name="_Toc15378442"/>
      <w:bookmarkStart w:id="11" w:name="_Toc15377426"/>
      <w:r>
        <w:rPr>
          <w:rFonts w:hint="eastAsia" w:ascii="方正小标宋简体" w:hAnsi="方正小标宋简体" w:eastAsia="方正小标宋简体" w:cs="方正小标宋简体"/>
          <w:sz w:val="72"/>
          <w:szCs w:val="72"/>
          <w:lang w:eastAsia="zh-CN"/>
        </w:rPr>
        <w:t>大竹县房地产管理局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sdt>
      <w:sdtPr>
        <w:rPr>
          <w:rFonts w:ascii="宋体" w:hAnsi="宋体" w:eastAsia="宋体" w:cs="Times New Roman"/>
          <w:kern w:val="2"/>
          <w:sz w:val="21"/>
          <w:szCs w:val="24"/>
          <w:lang w:val="en-US" w:eastAsia="zh-CN" w:bidi="ar-SA"/>
        </w:rPr>
        <w:id w:val="147478002"/>
        <w15:color w:val="DBDBDB"/>
        <w:docPartObj>
          <w:docPartGallery w:val="Table of Contents"/>
          <w:docPartUnique/>
        </w:docPartObj>
      </w:sdtPr>
      <w:sdtEndPr>
        <w:rPr>
          <w:rFonts w:hint="eastAsia" w:ascii="仿宋_GB2312" w:hAnsi="仿宋_GB2312" w:eastAsia="仿宋_GB2312" w:cs="仿宋_GB2312"/>
          <w:b w:val="0"/>
          <w:bCs w:val="0"/>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val="0"/>
              <w:bCs w:val="0"/>
              <w:sz w:val="32"/>
              <w:szCs w:val="32"/>
            </w:rPr>
          </w:pPr>
          <w:bookmarkStart w:id="12" w:name="_Toc17870_WPSOffice_Type2"/>
          <w:r>
            <w:rPr>
              <w:rFonts w:hint="eastAsia" w:ascii="仿宋_GB2312" w:hAnsi="仿宋_GB2312" w:eastAsia="仿宋_GB2312" w:cs="仿宋_GB2312"/>
              <w:b w:val="0"/>
              <w:bCs w:val="0"/>
              <w:sz w:val="32"/>
              <w:szCs w:val="32"/>
            </w:rPr>
            <w:t>目录</w:t>
          </w:r>
        </w:p>
        <w:p>
          <w:pPr>
            <w:pStyle w:val="34"/>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_Toc18868_WPSOffice_Level1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2828bbae-2590-4e7a-ad6a-7ad8975aed46}"/>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第一部分 单位概况</w:t>
              </w:r>
            </w:sdtContent>
          </w:sdt>
          <w:r>
            <w:rPr>
              <w:rFonts w:hint="eastAsia" w:ascii="仿宋_GB2312" w:hAnsi="仿宋_GB2312" w:eastAsia="仿宋_GB2312" w:cs="仿宋_GB2312"/>
              <w:b w:val="0"/>
              <w:bCs w:val="0"/>
              <w:sz w:val="32"/>
              <w:szCs w:val="32"/>
            </w:rPr>
            <w:tab/>
          </w:r>
          <w:bookmarkStart w:id="13" w:name="_Toc18868_WPSOffice_Level1Page"/>
          <w:r>
            <w:rPr>
              <w:rFonts w:hint="eastAsia" w:ascii="仿宋_GB2312" w:hAnsi="仿宋_GB2312" w:eastAsia="仿宋_GB2312" w:cs="仿宋_GB2312"/>
              <w:b w:val="0"/>
              <w:bCs w:val="0"/>
              <w:sz w:val="32"/>
              <w:szCs w:val="32"/>
            </w:rPr>
            <w:t>3</w:t>
          </w:r>
          <w:bookmarkEnd w:id="13"/>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_Toc17870_WPSOffice_Level2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d6f9c1c5-ef64-4eff-8516-5ef5a8e2681c}"/>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一、主要职责</w:t>
              </w:r>
            </w:sdtContent>
          </w:sdt>
          <w:r>
            <w:rPr>
              <w:rFonts w:hint="eastAsia" w:ascii="仿宋_GB2312" w:hAnsi="仿宋_GB2312" w:eastAsia="仿宋_GB2312" w:cs="仿宋_GB2312"/>
              <w:b w:val="0"/>
              <w:bCs w:val="0"/>
              <w:sz w:val="32"/>
              <w:szCs w:val="32"/>
            </w:rPr>
            <w:tab/>
          </w:r>
          <w:bookmarkStart w:id="14" w:name="_Toc17870_WPSOffice_Level2Page"/>
          <w:r>
            <w:rPr>
              <w:rFonts w:hint="eastAsia" w:ascii="仿宋_GB2312" w:hAnsi="仿宋_GB2312" w:eastAsia="仿宋_GB2312" w:cs="仿宋_GB2312"/>
              <w:b w:val="0"/>
              <w:bCs w:val="0"/>
              <w:sz w:val="32"/>
              <w:szCs w:val="32"/>
            </w:rPr>
            <w:t>3</w:t>
          </w:r>
          <w:bookmarkEnd w:id="14"/>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_Toc61_WPSOffice_Level2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eee6b9f1-a082-4f5c-8f6a-e57ba643f98d}"/>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二、机构设置</w:t>
              </w:r>
            </w:sdtContent>
          </w:sdt>
          <w:r>
            <w:rPr>
              <w:rFonts w:hint="eastAsia" w:ascii="仿宋_GB2312" w:hAnsi="仿宋_GB2312" w:eastAsia="仿宋_GB2312" w:cs="仿宋_GB2312"/>
              <w:b w:val="0"/>
              <w:bCs w:val="0"/>
              <w:sz w:val="32"/>
              <w:szCs w:val="32"/>
            </w:rPr>
            <w:tab/>
          </w:r>
          <w:bookmarkStart w:id="15" w:name="_Toc61_WPSOffice_Level2Page"/>
          <w:r>
            <w:rPr>
              <w:rFonts w:hint="eastAsia" w:ascii="仿宋_GB2312" w:hAnsi="仿宋_GB2312" w:eastAsia="仿宋_GB2312" w:cs="仿宋_GB2312"/>
              <w:b w:val="0"/>
              <w:bCs w:val="0"/>
              <w:sz w:val="32"/>
              <w:szCs w:val="32"/>
            </w:rPr>
            <w:t>3</w:t>
          </w:r>
          <w:bookmarkEnd w:id="15"/>
          <w:r>
            <w:rPr>
              <w:rFonts w:hint="eastAsia" w:ascii="仿宋_GB2312" w:hAnsi="仿宋_GB2312" w:eastAsia="仿宋_GB2312" w:cs="仿宋_GB2312"/>
              <w:b w:val="0"/>
              <w:bCs w:val="0"/>
              <w:sz w:val="32"/>
              <w:szCs w:val="32"/>
            </w:rPr>
            <w:fldChar w:fldCharType="end"/>
          </w:r>
        </w:p>
        <w:p>
          <w:pPr>
            <w:pStyle w:val="34"/>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_Toc17870_WPSOffice_Level1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94905778-0e7f-4cc8-ba88-46798a3a7f0f}"/>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第二部分 2023年度单位决算情况说明</w:t>
              </w:r>
            </w:sdtContent>
          </w:sdt>
          <w:r>
            <w:rPr>
              <w:rFonts w:hint="eastAsia" w:ascii="仿宋_GB2312" w:hAnsi="仿宋_GB2312" w:eastAsia="仿宋_GB2312" w:cs="仿宋_GB2312"/>
              <w:b w:val="0"/>
              <w:bCs w:val="0"/>
              <w:sz w:val="32"/>
              <w:szCs w:val="32"/>
            </w:rPr>
            <w:tab/>
          </w:r>
          <w:bookmarkStart w:id="16" w:name="_Toc17870_WPSOffice_Level1Page"/>
          <w:r>
            <w:rPr>
              <w:rFonts w:hint="eastAsia" w:ascii="仿宋_GB2312" w:hAnsi="仿宋_GB2312" w:eastAsia="仿宋_GB2312" w:cs="仿宋_GB2312"/>
              <w:b w:val="0"/>
              <w:bCs w:val="0"/>
              <w:sz w:val="32"/>
              <w:szCs w:val="32"/>
            </w:rPr>
            <w:t>4</w:t>
          </w:r>
          <w:bookmarkEnd w:id="16"/>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_Toc13323_WPSOffice_Level2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e886b9f1-8e40-4543-af15-79fc522bb26d}"/>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一、收入支出决算总体情况说明</w:t>
              </w:r>
            </w:sdtContent>
          </w:sdt>
          <w:r>
            <w:rPr>
              <w:rFonts w:hint="eastAsia" w:ascii="仿宋_GB2312" w:hAnsi="仿宋_GB2312" w:eastAsia="仿宋_GB2312" w:cs="仿宋_GB2312"/>
              <w:b w:val="0"/>
              <w:bCs w:val="0"/>
              <w:sz w:val="32"/>
              <w:szCs w:val="32"/>
            </w:rPr>
            <w:tab/>
          </w:r>
          <w:bookmarkStart w:id="17" w:name="_Toc13323_WPSOffice_Level2Page"/>
          <w:r>
            <w:rPr>
              <w:rFonts w:hint="eastAsia" w:ascii="仿宋_GB2312" w:hAnsi="仿宋_GB2312" w:eastAsia="仿宋_GB2312" w:cs="仿宋_GB2312"/>
              <w:b w:val="0"/>
              <w:bCs w:val="0"/>
              <w:sz w:val="32"/>
              <w:szCs w:val="32"/>
            </w:rPr>
            <w:t>4</w:t>
          </w:r>
          <w:bookmarkEnd w:id="17"/>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_Toc28357_WPSOffice_Level2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3a97e6a1-2cdf-4751-af33-0cd967582dbe}"/>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二、收入决算情况说明</w:t>
              </w:r>
            </w:sdtContent>
          </w:sdt>
          <w:r>
            <w:rPr>
              <w:rFonts w:hint="eastAsia" w:ascii="仿宋_GB2312" w:hAnsi="仿宋_GB2312" w:eastAsia="仿宋_GB2312" w:cs="仿宋_GB2312"/>
              <w:b w:val="0"/>
              <w:bCs w:val="0"/>
              <w:sz w:val="32"/>
              <w:szCs w:val="32"/>
            </w:rPr>
            <w:tab/>
          </w:r>
          <w:bookmarkStart w:id="18" w:name="_Toc28357_WPSOffice_Level2Page"/>
          <w:r>
            <w:rPr>
              <w:rFonts w:hint="eastAsia" w:ascii="仿宋_GB2312" w:hAnsi="仿宋_GB2312" w:eastAsia="仿宋_GB2312" w:cs="仿宋_GB2312"/>
              <w:b w:val="0"/>
              <w:bCs w:val="0"/>
              <w:sz w:val="32"/>
              <w:szCs w:val="32"/>
            </w:rPr>
            <w:t>5</w:t>
          </w:r>
          <w:bookmarkEnd w:id="18"/>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_Toc32216_WPSOffice_Level2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5dc442ab-508d-4196-9d81-c95bf1038207}"/>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三、支出决算情况说明</w:t>
              </w:r>
            </w:sdtContent>
          </w:sdt>
          <w:r>
            <w:rPr>
              <w:rFonts w:hint="eastAsia" w:ascii="仿宋_GB2312" w:hAnsi="仿宋_GB2312" w:eastAsia="仿宋_GB2312" w:cs="仿宋_GB2312"/>
              <w:b w:val="0"/>
              <w:bCs w:val="0"/>
              <w:sz w:val="32"/>
              <w:szCs w:val="32"/>
            </w:rPr>
            <w:tab/>
          </w:r>
          <w:bookmarkStart w:id="19" w:name="_Toc32216_WPSOffice_Level2Page"/>
          <w:r>
            <w:rPr>
              <w:rFonts w:hint="eastAsia" w:ascii="仿宋_GB2312" w:hAnsi="仿宋_GB2312" w:eastAsia="仿宋_GB2312" w:cs="仿宋_GB2312"/>
              <w:b w:val="0"/>
              <w:bCs w:val="0"/>
              <w:sz w:val="32"/>
              <w:szCs w:val="32"/>
            </w:rPr>
            <w:t>5</w:t>
          </w:r>
          <w:bookmarkEnd w:id="19"/>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_Toc3531_WPSOffice_Level2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d0b631d4-aabf-46b9-a264-72e95ed76161}"/>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四、财政拨款收入支出决算总体情况说明</w:t>
              </w:r>
            </w:sdtContent>
          </w:sdt>
          <w:r>
            <w:rPr>
              <w:rFonts w:hint="eastAsia" w:ascii="仿宋_GB2312" w:hAnsi="仿宋_GB2312" w:eastAsia="仿宋_GB2312" w:cs="仿宋_GB2312"/>
              <w:b w:val="0"/>
              <w:bCs w:val="0"/>
              <w:sz w:val="32"/>
              <w:szCs w:val="32"/>
            </w:rPr>
            <w:tab/>
          </w:r>
          <w:bookmarkStart w:id="20" w:name="_Toc3531_WPSOffice_Level2Page"/>
          <w:r>
            <w:rPr>
              <w:rFonts w:hint="eastAsia" w:ascii="仿宋_GB2312" w:hAnsi="仿宋_GB2312" w:eastAsia="仿宋_GB2312" w:cs="仿宋_GB2312"/>
              <w:b w:val="0"/>
              <w:bCs w:val="0"/>
              <w:sz w:val="32"/>
              <w:szCs w:val="32"/>
            </w:rPr>
            <w:t>6</w:t>
          </w:r>
          <w:bookmarkEnd w:id="20"/>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_Toc30115_WPSOffice_Level2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b8280ff0-caa4-4dc3-bffd-f226e4cff39d}"/>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五、一般公共预算财政拨款支出决算情况说明</w:t>
              </w:r>
            </w:sdtContent>
          </w:sdt>
          <w:r>
            <w:rPr>
              <w:rFonts w:hint="eastAsia" w:ascii="仿宋_GB2312" w:hAnsi="仿宋_GB2312" w:eastAsia="仿宋_GB2312" w:cs="仿宋_GB2312"/>
              <w:b w:val="0"/>
              <w:bCs w:val="0"/>
              <w:sz w:val="32"/>
              <w:szCs w:val="32"/>
            </w:rPr>
            <w:tab/>
          </w:r>
          <w:bookmarkStart w:id="21" w:name="_Toc30115_WPSOffice_Level2Page"/>
          <w:r>
            <w:rPr>
              <w:rFonts w:hint="eastAsia" w:ascii="仿宋_GB2312" w:hAnsi="仿宋_GB2312" w:eastAsia="仿宋_GB2312" w:cs="仿宋_GB2312"/>
              <w:b w:val="0"/>
              <w:bCs w:val="0"/>
              <w:sz w:val="32"/>
              <w:szCs w:val="32"/>
            </w:rPr>
            <w:t>7</w:t>
          </w:r>
          <w:bookmarkEnd w:id="21"/>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_Toc18804_WPSOffice_Level2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f2f8570d-3491-4312-84d3-67a9aa467399}"/>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六、一般公共预算财政拨款基本支出决算情况说明</w:t>
              </w:r>
            </w:sdtContent>
          </w:sdt>
          <w:r>
            <w:rPr>
              <w:rFonts w:hint="eastAsia" w:ascii="仿宋_GB2312" w:hAnsi="仿宋_GB2312" w:eastAsia="仿宋_GB2312" w:cs="仿宋_GB2312"/>
              <w:b w:val="0"/>
              <w:bCs w:val="0"/>
              <w:sz w:val="32"/>
              <w:szCs w:val="32"/>
            </w:rPr>
            <w:tab/>
          </w:r>
          <w:bookmarkStart w:id="22" w:name="_Toc18804_WPSOffice_Level2Page"/>
          <w:r>
            <w:rPr>
              <w:rFonts w:hint="eastAsia" w:ascii="仿宋_GB2312" w:hAnsi="仿宋_GB2312" w:eastAsia="仿宋_GB2312" w:cs="仿宋_GB2312"/>
              <w:b w:val="0"/>
              <w:bCs w:val="0"/>
              <w:sz w:val="32"/>
              <w:szCs w:val="32"/>
            </w:rPr>
            <w:t>10</w:t>
          </w:r>
          <w:bookmarkEnd w:id="22"/>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_Toc29857_WPSOffice_Level2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444bf2e0-b312-4d7a-b845-2055035cc857}"/>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七、财政拨款“三公”经费支出决算情况说明</w:t>
              </w:r>
            </w:sdtContent>
          </w:sdt>
          <w:r>
            <w:rPr>
              <w:rFonts w:hint="eastAsia" w:ascii="仿宋_GB2312" w:hAnsi="仿宋_GB2312" w:eastAsia="仿宋_GB2312" w:cs="仿宋_GB2312"/>
              <w:b w:val="0"/>
              <w:bCs w:val="0"/>
              <w:sz w:val="32"/>
              <w:szCs w:val="32"/>
            </w:rPr>
            <w:tab/>
          </w:r>
          <w:bookmarkStart w:id="23" w:name="_Toc29857_WPSOffice_Level2Page"/>
          <w:r>
            <w:rPr>
              <w:rFonts w:hint="eastAsia" w:ascii="仿宋_GB2312" w:hAnsi="仿宋_GB2312" w:eastAsia="仿宋_GB2312" w:cs="仿宋_GB2312"/>
              <w:b w:val="0"/>
              <w:bCs w:val="0"/>
              <w:sz w:val="32"/>
              <w:szCs w:val="32"/>
            </w:rPr>
            <w:t>11</w:t>
          </w:r>
          <w:bookmarkEnd w:id="23"/>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_Toc25897_WPSOffice_Level2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82d09e22-843a-4ce3-ab63-2b85e0b87c41}"/>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八、政府性基金预算支出决算情况说明</w:t>
              </w:r>
            </w:sdtContent>
          </w:sdt>
          <w:r>
            <w:rPr>
              <w:rFonts w:hint="eastAsia" w:ascii="仿宋_GB2312" w:hAnsi="仿宋_GB2312" w:eastAsia="仿宋_GB2312" w:cs="仿宋_GB2312"/>
              <w:b w:val="0"/>
              <w:bCs w:val="0"/>
              <w:sz w:val="32"/>
              <w:szCs w:val="32"/>
            </w:rPr>
            <w:tab/>
          </w:r>
          <w:bookmarkStart w:id="24" w:name="_Toc25897_WPSOffice_Level2Page"/>
          <w:r>
            <w:rPr>
              <w:rFonts w:hint="eastAsia" w:ascii="仿宋_GB2312" w:hAnsi="仿宋_GB2312" w:eastAsia="仿宋_GB2312" w:cs="仿宋_GB2312"/>
              <w:b w:val="0"/>
              <w:bCs w:val="0"/>
              <w:sz w:val="32"/>
              <w:szCs w:val="32"/>
            </w:rPr>
            <w:t>12</w:t>
          </w:r>
          <w:bookmarkEnd w:id="24"/>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_Toc19352_WPSOffice_Level2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a11e2b04-d161-4d52-a037-51f5c7d10f22}"/>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九、国有资本经营预算支出决算情况说明</w:t>
              </w:r>
            </w:sdtContent>
          </w:sdt>
          <w:r>
            <w:rPr>
              <w:rFonts w:hint="eastAsia" w:ascii="仿宋_GB2312" w:hAnsi="仿宋_GB2312" w:eastAsia="仿宋_GB2312" w:cs="仿宋_GB2312"/>
              <w:b w:val="0"/>
              <w:bCs w:val="0"/>
              <w:sz w:val="32"/>
              <w:szCs w:val="32"/>
            </w:rPr>
            <w:tab/>
          </w:r>
          <w:bookmarkStart w:id="25" w:name="_Toc19352_WPSOffice_Level2Page"/>
          <w:r>
            <w:rPr>
              <w:rFonts w:hint="eastAsia" w:ascii="仿宋_GB2312" w:hAnsi="仿宋_GB2312" w:eastAsia="仿宋_GB2312" w:cs="仿宋_GB2312"/>
              <w:b w:val="0"/>
              <w:bCs w:val="0"/>
              <w:sz w:val="32"/>
              <w:szCs w:val="32"/>
            </w:rPr>
            <w:t>12</w:t>
          </w:r>
          <w:bookmarkEnd w:id="25"/>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_Toc1446_WPSOffice_Level2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3062cdda-58d9-4353-b356-abb260a8c5d6}"/>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十、其他重要事项的情况说明</w:t>
              </w:r>
            </w:sdtContent>
          </w:sdt>
          <w:r>
            <w:rPr>
              <w:rFonts w:hint="eastAsia" w:ascii="仿宋_GB2312" w:hAnsi="仿宋_GB2312" w:eastAsia="仿宋_GB2312" w:cs="仿宋_GB2312"/>
              <w:b w:val="0"/>
              <w:bCs w:val="0"/>
              <w:sz w:val="32"/>
              <w:szCs w:val="32"/>
            </w:rPr>
            <w:tab/>
          </w:r>
          <w:bookmarkStart w:id="26" w:name="_Toc1446_WPSOffice_Level2Page"/>
          <w:r>
            <w:rPr>
              <w:rFonts w:hint="eastAsia" w:ascii="仿宋_GB2312" w:hAnsi="仿宋_GB2312" w:eastAsia="仿宋_GB2312" w:cs="仿宋_GB2312"/>
              <w:b w:val="0"/>
              <w:bCs w:val="0"/>
              <w:sz w:val="32"/>
              <w:szCs w:val="32"/>
            </w:rPr>
            <w:t>13</w:t>
          </w:r>
          <w:bookmarkEnd w:id="26"/>
          <w:r>
            <w:rPr>
              <w:rFonts w:hint="eastAsia" w:ascii="仿宋_GB2312" w:hAnsi="仿宋_GB2312" w:eastAsia="仿宋_GB2312" w:cs="仿宋_GB2312"/>
              <w:b w:val="0"/>
              <w:bCs w:val="0"/>
              <w:sz w:val="32"/>
              <w:szCs w:val="32"/>
            </w:rPr>
            <w:fldChar w:fldCharType="end"/>
          </w:r>
        </w:p>
        <w:p>
          <w:pPr>
            <w:pStyle w:val="34"/>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_Toc61_WPSOffice_Level1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404fa4c9-396c-41c6-aaed-b0cffe6b711c}"/>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第三部分 名词解释</w:t>
              </w:r>
            </w:sdtContent>
          </w:sdt>
          <w:r>
            <w:rPr>
              <w:rFonts w:hint="eastAsia" w:ascii="仿宋_GB2312" w:hAnsi="仿宋_GB2312" w:eastAsia="仿宋_GB2312" w:cs="仿宋_GB2312"/>
              <w:b w:val="0"/>
              <w:bCs w:val="0"/>
              <w:sz w:val="32"/>
              <w:szCs w:val="32"/>
            </w:rPr>
            <w:tab/>
          </w:r>
          <w:bookmarkStart w:id="27" w:name="_Toc61_WPSOffice_Level1Page"/>
          <w:r>
            <w:rPr>
              <w:rFonts w:hint="eastAsia" w:ascii="仿宋_GB2312" w:hAnsi="仿宋_GB2312" w:eastAsia="仿宋_GB2312" w:cs="仿宋_GB2312"/>
              <w:b w:val="0"/>
              <w:bCs w:val="0"/>
              <w:sz w:val="32"/>
              <w:szCs w:val="32"/>
            </w:rPr>
            <w:t>14</w:t>
          </w:r>
          <w:bookmarkEnd w:id="27"/>
          <w:r>
            <w:rPr>
              <w:rFonts w:hint="eastAsia" w:ascii="仿宋_GB2312" w:hAnsi="仿宋_GB2312" w:eastAsia="仿宋_GB2312" w:cs="仿宋_GB2312"/>
              <w:b w:val="0"/>
              <w:bCs w:val="0"/>
              <w:sz w:val="32"/>
              <w:szCs w:val="32"/>
            </w:rPr>
            <w:fldChar w:fldCharType="end"/>
          </w:r>
        </w:p>
        <w:p>
          <w:pPr>
            <w:pStyle w:val="34"/>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_Toc13323_WPSOffice_Level1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81f5b202-120e-46c8-92c0-5f3d842bd3f8}"/>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第四部分 附件</w:t>
              </w:r>
            </w:sdtContent>
          </w:sdt>
          <w:r>
            <w:rPr>
              <w:rFonts w:hint="eastAsia" w:ascii="仿宋_GB2312" w:hAnsi="仿宋_GB2312" w:eastAsia="仿宋_GB2312" w:cs="仿宋_GB2312"/>
              <w:b w:val="0"/>
              <w:bCs w:val="0"/>
              <w:sz w:val="32"/>
              <w:szCs w:val="32"/>
            </w:rPr>
            <w:tab/>
          </w:r>
          <w:bookmarkStart w:id="28" w:name="_Toc13323_WPSOffice_Level1Page"/>
          <w:r>
            <w:rPr>
              <w:rFonts w:hint="eastAsia" w:ascii="仿宋_GB2312" w:hAnsi="仿宋_GB2312" w:eastAsia="仿宋_GB2312" w:cs="仿宋_GB2312"/>
              <w:b w:val="0"/>
              <w:bCs w:val="0"/>
              <w:sz w:val="32"/>
              <w:szCs w:val="32"/>
            </w:rPr>
            <w:t>17</w:t>
          </w:r>
          <w:bookmarkEnd w:id="28"/>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_Toc3864_WPSOffice_Level2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99fba5dd-52d9-41d2-a88f-c6fa00793104}"/>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部门预算项目支出绩效自评表（2023年度）</w:t>
              </w:r>
            </w:sdtContent>
          </w:sdt>
          <w:r>
            <w:rPr>
              <w:rFonts w:hint="eastAsia" w:ascii="仿宋_GB2312" w:hAnsi="仿宋_GB2312" w:eastAsia="仿宋_GB2312" w:cs="仿宋_GB2312"/>
              <w:b w:val="0"/>
              <w:bCs w:val="0"/>
              <w:sz w:val="32"/>
              <w:szCs w:val="32"/>
            </w:rPr>
            <w:tab/>
          </w:r>
          <w:bookmarkStart w:id="29" w:name="_Toc3864_WPSOffice_Level2Page"/>
          <w:r>
            <w:rPr>
              <w:rFonts w:hint="eastAsia" w:ascii="仿宋_GB2312" w:hAnsi="仿宋_GB2312" w:eastAsia="仿宋_GB2312" w:cs="仿宋_GB2312"/>
              <w:b w:val="0"/>
              <w:bCs w:val="0"/>
              <w:sz w:val="32"/>
              <w:szCs w:val="32"/>
            </w:rPr>
            <w:t>17</w:t>
          </w:r>
          <w:bookmarkEnd w:id="29"/>
          <w:r>
            <w:rPr>
              <w:rFonts w:hint="eastAsia" w:ascii="仿宋_GB2312" w:hAnsi="仿宋_GB2312" w:eastAsia="仿宋_GB2312" w:cs="仿宋_GB2312"/>
              <w:b w:val="0"/>
              <w:bCs w:val="0"/>
              <w:sz w:val="32"/>
              <w:szCs w:val="32"/>
            </w:rPr>
            <w:fldChar w:fldCharType="end"/>
          </w:r>
        </w:p>
        <w:p>
          <w:pPr>
            <w:pStyle w:val="34"/>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_Toc28357_WPSOffice_Level1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4278ecac-5fb3-4c46-ae9b-b5148758a059}"/>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第五部分 附表</w:t>
              </w:r>
            </w:sdtContent>
          </w:sdt>
          <w:r>
            <w:rPr>
              <w:rFonts w:hint="eastAsia" w:ascii="仿宋_GB2312" w:hAnsi="仿宋_GB2312" w:eastAsia="仿宋_GB2312" w:cs="仿宋_GB2312"/>
              <w:b w:val="0"/>
              <w:bCs w:val="0"/>
              <w:sz w:val="32"/>
              <w:szCs w:val="32"/>
            </w:rPr>
            <w:tab/>
          </w:r>
          <w:bookmarkStart w:id="30" w:name="_Toc28357_WPSOffice_Level1Page"/>
          <w:r>
            <w:rPr>
              <w:rFonts w:hint="eastAsia" w:ascii="仿宋_GB2312" w:hAnsi="仿宋_GB2312" w:eastAsia="仿宋_GB2312" w:cs="仿宋_GB2312"/>
              <w:b w:val="0"/>
              <w:bCs w:val="0"/>
              <w:sz w:val="32"/>
              <w:szCs w:val="32"/>
            </w:rPr>
            <w:t>37</w:t>
          </w:r>
          <w:bookmarkEnd w:id="30"/>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_Toc3296_WPSOffice_Level2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c8c2ce44-0482-4d14-98ad-f09f4ce63e6a}"/>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一、收入支出决算总表</w:t>
              </w:r>
            </w:sdtContent>
          </w:sdt>
          <w:r>
            <w:rPr>
              <w:rFonts w:hint="eastAsia" w:ascii="仿宋_GB2312" w:hAnsi="仿宋_GB2312" w:eastAsia="仿宋_GB2312" w:cs="仿宋_GB2312"/>
              <w:b w:val="0"/>
              <w:bCs w:val="0"/>
              <w:sz w:val="32"/>
              <w:szCs w:val="32"/>
            </w:rPr>
            <w:tab/>
          </w:r>
          <w:bookmarkStart w:id="31" w:name="_Toc3296_WPSOffice_Level2Page"/>
          <w:r>
            <w:rPr>
              <w:rFonts w:hint="eastAsia" w:ascii="仿宋_GB2312" w:hAnsi="仿宋_GB2312" w:eastAsia="仿宋_GB2312" w:cs="仿宋_GB2312"/>
              <w:b w:val="0"/>
              <w:bCs w:val="0"/>
              <w:sz w:val="32"/>
              <w:szCs w:val="32"/>
            </w:rPr>
            <w:t>37</w:t>
          </w:r>
          <w:bookmarkEnd w:id="31"/>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_Toc16992_WPSOffice_Level2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04325984-c954-4765-b9fe-90d5e925ec76}"/>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二、收入决算表</w:t>
              </w:r>
            </w:sdtContent>
          </w:sdt>
          <w:r>
            <w:rPr>
              <w:rFonts w:hint="eastAsia" w:ascii="仿宋_GB2312" w:hAnsi="仿宋_GB2312" w:eastAsia="仿宋_GB2312" w:cs="仿宋_GB2312"/>
              <w:b w:val="0"/>
              <w:bCs w:val="0"/>
              <w:sz w:val="32"/>
              <w:szCs w:val="32"/>
            </w:rPr>
            <w:tab/>
          </w:r>
          <w:bookmarkStart w:id="32" w:name="_Toc16992_WPSOffice_Level2Page"/>
          <w:r>
            <w:rPr>
              <w:rFonts w:hint="eastAsia" w:ascii="仿宋_GB2312" w:hAnsi="仿宋_GB2312" w:eastAsia="仿宋_GB2312" w:cs="仿宋_GB2312"/>
              <w:b w:val="0"/>
              <w:bCs w:val="0"/>
              <w:sz w:val="32"/>
              <w:szCs w:val="32"/>
            </w:rPr>
            <w:t>37</w:t>
          </w:r>
          <w:bookmarkEnd w:id="32"/>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_Toc24009_WPSOffice_Level2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46e5b8e2-06e4-4c8a-aa81-cba55769f48f}"/>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三、支出决算表</w:t>
              </w:r>
            </w:sdtContent>
          </w:sdt>
          <w:r>
            <w:rPr>
              <w:rFonts w:hint="eastAsia" w:ascii="仿宋_GB2312" w:hAnsi="仿宋_GB2312" w:eastAsia="仿宋_GB2312" w:cs="仿宋_GB2312"/>
              <w:b w:val="0"/>
              <w:bCs w:val="0"/>
              <w:sz w:val="32"/>
              <w:szCs w:val="32"/>
            </w:rPr>
            <w:tab/>
          </w:r>
          <w:bookmarkStart w:id="33" w:name="_Toc24009_WPSOffice_Level2Page"/>
          <w:r>
            <w:rPr>
              <w:rFonts w:hint="eastAsia" w:ascii="仿宋_GB2312" w:hAnsi="仿宋_GB2312" w:eastAsia="仿宋_GB2312" w:cs="仿宋_GB2312"/>
              <w:b w:val="0"/>
              <w:bCs w:val="0"/>
              <w:sz w:val="32"/>
              <w:szCs w:val="32"/>
            </w:rPr>
            <w:t>37</w:t>
          </w:r>
          <w:bookmarkEnd w:id="33"/>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_Toc16000_WPSOffice_Level2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ff1fb327-8dd4-4edd-beb2-e99efe627a2d}"/>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四、财政拨款收入支出决算总表</w:t>
              </w:r>
            </w:sdtContent>
          </w:sdt>
          <w:r>
            <w:rPr>
              <w:rFonts w:hint="eastAsia" w:ascii="仿宋_GB2312" w:hAnsi="仿宋_GB2312" w:eastAsia="仿宋_GB2312" w:cs="仿宋_GB2312"/>
              <w:b w:val="0"/>
              <w:bCs w:val="0"/>
              <w:sz w:val="32"/>
              <w:szCs w:val="32"/>
            </w:rPr>
            <w:tab/>
          </w:r>
          <w:bookmarkStart w:id="34" w:name="_Toc16000_WPSOffice_Level2Page"/>
          <w:r>
            <w:rPr>
              <w:rFonts w:hint="eastAsia" w:ascii="仿宋_GB2312" w:hAnsi="仿宋_GB2312" w:eastAsia="仿宋_GB2312" w:cs="仿宋_GB2312"/>
              <w:b w:val="0"/>
              <w:bCs w:val="0"/>
              <w:sz w:val="32"/>
              <w:szCs w:val="32"/>
            </w:rPr>
            <w:t>37</w:t>
          </w:r>
          <w:bookmarkEnd w:id="34"/>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_Toc3958_WPSOffice_Level2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e3373a86-41b4-40de-93e0-afc34a2294bd}"/>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五、财政拨款支出决算明细表</w:t>
              </w:r>
            </w:sdtContent>
          </w:sdt>
          <w:r>
            <w:rPr>
              <w:rFonts w:hint="eastAsia" w:ascii="仿宋_GB2312" w:hAnsi="仿宋_GB2312" w:eastAsia="仿宋_GB2312" w:cs="仿宋_GB2312"/>
              <w:b w:val="0"/>
              <w:bCs w:val="0"/>
              <w:sz w:val="32"/>
              <w:szCs w:val="32"/>
            </w:rPr>
            <w:tab/>
          </w:r>
          <w:bookmarkStart w:id="35" w:name="_Toc3958_WPSOffice_Level2Page"/>
          <w:r>
            <w:rPr>
              <w:rFonts w:hint="eastAsia" w:ascii="仿宋_GB2312" w:hAnsi="仿宋_GB2312" w:eastAsia="仿宋_GB2312" w:cs="仿宋_GB2312"/>
              <w:b w:val="0"/>
              <w:bCs w:val="0"/>
              <w:sz w:val="32"/>
              <w:szCs w:val="32"/>
            </w:rPr>
            <w:t>37</w:t>
          </w:r>
          <w:bookmarkEnd w:id="35"/>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_Toc24440_WPSOffice_Level2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5722577e-5b03-4974-b388-253fdf6ebfc8}"/>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六、一般公共预算财政拨款支出决算表</w:t>
              </w:r>
            </w:sdtContent>
          </w:sdt>
          <w:r>
            <w:rPr>
              <w:rFonts w:hint="eastAsia" w:ascii="仿宋_GB2312" w:hAnsi="仿宋_GB2312" w:eastAsia="仿宋_GB2312" w:cs="仿宋_GB2312"/>
              <w:b w:val="0"/>
              <w:bCs w:val="0"/>
              <w:sz w:val="32"/>
              <w:szCs w:val="32"/>
            </w:rPr>
            <w:tab/>
          </w:r>
          <w:bookmarkStart w:id="36" w:name="_Toc24440_WPSOffice_Level2Page"/>
          <w:r>
            <w:rPr>
              <w:rFonts w:hint="eastAsia" w:ascii="仿宋_GB2312" w:hAnsi="仿宋_GB2312" w:eastAsia="仿宋_GB2312" w:cs="仿宋_GB2312"/>
              <w:b w:val="0"/>
              <w:bCs w:val="0"/>
              <w:sz w:val="32"/>
              <w:szCs w:val="32"/>
            </w:rPr>
            <w:t>37</w:t>
          </w:r>
          <w:bookmarkEnd w:id="36"/>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_Toc4660_WPSOffice_Level2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df46a84a-daa6-497c-b7e9-f6139082600e}"/>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七、一般公共预算财政拨款支出决算明细表</w:t>
              </w:r>
            </w:sdtContent>
          </w:sdt>
          <w:r>
            <w:rPr>
              <w:rFonts w:hint="eastAsia" w:ascii="仿宋_GB2312" w:hAnsi="仿宋_GB2312" w:eastAsia="仿宋_GB2312" w:cs="仿宋_GB2312"/>
              <w:b w:val="0"/>
              <w:bCs w:val="0"/>
              <w:sz w:val="32"/>
              <w:szCs w:val="32"/>
            </w:rPr>
            <w:tab/>
          </w:r>
          <w:bookmarkStart w:id="37" w:name="_Toc4660_WPSOffice_Level2Page"/>
          <w:r>
            <w:rPr>
              <w:rFonts w:hint="eastAsia" w:ascii="仿宋_GB2312" w:hAnsi="仿宋_GB2312" w:eastAsia="仿宋_GB2312" w:cs="仿宋_GB2312"/>
              <w:b w:val="0"/>
              <w:bCs w:val="0"/>
              <w:sz w:val="32"/>
              <w:szCs w:val="32"/>
            </w:rPr>
            <w:t>37</w:t>
          </w:r>
          <w:bookmarkEnd w:id="37"/>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_Toc3942_WPSOffice_Level2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62a4629b-9f03-42c1-b9e5-3503bece53c4}"/>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八、一般公共预算财政拨款基本支出决算表</w:t>
              </w:r>
            </w:sdtContent>
          </w:sdt>
          <w:r>
            <w:rPr>
              <w:rFonts w:hint="eastAsia" w:ascii="仿宋_GB2312" w:hAnsi="仿宋_GB2312" w:eastAsia="仿宋_GB2312" w:cs="仿宋_GB2312"/>
              <w:b w:val="0"/>
              <w:bCs w:val="0"/>
              <w:sz w:val="32"/>
              <w:szCs w:val="32"/>
            </w:rPr>
            <w:tab/>
          </w:r>
          <w:bookmarkStart w:id="38" w:name="_Toc3942_WPSOffice_Level2Page"/>
          <w:r>
            <w:rPr>
              <w:rFonts w:hint="eastAsia" w:ascii="仿宋_GB2312" w:hAnsi="仿宋_GB2312" w:eastAsia="仿宋_GB2312" w:cs="仿宋_GB2312"/>
              <w:b w:val="0"/>
              <w:bCs w:val="0"/>
              <w:sz w:val="32"/>
              <w:szCs w:val="32"/>
            </w:rPr>
            <w:t>37</w:t>
          </w:r>
          <w:bookmarkEnd w:id="38"/>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_Toc7825_WPSOffice_Level2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e58e4e7a-ce28-410d-b1fc-6f4ee934c405}"/>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九、一般公共预算财政拨款项目支出决算表</w:t>
              </w:r>
            </w:sdtContent>
          </w:sdt>
          <w:r>
            <w:rPr>
              <w:rFonts w:hint="eastAsia" w:ascii="仿宋_GB2312" w:hAnsi="仿宋_GB2312" w:eastAsia="仿宋_GB2312" w:cs="仿宋_GB2312"/>
              <w:b w:val="0"/>
              <w:bCs w:val="0"/>
              <w:sz w:val="32"/>
              <w:szCs w:val="32"/>
            </w:rPr>
            <w:tab/>
          </w:r>
          <w:bookmarkStart w:id="39" w:name="_Toc7825_WPSOffice_Level2Page"/>
          <w:r>
            <w:rPr>
              <w:rFonts w:hint="eastAsia" w:ascii="仿宋_GB2312" w:hAnsi="仿宋_GB2312" w:eastAsia="仿宋_GB2312" w:cs="仿宋_GB2312"/>
              <w:b w:val="0"/>
              <w:bCs w:val="0"/>
              <w:sz w:val="32"/>
              <w:szCs w:val="32"/>
            </w:rPr>
            <w:t>37</w:t>
          </w:r>
          <w:bookmarkEnd w:id="39"/>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_Toc18427_WPSOffice_Level2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5c1237a3-b0e9-4ea6-8d9e-5227513695e0}"/>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十、政府性基金预算财政拨款收入支出决算表</w:t>
              </w:r>
            </w:sdtContent>
          </w:sdt>
          <w:r>
            <w:rPr>
              <w:rFonts w:hint="eastAsia" w:ascii="仿宋_GB2312" w:hAnsi="仿宋_GB2312" w:eastAsia="仿宋_GB2312" w:cs="仿宋_GB2312"/>
              <w:b w:val="0"/>
              <w:bCs w:val="0"/>
              <w:sz w:val="32"/>
              <w:szCs w:val="32"/>
            </w:rPr>
            <w:tab/>
          </w:r>
          <w:bookmarkStart w:id="40" w:name="_Toc18427_WPSOffice_Level2Page"/>
          <w:r>
            <w:rPr>
              <w:rFonts w:hint="eastAsia" w:ascii="仿宋_GB2312" w:hAnsi="仿宋_GB2312" w:eastAsia="仿宋_GB2312" w:cs="仿宋_GB2312"/>
              <w:b w:val="0"/>
              <w:bCs w:val="0"/>
              <w:sz w:val="32"/>
              <w:szCs w:val="32"/>
            </w:rPr>
            <w:t>37</w:t>
          </w:r>
          <w:bookmarkEnd w:id="40"/>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_Toc17768_WPSOffice_Level2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a3cad2dc-ab9b-4f17-9d62-674537c80be4}"/>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十一、国有资本经营预算财政拨款收入支出决算表</w:t>
              </w:r>
            </w:sdtContent>
          </w:sdt>
          <w:r>
            <w:rPr>
              <w:rFonts w:hint="eastAsia" w:ascii="仿宋_GB2312" w:hAnsi="仿宋_GB2312" w:eastAsia="仿宋_GB2312" w:cs="仿宋_GB2312"/>
              <w:b w:val="0"/>
              <w:bCs w:val="0"/>
              <w:sz w:val="32"/>
              <w:szCs w:val="32"/>
            </w:rPr>
            <w:tab/>
          </w:r>
          <w:bookmarkStart w:id="41" w:name="_Toc17768_WPSOffice_Level2Page"/>
          <w:r>
            <w:rPr>
              <w:rFonts w:hint="eastAsia" w:ascii="仿宋_GB2312" w:hAnsi="仿宋_GB2312" w:eastAsia="仿宋_GB2312" w:cs="仿宋_GB2312"/>
              <w:b w:val="0"/>
              <w:bCs w:val="0"/>
              <w:sz w:val="32"/>
              <w:szCs w:val="32"/>
            </w:rPr>
            <w:t>37</w:t>
          </w:r>
          <w:bookmarkEnd w:id="41"/>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_Toc9430_WPSOffice_Level2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3c655503-2360-4d30-9ff1-2234e6aa9ce4}"/>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十二、国有资本经营预算财政拨款支出决算表</w:t>
              </w:r>
            </w:sdtContent>
          </w:sdt>
          <w:r>
            <w:rPr>
              <w:rFonts w:hint="eastAsia" w:ascii="仿宋_GB2312" w:hAnsi="仿宋_GB2312" w:eastAsia="仿宋_GB2312" w:cs="仿宋_GB2312"/>
              <w:b w:val="0"/>
              <w:bCs w:val="0"/>
              <w:sz w:val="32"/>
              <w:szCs w:val="32"/>
            </w:rPr>
            <w:tab/>
          </w:r>
          <w:bookmarkStart w:id="42" w:name="_Toc9430_WPSOffice_Level2Page"/>
          <w:r>
            <w:rPr>
              <w:rFonts w:hint="eastAsia" w:ascii="仿宋_GB2312" w:hAnsi="仿宋_GB2312" w:eastAsia="仿宋_GB2312" w:cs="仿宋_GB2312"/>
              <w:b w:val="0"/>
              <w:bCs w:val="0"/>
              <w:sz w:val="32"/>
              <w:szCs w:val="32"/>
            </w:rPr>
            <w:t>37</w:t>
          </w:r>
          <w:bookmarkEnd w:id="42"/>
          <w:r>
            <w:rPr>
              <w:rFonts w:hint="eastAsia" w:ascii="仿宋_GB2312" w:hAnsi="仿宋_GB2312" w:eastAsia="仿宋_GB2312" w:cs="仿宋_GB2312"/>
              <w:b w:val="0"/>
              <w:bCs w:val="0"/>
              <w:sz w:val="32"/>
              <w:szCs w:val="32"/>
            </w:rPr>
            <w:fldChar w:fldCharType="end"/>
          </w:r>
        </w:p>
        <w:p>
          <w:pPr>
            <w:pStyle w:val="35"/>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_Toc29024_WPSOffice_Level2 </w:instrText>
          </w:r>
          <w:r>
            <w:rPr>
              <w:rFonts w:hint="eastAsia" w:ascii="仿宋_GB2312" w:hAnsi="仿宋_GB2312" w:eastAsia="仿宋_GB2312" w:cs="仿宋_GB2312"/>
              <w:b w:val="0"/>
              <w:bCs w:val="0"/>
              <w:sz w:val="32"/>
              <w:szCs w:val="32"/>
            </w:rPr>
            <w:fldChar w:fldCharType="separate"/>
          </w:r>
          <w:sdt>
            <w:sdtPr>
              <w:rPr>
                <w:rFonts w:hint="eastAsia" w:ascii="仿宋_GB2312" w:hAnsi="仿宋_GB2312" w:eastAsia="仿宋_GB2312" w:cs="仿宋_GB2312"/>
                <w:b w:val="0"/>
                <w:bCs w:val="0"/>
                <w:kern w:val="2"/>
                <w:sz w:val="32"/>
                <w:szCs w:val="32"/>
                <w:lang w:val="en-US" w:eastAsia="zh-CN" w:bidi="ar-SA"/>
              </w:rPr>
              <w:id w:val="147478002"/>
              <w:placeholder>
                <w:docPart w:val="{74f10e5f-3844-4a85-81be-b2a84d937ed3}"/>
              </w:placeholder>
              <w15:color w:val="509DF3"/>
            </w:sdtPr>
            <w:sdtEndPr>
              <w:rPr>
                <w:rFonts w:hint="eastAsia" w:ascii="仿宋_GB2312" w:hAnsi="仿宋_GB2312" w:eastAsia="仿宋_GB2312" w:cs="仿宋_GB2312"/>
                <w:b w:val="0"/>
                <w:bCs w:val="0"/>
                <w:kern w:val="2"/>
                <w:sz w:val="32"/>
                <w:szCs w:val="32"/>
                <w:lang w:val="en-US" w:eastAsia="zh-CN" w:bidi="ar-SA"/>
              </w:rPr>
            </w:sdtEndPr>
            <w:sdtContent>
              <w:r>
                <w:rPr>
                  <w:rFonts w:hint="eastAsia" w:ascii="仿宋_GB2312" w:hAnsi="仿宋_GB2312" w:eastAsia="仿宋_GB2312" w:cs="仿宋_GB2312"/>
                  <w:b w:val="0"/>
                  <w:bCs w:val="0"/>
                  <w:sz w:val="32"/>
                  <w:szCs w:val="32"/>
                </w:rPr>
                <w:t>十三、财政拨款“三公”经费支出决算表</w:t>
              </w:r>
            </w:sdtContent>
          </w:sdt>
          <w:r>
            <w:rPr>
              <w:rFonts w:hint="eastAsia" w:ascii="仿宋_GB2312" w:hAnsi="仿宋_GB2312" w:eastAsia="仿宋_GB2312" w:cs="仿宋_GB2312"/>
              <w:b w:val="0"/>
              <w:bCs w:val="0"/>
              <w:sz w:val="32"/>
              <w:szCs w:val="32"/>
            </w:rPr>
            <w:tab/>
          </w:r>
          <w:bookmarkStart w:id="43" w:name="_Toc29024_WPSOffice_Level2Page"/>
          <w:r>
            <w:rPr>
              <w:rFonts w:hint="eastAsia" w:ascii="仿宋_GB2312" w:hAnsi="仿宋_GB2312" w:eastAsia="仿宋_GB2312" w:cs="仿宋_GB2312"/>
              <w:b w:val="0"/>
              <w:bCs w:val="0"/>
              <w:sz w:val="32"/>
              <w:szCs w:val="32"/>
            </w:rPr>
            <w:t>37</w:t>
          </w:r>
          <w:bookmarkEnd w:id="43"/>
          <w:r>
            <w:rPr>
              <w:rFonts w:hint="eastAsia" w:ascii="仿宋_GB2312" w:hAnsi="仿宋_GB2312" w:eastAsia="仿宋_GB2312" w:cs="仿宋_GB2312"/>
              <w:b w:val="0"/>
              <w:bCs w:val="0"/>
              <w:sz w:val="32"/>
              <w:szCs w:val="32"/>
            </w:rPr>
            <w:fldChar w:fldCharType="end"/>
          </w:r>
          <w:bookmarkEnd w:id="12"/>
        </w:p>
      </w:sdtContent>
    </w:sdt>
    <w:p>
      <w:pPr>
        <w:pStyle w:val="12"/>
        <w:adjustRightInd w:val="0"/>
        <w:snapToGrid w:val="0"/>
        <w:spacing w:line="440" w:lineRule="exact"/>
        <w:jc w:val="left"/>
        <w:rPr>
          <w:sz w:val="24"/>
        </w:rPr>
      </w:pP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44" w:name="_Toc15396599"/>
      <w:bookmarkStart w:id="45" w:name="_Toc15377196"/>
      <w:r>
        <w:rPr>
          <w:rFonts w:ascii="仿宋" w:hAnsi="仿宋" w:eastAsia="仿宋"/>
          <w:b/>
          <w:sz w:val="24"/>
        </w:rPr>
        <w:br w:type="page"/>
      </w:r>
    </w:p>
    <w:p>
      <w:pPr>
        <w:pStyle w:val="3"/>
        <w:jc w:val="center"/>
        <w:rPr>
          <w:rStyle w:val="28"/>
          <w:rFonts w:ascii="黑体" w:hAnsi="黑体" w:eastAsia="黑体"/>
          <w:b/>
          <w:bCs w:val="0"/>
        </w:rPr>
      </w:pPr>
      <w:bookmarkStart w:id="46" w:name="_Toc18868_WPSOffice_Level1"/>
      <w:r>
        <w:rPr>
          <w:rFonts w:hint="eastAsia" w:ascii="黑体" w:hAnsi="黑体" w:eastAsia="黑体"/>
          <w:b w:val="0"/>
        </w:rPr>
        <w:t>第一部分 单位</w:t>
      </w:r>
      <w:r>
        <w:rPr>
          <w:rStyle w:val="28"/>
          <w:rFonts w:hint="eastAsia" w:ascii="黑体" w:hAnsi="黑体" w:eastAsia="黑体"/>
          <w:b w:val="0"/>
          <w:bCs w:val="0"/>
        </w:rPr>
        <w:t>概况</w:t>
      </w:r>
      <w:bookmarkEnd w:id="44"/>
      <w:bookmarkEnd w:id="45"/>
      <w:bookmarkEnd w:id="46"/>
    </w:p>
    <w:p>
      <w:pPr>
        <w:widowControl/>
        <w:jc w:val="left"/>
        <w:rPr>
          <w:rFonts w:ascii="黑体" w:eastAsia="黑体"/>
          <w:sz w:val="32"/>
          <w:szCs w:val="32"/>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Style w:val="29"/>
          <w:rFonts w:ascii="黑体" w:hAnsi="黑体" w:eastAsia="黑体"/>
          <w:b w:val="0"/>
          <w:bCs w:val="0"/>
        </w:rPr>
      </w:pPr>
      <w:bookmarkStart w:id="47" w:name="_Toc17870_WPSOffice_Level2"/>
      <w:bookmarkStart w:id="48" w:name="_Toc15377197"/>
      <w:bookmarkStart w:id="49" w:name="_Toc15396600"/>
      <w:r>
        <w:rPr>
          <w:rStyle w:val="29"/>
          <w:rFonts w:hint="eastAsia" w:ascii="黑体" w:hAnsi="黑体" w:eastAsia="黑体"/>
          <w:b w:val="0"/>
          <w:bCs w:val="0"/>
          <w:lang w:eastAsia="zh-CN"/>
        </w:rPr>
        <w:t>一、</w:t>
      </w:r>
      <w:r>
        <w:rPr>
          <w:rStyle w:val="29"/>
          <w:rFonts w:hint="eastAsia" w:ascii="黑体" w:hAnsi="黑体" w:eastAsia="黑体"/>
          <w:b w:val="0"/>
          <w:bCs w:val="0"/>
        </w:rPr>
        <w:t>主要职责</w:t>
      </w:r>
      <w:bookmarkEnd w:id="47"/>
    </w:p>
    <w:p>
      <w:pPr>
        <w:pStyle w:val="13"/>
        <w:pageBreakBefore w:val="0"/>
        <w:shd w:val="clear" w:color="auto" w:fill="FFFFFF"/>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本部门</w:t>
      </w:r>
      <w:r>
        <w:rPr>
          <w:rFonts w:hint="eastAsia" w:ascii="仿宋_GB2312" w:hAnsi="仿宋_GB2312" w:eastAsia="仿宋_GB2312" w:cs="仿宋_GB2312"/>
          <w:color w:val="000000"/>
          <w:sz w:val="32"/>
          <w:szCs w:val="32"/>
        </w:rPr>
        <w:t>基本职能是：一是贯彻执行国家、省有关房产管理的法律、法规和方针、政策；负责拟订地方性房产管理规范性文件，并组织实施。</w:t>
      </w:r>
      <w:r>
        <w:rPr>
          <w:rFonts w:hint="eastAsia" w:ascii="仿宋_GB2312" w:hAnsi="仿宋_GB2312" w:eastAsia="仿宋_GB2312" w:cs="仿宋_GB2312"/>
          <w:sz w:val="32"/>
          <w:szCs w:val="32"/>
        </w:rPr>
        <w:t>二是</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sz w:val="32"/>
          <w:szCs w:val="32"/>
        </w:rPr>
        <w:t>县</w:t>
      </w:r>
      <w:r>
        <w:rPr>
          <w:rFonts w:hint="eastAsia" w:ascii="仿宋_GB2312" w:hAnsi="仿宋_GB2312" w:eastAsia="仿宋_GB2312" w:cs="仿宋_GB2312"/>
          <w:color w:val="000000"/>
          <w:sz w:val="32"/>
          <w:szCs w:val="32"/>
        </w:rPr>
        <w:t>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"https://wenwen.sogou.com/s/?w=%E6%88%BF%E5%B1%8B%E4%BA%A7%E6%9D%83&amp;ch=ww.xqy.chain"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房屋产权</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、产籍管理工作，负责</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"https://wenwen.sogou.com/s/?w=%E6%88%BF%E5%9C%B0%E4%BA%A7%E6%9D%83%E5%B1%9E%E7%99%BB%E8%AE%B0&amp;ch=ww.xqy.chain"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房地产权属登记</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sz w:val="32"/>
          <w:szCs w:val="32"/>
        </w:rPr>
        <w:t>三是</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sz w:val="32"/>
          <w:szCs w:val="32"/>
        </w:rPr>
        <w:t>县</w:t>
      </w:r>
      <w:r>
        <w:rPr>
          <w:rFonts w:hint="eastAsia" w:ascii="仿宋_GB2312" w:hAnsi="仿宋_GB2312" w:eastAsia="仿宋_GB2312" w:cs="仿宋_GB2312"/>
          <w:color w:val="000000"/>
          <w:sz w:val="32"/>
          <w:szCs w:val="32"/>
        </w:rPr>
        <w:t>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"https://wenwen.sogou.com/s/?w=%E6%88%BF%E5%9C%B0%E4%BA%A7%E4%BA%A4%E6%98%93&amp;ch=ww.xqy.chain"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房地产交易</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管理工作，负责</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"https://wenwen.sogou.com/s/?w=%E6%88%BF%E5%B1%8B%E7%A7%9F%E8%B5%81%E5%90%88%E5%90%8C&amp;ch=ww.xqy.chain"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房屋租赁合同</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登记备案工作；负责</w:t>
      </w:r>
      <w:r>
        <w:rPr>
          <w:rFonts w:hint="eastAsia" w:ascii="仿宋_GB2312" w:hAnsi="仿宋_GB2312" w:eastAsia="仿宋_GB2312" w:cs="仿宋_GB2312"/>
          <w:sz w:val="32"/>
          <w:szCs w:val="32"/>
        </w:rPr>
        <w:t>县</w:t>
      </w:r>
      <w:r>
        <w:rPr>
          <w:rFonts w:hint="eastAsia" w:ascii="仿宋_GB2312" w:hAnsi="仿宋_GB2312" w:eastAsia="仿宋_GB2312" w:cs="仿宋_GB2312"/>
          <w:color w:val="000000"/>
          <w:sz w:val="32"/>
          <w:szCs w:val="32"/>
        </w:rPr>
        <w:t>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"https://wenwen.sogou.com/s/?w=%E6%88%BF%E5%9C%B0%E4%BA%A7%E4%B8%AD%E4%BB%8B&amp;ch=ww.xqy.chain"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房地产中介</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机构的监督管理。</w:t>
      </w:r>
      <w:r>
        <w:rPr>
          <w:rFonts w:hint="eastAsia" w:ascii="仿宋_GB2312" w:hAnsi="仿宋_GB2312" w:eastAsia="仿宋_GB2312" w:cs="仿宋_GB2312"/>
          <w:sz w:val="32"/>
          <w:szCs w:val="32"/>
        </w:rPr>
        <w:t>四是</w:t>
      </w:r>
      <w:r>
        <w:rPr>
          <w:rFonts w:hint="eastAsia" w:ascii="仿宋_GB2312" w:hAnsi="仿宋_GB2312" w:eastAsia="仿宋_GB2312" w:cs="仿宋_GB2312"/>
          <w:color w:val="000000"/>
          <w:sz w:val="32"/>
          <w:szCs w:val="32"/>
        </w:rPr>
        <w:t>会同或配合有关部门规范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"https://wenwen.sogou.com/s/?w=%E6%88%BF%E5%9C%B0%E4%BA%A7%E5%B8%82%E5%9C%BA&amp;ch=ww.xqy.chain"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房地产市场</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，维护市场秩序，负责县内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"https://wenwen.sogou.com/s/?w=%E5%95%86%E5%93%81%E6%88%BF%E9%A2%84%E5%94%AE&amp;ch=ww.xqy.chain"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商品房预售</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管理工作。</w:t>
      </w:r>
      <w:r>
        <w:rPr>
          <w:rFonts w:hint="eastAsia" w:ascii="仿宋_GB2312" w:hAnsi="仿宋_GB2312" w:eastAsia="仿宋_GB2312" w:cs="仿宋_GB2312"/>
          <w:sz w:val="32"/>
          <w:szCs w:val="32"/>
        </w:rPr>
        <w:t>五是</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sz w:val="32"/>
          <w:szCs w:val="32"/>
        </w:rPr>
        <w:t>县</w:t>
      </w:r>
      <w:r>
        <w:rPr>
          <w:rFonts w:hint="eastAsia" w:ascii="仿宋_GB2312" w:hAnsi="仿宋_GB2312" w:eastAsia="仿宋_GB2312" w:cs="仿宋_GB2312"/>
          <w:color w:val="000000"/>
          <w:sz w:val="32"/>
          <w:szCs w:val="32"/>
        </w:rPr>
        <w:t>内直管公房的管理。</w:t>
      </w:r>
      <w:r>
        <w:rPr>
          <w:rFonts w:hint="eastAsia" w:ascii="仿宋_GB2312" w:hAnsi="仿宋_GB2312" w:eastAsia="仿宋_GB2312" w:cs="仿宋_GB2312"/>
          <w:sz w:val="32"/>
          <w:szCs w:val="32"/>
        </w:rPr>
        <w:t>六是</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sz w:val="32"/>
          <w:szCs w:val="32"/>
        </w:rPr>
        <w:t>县</w:t>
      </w:r>
      <w:r>
        <w:rPr>
          <w:rFonts w:hint="eastAsia" w:ascii="仿宋_GB2312" w:hAnsi="仿宋_GB2312" w:eastAsia="仿宋_GB2312" w:cs="仿宋_GB2312"/>
          <w:color w:val="000000"/>
          <w:sz w:val="32"/>
          <w:szCs w:val="32"/>
        </w:rPr>
        <w:t>内房屋安全整治工作；负责房屋白蚁防治监督管理工作。</w:t>
      </w:r>
      <w:r>
        <w:rPr>
          <w:rFonts w:hint="eastAsia" w:ascii="仿宋_GB2312" w:hAnsi="仿宋_GB2312" w:eastAsia="仿宋_GB2312" w:cs="仿宋_GB2312"/>
          <w:sz w:val="32"/>
          <w:szCs w:val="32"/>
        </w:rPr>
        <w:t>七是</w:t>
      </w:r>
      <w:r>
        <w:rPr>
          <w:rFonts w:hint="eastAsia" w:ascii="仿宋_GB2312" w:hAnsi="仿宋_GB2312" w:eastAsia="仿宋_GB2312" w:cs="仿宋_GB2312"/>
          <w:color w:val="000000"/>
          <w:sz w:val="32"/>
          <w:szCs w:val="32"/>
        </w:rPr>
        <w:t>负责全</w:t>
      </w:r>
      <w:r>
        <w:rPr>
          <w:rFonts w:hint="eastAsia" w:ascii="仿宋_GB2312" w:hAnsi="仿宋_GB2312" w:eastAsia="仿宋_GB2312" w:cs="仿宋_GB2312"/>
          <w:sz w:val="32"/>
          <w:szCs w:val="32"/>
        </w:rPr>
        <w:t>县</w:t>
      </w:r>
      <w:r>
        <w:rPr>
          <w:rFonts w:hint="eastAsia" w:ascii="仿宋_GB2312" w:hAnsi="仿宋_GB2312" w:eastAsia="仿宋_GB2312" w:cs="仿宋_GB2312"/>
          <w:color w:val="000000"/>
          <w:sz w:val="32"/>
          <w:szCs w:val="32"/>
        </w:rPr>
        <w:t>物业管理活动的监督管理工作，会同有关部门负责全县</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"https://wenwen.sogou.com/s/?w=%E4%BD%8F%E5%AE%85%E4%B8%93%E9%A1%B9%E7%BB%B4%E4%BF%AE%E8%B5%84%E9%87%91&amp;ch=ww.xqy.chain"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住宅专项维修资金</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的指导和监督工作。</w:t>
      </w:r>
      <w:r>
        <w:rPr>
          <w:rFonts w:hint="eastAsia" w:ascii="仿宋_GB2312" w:hAnsi="仿宋_GB2312" w:eastAsia="仿宋_GB2312" w:cs="仿宋_GB2312"/>
          <w:sz w:val="32"/>
          <w:szCs w:val="32"/>
        </w:rPr>
        <w:t>八是</w:t>
      </w:r>
      <w:r>
        <w:rPr>
          <w:rFonts w:hint="eastAsia" w:ascii="仿宋_GB2312" w:hAnsi="仿宋_GB2312" w:eastAsia="仿宋_GB2312" w:cs="仿宋_GB2312"/>
          <w:color w:val="000000"/>
          <w:sz w:val="32"/>
          <w:szCs w:val="32"/>
        </w:rPr>
        <w:t>负责管理县域内的房产档案管理工作。九是承办县委、县政府和上级业务部门交办的其他事项。</w:t>
      </w:r>
    </w:p>
    <w:p>
      <w:pPr>
        <w:pStyle w:val="4"/>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黑体" w:hAnsi="黑体" w:eastAsia="黑体"/>
          <w:b w:val="0"/>
        </w:rPr>
      </w:pPr>
      <w:bookmarkStart w:id="50" w:name="_Toc61_WPSOffice_Level2"/>
      <w:r>
        <w:rPr>
          <w:rFonts w:hint="eastAsia" w:ascii="黑体" w:hAnsi="黑体" w:eastAsia="黑体"/>
          <w:b w:val="0"/>
        </w:rPr>
        <w:t>二、机构设置</w:t>
      </w:r>
      <w:bookmarkEnd w:id="50"/>
    </w:p>
    <w:bookmarkEnd w:id="48"/>
    <w:bookmarkEnd w:id="49"/>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大竹县房地产管理局是大竹县</w:t>
      </w:r>
      <w:r>
        <w:rPr>
          <w:rFonts w:hint="eastAsia" w:ascii="仿宋_GB2312" w:hAnsi="仿宋_GB2312" w:eastAsia="仿宋_GB2312" w:cs="仿宋_GB2312"/>
          <w:color w:val="000000"/>
          <w:sz w:val="32"/>
          <w:szCs w:val="32"/>
          <w:lang w:eastAsia="zh-CN"/>
        </w:rPr>
        <w:t>住房和城乡建设局</w:t>
      </w:r>
      <w:r>
        <w:rPr>
          <w:rFonts w:hint="eastAsia" w:ascii="仿宋_GB2312" w:hAnsi="仿宋_GB2312" w:eastAsia="仿宋_GB2312" w:cs="仿宋_GB2312"/>
          <w:color w:val="000000"/>
          <w:sz w:val="32"/>
          <w:szCs w:val="32"/>
        </w:rPr>
        <w:t>下属单位，为</w:t>
      </w:r>
      <w:r>
        <w:rPr>
          <w:rFonts w:hint="eastAsia" w:ascii="仿宋_GB2312" w:hAnsi="仿宋_GB2312" w:eastAsia="仿宋_GB2312" w:cs="仿宋_GB2312"/>
          <w:color w:val="000000"/>
          <w:sz w:val="32"/>
          <w:szCs w:val="32"/>
          <w:lang w:val="zh-CN" w:eastAsia="zh-CN"/>
        </w:rPr>
        <w:t>公益一类</w:t>
      </w:r>
      <w:r>
        <w:rPr>
          <w:rFonts w:hint="eastAsia" w:ascii="仿宋_GB2312" w:hAnsi="仿宋_GB2312" w:eastAsia="仿宋_GB2312" w:cs="仿宋_GB2312"/>
          <w:color w:val="000000"/>
          <w:sz w:val="32"/>
          <w:szCs w:val="32"/>
          <w:lang w:val="zh-CN"/>
        </w:rPr>
        <w:t>事业</w:t>
      </w:r>
      <w:r>
        <w:rPr>
          <w:rFonts w:hint="eastAsia" w:ascii="仿宋_GB2312" w:hAnsi="仿宋_GB2312" w:eastAsia="仿宋_GB2312" w:cs="仿宋_GB2312"/>
          <w:color w:val="000000"/>
          <w:sz w:val="32"/>
          <w:szCs w:val="32"/>
        </w:rPr>
        <w:t>编制单位。现有职工共计</w:t>
      </w:r>
      <w:r>
        <w:rPr>
          <w:rFonts w:hint="eastAsia" w:ascii="仿宋_GB2312" w:hAnsi="仿宋_GB2312" w:eastAsia="仿宋_GB2312" w:cs="仿宋_GB2312"/>
          <w:color w:val="000000"/>
          <w:sz w:val="32"/>
          <w:szCs w:val="32"/>
          <w:lang w:val="en-US" w:eastAsia="zh-CN"/>
        </w:rPr>
        <w:t>66</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其中在职3</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人，退休</w:t>
      </w:r>
      <w:r>
        <w:rPr>
          <w:rFonts w:hint="eastAsia" w:ascii="仿宋_GB2312" w:hAnsi="仿宋_GB2312" w:eastAsia="仿宋_GB2312" w:cs="仿宋_GB2312"/>
          <w:color w:val="000000"/>
          <w:sz w:val="32"/>
          <w:szCs w:val="32"/>
          <w:lang w:val="en-US" w:eastAsia="zh-CN"/>
        </w:rPr>
        <w:t>33</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财政认账临聘人员</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大竹县房地产管理局无下属二级预算单位。</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纳入大竹县2023年度单位决算编制范围的独立编制机构包括：大竹县房地产管理局。</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78" w:lineRule="exact"/>
        <w:ind w:right="442"/>
        <w:jc w:val="center"/>
        <w:textAlignment w:val="auto"/>
      </w:pPr>
      <w:bookmarkStart w:id="51" w:name="_Toc17870_WPSOffice_Level1"/>
      <w:bookmarkStart w:id="52" w:name="_Toc15377204"/>
      <w:bookmarkStart w:id="53" w:name="_Toc15396602"/>
      <w:r>
        <w:rPr>
          <w:rFonts w:hint="eastAsia" w:ascii="黑体" w:hAnsi="黑体" w:eastAsia="黑体"/>
          <w:b w:val="0"/>
        </w:rPr>
        <w:t>2023年度</w:t>
      </w:r>
      <w:r>
        <w:rPr>
          <w:rStyle w:val="28"/>
          <w:rFonts w:hint="eastAsia" w:ascii="黑体" w:hAnsi="黑体" w:eastAsia="黑体"/>
          <w:b w:val="0"/>
          <w:bCs/>
        </w:rPr>
        <w:t>单位决算情况说明</w:t>
      </w:r>
      <w:bookmarkEnd w:id="51"/>
      <w:bookmarkEnd w:id="52"/>
      <w:bookmarkEnd w:id="53"/>
    </w:p>
    <w:p/>
    <w:p>
      <w:pPr>
        <w:pStyle w:val="27"/>
        <w:numPr>
          <w:ilvl w:val="0"/>
          <w:numId w:val="2"/>
        </w:numPr>
        <w:spacing w:line="600" w:lineRule="exact"/>
        <w:ind w:firstLineChars="0"/>
        <w:outlineLvl w:val="1"/>
        <w:rPr>
          <w:rStyle w:val="29"/>
          <w:rFonts w:ascii="黑体" w:hAnsi="黑体" w:eastAsia="黑体"/>
          <w:b w:val="0"/>
        </w:rPr>
      </w:pPr>
      <w:bookmarkStart w:id="54" w:name="_Toc15377205"/>
      <w:bookmarkStart w:id="55" w:name="_Toc15396603"/>
      <w:bookmarkStart w:id="56" w:name="_Toc13323_WPSOffice_Level2"/>
      <w:r>
        <w:rPr>
          <w:rFonts w:hint="eastAsia" w:ascii="黑体" w:hAnsi="黑体" w:eastAsia="黑体"/>
          <w:sz w:val="32"/>
          <w:szCs w:val="32"/>
        </w:rPr>
        <w:t>收</w:t>
      </w:r>
      <w:r>
        <w:rPr>
          <w:rStyle w:val="29"/>
          <w:rFonts w:hint="eastAsia" w:ascii="黑体" w:hAnsi="黑体" w:eastAsia="黑体"/>
          <w:b w:val="0"/>
        </w:rPr>
        <w:t>入支出决算总体情况说明</w:t>
      </w:r>
      <w:bookmarkEnd w:id="54"/>
      <w:bookmarkEnd w:id="55"/>
      <w:bookmarkEnd w:id="56"/>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2023年度收、支总计均为</w:t>
      </w:r>
      <w:r>
        <w:rPr>
          <w:rFonts w:hint="eastAsia" w:ascii="仿宋_GB2312" w:hAnsi="仿宋_GB2312" w:eastAsia="仿宋_GB2312" w:cs="仿宋_GB2312"/>
          <w:b w:val="0"/>
          <w:bCs/>
          <w:sz w:val="32"/>
          <w:szCs w:val="32"/>
        </w:rPr>
        <w:t>6579.7</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sz w:val="32"/>
          <w:szCs w:val="32"/>
        </w:rPr>
        <w:t>万元。与2022年度相比，收、支总计各增加</w:t>
      </w:r>
      <w:r>
        <w:rPr>
          <w:rFonts w:hint="eastAsia" w:ascii="仿宋_GB2312" w:hAnsi="仿宋_GB2312" w:eastAsia="仿宋_GB2312" w:cs="仿宋_GB2312"/>
          <w:sz w:val="32"/>
          <w:szCs w:val="32"/>
          <w:lang w:val="en-US" w:eastAsia="zh-CN"/>
        </w:rPr>
        <w:t>5020.80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322.07</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城乡社区支出、住房保障支出相关项目资金增加</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（图1：收、支决算总计变动情况图）（柱状图）</w:t>
      </w:r>
    </w:p>
    <w:p>
      <w:pPr>
        <w:pStyle w:val="2"/>
      </w:pPr>
      <w:r>
        <w:drawing>
          <wp:inline distT="0" distB="0" distL="114300" distR="114300">
            <wp:extent cx="5271770" cy="2608580"/>
            <wp:effectExtent l="4445" t="4445" r="19685" b="158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outlineLvl w:val="1"/>
        <w:rPr>
          <w:rStyle w:val="29"/>
          <w:rFonts w:ascii="黑体" w:hAnsi="黑体" w:eastAsia="黑体"/>
          <w:b w:val="0"/>
        </w:rPr>
      </w:pPr>
      <w:bookmarkStart w:id="57" w:name="_Toc15377206"/>
      <w:bookmarkStart w:id="58" w:name="_Toc28357_WPSOffice_Level2"/>
      <w:bookmarkStart w:id="59"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29"/>
          <w:rFonts w:hint="eastAsia" w:ascii="黑体" w:hAnsi="黑体" w:eastAsia="黑体"/>
          <w:b w:val="0"/>
        </w:rPr>
        <w:t>入决算情况说明</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2023年度收入合计6553.18万元，其中：一般公共预算财政拨款收入6553.18万元，占100%</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仿宋_GB2312" w:hAnsi="仿宋_GB2312" w:eastAsia="仿宋_GB2312" w:cs="仿宋_GB2312"/>
          <w:b w:val="0"/>
          <w:bCs w:val="0"/>
          <w:sz w:val="32"/>
          <w:szCs w:val="32"/>
        </w:rPr>
      </w:pPr>
      <w:r>
        <w:drawing>
          <wp:anchor distT="0" distB="0" distL="114300" distR="114300" simplePos="0" relativeHeight="251661312" behindDoc="0" locked="0" layoutInCell="1" allowOverlap="1">
            <wp:simplePos x="0" y="0"/>
            <wp:positionH relativeFrom="column">
              <wp:posOffset>432435</wp:posOffset>
            </wp:positionH>
            <wp:positionV relativeFrom="paragraph">
              <wp:posOffset>410210</wp:posOffset>
            </wp:positionV>
            <wp:extent cx="4067175" cy="2172335"/>
            <wp:effectExtent l="5080" t="4445" r="4445" b="1397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b w:val="0"/>
          <w:bCs w:val="0"/>
          <w:sz w:val="32"/>
          <w:szCs w:val="32"/>
        </w:rPr>
        <w:t>（图2：收入决算结构图）（饼状图）</w:t>
      </w:r>
    </w:p>
    <w:p>
      <w:pPr>
        <w:pStyle w:val="2"/>
        <w:jc w:val="center"/>
        <w:rPr>
          <w:rFonts w:hint="eastAsia" w:ascii="仿宋" w:hAnsi="仿宋" w:eastAsia="仿宋"/>
          <w:sz w:val="32"/>
          <w:szCs w:val="32"/>
        </w:rPr>
      </w:pPr>
    </w:p>
    <w:p>
      <w:pPr>
        <w:pStyle w:val="2"/>
        <w:rPr>
          <w:rFonts w:hint="eastAsia" w:ascii="仿宋" w:hAnsi="仿宋" w:eastAsia="仿宋"/>
          <w:sz w:val="32"/>
          <w:szCs w:val="32"/>
          <w:lang w:eastAsia="zh-CN"/>
        </w:rPr>
      </w:pPr>
    </w:p>
    <w:p>
      <w:pPr>
        <w:pStyle w:val="27"/>
        <w:numPr>
          <w:ilvl w:val="0"/>
          <w:numId w:val="0"/>
        </w:numPr>
        <w:spacing w:line="600" w:lineRule="exact"/>
        <w:ind w:left="640" w:leftChars="0"/>
        <w:outlineLvl w:val="1"/>
        <w:rPr>
          <w:rFonts w:hint="eastAsia" w:ascii="黑体" w:hAnsi="黑体" w:eastAsia="黑体"/>
          <w:sz w:val="32"/>
          <w:szCs w:val="32"/>
          <w:lang w:eastAsia="zh-CN"/>
        </w:rPr>
      </w:pPr>
      <w:bookmarkStart w:id="60" w:name="_Toc15396605"/>
      <w:bookmarkStart w:id="61" w:name="_Toc32216_WPSOffice_Level2"/>
      <w:bookmarkStart w:id="62" w:name="_Toc15377207"/>
    </w:p>
    <w:p>
      <w:pPr>
        <w:pStyle w:val="27"/>
        <w:numPr>
          <w:ilvl w:val="0"/>
          <w:numId w:val="0"/>
        </w:numPr>
        <w:spacing w:line="600" w:lineRule="exact"/>
        <w:ind w:left="640" w:leftChars="0"/>
        <w:outlineLvl w:val="1"/>
        <w:rPr>
          <w:rFonts w:hint="eastAsia" w:ascii="黑体" w:hAnsi="黑体" w:eastAsia="黑体"/>
          <w:sz w:val="32"/>
          <w:szCs w:val="32"/>
          <w:lang w:eastAsia="zh-CN"/>
        </w:rPr>
      </w:pPr>
    </w:p>
    <w:p>
      <w:pPr>
        <w:pStyle w:val="27"/>
        <w:numPr>
          <w:ilvl w:val="0"/>
          <w:numId w:val="0"/>
        </w:numPr>
        <w:spacing w:line="600" w:lineRule="exact"/>
        <w:ind w:left="640" w:leftChars="0"/>
        <w:outlineLvl w:val="1"/>
        <w:rPr>
          <w:rStyle w:val="29"/>
          <w:rFonts w:ascii="黑体" w:hAnsi="黑体" w:eastAsia="黑体"/>
          <w:b w:val="0"/>
        </w:rPr>
      </w:pPr>
      <w:r>
        <w:rPr>
          <w:rFonts w:hint="eastAsia" w:ascii="黑体" w:hAnsi="黑体" w:eastAsia="黑体"/>
          <w:sz w:val="32"/>
          <w:szCs w:val="32"/>
          <w:lang w:eastAsia="zh-CN"/>
        </w:rPr>
        <w:t>三、</w:t>
      </w:r>
      <w:r>
        <w:rPr>
          <w:rFonts w:hint="eastAsia" w:ascii="黑体" w:hAnsi="黑体" w:eastAsia="黑体"/>
          <w:sz w:val="32"/>
          <w:szCs w:val="32"/>
        </w:rPr>
        <w:t>支</w:t>
      </w:r>
      <w:r>
        <w:rPr>
          <w:rStyle w:val="29"/>
          <w:rFonts w:hint="eastAsia" w:ascii="黑体" w:hAnsi="黑体" w:eastAsia="黑体"/>
          <w:b w:val="0"/>
        </w:rPr>
        <w:t>出决算情况说明</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2023年度支出合计6579.7</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万元，其中：基本支出683.58万元，占10.3</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%；项目支出5896.12万元，占89.61%；。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（图3：支出决算结构图）（饼状图）</w:t>
      </w:r>
    </w:p>
    <w:p>
      <w:pPr>
        <w:pStyle w:val="2"/>
        <w:jc w:val="center"/>
      </w:pPr>
      <w:r>
        <w:drawing>
          <wp:inline distT="0" distB="0" distL="114300" distR="114300">
            <wp:extent cx="4035425" cy="2265680"/>
            <wp:effectExtent l="4445" t="4445" r="17780" b="1587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9"/>
          <w:rFonts w:ascii="黑体" w:hAnsi="黑体" w:eastAsia="黑体"/>
          <w:b w:val="0"/>
        </w:rPr>
      </w:pPr>
      <w:bookmarkStart w:id="63" w:name="_Toc3531_WPSOffice_Level2"/>
      <w:bookmarkStart w:id="64" w:name="_Toc15377208"/>
      <w:bookmarkStart w:id="6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63"/>
      <w:bookmarkEnd w:id="64"/>
      <w:bookmarkEnd w:id="65"/>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2023年度财政拨款收、支总计</w:t>
      </w:r>
      <w:r>
        <w:rPr>
          <w:rFonts w:hint="eastAsia" w:ascii="仿宋_GB2312" w:hAnsi="仿宋_GB2312" w:eastAsia="仿宋_GB2312" w:cs="仿宋_GB2312"/>
          <w:b w:val="0"/>
          <w:bCs w:val="0"/>
          <w:sz w:val="32"/>
          <w:szCs w:val="32"/>
        </w:rPr>
        <w:t>均为6579.7</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万元。与</w:t>
      </w:r>
      <w:r>
        <w:rPr>
          <w:rFonts w:hint="eastAsia" w:ascii="仿宋_GB2312" w:hAnsi="仿宋_GB2312" w:eastAsia="仿宋_GB2312" w:cs="仿宋_GB2312"/>
          <w:sz w:val="32"/>
          <w:szCs w:val="32"/>
        </w:rPr>
        <w:t>2022年度相比，财政拨款收、支总计各增加</w:t>
      </w:r>
      <w:r>
        <w:rPr>
          <w:rFonts w:hint="eastAsia" w:ascii="仿宋_GB2312" w:hAnsi="仿宋_GB2312" w:eastAsia="仿宋_GB2312" w:cs="仿宋_GB2312"/>
          <w:sz w:val="32"/>
          <w:szCs w:val="32"/>
          <w:lang w:val="en-US" w:eastAsia="zh-CN"/>
        </w:rPr>
        <w:t>5020.80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322.07</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城乡社区支出、住房保障支出相关项目资金增加。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（图4：财政拨款收、支决算总计变动情况）（柱状图）</w:t>
      </w:r>
    </w:p>
    <w:p>
      <w:pPr>
        <w:spacing w:line="600" w:lineRule="exact"/>
        <w:ind w:firstLine="420" w:firstLineChars="200"/>
        <w:jc w:val="left"/>
      </w:pPr>
      <w:r>
        <w:drawing>
          <wp:anchor distT="0" distB="0" distL="114300" distR="114300" simplePos="0" relativeHeight="251659264" behindDoc="0" locked="0" layoutInCell="1" allowOverlap="1">
            <wp:simplePos x="0" y="0"/>
            <wp:positionH relativeFrom="column">
              <wp:posOffset>496570</wp:posOffset>
            </wp:positionH>
            <wp:positionV relativeFrom="paragraph">
              <wp:posOffset>337185</wp:posOffset>
            </wp:positionV>
            <wp:extent cx="4528820" cy="2162175"/>
            <wp:effectExtent l="5080" t="4445" r="19050" b="508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pPr>
    </w:p>
    <w:p>
      <w:pPr>
        <w:spacing w:line="600" w:lineRule="exact"/>
        <w:ind w:firstLine="640" w:firstLineChars="200"/>
        <w:outlineLvl w:val="1"/>
        <w:rPr>
          <w:rFonts w:hint="eastAsia" w:ascii="黑体" w:hAnsi="黑体" w:eastAsia="黑体"/>
          <w:sz w:val="32"/>
          <w:szCs w:val="32"/>
        </w:rPr>
      </w:pPr>
      <w:bookmarkStart w:id="66" w:name="_Toc15396607"/>
      <w:bookmarkStart w:id="67" w:name="_Toc30115_WPSOffice_Level2"/>
      <w:bookmarkStart w:id="68" w:name="_Toc15377209"/>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Style w:val="29"/>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66"/>
      <w:bookmarkEnd w:id="67"/>
      <w:bookmarkEnd w:id="68"/>
    </w:p>
    <w:p>
      <w:pPr>
        <w:spacing w:line="600" w:lineRule="exact"/>
        <w:ind w:firstLine="640" w:firstLineChars="200"/>
        <w:outlineLvl w:val="2"/>
        <w:rPr>
          <w:rFonts w:hint="eastAsia" w:ascii="楷体_GB2312" w:hAnsi="楷体_GB2312" w:eastAsia="楷体_GB2312" w:cs="楷体_GB2312"/>
          <w:b w:val="0"/>
          <w:bCs/>
          <w:sz w:val="32"/>
          <w:szCs w:val="32"/>
        </w:rPr>
      </w:pPr>
      <w:bookmarkStart w:id="69" w:name="_Toc15377210"/>
      <w:r>
        <w:rPr>
          <w:rFonts w:hint="eastAsia" w:ascii="楷体_GB2312" w:hAnsi="楷体_GB2312" w:eastAsia="楷体_GB2312" w:cs="楷体_GB2312"/>
          <w:b w:val="0"/>
          <w:bCs/>
          <w:sz w:val="32"/>
          <w:szCs w:val="32"/>
        </w:rPr>
        <w:t>（一）一般公共预算财政拨款支出决算总体情况</w:t>
      </w:r>
      <w:bookmarkEnd w:id="6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w:t>
      </w:r>
      <w:r>
        <w:rPr>
          <w:rFonts w:hint="eastAsia" w:ascii="仿宋_GB2312" w:hAnsi="仿宋_GB2312" w:eastAsia="仿宋_GB2312" w:cs="仿宋_GB2312"/>
          <w:b w:val="0"/>
          <w:bCs w:val="0"/>
          <w:sz w:val="32"/>
          <w:szCs w:val="32"/>
        </w:rPr>
        <w:t>般公共预算财政拨款支出6579.7</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万元，占本年支出合计的100%。与2022年度相</w:t>
      </w:r>
      <w:r>
        <w:rPr>
          <w:rFonts w:hint="eastAsia" w:ascii="仿宋_GB2312" w:hAnsi="仿宋_GB2312" w:eastAsia="仿宋_GB2312" w:cs="仿宋_GB2312"/>
          <w:sz w:val="32"/>
          <w:szCs w:val="32"/>
        </w:rPr>
        <w:t>比，一般公共预算财政拨款支出增加</w:t>
      </w:r>
      <w:r>
        <w:rPr>
          <w:rFonts w:hint="eastAsia" w:ascii="仿宋_GB2312" w:hAnsi="仿宋_GB2312" w:eastAsia="仿宋_GB2312" w:cs="仿宋_GB2312"/>
          <w:sz w:val="32"/>
          <w:szCs w:val="32"/>
          <w:lang w:val="en-US" w:eastAsia="zh-CN"/>
        </w:rPr>
        <w:t>5020.80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322.07</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城乡社区支出、住房保障支出相关项目资金增加。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（图5：一般公共预算财政拨款支出决算变动情况）（柱状图）</w:t>
      </w:r>
    </w:p>
    <w:p>
      <w:pPr>
        <w:pStyle w:val="2"/>
        <w:jc w:val="center"/>
        <w:rPr>
          <w:rFonts w:ascii="仿宋" w:hAnsi="仿宋" w:eastAsia="仿宋"/>
          <w:sz w:val="32"/>
          <w:szCs w:val="32"/>
        </w:rPr>
      </w:pPr>
      <w:r>
        <w:drawing>
          <wp:inline distT="0" distB="0" distL="114300" distR="114300">
            <wp:extent cx="5191125" cy="2743200"/>
            <wp:effectExtent l="4445" t="4445" r="5080"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bookmarkStart w:id="70" w:name="_Toc15377211"/>
      <w:r>
        <w:rPr>
          <w:rFonts w:hint="eastAsia" w:ascii="楷体_GB2312" w:hAnsi="楷体_GB2312" w:eastAsia="楷体_GB2312" w:cs="楷体_GB2312"/>
          <w:b w:val="0"/>
          <w:bCs/>
          <w:sz w:val="32"/>
          <w:szCs w:val="32"/>
        </w:rPr>
        <w:t>（二）一般公共预算财政拨款支出决算结构情况</w:t>
      </w:r>
      <w:bookmarkEnd w:id="70"/>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2023年度一般公共预算财政拨款支出6579.7</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万元，主要用于以下方面:社会保障和就业支出</w:t>
      </w:r>
      <w:r>
        <w:rPr>
          <w:rFonts w:hint="eastAsia" w:ascii="仿宋_GB2312" w:hAnsi="仿宋_GB2312" w:eastAsia="仿宋_GB2312" w:cs="仿宋_GB2312"/>
          <w:b w:val="0"/>
          <w:bCs w:val="0"/>
          <w:sz w:val="32"/>
          <w:szCs w:val="32"/>
          <w:lang w:val="en-US" w:eastAsia="zh-CN"/>
        </w:rPr>
        <w:t>120.69</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1.83</w:t>
      </w:r>
      <w:r>
        <w:rPr>
          <w:rFonts w:hint="eastAsia" w:ascii="仿宋_GB2312" w:hAnsi="仿宋_GB2312" w:eastAsia="仿宋_GB2312" w:cs="仿宋_GB2312"/>
          <w:b w:val="0"/>
          <w:bCs w:val="0"/>
          <w:sz w:val="32"/>
          <w:szCs w:val="32"/>
        </w:rPr>
        <w:t>%；卫生健康支出19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63万元，占</w:t>
      </w:r>
      <w:r>
        <w:rPr>
          <w:rFonts w:hint="eastAsia" w:ascii="仿宋_GB2312" w:hAnsi="仿宋_GB2312" w:eastAsia="仿宋_GB2312" w:cs="仿宋_GB2312"/>
          <w:b w:val="0"/>
          <w:bCs w:val="0"/>
          <w:sz w:val="32"/>
          <w:szCs w:val="32"/>
          <w:lang w:val="en-US" w:eastAsia="zh-CN"/>
        </w:rPr>
        <w:t>0.30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城乡社区支出2080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21万元，</w:t>
      </w:r>
      <w:r>
        <w:rPr>
          <w:rFonts w:hint="eastAsia" w:ascii="仿宋_GB2312" w:hAnsi="仿宋_GB2312" w:eastAsia="仿宋_GB2312" w:cs="仿宋_GB2312"/>
          <w:b w:val="0"/>
          <w:bCs w:val="0"/>
          <w:sz w:val="32"/>
          <w:szCs w:val="32"/>
        </w:rPr>
        <w:t>占</w:t>
      </w:r>
      <w:r>
        <w:rPr>
          <w:rFonts w:hint="eastAsia" w:ascii="仿宋_GB2312" w:hAnsi="仿宋_GB2312" w:eastAsia="仿宋_GB2312" w:cs="仿宋_GB2312"/>
          <w:b w:val="0"/>
          <w:bCs w:val="0"/>
          <w:sz w:val="32"/>
          <w:szCs w:val="32"/>
          <w:lang w:val="en-US" w:eastAsia="zh-CN"/>
        </w:rPr>
        <w:t>31.62</w:t>
      </w:r>
      <w:r>
        <w:rPr>
          <w:rFonts w:hint="eastAsia" w:ascii="仿宋_GB2312" w:hAnsi="仿宋_GB2312" w:eastAsia="仿宋_GB2312" w:cs="仿宋_GB2312"/>
          <w:b w:val="0"/>
          <w:bCs w:val="0"/>
          <w:sz w:val="32"/>
          <w:szCs w:val="32"/>
        </w:rPr>
        <w:t>%；住房保障支出4359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16万元，占</w:t>
      </w:r>
      <w:r>
        <w:rPr>
          <w:rFonts w:hint="eastAsia" w:ascii="仿宋_GB2312" w:hAnsi="仿宋_GB2312" w:eastAsia="仿宋_GB2312" w:cs="仿宋_GB2312"/>
          <w:b w:val="0"/>
          <w:bCs w:val="0"/>
          <w:sz w:val="32"/>
          <w:szCs w:val="32"/>
          <w:lang w:val="en-US" w:eastAsia="zh-CN"/>
        </w:rPr>
        <w:t>66.25%</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（图6：一般公共预算财政拨款支出决算结构）（饼状图）</w:t>
      </w:r>
    </w:p>
    <w:p>
      <w:pPr>
        <w:pStyle w:val="2"/>
      </w:pPr>
      <w:r>
        <w:drawing>
          <wp:anchor distT="0" distB="0" distL="114300" distR="114300" simplePos="0" relativeHeight="251660288" behindDoc="0" locked="0" layoutInCell="1" allowOverlap="1">
            <wp:simplePos x="0" y="0"/>
            <wp:positionH relativeFrom="column">
              <wp:posOffset>433070</wp:posOffset>
            </wp:positionH>
            <wp:positionV relativeFrom="paragraph">
              <wp:posOffset>52070</wp:posOffset>
            </wp:positionV>
            <wp:extent cx="4572000" cy="2743200"/>
            <wp:effectExtent l="4445" t="4445" r="14605" b="1460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bookmarkStart w:id="71" w:name="_Toc15377212"/>
      <w:r>
        <w:rPr>
          <w:rFonts w:hint="eastAsia" w:ascii="楷体_GB2312" w:hAnsi="楷体_GB2312" w:eastAsia="楷体_GB2312" w:cs="楷体_GB2312"/>
          <w:b w:val="0"/>
          <w:bCs/>
          <w:sz w:val="32"/>
          <w:szCs w:val="32"/>
        </w:rPr>
        <w:t>（三）一般公共预算财政拨款支出决算具体情况</w:t>
      </w:r>
      <w:bookmarkEnd w:id="71"/>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7"/>
          <w:rFonts w:hint="eastAsia" w:ascii="仿宋_GB2312" w:hAnsi="仿宋_GB2312" w:eastAsia="仿宋_GB2312" w:cs="仿宋_GB2312"/>
          <w:b w:val="0"/>
          <w:bCs/>
          <w:sz w:val="32"/>
          <w:szCs w:val="32"/>
        </w:rPr>
      </w:pPr>
      <w:bookmarkStart w:id="72" w:name="_Toc15378460"/>
      <w:bookmarkStart w:id="73" w:name="_Toc15377444"/>
      <w:bookmarkStart w:id="74" w:name="_Toc15377213"/>
      <w:r>
        <w:rPr>
          <w:rStyle w:val="17"/>
          <w:rFonts w:hint="eastAsia" w:ascii="仿宋_GB2312" w:hAnsi="仿宋_GB2312" w:eastAsia="仿宋_GB2312" w:cs="仿宋_GB2312"/>
          <w:bCs/>
          <w:sz w:val="32"/>
          <w:szCs w:val="32"/>
        </w:rPr>
        <w:t>2023年度一般公共预算</w:t>
      </w:r>
      <w:r>
        <w:rPr>
          <w:rStyle w:val="17"/>
          <w:rFonts w:hint="eastAsia" w:ascii="仿宋_GB2312" w:hAnsi="仿宋_GB2312" w:eastAsia="仿宋_GB2312" w:cs="仿宋_GB2312"/>
          <w:bCs/>
          <w:sz w:val="32"/>
          <w:szCs w:val="32"/>
          <w:lang w:eastAsia="zh-CN"/>
        </w:rPr>
        <w:t>财政拨款</w:t>
      </w:r>
      <w:r>
        <w:rPr>
          <w:rStyle w:val="17"/>
          <w:rFonts w:hint="eastAsia" w:ascii="仿宋_GB2312" w:hAnsi="仿宋_GB2312" w:eastAsia="仿宋_GB2312" w:cs="仿宋_GB2312"/>
          <w:bCs/>
          <w:sz w:val="32"/>
          <w:szCs w:val="32"/>
        </w:rPr>
        <w:t>支出决算数为6579.7</w:t>
      </w:r>
      <w:r>
        <w:rPr>
          <w:rStyle w:val="17"/>
          <w:rFonts w:hint="eastAsia" w:ascii="仿宋_GB2312" w:hAnsi="仿宋_GB2312" w:eastAsia="仿宋_GB2312" w:cs="仿宋_GB2312"/>
          <w:bCs/>
          <w:sz w:val="32"/>
          <w:szCs w:val="32"/>
          <w:lang w:val="en-US" w:eastAsia="zh-CN"/>
        </w:rPr>
        <w:t>0万元</w:t>
      </w:r>
      <w:r>
        <w:rPr>
          <w:rStyle w:val="17"/>
          <w:rFonts w:hint="eastAsia" w:ascii="仿宋_GB2312" w:hAnsi="仿宋_GB2312" w:eastAsia="仿宋_GB2312" w:cs="仿宋_GB2312"/>
          <w:bCs/>
          <w:sz w:val="32"/>
          <w:szCs w:val="32"/>
        </w:rPr>
        <w:t>，完成预算</w:t>
      </w:r>
      <w:r>
        <w:rPr>
          <w:rStyle w:val="17"/>
          <w:rFonts w:hint="eastAsia" w:ascii="仿宋_GB2312" w:hAnsi="仿宋_GB2312" w:eastAsia="仿宋_GB2312" w:cs="仿宋_GB2312"/>
          <w:bCs/>
          <w:sz w:val="32"/>
          <w:szCs w:val="32"/>
          <w:lang w:val="en-US" w:eastAsia="zh-CN"/>
        </w:rPr>
        <w:t>100</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其中：</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sz w:val="32"/>
          <w:szCs w:val="32"/>
        </w:rPr>
      </w:pPr>
      <w:r>
        <w:rPr>
          <w:rStyle w:val="17"/>
          <w:rFonts w:hint="eastAsia" w:ascii="仿宋_GB2312" w:hAnsi="仿宋_GB2312" w:eastAsia="仿宋_GB2312" w:cs="仿宋_GB2312"/>
          <w:bCs/>
          <w:sz w:val="32"/>
          <w:szCs w:val="32"/>
        </w:rPr>
        <w:t>1.社会保障和就业</w:t>
      </w:r>
      <w:r>
        <w:rPr>
          <w:rStyle w:val="17"/>
          <w:rFonts w:hint="eastAsia" w:ascii="仿宋_GB2312" w:hAnsi="仿宋_GB2312" w:eastAsia="仿宋_GB2312" w:cs="仿宋_GB2312"/>
          <w:bCs/>
          <w:sz w:val="32"/>
          <w:szCs w:val="32"/>
          <w:lang w:eastAsia="zh-CN"/>
        </w:rPr>
        <w:t>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208</w:t>
      </w:r>
      <w:r>
        <w:rPr>
          <w:rStyle w:val="17"/>
          <w:rFonts w:hint="eastAsia" w:ascii="仿宋_GB2312" w:hAnsi="仿宋_GB2312" w:eastAsia="仿宋_GB2312" w:cs="仿宋_GB2312"/>
          <w:bCs/>
          <w:sz w:val="32"/>
          <w:szCs w:val="32"/>
        </w:rPr>
        <w:t>）行政事业单位养老支出（</w:t>
      </w:r>
      <w:r>
        <w:rPr>
          <w:rStyle w:val="17"/>
          <w:rFonts w:hint="eastAsia" w:ascii="仿宋_GB2312" w:hAnsi="仿宋_GB2312" w:eastAsia="仿宋_GB2312" w:cs="仿宋_GB2312"/>
          <w:bCs/>
          <w:sz w:val="32"/>
          <w:szCs w:val="32"/>
          <w:lang w:val="en-US" w:eastAsia="zh-CN"/>
        </w:rPr>
        <w:t>05</w:t>
      </w:r>
      <w:r>
        <w:rPr>
          <w:rStyle w:val="17"/>
          <w:rFonts w:hint="eastAsia" w:ascii="仿宋_GB2312" w:hAnsi="仿宋_GB2312" w:eastAsia="仿宋_GB2312" w:cs="仿宋_GB2312"/>
          <w:bCs/>
          <w:sz w:val="32"/>
          <w:szCs w:val="32"/>
        </w:rPr>
        <w:t>）机关事业单位基本养老保险缴费支出（</w:t>
      </w:r>
      <w:r>
        <w:rPr>
          <w:rStyle w:val="17"/>
          <w:rFonts w:hint="eastAsia" w:ascii="仿宋_GB2312" w:hAnsi="仿宋_GB2312" w:eastAsia="仿宋_GB2312" w:cs="仿宋_GB2312"/>
          <w:bCs/>
          <w:sz w:val="32"/>
          <w:szCs w:val="32"/>
          <w:lang w:val="en-US" w:eastAsia="zh-CN"/>
        </w:rPr>
        <w:t>05</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37.02</w:t>
      </w:r>
      <w:r>
        <w:rPr>
          <w:rStyle w:val="17"/>
          <w:rFonts w:hint="eastAsia" w:ascii="仿宋_GB2312" w:hAnsi="仿宋_GB2312" w:eastAsia="仿宋_GB2312" w:cs="仿宋_GB2312"/>
          <w:b w:val="0"/>
          <w:bCs/>
          <w:sz w:val="32"/>
          <w:szCs w:val="32"/>
        </w:rPr>
        <w:t>万元，完成预</w:t>
      </w:r>
      <w:bookmarkStart w:id="130" w:name="_GoBack"/>
      <w:bookmarkEnd w:id="130"/>
      <w:r>
        <w:rPr>
          <w:rStyle w:val="17"/>
          <w:rFonts w:hint="eastAsia" w:ascii="仿宋_GB2312" w:hAnsi="仿宋_GB2312" w:eastAsia="仿宋_GB2312" w:cs="仿宋_GB2312"/>
          <w:b w:val="0"/>
          <w:bCs/>
          <w:sz w:val="32"/>
          <w:szCs w:val="32"/>
        </w:rPr>
        <w:t>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rPr>
      </w:pPr>
      <w:r>
        <w:rPr>
          <w:rStyle w:val="17"/>
          <w:rFonts w:hint="eastAsia" w:ascii="仿宋_GB2312" w:hAnsi="仿宋_GB2312" w:eastAsia="仿宋_GB2312" w:cs="仿宋_GB2312"/>
          <w:bCs/>
          <w:sz w:val="32"/>
          <w:szCs w:val="32"/>
        </w:rPr>
        <w:t>2.社会保障和就业</w:t>
      </w:r>
      <w:r>
        <w:rPr>
          <w:rStyle w:val="17"/>
          <w:rFonts w:hint="eastAsia" w:ascii="仿宋_GB2312" w:hAnsi="仿宋_GB2312" w:eastAsia="仿宋_GB2312" w:cs="仿宋_GB2312"/>
          <w:bCs/>
          <w:sz w:val="32"/>
          <w:szCs w:val="32"/>
          <w:lang w:eastAsia="zh-CN"/>
        </w:rPr>
        <w:t>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208</w:t>
      </w:r>
      <w:r>
        <w:rPr>
          <w:rStyle w:val="17"/>
          <w:rFonts w:hint="eastAsia" w:ascii="仿宋_GB2312" w:hAnsi="仿宋_GB2312" w:eastAsia="仿宋_GB2312" w:cs="仿宋_GB2312"/>
          <w:bCs/>
          <w:sz w:val="32"/>
          <w:szCs w:val="32"/>
        </w:rPr>
        <w:t>）行政事业单位养老支出（</w:t>
      </w:r>
      <w:r>
        <w:rPr>
          <w:rStyle w:val="17"/>
          <w:rFonts w:hint="eastAsia" w:ascii="仿宋_GB2312" w:hAnsi="仿宋_GB2312" w:eastAsia="仿宋_GB2312" w:cs="仿宋_GB2312"/>
          <w:bCs/>
          <w:sz w:val="32"/>
          <w:szCs w:val="32"/>
          <w:lang w:val="en-US" w:eastAsia="zh-CN"/>
        </w:rPr>
        <w:t>05</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事业单位离退休</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02</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9.52</w:t>
      </w:r>
      <w:r>
        <w:rPr>
          <w:rStyle w:val="17"/>
          <w:rFonts w:hint="eastAsia" w:ascii="仿宋_GB2312" w:hAnsi="仿宋_GB2312" w:eastAsia="仿宋_GB2312" w:cs="仿宋_GB2312"/>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sz w:val="32"/>
          <w:szCs w:val="32"/>
          <w:lang w:eastAsia="zh-CN"/>
        </w:rPr>
      </w:pPr>
      <w:r>
        <w:rPr>
          <w:rStyle w:val="17"/>
          <w:rFonts w:hint="eastAsia" w:ascii="仿宋_GB2312" w:hAnsi="仿宋_GB2312" w:eastAsia="仿宋_GB2312" w:cs="仿宋_GB2312"/>
          <w:bCs/>
          <w:sz w:val="32"/>
          <w:szCs w:val="32"/>
        </w:rPr>
        <w:t>3.社会保障和就业</w:t>
      </w:r>
      <w:r>
        <w:rPr>
          <w:rStyle w:val="17"/>
          <w:rFonts w:hint="eastAsia" w:ascii="仿宋_GB2312" w:hAnsi="仿宋_GB2312" w:eastAsia="仿宋_GB2312" w:cs="仿宋_GB2312"/>
          <w:bCs/>
          <w:sz w:val="32"/>
          <w:szCs w:val="32"/>
          <w:lang w:eastAsia="zh-CN"/>
        </w:rPr>
        <w:t>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208</w:t>
      </w:r>
      <w:r>
        <w:rPr>
          <w:rStyle w:val="17"/>
          <w:rFonts w:hint="eastAsia" w:ascii="仿宋_GB2312" w:hAnsi="仿宋_GB2312" w:eastAsia="仿宋_GB2312" w:cs="仿宋_GB2312"/>
          <w:bCs/>
          <w:sz w:val="32"/>
          <w:szCs w:val="32"/>
        </w:rPr>
        <w:t>）行政事业单位养老支出（</w:t>
      </w:r>
      <w:r>
        <w:rPr>
          <w:rStyle w:val="17"/>
          <w:rFonts w:hint="eastAsia" w:ascii="仿宋_GB2312" w:hAnsi="仿宋_GB2312" w:eastAsia="仿宋_GB2312" w:cs="仿宋_GB2312"/>
          <w:bCs/>
          <w:sz w:val="32"/>
          <w:szCs w:val="32"/>
          <w:lang w:val="en-US" w:eastAsia="zh-CN"/>
        </w:rPr>
        <w:t>05</w:t>
      </w:r>
      <w:r>
        <w:rPr>
          <w:rStyle w:val="17"/>
          <w:rFonts w:hint="eastAsia" w:ascii="仿宋_GB2312" w:hAnsi="仿宋_GB2312" w:eastAsia="仿宋_GB2312" w:cs="仿宋_GB2312"/>
          <w:bCs/>
          <w:sz w:val="32"/>
          <w:szCs w:val="32"/>
        </w:rPr>
        <w:t>）其他行政事业单位养老支出（</w:t>
      </w:r>
      <w:r>
        <w:rPr>
          <w:rStyle w:val="17"/>
          <w:rFonts w:hint="eastAsia" w:ascii="仿宋_GB2312" w:hAnsi="仿宋_GB2312" w:eastAsia="仿宋_GB2312" w:cs="仿宋_GB2312"/>
          <w:bCs/>
          <w:sz w:val="32"/>
          <w:szCs w:val="32"/>
          <w:lang w:val="en-US" w:eastAsia="zh-CN"/>
        </w:rPr>
        <w:t>99</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w:t>
      </w:r>
      <w:r>
        <w:rPr>
          <w:rStyle w:val="17"/>
          <w:rFonts w:hint="eastAsia" w:ascii="仿宋_GB2312" w:hAnsi="仿宋_GB2312" w:eastAsia="仿宋_GB2312" w:cs="仿宋_GB2312"/>
          <w:b w:val="0"/>
          <w:bCs/>
          <w:sz w:val="32"/>
          <w:szCs w:val="32"/>
          <w:lang w:val="en-US" w:eastAsia="zh-CN"/>
        </w:rPr>
        <w:t>58.65</w:t>
      </w:r>
      <w:r>
        <w:rPr>
          <w:rStyle w:val="17"/>
          <w:rFonts w:hint="eastAsia" w:ascii="仿宋_GB2312" w:hAnsi="仿宋_GB2312" w:eastAsia="仿宋_GB2312" w:cs="仿宋_GB2312"/>
          <w:b w:val="0"/>
          <w:bCs/>
          <w:sz w:val="32"/>
          <w:szCs w:val="32"/>
        </w:rPr>
        <w:t>万元，完成预算100%</w:t>
      </w:r>
      <w:r>
        <w:rPr>
          <w:rStyle w:val="17"/>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sz w:val="32"/>
          <w:szCs w:val="32"/>
        </w:rPr>
      </w:pPr>
      <w:r>
        <w:rPr>
          <w:rStyle w:val="17"/>
          <w:rFonts w:hint="eastAsia" w:ascii="仿宋_GB2312" w:hAnsi="仿宋_GB2312" w:eastAsia="仿宋_GB2312" w:cs="仿宋_GB2312"/>
          <w:bCs/>
          <w:sz w:val="32"/>
          <w:szCs w:val="32"/>
        </w:rPr>
        <w:t>4.社会保障和就业</w:t>
      </w:r>
      <w:r>
        <w:rPr>
          <w:rStyle w:val="17"/>
          <w:rFonts w:hint="eastAsia" w:ascii="仿宋_GB2312" w:hAnsi="仿宋_GB2312" w:eastAsia="仿宋_GB2312" w:cs="仿宋_GB2312"/>
          <w:bCs/>
          <w:sz w:val="32"/>
          <w:szCs w:val="32"/>
          <w:lang w:eastAsia="zh-CN"/>
        </w:rPr>
        <w:t>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208</w:t>
      </w:r>
      <w:r>
        <w:rPr>
          <w:rStyle w:val="17"/>
          <w:rFonts w:hint="eastAsia" w:ascii="仿宋_GB2312" w:hAnsi="仿宋_GB2312" w:eastAsia="仿宋_GB2312" w:cs="仿宋_GB2312"/>
          <w:bCs/>
          <w:sz w:val="32"/>
          <w:szCs w:val="32"/>
        </w:rPr>
        <w:t>）行政事业单位养老支出（</w:t>
      </w:r>
      <w:r>
        <w:rPr>
          <w:rStyle w:val="17"/>
          <w:rFonts w:hint="eastAsia" w:ascii="仿宋_GB2312" w:hAnsi="仿宋_GB2312" w:eastAsia="仿宋_GB2312" w:cs="仿宋_GB2312"/>
          <w:bCs/>
          <w:sz w:val="32"/>
          <w:szCs w:val="32"/>
          <w:lang w:val="en-US" w:eastAsia="zh-CN"/>
        </w:rPr>
        <w:t>05</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机关事业单位职业年金缴费支出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06</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9.98</w:t>
      </w:r>
      <w:r>
        <w:rPr>
          <w:rStyle w:val="17"/>
          <w:rFonts w:hint="eastAsia" w:ascii="仿宋_GB2312" w:hAnsi="仿宋_GB2312" w:eastAsia="仿宋_GB2312" w:cs="仿宋_GB2312"/>
          <w:b w:val="0"/>
          <w:bCs/>
          <w:sz w:val="32"/>
          <w:szCs w:val="32"/>
        </w:rPr>
        <w:t>万元，完成预算100%</w:t>
      </w:r>
      <w:r>
        <w:rPr>
          <w:rStyle w:val="17"/>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sz w:val="32"/>
          <w:szCs w:val="32"/>
        </w:rPr>
      </w:pPr>
      <w:r>
        <w:rPr>
          <w:rStyle w:val="17"/>
          <w:rFonts w:hint="eastAsia" w:ascii="仿宋_GB2312" w:hAnsi="仿宋_GB2312" w:eastAsia="仿宋_GB2312" w:cs="仿宋_GB2312"/>
          <w:bCs/>
          <w:sz w:val="32"/>
          <w:szCs w:val="32"/>
        </w:rPr>
        <w:t>5.社会保障和就业</w:t>
      </w:r>
      <w:r>
        <w:rPr>
          <w:rStyle w:val="17"/>
          <w:rFonts w:hint="eastAsia" w:ascii="仿宋_GB2312" w:hAnsi="仿宋_GB2312" w:eastAsia="仿宋_GB2312" w:cs="仿宋_GB2312"/>
          <w:bCs/>
          <w:sz w:val="32"/>
          <w:szCs w:val="32"/>
          <w:lang w:eastAsia="zh-CN"/>
        </w:rPr>
        <w:t>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208</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抚恤</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08</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死亡抚恤</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01</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 xml:space="preserve"> 支出决算为</w:t>
      </w:r>
      <w:r>
        <w:rPr>
          <w:rStyle w:val="17"/>
          <w:rFonts w:hint="eastAsia" w:ascii="仿宋_GB2312" w:hAnsi="仿宋_GB2312" w:eastAsia="仿宋_GB2312" w:cs="仿宋_GB2312"/>
          <w:b w:val="0"/>
          <w:bCs/>
          <w:sz w:val="32"/>
          <w:szCs w:val="32"/>
          <w:lang w:val="en-US" w:eastAsia="zh-CN"/>
        </w:rPr>
        <w:t>5.36</w:t>
      </w:r>
      <w:r>
        <w:rPr>
          <w:rStyle w:val="17"/>
          <w:rFonts w:hint="eastAsia" w:ascii="仿宋_GB2312" w:hAnsi="仿宋_GB2312" w:eastAsia="仿宋_GB2312" w:cs="仿宋_GB2312"/>
          <w:b w:val="0"/>
          <w:bCs/>
          <w:sz w:val="32"/>
          <w:szCs w:val="32"/>
        </w:rPr>
        <w:t>万元，完成预算100%</w:t>
      </w:r>
      <w:r>
        <w:rPr>
          <w:rStyle w:val="17"/>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sz w:val="32"/>
          <w:szCs w:val="32"/>
        </w:rPr>
      </w:pPr>
      <w:r>
        <w:rPr>
          <w:rStyle w:val="17"/>
          <w:rFonts w:hint="eastAsia" w:ascii="仿宋_GB2312" w:hAnsi="仿宋_GB2312" w:eastAsia="仿宋_GB2312" w:cs="仿宋_GB2312"/>
          <w:bCs/>
          <w:sz w:val="32"/>
          <w:szCs w:val="32"/>
        </w:rPr>
        <w:t>6.社会保障和就业</w:t>
      </w:r>
      <w:r>
        <w:rPr>
          <w:rStyle w:val="17"/>
          <w:rFonts w:hint="eastAsia" w:ascii="仿宋_GB2312" w:hAnsi="仿宋_GB2312" w:eastAsia="仿宋_GB2312" w:cs="仿宋_GB2312"/>
          <w:bCs/>
          <w:sz w:val="32"/>
          <w:szCs w:val="32"/>
          <w:lang w:eastAsia="zh-CN"/>
        </w:rPr>
        <w:t>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208</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其他社会保障和就业支出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99</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其他社会保障和就业支出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99）</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0.16</w:t>
      </w:r>
      <w:r>
        <w:rPr>
          <w:rStyle w:val="17"/>
          <w:rFonts w:hint="eastAsia" w:ascii="仿宋_GB2312" w:hAnsi="仿宋_GB2312" w:eastAsia="仿宋_GB2312" w:cs="仿宋_GB2312"/>
          <w:b w:val="0"/>
          <w:bCs/>
          <w:sz w:val="32"/>
          <w:szCs w:val="32"/>
        </w:rPr>
        <w:t>万元，完成预算100%</w:t>
      </w:r>
      <w:r>
        <w:rPr>
          <w:rStyle w:val="17"/>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7"/>
          <w:rFonts w:hint="eastAsia" w:ascii="仿宋_GB2312" w:hAnsi="仿宋_GB2312" w:eastAsia="仿宋_GB2312" w:cs="仿宋_GB2312"/>
          <w:b w:val="0"/>
          <w:bCs/>
          <w:sz w:val="32"/>
          <w:szCs w:val="32"/>
          <w:lang w:eastAsia="zh-CN"/>
        </w:rPr>
      </w:pPr>
      <w:r>
        <w:rPr>
          <w:rStyle w:val="17"/>
          <w:rFonts w:hint="eastAsia" w:ascii="仿宋_GB2312" w:hAnsi="仿宋_GB2312" w:eastAsia="仿宋_GB2312" w:cs="仿宋_GB2312"/>
          <w:bCs/>
          <w:sz w:val="32"/>
          <w:szCs w:val="32"/>
          <w:lang w:val="en-US" w:eastAsia="zh-CN"/>
        </w:rPr>
        <w:t>7</w:t>
      </w:r>
      <w:r>
        <w:rPr>
          <w:rStyle w:val="17"/>
          <w:rFonts w:hint="eastAsia" w:ascii="仿宋_GB2312" w:hAnsi="仿宋_GB2312" w:eastAsia="仿宋_GB2312" w:cs="仿宋_GB2312"/>
          <w:bCs/>
          <w:sz w:val="32"/>
          <w:szCs w:val="32"/>
        </w:rPr>
        <w:t>.</w:t>
      </w:r>
      <w:r>
        <w:rPr>
          <w:rFonts w:hint="eastAsia" w:ascii="仿宋_GB2312" w:hAnsi="仿宋_GB2312" w:eastAsia="仿宋_GB2312" w:cs="仿宋_GB2312"/>
          <w:b/>
          <w:bCs/>
          <w:sz w:val="32"/>
          <w:szCs w:val="32"/>
        </w:rPr>
        <w:t>卫生健康</w:t>
      </w:r>
      <w:r>
        <w:rPr>
          <w:rFonts w:hint="eastAsia" w:ascii="仿宋_GB2312" w:hAnsi="仿宋_GB2312" w:eastAsia="仿宋_GB2312" w:cs="仿宋_GB2312"/>
          <w:b/>
          <w:bCs/>
          <w:sz w:val="32"/>
          <w:szCs w:val="32"/>
          <w:lang w:eastAsia="zh-CN"/>
        </w:rPr>
        <w:t>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210</w:t>
      </w:r>
      <w:r>
        <w:rPr>
          <w:rStyle w:val="17"/>
          <w:rFonts w:hint="eastAsia" w:ascii="仿宋_GB2312" w:hAnsi="仿宋_GB2312" w:eastAsia="仿宋_GB2312" w:cs="仿宋_GB2312"/>
          <w:bCs/>
          <w:sz w:val="32"/>
          <w:szCs w:val="32"/>
        </w:rPr>
        <w:t>）行政事业单位医疗（</w:t>
      </w:r>
      <w:r>
        <w:rPr>
          <w:rStyle w:val="17"/>
          <w:rFonts w:hint="eastAsia" w:ascii="仿宋_GB2312" w:hAnsi="仿宋_GB2312" w:eastAsia="仿宋_GB2312" w:cs="仿宋_GB2312"/>
          <w:bCs/>
          <w:sz w:val="32"/>
          <w:szCs w:val="32"/>
          <w:lang w:val="en-US" w:eastAsia="zh-CN"/>
        </w:rPr>
        <w:t>11</w:t>
      </w:r>
      <w:r>
        <w:rPr>
          <w:rStyle w:val="17"/>
          <w:rFonts w:hint="eastAsia" w:ascii="仿宋_GB2312" w:hAnsi="仿宋_GB2312" w:eastAsia="仿宋_GB2312" w:cs="仿宋_GB2312"/>
          <w:bCs/>
          <w:sz w:val="32"/>
          <w:szCs w:val="32"/>
        </w:rPr>
        <w:t>）事业单位医疗（</w:t>
      </w:r>
      <w:r>
        <w:rPr>
          <w:rStyle w:val="17"/>
          <w:rFonts w:hint="eastAsia" w:ascii="仿宋_GB2312" w:hAnsi="仿宋_GB2312" w:eastAsia="仿宋_GB2312" w:cs="仿宋_GB2312"/>
          <w:bCs/>
          <w:sz w:val="32"/>
          <w:szCs w:val="32"/>
          <w:lang w:val="en-US" w:eastAsia="zh-CN"/>
        </w:rPr>
        <w:t>02</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19.63</w:t>
      </w:r>
      <w:r>
        <w:rPr>
          <w:rStyle w:val="17"/>
          <w:rFonts w:hint="eastAsia" w:ascii="仿宋_GB2312" w:hAnsi="仿宋_GB2312" w:eastAsia="仿宋_GB2312" w:cs="仿宋_GB2312"/>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lang w:val="en-US" w:eastAsia="zh-CN"/>
        </w:rPr>
        <w:t>8</w:t>
      </w:r>
      <w:r>
        <w:rPr>
          <w:rStyle w:val="17"/>
          <w:rFonts w:hint="eastAsia" w:ascii="仿宋_GB2312" w:hAnsi="仿宋_GB2312" w:eastAsia="仿宋_GB2312" w:cs="仿宋_GB2312"/>
          <w:bCs/>
          <w:sz w:val="32"/>
          <w:szCs w:val="32"/>
        </w:rPr>
        <w:t>.城乡社区</w:t>
      </w:r>
      <w:r>
        <w:rPr>
          <w:rStyle w:val="17"/>
          <w:rFonts w:hint="eastAsia" w:ascii="仿宋_GB2312" w:hAnsi="仿宋_GB2312" w:eastAsia="仿宋_GB2312" w:cs="仿宋_GB2312"/>
          <w:bCs/>
          <w:sz w:val="32"/>
          <w:szCs w:val="32"/>
          <w:lang w:eastAsia="zh-CN"/>
        </w:rPr>
        <w:t>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212</w:t>
      </w:r>
      <w:r>
        <w:rPr>
          <w:rStyle w:val="17"/>
          <w:rFonts w:hint="eastAsia" w:ascii="仿宋_GB2312" w:hAnsi="仿宋_GB2312" w:eastAsia="仿宋_GB2312" w:cs="仿宋_GB2312"/>
          <w:bCs/>
          <w:sz w:val="32"/>
          <w:szCs w:val="32"/>
        </w:rPr>
        <w:t>）城乡社区管理事务（</w:t>
      </w:r>
      <w:r>
        <w:rPr>
          <w:rStyle w:val="17"/>
          <w:rFonts w:hint="eastAsia" w:ascii="仿宋_GB2312" w:hAnsi="仿宋_GB2312" w:eastAsia="仿宋_GB2312" w:cs="仿宋_GB2312"/>
          <w:bCs/>
          <w:sz w:val="32"/>
          <w:szCs w:val="32"/>
          <w:lang w:val="en-US" w:eastAsia="zh-CN"/>
        </w:rPr>
        <w:t>01</w:t>
      </w:r>
      <w:r>
        <w:rPr>
          <w:rStyle w:val="17"/>
          <w:rFonts w:hint="eastAsia" w:ascii="仿宋_GB2312" w:hAnsi="仿宋_GB2312" w:eastAsia="仿宋_GB2312" w:cs="仿宋_GB2312"/>
          <w:bCs/>
          <w:sz w:val="32"/>
          <w:szCs w:val="32"/>
        </w:rPr>
        <w:t>）住宅建设与房地产市场监管（</w:t>
      </w:r>
      <w:r>
        <w:rPr>
          <w:rStyle w:val="17"/>
          <w:rFonts w:hint="eastAsia" w:ascii="仿宋_GB2312" w:hAnsi="仿宋_GB2312" w:eastAsia="仿宋_GB2312" w:cs="仿宋_GB2312"/>
          <w:bCs/>
          <w:sz w:val="32"/>
          <w:szCs w:val="32"/>
          <w:lang w:val="en-US" w:eastAsia="zh-CN"/>
        </w:rPr>
        <w:t>09</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539.52</w:t>
      </w:r>
      <w:r>
        <w:rPr>
          <w:rStyle w:val="17"/>
          <w:rFonts w:hint="eastAsia" w:ascii="仿宋_GB2312" w:hAnsi="仿宋_GB2312" w:eastAsia="仿宋_GB2312" w:cs="仿宋_GB2312"/>
          <w:b w:val="0"/>
          <w:bCs/>
          <w:sz w:val="32"/>
          <w:szCs w:val="32"/>
        </w:rPr>
        <w:t>万元，完成预算100%。</w:t>
      </w:r>
    </w:p>
    <w:p>
      <w:pPr>
        <w:pStyle w:val="2"/>
        <w:keepNext w:val="0"/>
        <w:keepLines w:val="0"/>
        <w:pageBreakBefore w:val="0"/>
        <w:widowControl w:val="0"/>
        <w:kinsoku/>
        <w:wordWrap/>
        <w:overflowPunct/>
        <w:topLinePunct w:val="0"/>
        <w:autoSpaceDE/>
        <w:autoSpaceDN/>
        <w:bidi w:val="0"/>
        <w:adjustRightInd/>
        <w:snapToGrid/>
        <w:spacing w:beforeLines="0" w:line="578" w:lineRule="exact"/>
        <w:ind w:firstLine="643" w:firstLineChars="200"/>
        <w:textAlignment w:val="auto"/>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lang w:val="en-US" w:eastAsia="zh-CN"/>
        </w:rPr>
        <w:t>9</w:t>
      </w:r>
      <w:r>
        <w:rPr>
          <w:rStyle w:val="17"/>
          <w:rFonts w:hint="eastAsia" w:ascii="仿宋_GB2312" w:hAnsi="仿宋_GB2312" w:eastAsia="仿宋_GB2312" w:cs="仿宋_GB2312"/>
          <w:bCs/>
          <w:sz w:val="32"/>
          <w:szCs w:val="32"/>
        </w:rPr>
        <w:t>.城乡社区</w:t>
      </w:r>
      <w:r>
        <w:rPr>
          <w:rStyle w:val="17"/>
          <w:rFonts w:hint="eastAsia" w:ascii="仿宋_GB2312" w:hAnsi="仿宋_GB2312" w:eastAsia="仿宋_GB2312" w:cs="仿宋_GB2312"/>
          <w:bCs/>
          <w:sz w:val="32"/>
          <w:szCs w:val="32"/>
          <w:lang w:eastAsia="zh-CN"/>
        </w:rPr>
        <w:t>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212</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其他城乡社区支出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99</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其他城乡社区支出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99</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1540.69</w:t>
      </w:r>
      <w:r>
        <w:rPr>
          <w:rStyle w:val="17"/>
          <w:rFonts w:hint="eastAsia" w:ascii="仿宋_GB2312" w:hAnsi="仿宋_GB2312" w:eastAsia="仿宋_GB2312" w:cs="仿宋_GB2312"/>
          <w:b w:val="0"/>
          <w:bCs/>
          <w:sz w:val="32"/>
          <w:szCs w:val="32"/>
        </w:rPr>
        <w:t>万元，完成预算100%。</w:t>
      </w:r>
    </w:p>
    <w:p>
      <w:pPr>
        <w:pStyle w:val="2"/>
        <w:keepNext w:val="0"/>
        <w:keepLines w:val="0"/>
        <w:pageBreakBefore w:val="0"/>
        <w:widowControl w:val="0"/>
        <w:kinsoku/>
        <w:wordWrap/>
        <w:overflowPunct/>
        <w:topLinePunct w:val="0"/>
        <w:autoSpaceDE/>
        <w:autoSpaceDN/>
        <w:bidi w:val="0"/>
        <w:adjustRightInd/>
        <w:snapToGrid/>
        <w:spacing w:beforeLines="0" w:line="578" w:lineRule="exact"/>
        <w:ind w:firstLine="643" w:firstLineChars="200"/>
        <w:textAlignment w:val="auto"/>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lang w:val="en-US" w:eastAsia="zh-CN"/>
        </w:rPr>
        <w:t>10</w:t>
      </w:r>
      <w:r>
        <w:rPr>
          <w:rStyle w:val="17"/>
          <w:rFonts w:hint="eastAsia" w:ascii="仿宋_GB2312" w:hAnsi="仿宋_GB2312" w:eastAsia="仿宋_GB2312" w:cs="仿宋_GB2312"/>
          <w:bCs/>
          <w:sz w:val="32"/>
          <w:szCs w:val="32"/>
        </w:rPr>
        <w:t>.住房保障支出（</w:t>
      </w:r>
      <w:r>
        <w:rPr>
          <w:rStyle w:val="17"/>
          <w:rFonts w:hint="eastAsia" w:ascii="仿宋_GB2312" w:hAnsi="仿宋_GB2312" w:eastAsia="仿宋_GB2312" w:cs="仿宋_GB2312"/>
          <w:bCs/>
          <w:sz w:val="32"/>
          <w:szCs w:val="32"/>
          <w:lang w:val="en-US" w:eastAsia="zh-CN"/>
        </w:rPr>
        <w:t>221</w:t>
      </w:r>
      <w:r>
        <w:rPr>
          <w:rStyle w:val="17"/>
          <w:rFonts w:hint="eastAsia" w:ascii="仿宋_GB2312" w:hAnsi="仿宋_GB2312" w:eastAsia="仿宋_GB2312" w:cs="仿宋_GB2312"/>
          <w:bCs/>
          <w:sz w:val="32"/>
          <w:szCs w:val="32"/>
        </w:rPr>
        <w:t>）保障性安居工程支出（</w:t>
      </w:r>
      <w:r>
        <w:rPr>
          <w:rStyle w:val="17"/>
          <w:rFonts w:hint="eastAsia" w:ascii="仿宋_GB2312" w:hAnsi="仿宋_GB2312" w:eastAsia="仿宋_GB2312" w:cs="仿宋_GB2312"/>
          <w:bCs/>
          <w:sz w:val="32"/>
          <w:szCs w:val="32"/>
          <w:lang w:val="en-US" w:eastAsia="zh-CN"/>
        </w:rPr>
        <w:t>01</w:t>
      </w:r>
      <w:r>
        <w:rPr>
          <w:rStyle w:val="17"/>
          <w:rFonts w:hint="eastAsia" w:ascii="仿宋_GB2312" w:hAnsi="仿宋_GB2312" w:eastAsia="仿宋_GB2312" w:cs="仿宋_GB2312"/>
          <w:bCs/>
          <w:sz w:val="32"/>
          <w:szCs w:val="32"/>
        </w:rPr>
        <w:t>）公共租赁住房（</w:t>
      </w:r>
      <w:r>
        <w:rPr>
          <w:rStyle w:val="17"/>
          <w:rFonts w:hint="eastAsia" w:ascii="仿宋_GB2312" w:hAnsi="仿宋_GB2312" w:eastAsia="仿宋_GB2312" w:cs="仿宋_GB2312"/>
          <w:bCs/>
          <w:sz w:val="32"/>
          <w:szCs w:val="32"/>
          <w:lang w:val="en-US" w:eastAsia="zh-CN"/>
        </w:rPr>
        <w:t>06</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2489.80</w:t>
      </w:r>
      <w:r>
        <w:rPr>
          <w:rStyle w:val="17"/>
          <w:rFonts w:hint="eastAsia" w:ascii="仿宋_GB2312" w:hAnsi="仿宋_GB2312" w:eastAsia="仿宋_GB2312" w:cs="仿宋_GB2312"/>
          <w:b w:val="0"/>
          <w:bCs/>
          <w:sz w:val="32"/>
          <w:szCs w:val="32"/>
        </w:rPr>
        <w:t>万元，完成预算100%。</w:t>
      </w:r>
    </w:p>
    <w:p>
      <w:pPr>
        <w:pStyle w:val="2"/>
        <w:keepNext w:val="0"/>
        <w:keepLines w:val="0"/>
        <w:pageBreakBefore w:val="0"/>
        <w:widowControl w:val="0"/>
        <w:kinsoku/>
        <w:wordWrap/>
        <w:overflowPunct/>
        <w:topLinePunct w:val="0"/>
        <w:autoSpaceDE/>
        <w:autoSpaceDN/>
        <w:bidi w:val="0"/>
        <w:adjustRightInd/>
        <w:snapToGrid/>
        <w:spacing w:beforeLines="0" w:line="578" w:lineRule="exact"/>
        <w:ind w:firstLine="643" w:firstLineChars="200"/>
        <w:textAlignment w:val="auto"/>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lang w:val="en-US" w:eastAsia="zh-CN"/>
        </w:rPr>
        <w:t>11</w:t>
      </w:r>
      <w:r>
        <w:rPr>
          <w:rStyle w:val="17"/>
          <w:rFonts w:hint="eastAsia" w:ascii="仿宋_GB2312" w:hAnsi="仿宋_GB2312" w:eastAsia="仿宋_GB2312" w:cs="仿宋_GB2312"/>
          <w:bCs/>
          <w:sz w:val="32"/>
          <w:szCs w:val="32"/>
        </w:rPr>
        <w:t>.住房保障支出（</w:t>
      </w:r>
      <w:r>
        <w:rPr>
          <w:rStyle w:val="17"/>
          <w:rFonts w:hint="eastAsia" w:ascii="仿宋_GB2312" w:hAnsi="仿宋_GB2312" w:eastAsia="仿宋_GB2312" w:cs="仿宋_GB2312"/>
          <w:bCs/>
          <w:sz w:val="32"/>
          <w:szCs w:val="32"/>
          <w:lang w:val="en-US" w:eastAsia="zh-CN"/>
        </w:rPr>
        <w:t>221</w:t>
      </w:r>
      <w:r>
        <w:rPr>
          <w:rStyle w:val="17"/>
          <w:rFonts w:hint="eastAsia" w:ascii="仿宋_GB2312" w:hAnsi="仿宋_GB2312" w:eastAsia="仿宋_GB2312" w:cs="仿宋_GB2312"/>
          <w:bCs/>
          <w:sz w:val="32"/>
          <w:szCs w:val="32"/>
        </w:rPr>
        <w:t>）保障性安居工程支出（</w:t>
      </w:r>
      <w:r>
        <w:rPr>
          <w:rStyle w:val="17"/>
          <w:rFonts w:hint="eastAsia" w:ascii="仿宋_GB2312" w:hAnsi="仿宋_GB2312" w:eastAsia="仿宋_GB2312" w:cs="仿宋_GB2312"/>
          <w:bCs/>
          <w:sz w:val="32"/>
          <w:szCs w:val="32"/>
          <w:lang w:val="en-US" w:eastAsia="zh-CN"/>
        </w:rPr>
        <w:t>01</w:t>
      </w:r>
      <w:r>
        <w:rPr>
          <w:rStyle w:val="17"/>
          <w:rFonts w:hint="eastAsia" w:ascii="仿宋_GB2312" w:hAnsi="仿宋_GB2312" w:eastAsia="仿宋_GB2312" w:cs="仿宋_GB2312"/>
          <w:bCs/>
          <w:sz w:val="32"/>
          <w:szCs w:val="32"/>
        </w:rPr>
        <w:t>）保障性住房租金补贴（</w:t>
      </w:r>
      <w:r>
        <w:rPr>
          <w:rStyle w:val="17"/>
          <w:rFonts w:hint="eastAsia" w:ascii="仿宋_GB2312" w:hAnsi="仿宋_GB2312" w:eastAsia="仿宋_GB2312" w:cs="仿宋_GB2312"/>
          <w:bCs/>
          <w:sz w:val="32"/>
          <w:szCs w:val="32"/>
          <w:lang w:val="en-US" w:eastAsia="zh-CN"/>
        </w:rPr>
        <w:t>07</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136.00</w:t>
      </w:r>
      <w:r>
        <w:rPr>
          <w:rStyle w:val="17"/>
          <w:rFonts w:hint="eastAsia" w:ascii="仿宋_GB2312" w:hAnsi="仿宋_GB2312" w:eastAsia="仿宋_GB2312" w:cs="仿宋_GB2312"/>
          <w:b w:val="0"/>
          <w:bCs/>
          <w:sz w:val="32"/>
          <w:szCs w:val="32"/>
        </w:rPr>
        <w:t>万元，完成预算100%。</w:t>
      </w:r>
    </w:p>
    <w:p>
      <w:pPr>
        <w:pStyle w:val="2"/>
        <w:keepNext w:val="0"/>
        <w:keepLines w:val="0"/>
        <w:pageBreakBefore w:val="0"/>
        <w:widowControl w:val="0"/>
        <w:kinsoku/>
        <w:wordWrap/>
        <w:overflowPunct/>
        <w:topLinePunct w:val="0"/>
        <w:autoSpaceDE/>
        <w:autoSpaceDN/>
        <w:bidi w:val="0"/>
        <w:adjustRightInd/>
        <w:snapToGrid/>
        <w:spacing w:beforeLines="0" w:line="578" w:lineRule="exact"/>
        <w:ind w:firstLine="643" w:firstLineChars="200"/>
        <w:textAlignment w:val="auto"/>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lang w:val="en-US" w:eastAsia="zh-CN"/>
        </w:rPr>
        <w:t>12</w:t>
      </w:r>
      <w:r>
        <w:rPr>
          <w:rStyle w:val="17"/>
          <w:rFonts w:hint="eastAsia" w:ascii="仿宋_GB2312" w:hAnsi="仿宋_GB2312" w:eastAsia="仿宋_GB2312" w:cs="仿宋_GB2312"/>
          <w:bCs/>
          <w:sz w:val="32"/>
          <w:szCs w:val="32"/>
        </w:rPr>
        <w:t>.住房保障支出（</w:t>
      </w:r>
      <w:r>
        <w:rPr>
          <w:rStyle w:val="17"/>
          <w:rFonts w:hint="eastAsia" w:ascii="仿宋_GB2312" w:hAnsi="仿宋_GB2312" w:eastAsia="仿宋_GB2312" w:cs="仿宋_GB2312"/>
          <w:bCs/>
          <w:sz w:val="32"/>
          <w:szCs w:val="32"/>
          <w:lang w:val="en-US" w:eastAsia="zh-CN"/>
        </w:rPr>
        <w:t>221</w:t>
      </w:r>
      <w:r>
        <w:rPr>
          <w:rStyle w:val="17"/>
          <w:rFonts w:hint="eastAsia" w:ascii="仿宋_GB2312" w:hAnsi="仿宋_GB2312" w:eastAsia="仿宋_GB2312" w:cs="仿宋_GB2312"/>
          <w:bCs/>
          <w:sz w:val="32"/>
          <w:szCs w:val="32"/>
        </w:rPr>
        <w:t>）保障性安居工程支出（</w:t>
      </w:r>
      <w:r>
        <w:rPr>
          <w:rStyle w:val="17"/>
          <w:rFonts w:hint="eastAsia" w:ascii="仿宋_GB2312" w:hAnsi="仿宋_GB2312" w:eastAsia="仿宋_GB2312" w:cs="仿宋_GB2312"/>
          <w:bCs/>
          <w:sz w:val="32"/>
          <w:szCs w:val="32"/>
          <w:lang w:val="en-US" w:eastAsia="zh-CN"/>
        </w:rPr>
        <w:t>01</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eastAsia="zh-CN"/>
        </w:rPr>
        <w:t>其他保障性安居工程支出</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Cs/>
          <w:sz w:val="32"/>
          <w:szCs w:val="32"/>
          <w:lang w:val="en-US" w:eastAsia="zh-CN"/>
        </w:rPr>
        <w:t>99</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1716.00</w:t>
      </w:r>
      <w:r>
        <w:rPr>
          <w:rStyle w:val="17"/>
          <w:rFonts w:hint="eastAsia" w:ascii="仿宋_GB2312" w:hAnsi="仿宋_GB2312" w:eastAsia="仿宋_GB2312" w:cs="仿宋_GB2312"/>
          <w:b w:val="0"/>
          <w:bCs/>
          <w:sz w:val="32"/>
          <w:szCs w:val="32"/>
        </w:rPr>
        <w:t>万元，完成预算100%。</w:t>
      </w:r>
    </w:p>
    <w:p>
      <w:pPr>
        <w:pStyle w:val="2"/>
        <w:keepNext w:val="0"/>
        <w:keepLines w:val="0"/>
        <w:pageBreakBefore w:val="0"/>
        <w:widowControl w:val="0"/>
        <w:kinsoku/>
        <w:wordWrap/>
        <w:overflowPunct/>
        <w:topLinePunct w:val="0"/>
        <w:autoSpaceDE/>
        <w:autoSpaceDN/>
        <w:bidi w:val="0"/>
        <w:adjustRightInd/>
        <w:snapToGrid/>
        <w:spacing w:beforeLines="0" w:line="578" w:lineRule="exact"/>
        <w:ind w:firstLine="643" w:firstLineChars="200"/>
        <w:textAlignment w:val="auto"/>
        <w:rPr>
          <w:rFonts w:ascii="仿宋" w:hAnsi="仿宋" w:eastAsia="仿宋"/>
          <w:b/>
          <w:sz w:val="32"/>
          <w:szCs w:val="32"/>
        </w:rPr>
      </w:pPr>
      <w:r>
        <w:rPr>
          <w:rStyle w:val="17"/>
          <w:rFonts w:hint="eastAsia" w:ascii="仿宋_GB2312" w:hAnsi="仿宋_GB2312" w:eastAsia="仿宋_GB2312" w:cs="仿宋_GB2312"/>
          <w:bCs/>
          <w:sz w:val="32"/>
          <w:szCs w:val="32"/>
          <w:lang w:val="en-US" w:eastAsia="zh-CN"/>
        </w:rPr>
        <w:t>13</w:t>
      </w:r>
      <w:r>
        <w:rPr>
          <w:rStyle w:val="17"/>
          <w:rFonts w:hint="eastAsia" w:ascii="仿宋_GB2312" w:hAnsi="仿宋_GB2312" w:eastAsia="仿宋_GB2312" w:cs="仿宋_GB2312"/>
          <w:bCs/>
          <w:sz w:val="32"/>
          <w:szCs w:val="32"/>
        </w:rPr>
        <w:t>.住房保障支出（</w:t>
      </w:r>
      <w:r>
        <w:rPr>
          <w:rStyle w:val="17"/>
          <w:rFonts w:hint="eastAsia" w:ascii="仿宋_GB2312" w:hAnsi="仿宋_GB2312" w:eastAsia="仿宋_GB2312" w:cs="仿宋_GB2312"/>
          <w:bCs/>
          <w:sz w:val="32"/>
          <w:szCs w:val="32"/>
          <w:lang w:val="en-US" w:eastAsia="zh-CN"/>
        </w:rPr>
        <w:t>221</w:t>
      </w:r>
      <w:r>
        <w:rPr>
          <w:rStyle w:val="17"/>
          <w:rFonts w:hint="eastAsia" w:ascii="仿宋_GB2312" w:hAnsi="仿宋_GB2312" w:eastAsia="仿宋_GB2312" w:cs="仿宋_GB2312"/>
          <w:bCs/>
          <w:sz w:val="32"/>
          <w:szCs w:val="32"/>
        </w:rPr>
        <w:t>）住房改革支出（</w:t>
      </w:r>
      <w:r>
        <w:rPr>
          <w:rStyle w:val="17"/>
          <w:rFonts w:hint="eastAsia" w:ascii="仿宋_GB2312" w:hAnsi="仿宋_GB2312" w:eastAsia="仿宋_GB2312" w:cs="仿宋_GB2312"/>
          <w:bCs/>
          <w:sz w:val="32"/>
          <w:szCs w:val="32"/>
          <w:lang w:val="en-US" w:eastAsia="zh-CN"/>
        </w:rPr>
        <w:t>02</w:t>
      </w:r>
      <w:r>
        <w:rPr>
          <w:rStyle w:val="17"/>
          <w:rFonts w:hint="eastAsia" w:ascii="仿宋_GB2312" w:hAnsi="仿宋_GB2312" w:eastAsia="仿宋_GB2312" w:cs="仿宋_GB2312"/>
          <w:bCs/>
          <w:sz w:val="32"/>
          <w:szCs w:val="32"/>
        </w:rPr>
        <w:t>）住房公积金（</w:t>
      </w:r>
      <w:r>
        <w:rPr>
          <w:rStyle w:val="17"/>
          <w:rFonts w:hint="eastAsia" w:ascii="仿宋_GB2312" w:hAnsi="仿宋_GB2312" w:eastAsia="仿宋_GB2312" w:cs="仿宋_GB2312"/>
          <w:bCs/>
          <w:sz w:val="32"/>
          <w:szCs w:val="32"/>
          <w:lang w:val="en-US" w:eastAsia="zh-CN"/>
        </w:rPr>
        <w:t>01</w:t>
      </w:r>
      <w:r>
        <w:rPr>
          <w:rStyle w:val="17"/>
          <w:rFonts w:hint="eastAsia" w:ascii="仿宋_GB2312" w:hAnsi="仿宋_GB2312" w:eastAsia="仿宋_GB2312" w:cs="仿宋_GB2312"/>
          <w:bCs/>
          <w:sz w:val="32"/>
          <w:szCs w:val="32"/>
        </w:rPr>
        <w:t>）:</w:t>
      </w:r>
      <w:r>
        <w:rPr>
          <w:rStyle w:val="17"/>
          <w:rFonts w:hint="eastAsia" w:ascii="仿宋_GB2312" w:hAnsi="仿宋_GB2312" w:eastAsia="仿宋_GB2312" w:cs="仿宋_GB2312"/>
          <w:b w:val="0"/>
          <w:bCs/>
          <w:sz w:val="32"/>
          <w:szCs w:val="32"/>
        </w:rPr>
        <w:t>支出决算为</w:t>
      </w:r>
      <w:r>
        <w:rPr>
          <w:rStyle w:val="17"/>
          <w:rFonts w:hint="eastAsia" w:ascii="仿宋_GB2312" w:hAnsi="仿宋_GB2312" w:eastAsia="仿宋_GB2312" w:cs="仿宋_GB2312"/>
          <w:b w:val="0"/>
          <w:bCs/>
          <w:sz w:val="32"/>
          <w:szCs w:val="32"/>
          <w:lang w:val="en-US" w:eastAsia="zh-CN"/>
        </w:rPr>
        <w:t>17.36</w:t>
      </w:r>
      <w:r>
        <w:rPr>
          <w:rStyle w:val="17"/>
          <w:rFonts w:hint="eastAsia" w:ascii="仿宋_GB2312" w:hAnsi="仿宋_GB2312" w:eastAsia="仿宋_GB2312" w:cs="仿宋_GB2312"/>
          <w:b w:val="0"/>
          <w:bCs/>
          <w:sz w:val="32"/>
          <w:szCs w:val="32"/>
        </w:rPr>
        <w:t>万元，完成预算100%。</w:t>
      </w:r>
    </w:p>
    <w:p>
      <w:pPr>
        <w:tabs>
          <w:tab w:val="right" w:pos="8306"/>
        </w:tabs>
        <w:spacing w:line="600" w:lineRule="exact"/>
        <w:ind w:firstLine="640"/>
        <w:outlineLvl w:val="1"/>
        <w:rPr>
          <w:rStyle w:val="29"/>
        </w:rPr>
      </w:pPr>
      <w:bookmarkStart w:id="75" w:name="_Toc18804_WPSOffice_Level2"/>
      <w:bookmarkStart w:id="76" w:name="_Toc15396608"/>
      <w:bookmarkStart w:id="7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75"/>
      <w:bookmarkEnd w:id="76"/>
      <w:bookmarkEnd w:id="77"/>
      <w:r>
        <w:rPr>
          <w:rStyle w:val="29"/>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2023年度一般公共预算财政拨款基本支出683.58万元，其中：人员经费611.67万元，主要包括：基本工资、津贴补贴、绩效工资、机关事业单位基本养老保险缴费、职业年金缴费、</w:t>
      </w:r>
      <w:r>
        <w:rPr>
          <w:rFonts w:hint="eastAsia" w:ascii="仿宋_GB2312" w:hAnsi="仿宋_GB2312" w:eastAsia="仿宋_GB2312" w:cs="仿宋_GB2312"/>
          <w:b w:val="0"/>
          <w:bCs w:val="0"/>
          <w:sz w:val="32"/>
          <w:szCs w:val="32"/>
          <w:lang w:eastAsia="zh-CN"/>
        </w:rPr>
        <w:t>职工基本医疗保险缴费、</w:t>
      </w:r>
      <w:r>
        <w:rPr>
          <w:rFonts w:hint="eastAsia" w:ascii="仿宋_GB2312" w:hAnsi="仿宋_GB2312" w:eastAsia="仿宋_GB2312" w:cs="仿宋_GB2312"/>
          <w:b w:val="0"/>
          <w:bCs w:val="0"/>
          <w:sz w:val="32"/>
          <w:szCs w:val="32"/>
        </w:rPr>
        <w:t>其他社会保障缴费、</w:t>
      </w:r>
      <w:r>
        <w:rPr>
          <w:rFonts w:hint="eastAsia" w:ascii="仿宋_GB2312" w:hAnsi="仿宋_GB2312" w:eastAsia="仿宋_GB2312" w:cs="仿宋_GB2312"/>
          <w:b w:val="0"/>
          <w:bCs w:val="0"/>
          <w:sz w:val="32"/>
          <w:szCs w:val="32"/>
          <w:lang w:eastAsia="zh-CN"/>
        </w:rPr>
        <w:t>住房公积金、</w:t>
      </w:r>
      <w:r>
        <w:rPr>
          <w:rFonts w:hint="eastAsia" w:ascii="仿宋_GB2312" w:hAnsi="仿宋_GB2312" w:eastAsia="仿宋_GB2312" w:cs="仿宋_GB2312"/>
          <w:b w:val="0"/>
          <w:bCs w:val="0"/>
          <w:sz w:val="32"/>
          <w:szCs w:val="32"/>
        </w:rPr>
        <w:t>抚恤金、生活补助、奖励金等。</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 w:hAnsi="仿宋" w:eastAsia="仿宋"/>
          <w:b/>
          <w:sz w:val="32"/>
          <w:szCs w:val="32"/>
        </w:rPr>
      </w:pPr>
      <w:r>
        <w:rPr>
          <w:rFonts w:hint="eastAsia" w:ascii="仿宋_GB2312" w:hAnsi="仿宋_GB2312" w:eastAsia="仿宋_GB2312" w:cs="仿宋_GB2312"/>
          <w:b w:val="0"/>
          <w:bCs w:val="0"/>
          <w:sz w:val="32"/>
          <w:szCs w:val="32"/>
        </w:rPr>
        <w:t>公用经费71.91万元，主要包括：办公费、咨询费、水费、差旅费、培训费、劳务费、工会经费、福利费、公</w:t>
      </w:r>
      <w:r>
        <w:rPr>
          <w:rFonts w:hint="eastAsia" w:ascii="仿宋_GB2312" w:hAnsi="仿宋_GB2312" w:eastAsia="仿宋_GB2312" w:cs="仿宋_GB2312"/>
          <w:sz w:val="32"/>
          <w:szCs w:val="32"/>
        </w:rPr>
        <w:t>务用车运行维护费、其他商品和服务支出等。</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1"/>
        <w:rPr>
          <w:rStyle w:val="29"/>
          <w:rFonts w:ascii="黑体" w:hAnsi="黑体" w:eastAsia="黑体"/>
          <w:b w:val="0"/>
        </w:rPr>
      </w:pPr>
      <w:bookmarkStart w:id="78" w:name="_Toc15396609"/>
      <w:bookmarkStart w:id="79" w:name="_Toc29857_WPSOffice_Level2"/>
      <w:bookmarkStart w:id="80"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78"/>
      <w:bookmarkEnd w:id="79"/>
      <w:bookmarkEnd w:id="80"/>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outlineLvl w:val="2"/>
        <w:rPr>
          <w:rFonts w:hint="eastAsia" w:ascii="楷体_GB2312" w:hAnsi="楷体_GB2312" w:eastAsia="楷体_GB2312" w:cs="楷体_GB2312"/>
          <w:b w:val="0"/>
          <w:bCs/>
          <w:sz w:val="32"/>
          <w:szCs w:val="32"/>
        </w:rPr>
      </w:pPr>
      <w:bookmarkStart w:id="81" w:name="_Toc15377216"/>
      <w:r>
        <w:rPr>
          <w:rFonts w:hint="eastAsia" w:ascii="楷体_GB2312" w:hAnsi="楷体_GB2312" w:eastAsia="楷体_GB2312" w:cs="楷体_GB2312"/>
          <w:b w:val="0"/>
          <w:bCs/>
          <w:sz w:val="32"/>
          <w:szCs w:val="32"/>
        </w:rPr>
        <w:t>（一）“三公”经费财政拨款支出决算总体情况说明</w:t>
      </w:r>
      <w:bookmarkEnd w:id="81"/>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2023年度“三公”经费财政拨款支出决算为8.72万元，完成预算100%，较上年度减少</w:t>
      </w:r>
      <w:r>
        <w:rPr>
          <w:rFonts w:hint="eastAsia" w:ascii="仿宋_GB2312" w:hAnsi="仿宋_GB2312" w:eastAsia="仿宋_GB2312" w:cs="仿宋_GB2312"/>
          <w:b w:val="0"/>
          <w:bCs/>
          <w:sz w:val="32"/>
          <w:szCs w:val="32"/>
          <w:lang w:val="en-US" w:eastAsia="zh-CN"/>
        </w:rPr>
        <w:t>0.56</w:t>
      </w:r>
      <w:r>
        <w:rPr>
          <w:rFonts w:hint="eastAsia" w:ascii="仿宋_GB2312" w:hAnsi="仿宋_GB2312" w:eastAsia="仿宋_GB2312" w:cs="仿宋_GB2312"/>
          <w:b w:val="0"/>
          <w:bCs/>
          <w:sz w:val="32"/>
          <w:szCs w:val="32"/>
        </w:rPr>
        <w:t>万元，下降</w:t>
      </w:r>
      <w:r>
        <w:rPr>
          <w:rFonts w:hint="eastAsia" w:ascii="仿宋_GB2312" w:hAnsi="仿宋_GB2312" w:eastAsia="仿宋_GB2312" w:cs="仿宋_GB2312"/>
          <w:b w:val="0"/>
          <w:bCs/>
          <w:sz w:val="32"/>
          <w:szCs w:val="32"/>
          <w:lang w:val="en-US" w:eastAsia="zh-CN"/>
        </w:rPr>
        <w:t>6.03</w:t>
      </w:r>
      <w:r>
        <w:rPr>
          <w:rFonts w:hint="eastAsia" w:ascii="仿宋_GB2312" w:hAnsi="仿宋_GB2312" w:eastAsia="仿宋_GB2312" w:cs="仿宋_GB2312"/>
          <w:b w:val="0"/>
          <w:bCs/>
          <w:sz w:val="32"/>
          <w:szCs w:val="32"/>
        </w:rPr>
        <w:t>%。决算数与预算数持平。</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outlineLvl w:val="2"/>
        <w:rPr>
          <w:rFonts w:hint="eastAsia" w:ascii="楷体_GB2312" w:hAnsi="楷体_GB2312" w:eastAsia="楷体_GB2312" w:cs="楷体_GB2312"/>
          <w:b w:val="0"/>
          <w:bCs/>
          <w:sz w:val="32"/>
          <w:szCs w:val="32"/>
        </w:rPr>
      </w:pPr>
      <w:bookmarkStart w:id="82" w:name="_Toc15377217"/>
      <w:r>
        <w:rPr>
          <w:rFonts w:hint="eastAsia" w:ascii="楷体_GB2312" w:hAnsi="楷体_GB2312" w:eastAsia="楷体_GB2312" w:cs="楷体_GB2312"/>
          <w:b w:val="0"/>
          <w:bCs/>
          <w:sz w:val="32"/>
          <w:szCs w:val="32"/>
        </w:rPr>
        <w:t>（二）“三公”经费财政拨款支出决算具体情况说明</w:t>
      </w:r>
      <w:bookmarkEnd w:id="82"/>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2023年度“三公”经费财政拨款支出决算中，因公出国（境）费支出决算0万元，占0%；公务用车购置及运行维护费支出决算8.72万元，占100%；公务接待费支出决算0万元，占0%。具体情况如下：</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仿宋_GB2312" w:hAnsi="仿宋_GB2312" w:eastAsia="仿宋_GB2312" w:cs="仿宋_GB2312"/>
          <w:b w:val="0"/>
          <w:bCs/>
          <w:sz w:val="32"/>
          <w:szCs w:val="32"/>
        </w:rPr>
      </w:pPr>
      <w:r>
        <w:drawing>
          <wp:anchor distT="0" distB="0" distL="114300" distR="114300" simplePos="0" relativeHeight="251662336" behindDoc="0" locked="0" layoutInCell="1" allowOverlap="1">
            <wp:simplePos x="0" y="0"/>
            <wp:positionH relativeFrom="column">
              <wp:posOffset>927100</wp:posOffset>
            </wp:positionH>
            <wp:positionV relativeFrom="paragraph">
              <wp:posOffset>438785</wp:posOffset>
            </wp:positionV>
            <wp:extent cx="3649345" cy="2059305"/>
            <wp:effectExtent l="4445" t="4445" r="22860" b="12700"/>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b w:val="0"/>
          <w:bCs/>
          <w:sz w:val="32"/>
          <w:szCs w:val="32"/>
        </w:rPr>
        <w:t>（图7：“三公”经费财政拨款支出结构）（饼状图）</w:t>
      </w:r>
    </w:p>
    <w:p>
      <w:pPr>
        <w:keepNext w:val="0"/>
        <w:keepLines w:val="0"/>
        <w:pageBreakBefore w:val="0"/>
        <w:widowControl w:val="0"/>
        <w:kinsoku/>
        <w:wordWrap/>
        <w:overflowPunct/>
        <w:topLinePunct w:val="0"/>
        <w:bidi w:val="0"/>
        <w:snapToGrid/>
        <w:spacing w:line="578" w:lineRule="exact"/>
        <w:ind w:firstLine="640"/>
        <w:textAlignment w:val="auto"/>
        <w:rPr>
          <w:rFonts w:ascii="仿宋_GB2312" w:eastAsia="仿宋_GB2312"/>
          <w:b w:val="0"/>
          <w:bCs/>
          <w:sz w:val="32"/>
          <w:szCs w:val="32"/>
        </w:rPr>
      </w:pPr>
      <w:bookmarkStart w:id="83" w:name="_Toc15396610"/>
      <w:bookmarkStart w:id="84" w:name="_Toc15377218"/>
      <w:r>
        <w:rPr>
          <w:rFonts w:hint="eastAsia" w:ascii="仿宋_GB2312" w:eastAsia="仿宋_GB2312"/>
          <w:b w:val="0"/>
          <w:bCs/>
          <w:sz w:val="32"/>
          <w:szCs w:val="32"/>
        </w:rPr>
        <w:t>公务用车购置及运行维护费支出</w:t>
      </w:r>
      <w:r>
        <w:rPr>
          <w:rFonts w:ascii="仿宋" w:hAnsi="仿宋" w:eastAsia="仿宋"/>
          <w:b w:val="0"/>
          <w:bCs/>
          <w:sz w:val="32"/>
          <w:szCs w:val="32"/>
        </w:rPr>
        <w:t>8.72</w:t>
      </w:r>
      <w:r>
        <w:rPr>
          <w:rFonts w:hint="eastAsia" w:ascii="仿宋_GB2312" w:eastAsia="仿宋_GB2312"/>
          <w:b w:val="0"/>
          <w:bCs/>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b w:val="0"/>
          <w:bCs/>
          <w:sz w:val="32"/>
          <w:szCs w:val="32"/>
        </w:rPr>
        <w:t>公务用车购置及运行维护费支出决算比2022年度增加</w:t>
      </w:r>
      <w:r>
        <w:rPr>
          <w:rFonts w:hint="eastAsia" w:ascii="仿宋_GB2312" w:eastAsia="仿宋_GB2312"/>
          <w:b w:val="0"/>
          <w:bCs/>
          <w:sz w:val="32"/>
          <w:szCs w:val="32"/>
          <w:lang w:val="en-US" w:eastAsia="zh-CN"/>
        </w:rPr>
        <w:t>0.92</w:t>
      </w:r>
      <w:r>
        <w:rPr>
          <w:rFonts w:hint="eastAsia" w:ascii="仿宋_GB2312" w:eastAsia="仿宋_GB2312"/>
          <w:b w:val="0"/>
          <w:bCs/>
          <w:sz w:val="32"/>
          <w:szCs w:val="32"/>
        </w:rPr>
        <w:t>万元，增长</w:t>
      </w:r>
      <w:r>
        <w:rPr>
          <w:rFonts w:hint="eastAsia" w:ascii="仿宋_GB2312" w:eastAsia="仿宋_GB2312"/>
          <w:b w:val="0"/>
          <w:bCs/>
          <w:sz w:val="32"/>
          <w:szCs w:val="32"/>
          <w:lang w:val="en-US" w:eastAsia="zh-CN"/>
        </w:rPr>
        <w:t>11.79</w:t>
      </w:r>
      <w:r>
        <w:rPr>
          <w:rFonts w:ascii="仿宋_GB2312" w:eastAsia="仿宋_GB2312"/>
          <w:b w:val="0"/>
          <w:bCs/>
          <w:sz w:val="32"/>
          <w:szCs w:val="32"/>
        </w:rPr>
        <w:t>%</w:t>
      </w:r>
      <w:r>
        <w:rPr>
          <w:rFonts w:hint="eastAsia" w:ascii="仿宋_GB2312" w:eastAsia="仿宋_GB2312"/>
          <w:b w:val="0"/>
          <w:bCs/>
          <w:sz w:val="32"/>
          <w:szCs w:val="32"/>
        </w:rPr>
        <w:t>。主要原因是</w:t>
      </w:r>
      <w:r>
        <w:rPr>
          <w:rFonts w:hint="eastAsia" w:ascii="仿宋_GB2312" w:eastAsia="仿宋_GB2312"/>
          <w:b w:val="0"/>
          <w:bCs/>
          <w:sz w:val="32"/>
          <w:szCs w:val="32"/>
          <w:lang w:eastAsia="zh-CN"/>
        </w:rPr>
        <w:t>公务车老化维修次数增加</w:t>
      </w:r>
      <w:r>
        <w:rPr>
          <w:rFonts w:hint="eastAsia" w:ascii="仿宋_GB2312" w:eastAsia="仿宋_GB2312"/>
          <w:b w:val="0"/>
          <w:bCs/>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eastAsia="黑体"/>
          <w:sz w:val="32"/>
          <w:szCs w:val="32"/>
        </w:rPr>
      </w:pPr>
      <w:r>
        <w:rPr>
          <w:rFonts w:hint="eastAsia" w:ascii="仿宋_GB2312" w:eastAsia="仿宋_GB2312"/>
          <w:sz w:val="32"/>
          <w:szCs w:val="32"/>
        </w:rPr>
        <w:t>其中：</w:t>
      </w:r>
      <w:r>
        <w:rPr>
          <w:rFonts w:hint="eastAsia" w:ascii="仿宋_GB2312" w:eastAsia="仿宋_GB2312"/>
          <w:b w:val="0"/>
          <w:bCs/>
          <w:sz w:val="32"/>
          <w:szCs w:val="32"/>
        </w:rPr>
        <w:t>公务用车运行维护费支出</w:t>
      </w:r>
      <w:r>
        <w:rPr>
          <w:rFonts w:ascii="仿宋" w:hAnsi="仿宋" w:eastAsia="仿宋"/>
          <w:b w:val="0"/>
          <w:bCs/>
          <w:sz w:val="32"/>
          <w:szCs w:val="32"/>
        </w:rPr>
        <w:t>8.72</w:t>
      </w:r>
      <w:r>
        <w:rPr>
          <w:rFonts w:hint="eastAsia" w:ascii="仿宋_GB2312" w:eastAsia="仿宋_GB2312"/>
          <w:b w:val="0"/>
          <w:bCs/>
          <w:sz w:val="32"/>
          <w:szCs w:val="32"/>
        </w:rPr>
        <w:t>万元。主</w:t>
      </w:r>
      <w:r>
        <w:rPr>
          <w:rFonts w:hint="eastAsia" w:ascii="仿宋_GB2312" w:eastAsia="仿宋_GB2312"/>
          <w:sz w:val="32"/>
          <w:szCs w:val="32"/>
        </w:rPr>
        <w:t>要用于</w:t>
      </w:r>
      <w:r>
        <w:rPr>
          <w:rFonts w:hint="eastAsia" w:ascii="仿宋_GB2312" w:eastAsia="仿宋_GB2312"/>
          <w:sz w:val="32"/>
          <w:szCs w:val="32"/>
          <w:lang w:eastAsia="zh-CN"/>
        </w:rPr>
        <w:t>向上级部门汇报工作、到上级部门开会及上交资料</w:t>
      </w:r>
      <w:r>
        <w:rPr>
          <w:rFonts w:hint="eastAsia" w:ascii="仿宋_GB2312" w:eastAsia="仿宋_GB2312"/>
          <w:sz w:val="32"/>
          <w:szCs w:val="32"/>
        </w:rPr>
        <w:t>等所需的公务用车燃料费、维修费、过路过桥费、保险费等支出。</w:t>
      </w:r>
    </w:p>
    <w:p>
      <w:pPr>
        <w:keepNext w:val="0"/>
        <w:keepLines w:val="0"/>
        <w:pageBreakBefore w:val="0"/>
        <w:widowControl w:val="0"/>
        <w:kinsoku/>
        <w:wordWrap/>
        <w:overflowPunct/>
        <w:topLinePunct w:val="0"/>
        <w:bidi w:val="0"/>
        <w:snapToGrid/>
        <w:spacing w:line="578" w:lineRule="exact"/>
        <w:ind w:firstLine="640"/>
        <w:textAlignment w:val="auto"/>
        <w:outlineLvl w:val="1"/>
        <w:rPr>
          <w:rStyle w:val="29"/>
          <w:rFonts w:ascii="黑体" w:hAnsi="黑体" w:eastAsia="黑体"/>
        </w:rPr>
      </w:pPr>
      <w:bookmarkStart w:id="85" w:name="_Toc25897_WPSOffice_Level2"/>
      <w:r>
        <w:rPr>
          <w:rFonts w:hint="eastAsia" w:ascii="黑体" w:eastAsia="黑体"/>
          <w:sz w:val="32"/>
          <w:szCs w:val="32"/>
        </w:rPr>
        <w:t>八、</w:t>
      </w:r>
      <w:r>
        <w:rPr>
          <w:rStyle w:val="29"/>
          <w:rFonts w:hint="eastAsia" w:ascii="黑体" w:hAnsi="黑体" w:eastAsia="黑体"/>
          <w:b w:val="0"/>
        </w:rPr>
        <w:t>政府性基金预算支出决算情况说明</w:t>
      </w:r>
      <w:bookmarkEnd w:id="83"/>
      <w:bookmarkEnd w:id="84"/>
      <w:bookmarkEnd w:id="85"/>
    </w:p>
    <w:p>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2023年度政府性基金预算财政拨款支</w:t>
      </w:r>
      <w:r>
        <w:rPr>
          <w:rFonts w:hint="eastAsia" w:ascii="仿宋_GB2312" w:hAnsi="仿宋_GB2312" w:eastAsia="仿宋_GB2312" w:cs="仿宋_GB2312"/>
          <w:b w:val="0"/>
          <w:bCs w:val="0"/>
          <w:sz w:val="32"/>
          <w:szCs w:val="32"/>
        </w:rPr>
        <w:t>出0万</w:t>
      </w:r>
      <w:r>
        <w:rPr>
          <w:rFonts w:hint="eastAsia" w:ascii="仿宋_GB2312" w:hAnsi="仿宋_GB2312" w:eastAsia="仿宋_GB2312" w:cs="仿宋_GB2312"/>
          <w:sz w:val="32"/>
          <w:szCs w:val="32"/>
        </w:rPr>
        <w:t>元。</w:t>
      </w:r>
    </w:p>
    <w:p>
      <w:pPr>
        <w:keepNext w:val="0"/>
        <w:keepLines w:val="0"/>
        <w:pageBreakBefore w:val="0"/>
        <w:widowControl w:val="0"/>
        <w:numPr>
          <w:ilvl w:val="0"/>
          <w:numId w:val="3"/>
        </w:numPr>
        <w:kinsoku/>
        <w:wordWrap/>
        <w:overflowPunct/>
        <w:topLinePunct w:val="0"/>
        <w:bidi w:val="0"/>
        <w:snapToGrid/>
        <w:spacing w:line="578" w:lineRule="exact"/>
        <w:ind w:firstLine="640"/>
        <w:textAlignment w:val="auto"/>
        <w:outlineLvl w:val="1"/>
        <w:rPr>
          <w:rStyle w:val="29"/>
          <w:rFonts w:ascii="黑体" w:hAnsi="黑体" w:eastAsia="黑体"/>
          <w:b w:val="0"/>
        </w:rPr>
      </w:pPr>
      <w:bookmarkStart w:id="86" w:name="_Toc19352_WPSOffice_Level2"/>
      <w:bookmarkStart w:id="87" w:name="_Toc15377219"/>
      <w:bookmarkStart w:id="88" w:name="_Toc15396611"/>
      <w:r>
        <w:rPr>
          <w:rStyle w:val="29"/>
          <w:rFonts w:hint="eastAsia" w:ascii="黑体" w:hAnsi="黑体" w:eastAsia="黑体"/>
          <w:b w:val="0"/>
        </w:rPr>
        <w:t>国有资本经营预算支出决算情况说明</w:t>
      </w:r>
      <w:bookmarkEnd w:id="86"/>
      <w:bookmarkEnd w:id="87"/>
      <w:bookmarkEnd w:id="88"/>
    </w:p>
    <w:p>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2023年度国有资本经营预算财政拨款支出0万元。</w:t>
      </w:r>
    </w:p>
    <w:p>
      <w:pPr>
        <w:keepNext w:val="0"/>
        <w:keepLines w:val="0"/>
        <w:pageBreakBefore w:val="0"/>
        <w:widowControl w:val="0"/>
        <w:numPr>
          <w:ilvl w:val="0"/>
          <w:numId w:val="3"/>
        </w:numPr>
        <w:kinsoku/>
        <w:wordWrap/>
        <w:overflowPunct/>
        <w:topLinePunct w:val="0"/>
        <w:bidi w:val="0"/>
        <w:snapToGrid/>
        <w:spacing w:line="578" w:lineRule="exact"/>
        <w:ind w:firstLine="640"/>
        <w:textAlignment w:val="auto"/>
        <w:outlineLvl w:val="1"/>
        <w:rPr>
          <w:rStyle w:val="29"/>
          <w:rFonts w:ascii="黑体" w:hAnsi="黑体" w:eastAsia="黑体"/>
          <w:b w:val="0"/>
        </w:rPr>
      </w:pPr>
      <w:bookmarkStart w:id="89" w:name="_Toc1446_WPSOffice_Level2"/>
      <w:bookmarkStart w:id="90" w:name="_Toc15377221"/>
      <w:bookmarkStart w:id="91" w:name="_Toc15396612"/>
      <w:r>
        <w:rPr>
          <w:rStyle w:val="29"/>
          <w:rFonts w:hint="eastAsia" w:ascii="黑体" w:hAnsi="黑体" w:eastAsia="黑体"/>
          <w:b w:val="0"/>
        </w:rPr>
        <w:t>其他重要事项的情况说明</w:t>
      </w:r>
      <w:bookmarkEnd w:id="89"/>
      <w:bookmarkEnd w:id="90"/>
      <w:bookmarkEnd w:id="91"/>
    </w:p>
    <w:p>
      <w:pPr>
        <w:keepNext w:val="0"/>
        <w:keepLines w:val="0"/>
        <w:pageBreakBefore w:val="0"/>
        <w:widowControl w:val="0"/>
        <w:kinsoku/>
        <w:wordWrap/>
        <w:overflowPunct/>
        <w:topLinePunct w:val="0"/>
        <w:bidi w:val="0"/>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bookmarkStart w:id="92" w:name="_Toc15377222"/>
      <w:r>
        <w:rPr>
          <w:rFonts w:hint="eastAsia" w:ascii="楷体_GB2312" w:hAnsi="楷体_GB2312" w:eastAsia="楷体_GB2312" w:cs="楷体_GB2312"/>
          <w:b w:val="0"/>
          <w:bCs/>
          <w:sz w:val="32"/>
          <w:szCs w:val="32"/>
        </w:rPr>
        <w:t>（一）机关运行经费支出情况</w:t>
      </w:r>
      <w:bookmarkEnd w:id="92"/>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2023年度</w:t>
      </w:r>
      <w:r>
        <w:rPr>
          <w:rFonts w:hint="eastAsia" w:ascii="仿宋_GB2312" w:eastAsia="仿宋_GB2312"/>
          <w:b w:val="0"/>
          <w:bCs w:val="0"/>
          <w:sz w:val="32"/>
          <w:szCs w:val="32"/>
          <w:lang w:eastAsia="zh-CN"/>
        </w:rPr>
        <w:t>，大竹县房地产管理局</w:t>
      </w:r>
      <w:r>
        <w:rPr>
          <w:rFonts w:hint="eastAsia" w:ascii="仿宋_GB2312" w:eastAsia="仿宋_GB2312"/>
          <w:b w:val="0"/>
          <w:bCs w:val="0"/>
          <w:sz w:val="32"/>
          <w:szCs w:val="32"/>
        </w:rPr>
        <w:t>无机关运行经费支出。主要原因是我单位为事业单位，无机关运行经费</w:t>
      </w:r>
      <w:r>
        <w:rPr>
          <w:rFonts w:hint="eastAsia" w:ascii="仿宋_GB2312" w:eastAsia="仿宋_GB2312"/>
          <w:b w:val="0"/>
          <w:bCs w:val="0"/>
          <w:sz w:val="32"/>
          <w:szCs w:val="32"/>
          <w:lang w:eastAsia="zh-CN"/>
        </w:rPr>
        <w:t>。</w:t>
      </w:r>
    </w:p>
    <w:p>
      <w:pPr>
        <w:keepNext w:val="0"/>
        <w:keepLines w:val="0"/>
        <w:pageBreakBefore w:val="0"/>
        <w:widowControl w:val="0"/>
        <w:kinsoku/>
        <w:wordWrap/>
        <w:overflowPunct/>
        <w:topLinePunct w:val="0"/>
        <w:bidi w:val="0"/>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bookmarkStart w:id="93" w:name="_Toc15377223"/>
      <w:r>
        <w:rPr>
          <w:rFonts w:hint="eastAsia" w:ascii="楷体_GB2312" w:hAnsi="楷体_GB2312" w:eastAsia="楷体_GB2312" w:cs="楷体_GB2312"/>
          <w:b w:val="0"/>
          <w:bCs/>
          <w:sz w:val="32"/>
          <w:szCs w:val="32"/>
        </w:rPr>
        <w:t>（二）政府采购支出情况</w:t>
      </w:r>
      <w:bookmarkEnd w:id="93"/>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2023年度，</w:t>
      </w:r>
      <w:r>
        <w:rPr>
          <w:rFonts w:hint="eastAsia" w:ascii="仿宋_GB2312" w:eastAsia="仿宋_GB2312"/>
          <w:b w:val="0"/>
          <w:bCs w:val="0"/>
          <w:sz w:val="32"/>
          <w:szCs w:val="32"/>
        </w:rPr>
        <w:t>大竹县房地产管理局</w:t>
      </w:r>
      <w:r>
        <w:rPr>
          <w:rFonts w:hint="eastAsia" w:ascii="仿宋_GB2312" w:eastAsia="仿宋_GB2312"/>
          <w:b w:val="0"/>
          <w:bCs w:val="0"/>
          <w:sz w:val="32"/>
          <w:szCs w:val="32"/>
          <w:lang w:eastAsia="zh-CN"/>
        </w:rPr>
        <w:t>无</w:t>
      </w:r>
      <w:r>
        <w:rPr>
          <w:rFonts w:hint="eastAsia" w:ascii="仿宋_GB2312" w:eastAsia="仿宋_GB2312"/>
          <w:b w:val="0"/>
          <w:bCs w:val="0"/>
          <w:sz w:val="32"/>
          <w:szCs w:val="32"/>
        </w:rPr>
        <w:t>政府采购支出</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bookmarkStart w:id="94" w:name="_Toc15377224"/>
      <w:r>
        <w:rPr>
          <w:rFonts w:hint="eastAsia" w:ascii="楷体_GB2312" w:hAnsi="楷体_GB2312" w:eastAsia="楷体_GB2312" w:cs="楷体_GB2312"/>
          <w:b w:val="0"/>
          <w:bCs/>
          <w:sz w:val="32"/>
          <w:szCs w:val="32"/>
        </w:rPr>
        <w:t>（三）国有资产占有使用情况</w:t>
      </w:r>
      <w:bookmarkEnd w:id="94"/>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日，大竹县房地产管理局共有车辆4辆，其中：其他用车</w:t>
      </w:r>
      <w:r>
        <w:rPr>
          <w:rFonts w:hint="eastAsia" w:ascii="仿宋_GB2312" w:eastAsia="仿宋_GB2312"/>
          <w:sz w:val="32"/>
          <w:szCs w:val="32"/>
          <w:lang w:val="en-US" w:eastAsia="zh-CN"/>
        </w:rPr>
        <w:t>4</w:t>
      </w:r>
      <w:r>
        <w:rPr>
          <w:rFonts w:hint="eastAsia" w:ascii="仿宋_GB2312" w:eastAsia="仿宋_GB2312"/>
          <w:sz w:val="32"/>
          <w:szCs w:val="32"/>
        </w:rPr>
        <w:t>辆，其他用车主要是用于执行本单位的公务。单价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val="0"/>
          <w:bCs/>
          <w:sz w:val="32"/>
          <w:szCs w:val="32"/>
        </w:rPr>
        <w:t>0</w:t>
      </w:r>
      <w:r>
        <w:rPr>
          <w:rFonts w:hint="eastAsia" w:ascii="仿宋_GB2312" w:eastAsia="仿宋_GB2312"/>
          <w:sz w:val="32"/>
          <w:szCs w:val="32"/>
        </w:rPr>
        <w:t>台（套）。</w:t>
      </w:r>
    </w:p>
    <w:p>
      <w:pPr>
        <w:keepNext w:val="0"/>
        <w:keepLines w:val="0"/>
        <w:pageBreakBefore w:val="0"/>
        <w:widowControl w:val="0"/>
        <w:kinsoku/>
        <w:wordWrap/>
        <w:overflowPunct/>
        <w:topLinePunct w:val="0"/>
        <w:bidi w:val="0"/>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（四）预算绩效管理情况</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hAnsi="仿宋_GB2312" w:eastAsia="仿宋_GB2312" w:cs="仿宋_GB2312"/>
          <w:color w:val="auto"/>
          <w:sz w:val="32"/>
          <w:szCs w:val="32"/>
          <w:highlight w:val="none"/>
        </w:rPr>
        <w:t>交易与产权管理专网费</w:t>
      </w:r>
      <w:r>
        <w:rPr>
          <w:rFonts w:hint="eastAsia" w:ascii="仿宋_GB2312" w:eastAsia="仿宋_GB2312"/>
          <w:sz w:val="32"/>
          <w:szCs w:val="32"/>
        </w:rPr>
        <w:t>等</w:t>
      </w:r>
      <w:r>
        <w:rPr>
          <w:rFonts w:hint="eastAsia" w:ascii="仿宋_GB2312" w:eastAsia="仿宋_GB2312"/>
          <w:sz w:val="32"/>
          <w:szCs w:val="32"/>
          <w:lang w:val="en-US" w:eastAsia="zh-CN"/>
        </w:rPr>
        <w:t>13</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13</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13</w:t>
      </w:r>
      <w:r>
        <w:rPr>
          <w:rFonts w:hint="eastAsia" w:ascii="仿宋_GB2312" w:eastAsia="仿宋_GB2312"/>
          <w:sz w:val="32"/>
          <w:szCs w:val="32"/>
        </w:rPr>
        <w:t>个项目开展绩效自评，绩效自评表详见第四部分附件。</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95" w:name="_Toc61_WPSOffice_Level1"/>
      <w:bookmarkStart w:id="96" w:name="_Toc15396613"/>
      <w:bookmarkStart w:id="97" w:name="_Toc15377225"/>
      <w:r>
        <w:rPr>
          <w:rFonts w:hint="eastAsia" w:ascii="黑体" w:hAnsi="黑体" w:eastAsia="黑体"/>
          <w:sz w:val="44"/>
          <w:szCs w:val="44"/>
        </w:rPr>
        <w:t>名</w:t>
      </w:r>
      <w:r>
        <w:rPr>
          <w:rStyle w:val="28"/>
          <w:rFonts w:hint="eastAsia" w:ascii="黑体" w:hAnsi="黑体" w:eastAsia="黑体"/>
          <w:b w:val="0"/>
        </w:rPr>
        <w:t>词解释</w:t>
      </w:r>
      <w:bookmarkEnd w:id="95"/>
      <w:bookmarkEnd w:id="96"/>
      <w:bookmarkEnd w:id="97"/>
    </w:p>
    <w:p>
      <w:pPr>
        <w:spacing w:line="600" w:lineRule="exact"/>
        <w:jc w:val="left"/>
        <w:rPr>
          <w:rFonts w:ascii="宋体"/>
          <w:b/>
          <w:sz w:val="44"/>
          <w:szCs w:val="44"/>
        </w:rPr>
      </w:pP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其他收入：指单位取得的除上述收入以外的各项收入。</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社会保障和就业支出（208）行政事业单位养老支出（05）机关事业单位基本养老保险缴费支出（05）：</w:t>
      </w:r>
      <w:r>
        <w:rPr>
          <w:rFonts w:hint="eastAsia" w:ascii="仿宋_GB2312" w:hAnsi="Calibri" w:eastAsia="仿宋_GB2312" w:cs="仿宋"/>
          <w:color w:val="auto"/>
          <w:kern w:val="0"/>
          <w:sz w:val="32"/>
          <w:szCs w:val="32"/>
          <w:lang w:val="en-US" w:eastAsia="zh-CN" w:bidi="ar-SA"/>
        </w:rPr>
        <w:t>指反映机关事业单位实施养老保险制度由单位缴纳</w:t>
      </w:r>
      <w:r>
        <w:rPr>
          <w:rFonts w:hint="eastAsia" w:ascii="仿宋_GB2312" w:eastAsia="仿宋_GB2312"/>
          <w:sz w:val="32"/>
          <w:szCs w:val="32"/>
          <w:lang w:eastAsia="zh-CN"/>
        </w:rPr>
        <w:t>的基本养老保险费支出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Style w:val="17"/>
          <w:rFonts w:hint="eastAsia" w:ascii="仿宋" w:hAnsi="仿宋" w:eastAsia="仿宋"/>
          <w:b w:val="0"/>
          <w:bCs w:val="0"/>
          <w:sz w:val="32"/>
          <w:szCs w:val="32"/>
        </w:rPr>
        <w:t>社会保障和就业</w:t>
      </w:r>
      <w:r>
        <w:rPr>
          <w:rStyle w:val="17"/>
          <w:rFonts w:hint="eastAsia" w:ascii="仿宋" w:hAnsi="仿宋" w:eastAsia="仿宋"/>
          <w:b w:val="0"/>
          <w:bCs w:val="0"/>
          <w:sz w:val="32"/>
          <w:szCs w:val="32"/>
          <w:lang w:eastAsia="zh-CN"/>
        </w:rPr>
        <w:t>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208</w:t>
      </w:r>
      <w:r>
        <w:rPr>
          <w:rStyle w:val="17"/>
          <w:rFonts w:hint="eastAsia" w:ascii="仿宋" w:hAnsi="仿宋" w:eastAsia="仿宋"/>
          <w:b w:val="0"/>
          <w:bCs w:val="0"/>
          <w:sz w:val="32"/>
          <w:szCs w:val="32"/>
        </w:rPr>
        <w:t>）行政事业单位养老支出（</w:t>
      </w:r>
      <w:r>
        <w:rPr>
          <w:rStyle w:val="17"/>
          <w:rFonts w:hint="eastAsia" w:ascii="仿宋" w:hAnsi="仿宋" w:eastAsia="仿宋"/>
          <w:b w:val="0"/>
          <w:bCs w:val="0"/>
          <w:sz w:val="32"/>
          <w:szCs w:val="32"/>
          <w:lang w:val="en-US" w:eastAsia="zh-CN"/>
        </w:rPr>
        <w:t>05</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eastAsia="zh-CN"/>
        </w:rPr>
        <w:t>事业单位离退休</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02</w:t>
      </w:r>
      <w:r>
        <w:rPr>
          <w:rStyle w:val="17"/>
          <w:rFonts w:hint="eastAsia" w:ascii="仿宋" w:hAnsi="仿宋" w:eastAsia="仿宋"/>
          <w:b w:val="0"/>
          <w:bCs w:val="0"/>
          <w:sz w:val="32"/>
          <w:szCs w:val="32"/>
        </w:rPr>
        <w:t>）</w:t>
      </w:r>
      <w:r>
        <w:rPr>
          <w:rFonts w:hint="eastAsia" w:ascii="仿宋_GB2312" w:eastAsia="仿宋_GB2312"/>
          <w:sz w:val="32"/>
          <w:szCs w:val="32"/>
        </w:rPr>
        <w:t>：指</w:t>
      </w:r>
      <w:r>
        <w:rPr>
          <w:rFonts w:hint="eastAsia" w:ascii="仿宋_GB2312" w:eastAsia="仿宋_GB2312"/>
          <w:sz w:val="32"/>
          <w:szCs w:val="32"/>
          <w:lang w:eastAsia="zh-CN"/>
        </w:rPr>
        <w:t>反映事业单位开支的离退休经费</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Style w:val="17"/>
          <w:rFonts w:hint="eastAsia" w:ascii="仿宋" w:hAnsi="仿宋" w:eastAsia="仿宋"/>
          <w:b w:val="0"/>
          <w:bCs w:val="0"/>
          <w:sz w:val="32"/>
          <w:szCs w:val="32"/>
        </w:rPr>
        <w:t>社会保障和就业</w:t>
      </w:r>
      <w:r>
        <w:rPr>
          <w:rStyle w:val="17"/>
          <w:rFonts w:hint="eastAsia" w:ascii="仿宋" w:hAnsi="仿宋" w:eastAsia="仿宋"/>
          <w:b w:val="0"/>
          <w:bCs w:val="0"/>
          <w:sz w:val="32"/>
          <w:szCs w:val="32"/>
          <w:lang w:eastAsia="zh-CN"/>
        </w:rPr>
        <w:t>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208</w:t>
      </w:r>
      <w:r>
        <w:rPr>
          <w:rStyle w:val="17"/>
          <w:rFonts w:hint="eastAsia" w:ascii="仿宋" w:hAnsi="仿宋" w:eastAsia="仿宋"/>
          <w:b w:val="0"/>
          <w:bCs w:val="0"/>
          <w:sz w:val="32"/>
          <w:szCs w:val="32"/>
        </w:rPr>
        <w:t>）行政事业单位养老支出（</w:t>
      </w:r>
      <w:r>
        <w:rPr>
          <w:rStyle w:val="17"/>
          <w:rFonts w:hint="eastAsia" w:ascii="仿宋" w:hAnsi="仿宋" w:eastAsia="仿宋"/>
          <w:b w:val="0"/>
          <w:bCs w:val="0"/>
          <w:sz w:val="32"/>
          <w:szCs w:val="32"/>
          <w:lang w:val="en-US" w:eastAsia="zh-CN"/>
        </w:rPr>
        <w:t>05</w:t>
      </w:r>
      <w:r>
        <w:rPr>
          <w:rStyle w:val="17"/>
          <w:rFonts w:hint="eastAsia" w:ascii="仿宋" w:hAnsi="仿宋" w:eastAsia="仿宋"/>
          <w:b w:val="0"/>
          <w:bCs w:val="0"/>
          <w:sz w:val="32"/>
          <w:szCs w:val="32"/>
        </w:rPr>
        <w:t>）其他行政事业单位养老支出（</w:t>
      </w:r>
      <w:r>
        <w:rPr>
          <w:rStyle w:val="17"/>
          <w:rFonts w:hint="eastAsia" w:ascii="仿宋" w:hAnsi="仿宋" w:eastAsia="仿宋"/>
          <w:b w:val="0"/>
          <w:bCs w:val="0"/>
          <w:sz w:val="32"/>
          <w:szCs w:val="32"/>
          <w:lang w:val="en-US" w:eastAsia="zh-CN"/>
        </w:rPr>
        <w:t>99</w:t>
      </w:r>
      <w:r>
        <w:rPr>
          <w:rStyle w:val="17"/>
          <w:rFonts w:hint="eastAsia" w:ascii="仿宋" w:hAnsi="仿宋" w:eastAsia="仿宋"/>
          <w:b w:val="0"/>
          <w:bCs w:val="0"/>
          <w:sz w:val="32"/>
          <w:szCs w:val="32"/>
        </w:rPr>
        <w:t>）</w:t>
      </w:r>
      <w:r>
        <w:rPr>
          <w:rFonts w:hint="eastAsia" w:ascii="仿宋_GB2312" w:eastAsia="仿宋_GB2312"/>
          <w:sz w:val="32"/>
          <w:szCs w:val="32"/>
        </w:rPr>
        <w:t>：指</w:t>
      </w:r>
      <w:r>
        <w:rPr>
          <w:rFonts w:hint="eastAsia" w:ascii="仿宋_GB2312" w:hAnsi="Times New Roman" w:eastAsia="仿宋_GB2312" w:cs="Times New Roman"/>
          <w:sz w:val="32"/>
          <w:szCs w:val="32"/>
          <w:lang w:eastAsia="zh-CN"/>
        </w:rPr>
        <w:t>反映除基本的养老保险项目以外其他用于行政事业单位养老方面的支出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Style w:val="17"/>
          <w:rFonts w:hint="eastAsia" w:ascii="仿宋" w:hAnsi="仿宋" w:eastAsia="仿宋"/>
          <w:b w:val="0"/>
          <w:bCs w:val="0"/>
          <w:sz w:val="32"/>
          <w:szCs w:val="32"/>
        </w:rPr>
        <w:t>社会保障和就业</w:t>
      </w:r>
      <w:r>
        <w:rPr>
          <w:rStyle w:val="17"/>
          <w:rFonts w:hint="eastAsia" w:ascii="仿宋" w:hAnsi="仿宋" w:eastAsia="仿宋"/>
          <w:b w:val="0"/>
          <w:bCs w:val="0"/>
          <w:sz w:val="32"/>
          <w:szCs w:val="32"/>
          <w:lang w:eastAsia="zh-CN"/>
        </w:rPr>
        <w:t>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208</w:t>
      </w:r>
      <w:r>
        <w:rPr>
          <w:rStyle w:val="17"/>
          <w:rFonts w:hint="eastAsia" w:ascii="仿宋" w:hAnsi="仿宋" w:eastAsia="仿宋"/>
          <w:b w:val="0"/>
          <w:bCs w:val="0"/>
          <w:sz w:val="32"/>
          <w:szCs w:val="32"/>
        </w:rPr>
        <w:t>）行政事业单位养老支出（</w:t>
      </w:r>
      <w:r>
        <w:rPr>
          <w:rStyle w:val="17"/>
          <w:rFonts w:hint="eastAsia" w:ascii="仿宋" w:hAnsi="仿宋" w:eastAsia="仿宋"/>
          <w:b w:val="0"/>
          <w:bCs w:val="0"/>
          <w:sz w:val="32"/>
          <w:szCs w:val="32"/>
          <w:lang w:val="en-US" w:eastAsia="zh-CN"/>
        </w:rPr>
        <w:t>05</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eastAsia="zh-CN"/>
        </w:rPr>
        <w:t>机关事业单位职业年金缴费支出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06</w:t>
      </w:r>
      <w:r>
        <w:rPr>
          <w:rStyle w:val="17"/>
          <w:rFonts w:hint="eastAsia" w:ascii="仿宋" w:hAnsi="仿宋" w:eastAsia="仿宋"/>
          <w:b w:val="0"/>
          <w:bCs w:val="0"/>
          <w:sz w:val="32"/>
          <w:szCs w:val="32"/>
        </w:rPr>
        <w:t>）</w:t>
      </w:r>
      <w:r>
        <w:rPr>
          <w:rFonts w:hint="eastAsia" w:ascii="仿宋_GB2312" w:eastAsia="仿宋_GB2312"/>
          <w:sz w:val="32"/>
          <w:szCs w:val="32"/>
        </w:rPr>
        <w:t>：指</w:t>
      </w:r>
      <w:r>
        <w:rPr>
          <w:rFonts w:hint="eastAsia" w:ascii="仿宋_GB2312" w:eastAsia="仿宋_GB2312"/>
          <w:sz w:val="32"/>
          <w:szCs w:val="32"/>
          <w:lang w:eastAsia="zh-CN"/>
        </w:rPr>
        <w:t>反映机关事业单位实施养老保险制度由单位实际缴纳的职业年金支出（含职业年金补记支出）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Style w:val="17"/>
          <w:rFonts w:hint="eastAsia" w:ascii="仿宋" w:hAnsi="仿宋" w:eastAsia="仿宋"/>
          <w:b w:val="0"/>
          <w:bCs w:val="0"/>
          <w:sz w:val="32"/>
          <w:szCs w:val="32"/>
        </w:rPr>
        <w:t>社会保障和就业</w:t>
      </w:r>
      <w:r>
        <w:rPr>
          <w:rStyle w:val="17"/>
          <w:rFonts w:hint="eastAsia" w:ascii="仿宋" w:hAnsi="仿宋" w:eastAsia="仿宋"/>
          <w:b w:val="0"/>
          <w:bCs w:val="0"/>
          <w:sz w:val="32"/>
          <w:szCs w:val="32"/>
          <w:lang w:eastAsia="zh-CN"/>
        </w:rPr>
        <w:t>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208</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eastAsia="zh-CN"/>
        </w:rPr>
        <w:t>抚恤</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08</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eastAsia="zh-CN"/>
        </w:rPr>
        <w:t>死亡抚恤</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01</w:t>
      </w:r>
      <w:r>
        <w:rPr>
          <w:rStyle w:val="17"/>
          <w:rFonts w:hint="eastAsia" w:ascii="仿宋" w:hAnsi="仿宋" w:eastAsia="仿宋"/>
          <w:b w:val="0"/>
          <w:bCs w:val="0"/>
          <w:sz w:val="32"/>
          <w:szCs w:val="32"/>
        </w:rPr>
        <w:t>）</w:t>
      </w:r>
      <w:r>
        <w:rPr>
          <w:rFonts w:hint="eastAsia" w:ascii="仿宋_GB2312" w:eastAsia="仿宋_GB2312"/>
          <w:sz w:val="32"/>
          <w:szCs w:val="32"/>
        </w:rPr>
        <w:t>：指</w:t>
      </w:r>
      <w:r>
        <w:rPr>
          <w:rFonts w:hint="eastAsia" w:ascii="仿宋_GB2312" w:eastAsia="仿宋_GB2312"/>
          <w:sz w:val="32"/>
          <w:szCs w:val="32"/>
          <w:lang w:eastAsia="zh-CN"/>
        </w:rPr>
        <w:t>反映按规定用于烈士和牺牲、病故人员家属的一次性和定期抚恤金、丧葬补助费以及烈士褒扬金</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Style w:val="17"/>
          <w:rFonts w:hint="eastAsia" w:ascii="仿宋" w:hAnsi="仿宋" w:eastAsia="仿宋"/>
          <w:b w:val="0"/>
          <w:bCs w:val="0"/>
          <w:sz w:val="32"/>
          <w:szCs w:val="32"/>
        </w:rPr>
        <w:t>社会保障和就业</w:t>
      </w:r>
      <w:r>
        <w:rPr>
          <w:rStyle w:val="17"/>
          <w:rFonts w:hint="eastAsia" w:ascii="仿宋" w:hAnsi="仿宋" w:eastAsia="仿宋"/>
          <w:b w:val="0"/>
          <w:bCs w:val="0"/>
          <w:sz w:val="32"/>
          <w:szCs w:val="32"/>
          <w:lang w:eastAsia="zh-CN"/>
        </w:rPr>
        <w:t>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208</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eastAsia="zh-CN"/>
        </w:rPr>
        <w:t>其他社会保障和就业支出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99</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eastAsia="zh-CN"/>
        </w:rPr>
        <w:t>其他社会保障和就业支出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99）</w:t>
      </w:r>
      <w:r>
        <w:rPr>
          <w:rFonts w:hint="eastAsia" w:ascii="仿宋_GB2312" w:eastAsia="仿宋_GB2312"/>
          <w:sz w:val="32"/>
          <w:szCs w:val="32"/>
        </w:rPr>
        <w:t>：指</w:t>
      </w:r>
      <w:r>
        <w:rPr>
          <w:rFonts w:hint="eastAsia" w:ascii="仿宋_GB2312" w:eastAsia="仿宋_GB2312"/>
          <w:sz w:val="32"/>
          <w:szCs w:val="32"/>
          <w:lang w:eastAsia="zh-CN"/>
        </w:rPr>
        <w:t>反映其他用于社会保障和就业方面的支出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 w:hAnsi="仿宋" w:eastAsia="仿宋"/>
          <w:b w:val="0"/>
          <w:bCs w:val="0"/>
          <w:sz w:val="32"/>
          <w:szCs w:val="32"/>
        </w:rPr>
        <w:t>卫生健康</w:t>
      </w:r>
      <w:r>
        <w:rPr>
          <w:rFonts w:hint="eastAsia" w:ascii="仿宋" w:hAnsi="仿宋" w:eastAsia="仿宋"/>
          <w:b w:val="0"/>
          <w:bCs w:val="0"/>
          <w:sz w:val="32"/>
          <w:szCs w:val="32"/>
          <w:lang w:eastAsia="zh-CN"/>
        </w:rPr>
        <w:t>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210</w:t>
      </w:r>
      <w:r>
        <w:rPr>
          <w:rStyle w:val="17"/>
          <w:rFonts w:hint="eastAsia" w:ascii="仿宋" w:hAnsi="仿宋" w:eastAsia="仿宋"/>
          <w:b w:val="0"/>
          <w:bCs w:val="0"/>
          <w:sz w:val="32"/>
          <w:szCs w:val="32"/>
        </w:rPr>
        <w:t>）行政事业单位医疗（</w:t>
      </w:r>
      <w:r>
        <w:rPr>
          <w:rStyle w:val="17"/>
          <w:rFonts w:hint="eastAsia" w:ascii="仿宋" w:hAnsi="仿宋" w:eastAsia="仿宋"/>
          <w:b w:val="0"/>
          <w:bCs w:val="0"/>
          <w:sz w:val="32"/>
          <w:szCs w:val="32"/>
          <w:lang w:val="en-US" w:eastAsia="zh-CN"/>
        </w:rPr>
        <w:t>11</w:t>
      </w:r>
      <w:r>
        <w:rPr>
          <w:rStyle w:val="17"/>
          <w:rFonts w:hint="eastAsia" w:ascii="仿宋" w:hAnsi="仿宋" w:eastAsia="仿宋"/>
          <w:b w:val="0"/>
          <w:bCs w:val="0"/>
          <w:sz w:val="32"/>
          <w:szCs w:val="32"/>
        </w:rPr>
        <w:t>）事业单位医疗（</w:t>
      </w:r>
      <w:r>
        <w:rPr>
          <w:rStyle w:val="17"/>
          <w:rFonts w:hint="eastAsia" w:ascii="仿宋" w:hAnsi="仿宋" w:eastAsia="仿宋"/>
          <w:b w:val="0"/>
          <w:bCs w:val="0"/>
          <w:sz w:val="32"/>
          <w:szCs w:val="32"/>
          <w:lang w:val="en-US" w:eastAsia="zh-CN"/>
        </w:rPr>
        <w:t>02</w:t>
      </w:r>
      <w:r>
        <w:rPr>
          <w:rStyle w:val="17"/>
          <w:rFonts w:hint="eastAsia" w:ascii="仿宋" w:hAnsi="仿宋" w:eastAsia="仿宋"/>
          <w:b w:val="0"/>
          <w:bCs w:val="0"/>
          <w:sz w:val="32"/>
          <w:szCs w:val="32"/>
        </w:rPr>
        <w:t>）</w:t>
      </w:r>
      <w:r>
        <w:rPr>
          <w:rFonts w:hint="eastAsia" w:ascii="仿宋_GB2312" w:eastAsia="仿宋_GB2312"/>
          <w:sz w:val="32"/>
          <w:szCs w:val="32"/>
        </w:rPr>
        <w:t>：</w:t>
      </w:r>
      <w:r>
        <w:rPr>
          <w:rFonts w:hint="eastAsia" w:ascii="仿宋_GB2312" w:hAnsi="Times New Roman" w:eastAsia="仿宋_GB2312" w:cs="Times New Roman"/>
          <w:sz w:val="32"/>
          <w:szCs w:val="32"/>
        </w:rPr>
        <w:t>指</w:t>
      </w:r>
      <w:r>
        <w:rPr>
          <w:rFonts w:hint="eastAsia" w:ascii="仿宋_GB2312" w:hAnsi="Times New Roman" w:eastAsia="仿宋_GB2312" w:cs="Times New Roman"/>
          <w:sz w:val="32"/>
          <w:szCs w:val="32"/>
          <w:lang w:eastAsia="zh-CN"/>
        </w:rPr>
        <w:t>反映财政部门安排的事业单位基本医疗保险缴费经费，未参加医疗保险的事业单位的公费医疗经费，按国家规定享受离休人员待遇的医疗经费</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Style w:val="17"/>
          <w:rFonts w:hint="eastAsia" w:ascii="仿宋" w:hAnsi="仿宋" w:eastAsia="仿宋"/>
          <w:b w:val="0"/>
          <w:bCs w:val="0"/>
          <w:sz w:val="32"/>
          <w:szCs w:val="32"/>
        </w:rPr>
        <w:t>城乡社区</w:t>
      </w:r>
      <w:r>
        <w:rPr>
          <w:rStyle w:val="17"/>
          <w:rFonts w:hint="eastAsia" w:ascii="仿宋" w:hAnsi="仿宋" w:eastAsia="仿宋"/>
          <w:b w:val="0"/>
          <w:bCs w:val="0"/>
          <w:sz w:val="32"/>
          <w:szCs w:val="32"/>
          <w:lang w:eastAsia="zh-CN"/>
        </w:rPr>
        <w:t>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212</w:t>
      </w:r>
      <w:r>
        <w:rPr>
          <w:rStyle w:val="17"/>
          <w:rFonts w:hint="eastAsia" w:ascii="仿宋" w:hAnsi="仿宋" w:eastAsia="仿宋"/>
          <w:b w:val="0"/>
          <w:bCs w:val="0"/>
          <w:sz w:val="32"/>
          <w:szCs w:val="32"/>
        </w:rPr>
        <w:t>）城乡社区管理事务（</w:t>
      </w:r>
      <w:r>
        <w:rPr>
          <w:rStyle w:val="17"/>
          <w:rFonts w:hint="eastAsia" w:ascii="仿宋" w:hAnsi="仿宋" w:eastAsia="仿宋"/>
          <w:b w:val="0"/>
          <w:bCs w:val="0"/>
          <w:sz w:val="32"/>
          <w:szCs w:val="32"/>
          <w:lang w:val="en-US" w:eastAsia="zh-CN"/>
        </w:rPr>
        <w:t>01</w:t>
      </w:r>
      <w:r>
        <w:rPr>
          <w:rStyle w:val="17"/>
          <w:rFonts w:hint="eastAsia" w:ascii="仿宋" w:hAnsi="仿宋" w:eastAsia="仿宋"/>
          <w:b w:val="0"/>
          <w:bCs w:val="0"/>
          <w:sz w:val="32"/>
          <w:szCs w:val="32"/>
        </w:rPr>
        <w:t>）住宅建设与房地产市场监管（</w:t>
      </w:r>
      <w:r>
        <w:rPr>
          <w:rStyle w:val="17"/>
          <w:rFonts w:hint="eastAsia" w:ascii="仿宋" w:hAnsi="仿宋" w:eastAsia="仿宋"/>
          <w:b w:val="0"/>
          <w:bCs w:val="0"/>
          <w:sz w:val="32"/>
          <w:szCs w:val="32"/>
          <w:lang w:val="en-US" w:eastAsia="zh-CN"/>
        </w:rPr>
        <w:t>09</w:t>
      </w:r>
      <w:r>
        <w:rPr>
          <w:rStyle w:val="17"/>
          <w:rFonts w:hint="eastAsia" w:ascii="仿宋" w:hAnsi="仿宋" w:eastAsia="仿宋"/>
          <w:b w:val="0"/>
          <w:bCs w:val="0"/>
          <w:sz w:val="32"/>
          <w:szCs w:val="32"/>
        </w:rPr>
        <w:t>）</w:t>
      </w:r>
      <w:r>
        <w:rPr>
          <w:rFonts w:hint="eastAsia" w:ascii="仿宋_GB2312" w:eastAsia="仿宋_GB2312"/>
          <w:sz w:val="32"/>
          <w:szCs w:val="32"/>
        </w:rPr>
        <w:t>：指</w:t>
      </w:r>
      <w:r>
        <w:rPr>
          <w:rFonts w:hint="eastAsia" w:ascii="仿宋_GB2312" w:eastAsia="仿宋_GB2312"/>
          <w:sz w:val="32"/>
          <w:szCs w:val="32"/>
          <w:lang w:eastAsia="zh-CN"/>
        </w:rPr>
        <w:t>反映调控房地产市场运行、研究拟定城镇住房制度改革法规、对住房公积金和其他房改政策资金进行政策指导并监督使用等方面的支出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Style w:val="17"/>
          <w:rFonts w:hint="eastAsia" w:ascii="仿宋" w:hAnsi="仿宋" w:eastAsia="仿宋"/>
          <w:b w:val="0"/>
          <w:bCs w:val="0"/>
          <w:sz w:val="32"/>
          <w:szCs w:val="32"/>
        </w:rPr>
        <w:t>城乡社区</w:t>
      </w:r>
      <w:r>
        <w:rPr>
          <w:rStyle w:val="17"/>
          <w:rFonts w:hint="eastAsia" w:ascii="仿宋" w:hAnsi="仿宋" w:eastAsia="仿宋"/>
          <w:b w:val="0"/>
          <w:bCs w:val="0"/>
          <w:sz w:val="32"/>
          <w:szCs w:val="32"/>
          <w:lang w:eastAsia="zh-CN"/>
        </w:rPr>
        <w:t>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212</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eastAsia="zh-CN"/>
        </w:rPr>
        <w:t>其他城乡社区支出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99</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eastAsia="zh-CN"/>
        </w:rPr>
        <w:t>其他城乡社区支出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99</w:t>
      </w:r>
      <w:r>
        <w:rPr>
          <w:rStyle w:val="17"/>
          <w:rFonts w:hint="eastAsia" w:ascii="仿宋" w:hAnsi="仿宋" w:eastAsia="仿宋"/>
          <w:b w:val="0"/>
          <w:bCs w:val="0"/>
          <w:sz w:val="32"/>
          <w:szCs w:val="32"/>
        </w:rPr>
        <w:t>）</w:t>
      </w:r>
      <w:r>
        <w:rPr>
          <w:rFonts w:hint="eastAsia" w:ascii="仿宋_GB2312" w:eastAsia="仿宋_GB2312"/>
          <w:sz w:val="32"/>
          <w:szCs w:val="32"/>
        </w:rPr>
        <w:t>：指</w:t>
      </w:r>
      <w:r>
        <w:rPr>
          <w:rFonts w:hint="eastAsia" w:ascii="仿宋_GB2312" w:eastAsia="仿宋_GB2312"/>
          <w:sz w:val="32"/>
          <w:szCs w:val="32"/>
          <w:lang w:eastAsia="zh-CN"/>
        </w:rPr>
        <w:t>反映其他用于城乡社区方面的支出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Style w:val="17"/>
          <w:rFonts w:hint="eastAsia" w:ascii="仿宋" w:hAnsi="仿宋" w:eastAsia="仿宋"/>
          <w:b w:val="0"/>
          <w:bCs w:val="0"/>
          <w:sz w:val="32"/>
          <w:szCs w:val="32"/>
        </w:rPr>
        <w:t>住房保障支出（</w:t>
      </w:r>
      <w:r>
        <w:rPr>
          <w:rStyle w:val="17"/>
          <w:rFonts w:hint="eastAsia" w:ascii="仿宋" w:hAnsi="仿宋" w:eastAsia="仿宋"/>
          <w:b w:val="0"/>
          <w:bCs w:val="0"/>
          <w:sz w:val="32"/>
          <w:szCs w:val="32"/>
          <w:lang w:val="en-US" w:eastAsia="zh-CN"/>
        </w:rPr>
        <w:t>221</w:t>
      </w:r>
      <w:r>
        <w:rPr>
          <w:rStyle w:val="17"/>
          <w:rFonts w:hint="eastAsia" w:ascii="仿宋" w:hAnsi="仿宋" w:eastAsia="仿宋"/>
          <w:b w:val="0"/>
          <w:bCs w:val="0"/>
          <w:sz w:val="32"/>
          <w:szCs w:val="32"/>
        </w:rPr>
        <w:t>）保障性安居工程支出（</w:t>
      </w:r>
      <w:r>
        <w:rPr>
          <w:rStyle w:val="17"/>
          <w:rFonts w:hint="eastAsia" w:ascii="仿宋" w:hAnsi="仿宋" w:eastAsia="仿宋"/>
          <w:b w:val="0"/>
          <w:bCs w:val="0"/>
          <w:sz w:val="32"/>
          <w:szCs w:val="32"/>
          <w:lang w:val="en-US" w:eastAsia="zh-CN"/>
        </w:rPr>
        <w:t>01</w:t>
      </w:r>
      <w:r>
        <w:rPr>
          <w:rStyle w:val="17"/>
          <w:rFonts w:hint="eastAsia" w:ascii="仿宋" w:hAnsi="仿宋" w:eastAsia="仿宋"/>
          <w:b w:val="0"/>
          <w:bCs w:val="0"/>
          <w:sz w:val="32"/>
          <w:szCs w:val="32"/>
        </w:rPr>
        <w:t>）公共租赁住房（</w:t>
      </w:r>
      <w:r>
        <w:rPr>
          <w:rStyle w:val="17"/>
          <w:rFonts w:hint="eastAsia" w:ascii="仿宋" w:hAnsi="仿宋" w:eastAsia="仿宋"/>
          <w:b w:val="0"/>
          <w:bCs w:val="0"/>
          <w:sz w:val="32"/>
          <w:szCs w:val="32"/>
          <w:lang w:val="en-US" w:eastAsia="zh-CN"/>
        </w:rPr>
        <w:t>06</w:t>
      </w:r>
      <w:r>
        <w:rPr>
          <w:rStyle w:val="17"/>
          <w:rFonts w:hint="eastAsia" w:ascii="仿宋" w:hAnsi="仿宋" w:eastAsia="仿宋"/>
          <w:b w:val="0"/>
          <w:bCs w:val="0"/>
          <w:sz w:val="32"/>
          <w:szCs w:val="32"/>
        </w:rPr>
        <w:t>）</w:t>
      </w:r>
      <w:r>
        <w:rPr>
          <w:rFonts w:hint="eastAsia" w:ascii="仿宋_GB2312" w:eastAsia="仿宋_GB2312"/>
          <w:sz w:val="32"/>
          <w:szCs w:val="32"/>
        </w:rPr>
        <w:t>：指</w:t>
      </w:r>
      <w:r>
        <w:rPr>
          <w:rFonts w:hint="eastAsia" w:ascii="仿宋_GB2312" w:eastAsia="仿宋_GB2312"/>
          <w:sz w:val="32"/>
          <w:szCs w:val="32"/>
          <w:lang w:eastAsia="zh-CN"/>
        </w:rPr>
        <w:t>反映用于新建、改建、购买、租赁、维护和管理公共租赁住房支出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t>.</w:t>
      </w:r>
      <w:r>
        <w:rPr>
          <w:rStyle w:val="17"/>
          <w:rFonts w:hint="eastAsia" w:ascii="仿宋" w:hAnsi="仿宋" w:eastAsia="仿宋"/>
          <w:b w:val="0"/>
          <w:bCs w:val="0"/>
          <w:sz w:val="32"/>
          <w:szCs w:val="32"/>
        </w:rPr>
        <w:t>住房保障支出（</w:t>
      </w:r>
      <w:r>
        <w:rPr>
          <w:rStyle w:val="17"/>
          <w:rFonts w:hint="eastAsia" w:ascii="仿宋" w:hAnsi="仿宋" w:eastAsia="仿宋"/>
          <w:b w:val="0"/>
          <w:bCs w:val="0"/>
          <w:sz w:val="32"/>
          <w:szCs w:val="32"/>
          <w:lang w:val="en-US" w:eastAsia="zh-CN"/>
        </w:rPr>
        <w:t>221</w:t>
      </w:r>
      <w:r>
        <w:rPr>
          <w:rStyle w:val="17"/>
          <w:rFonts w:hint="eastAsia" w:ascii="仿宋" w:hAnsi="仿宋" w:eastAsia="仿宋"/>
          <w:b w:val="0"/>
          <w:bCs w:val="0"/>
          <w:sz w:val="32"/>
          <w:szCs w:val="32"/>
        </w:rPr>
        <w:t>）保障性安居工程支出（</w:t>
      </w:r>
      <w:r>
        <w:rPr>
          <w:rStyle w:val="17"/>
          <w:rFonts w:hint="eastAsia" w:ascii="仿宋" w:hAnsi="仿宋" w:eastAsia="仿宋"/>
          <w:b w:val="0"/>
          <w:bCs w:val="0"/>
          <w:sz w:val="32"/>
          <w:szCs w:val="32"/>
          <w:lang w:val="en-US" w:eastAsia="zh-CN"/>
        </w:rPr>
        <w:t>01</w:t>
      </w:r>
      <w:r>
        <w:rPr>
          <w:rStyle w:val="17"/>
          <w:rFonts w:hint="eastAsia" w:ascii="仿宋" w:hAnsi="仿宋" w:eastAsia="仿宋"/>
          <w:b w:val="0"/>
          <w:bCs w:val="0"/>
          <w:sz w:val="32"/>
          <w:szCs w:val="32"/>
        </w:rPr>
        <w:t>）保障性住房租金补贴（</w:t>
      </w:r>
      <w:r>
        <w:rPr>
          <w:rStyle w:val="17"/>
          <w:rFonts w:hint="eastAsia" w:ascii="仿宋" w:hAnsi="仿宋" w:eastAsia="仿宋"/>
          <w:b w:val="0"/>
          <w:bCs w:val="0"/>
          <w:sz w:val="32"/>
          <w:szCs w:val="32"/>
          <w:lang w:val="en-US" w:eastAsia="zh-CN"/>
        </w:rPr>
        <w:t>07</w:t>
      </w:r>
      <w:r>
        <w:rPr>
          <w:rStyle w:val="17"/>
          <w:rFonts w:hint="eastAsia" w:ascii="仿宋" w:hAnsi="仿宋" w:eastAsia="仿宋"/>
          <w:b w:val="0"/>
          <w:bCs w:val="0"/>
          <w:sz w:val="32"/>
          <w:szCs w:val="32"/>
        </w:rPr>
        <w:t>）</w:t>
      </w:r>
      <w:r>
        <w:rPr>
          <w:rFonts w:hint="eastAsia" w:ascii="仿宋_GB2312" w:eastAsia="仿宋_GB2312"/>
          <w:sz w:val="32"/>
          <w:szCs w:val="32"/>
        </w:rPr>
        <w:t>：指</w:t>
      </w:r>
      <w:r>
        <w:rPr>
          <w:rFonts w:hint="eastAsia" w:ascii="仿宋_GB2312" w:eastAsia="仿宋_GB2312"/>
          <w:sz w:val="32"/>
          <w:szCs w:val="32"/>
          <w:lang w:eastAsia="zh-CN"/>
        </w:rPr>
        <w:t>反映各级政府向低收入住房保障家庭发放的住房租赁补贴支出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Style w:val="17"/>
          <w:rFonts w:hint="eastAsia" w:ascii="仿宋" w:hAnsi="仿宋" w:eastAsia="仿宋"/>
          <w:b w:val="0"/>
          <w:bCs w:val="0"/>
          <w:sz w:val="32"/>
          <w:szCs w:val="32"/>
        </w:rPr>
        <w:t>住房保障支出（</w:t>
      </w:r>
      <w:r>
        <w:rPr>
          <w:rStyle w:val="17"/>
          <w:rFonts w:hint="eastAsia" w:ascii="仿宋" w:hAnsi="仿宋" w:eastAsia="仿宋"/>
          <w:b w:val="0"/>
          <w:bCs w:val="0"/>
          <w:sz w:val="32"/>
          <w:szCs w:val="32"/>
          <w:lang w:val="en-US" w:eastAsia="zh-CN"/>
        </w:rPr>
        <w:t>221</w:t>
      </w:r>
      <w:r>
        <w:rPr>
          <w:rStyle w:val="17"/>
          <w:rFonts w:hint="eastAsia" w:ascii="仿宋" w:hAnsi="仿宋" w:eastAsia="仿宋"/>
          <w:b w:val="0"/>
          <w:bCs w:val="0"/>
          <w:sz w:val="32"/>
          <w:szCs w:val="32"/>
        </w:rPr>
        <w:t>）保障性安居工程支出（</w:t>
      </w:r>
      <w:r>
        <w:rPr>
          <w:rStyle w:val="17"/>
          <w:rFonts w:hint="eastAsia" w:ascii="仿宋" w:hAnsi="仿宋" w:eastAsia="仿宋"/>
          <w:b w:val="0"/>
          <w:bCs w:val="0"/>
          <w:sz w:val="32"/>
          <w:szCs w:val="32"/>
          <w:lang w:val="en-US" w:eastAsia="zh-CN"/>
        </w:rPr>
        <w:t>01</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eastAsia="zh-CN"/>
        </w:rPr>
        <w:t>其他保障性安居工程支出</w:t>
      </w:r>
      <w:r>
        <w:rPr>
          <w:rStyle w:val="17"/>
          <w:rFonts w:hint="eastAsia" w:ascii="仿宋" w:hAnsi="仿宋" w:eastAsia="仿宋"/>
          <w:b w:val="0"/>
          <w:bCs w:val="0"/>
          <w:sz w:val="32"/>
          <w:szCs w:val="32"/>
        </w:rPr>
        <w:t>（</w:t>
      </w:r>
      <w:r>
        <w:rPr>
          <w:rStyle w:val="17"/>
          <w:rFonts w:hint="eastAsia" w:ascii="仿宋" w:hAnsi="仿宋" w:eastAsia="仿宋"/>
          <w:b w:val="0"/>
          <w:bCs w:val="0"/>
          <w:sz w:val="32"/>
          <w:szCs w:val="32"/>
          <w:lang w:val="en-US" w:eastAsia="zh-CN"/>
        </w:rPr>
        <w:t>99</w:t>
      </w:r>
      <w:r>
        <w:rPr>
          <w:rStyle w:val="17"/>
          <w:rFonts w:hint="eastAsia" w:ascii="仿宋" w:hAnsi="仿宋" w:eastAsia="仿宋"/>
          <w:b w:val="0"/>
          <w:bCs w:val="0"/>
          <w:sz w:val="32"/>
          <w:szCs w:val="32"/>
        </w:rPr>
        <w:t>）</w:t>
      </w:r>
      <w:r>
        <w:rPr>
          <w:rFonts w:hint="eastAsia" w:ascii="仿宋_GB2312" w:eastAsia="仿宋_GB2312"/>
          <w:sz w:val="32"/>
          <w:szCs w:val="32"/>
        </w:rPr>
        <w:t>：</w:t>
      </w:r>
      <w:r>
        <w:rPr>
          <w:rFonts w:hint="eastAsia" w:ascii="仿宋_GB2312" w:eastAsia="仿宋_GB2312"/>
          <w:sz w:val="32"/>
          <w:szCs w:val="32"/>
          <w:lang w:eastAsia="zh-CN"/>
        </w:rPr>
        <w:t>指反映其他用于保障性住房方面的支出</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Style w:val="17"/>
          <w:rFonts w:hint="eastAsia" w:ascii="仿宋" w:hAnsi="仿宋" w:eastAsia="仿宋"/>
          <w:b w:val="0"/>
          <w:bCs w:val="0"/>
          <w:sz w:val="32"/>
          <w:szCs w:val="32"/>
        </w:rPr>
        <w:t>住房保障支出（</w:t>
      </w:r>
      <w:r>
        <w:rPr>
          <w:rStyle w:val="17"/>
          <w:rFonts w:hint="eastAsia" w:ascii="仿宋" w:hAnsi="仿宋" w:eastAsia="仿宋"/>
          <w:b w:val="0"/>
          <w:bCs w:val="0"/>
          <w:sz w:val="32"/>
          <w:szCs w:val="32"/>
          <w:lang w:val="en-US" w:eastAsia="zh-CN"/>
        </w:rPr>
        <w:t>221</w:t>
      </w:r>
      <w:r>
        <w:rPr>
          <w:rStyle w:val="17"/>
          <w:rFonts w:hint="eastAsia" w:ascii="仿宋" w:hAnsi="仿宋" w:eastAsia="仿宋"/>
          <w:b w:val="0"/>
          <w:bCs w:val="0"/>
          <w:sz w:val="32"/>
          <w:szCs w:val="32"/>
        </w:rPr>
        <w:t>）住房改革支出（</w:t>
      </w:r>
      <w:r>
        <w:rPr>
          <w:rStyle w:val="17"/>
          <w:rFonts w:hint="eastAsia" w:ascii="仿宋" w:hAnsi="仿宋" w:eastAsia="仿宋"/>
          <w:b w:val="0"/>
          <w:bCs w:val="0"/>
          <w:sz w:val="32"/>
          <w:szCs w:val="32"/>
          <w:lang w:val="en-US" w:eastAsia="zh-CN"/>
        </w:rPr>
        <w:t>02</w:t>
      </w:r>
      <w:r>
        <w:rPr>
          <w:rStyle w:val="17"/>
          <w:rFonts w:hint="eastAsia" w:ascii="仿宋" w:hAnsi="仿宋" w:eastAsia="仿宋"/>
          <w:b w:val="0"/>
          <w:bCs w:val="0"/>
          <w:sz w:val="32"/>
          <w:szCs w:val="32"/>
        </w:rPr>
        <w:t>）住房公积金（</w:t>
      </w:r>
      <w:r>
        <w:rPr>
          <w:rStyle w:val="17"/>
          <w:rFonts w:hint="eastAsia" w:ascii="仿宋" w:hAnsi="仿宋" w:eastAsia="仿宋"/>
          <w:b w:val="0"/>
          <w:bCs w:val="0"/>
          <w:sz w:val="32"/>
          <w:szCs w:val="32"/>
          <w:lang w:val="en-US" w:eastAsia="zh-CN"/>
        </w:rPr>
        <w:t>01</w:t>
      </w:r>
      <w:r>
        <w:rPr>
          <w:rStyle w:val="17"/>
          <w:rFonts w:hint="eastAsia" w:ascii="仿宋" w:hAnsi="仿宋" w:eastAsia="仿宋"/>
          <w:b w:val="0"/>
          <w:bCs w:val="0"/>
          <w:sz w:val="32"/>
          <w:szCs w:val="32"/>
        </w:rPr>
        <w:t>）</w:t>
      </w:r>
      <w:r>
        <w:rPr>
          <w:rFonts w:hint="eastAsia" w:ascii="仿宋_GB2312" w:eastAsia="仿宋_GB2312"/>
          <w:sz w:val="32"/>
          <w:szCs w:val="32"/>
        </w:rPr>
        <w:t>：指</w:t>
      </w:r>
      <w:r>
        <w:rPr>
          <w:rFonts w:hint="eastAsia" w:ascii="仿宋_GB2312" w:eastAsia="仿宋_GB2312"/>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78" w:lineRule="exact"/>
        <w:jc w:val="center"/>
        <w:textAlignment w:val="auto"/>
        <w:outlineLvl w:val="0"/>
        <w:rPr>
          <w:rFonts w:ascii="仿宋_GB2312" w:hAnsi="仿宋_GB2312" w:eastAsia="仿宋_GB2312" w:cs="仿宋_GB2312"/>
          <w:sz w:val="32"/>
          <w:szCs w:val="32"/>
        </w:rPr>
      </w:pPr>
      <w:bookmarkStart w:id="98" w:name="_Toc15377226"/>
      <w:r>
        <w:rPr>
          <w:rFonts w:ascii="宋体"/>
          <w:b/>
          <w:sz w:val="44"/>
          <w:szCs w:val="44"/>
        </w:rPr>
        <w:br w:type="page"/>
      </w:r>
      <w:bookmarkStart w:id="99" w:name="_Toc13323_WPSOffice_Level1"/>
      <w:bookmarkStart w:id="100" w:name="_Toc15396614"/>
      <w:r>
        <w:rPr>
          <w:rFonts w:hint="eastAsia" w:ascii="黑体" w:hAnsi="黑体" w:eastAsia="黑体"/>
          <w:sz w:val="44"/>
          <w:szCs w:val="44"/>
        </w:rPr>
        <w:t>第</w:t>
      </w:r>
      <w:r>
        <w:rPr>
          <w:rStyle w:val="28"/>
          <w:rFonts w:hint="eastAsia" w:ascii="黑体" w:hAnsi="黑体" w:eastAsia="黑体"/>
          <w:b w:val="0"/>
        </w:rPr>
        <w:t>四部分 附件</w:t>
      </w:r>
      <w:bookmarkEnd w:id="99"/>
      <w:bookmarkEnd w:id="100"/>
    </w:p>
    <w:p>
      <w:pPr>
        <w:spacing w:line="600" w:lineRule="exact"/>
        <w:jc w:val="center"/>
        <w:outlineLvl w:val="0"/>
        <w:rPr>
          <w:rFonts w:ascii="黑体" w:hAnsi="黑体" w:eastAsia="黑体"/>
          <w:color w:val="FF0000"/>
          <w:sz w:val="44"/>
          <w:szCs w:val="44"/>
        </w:rPr>
      </w:pPr>
      <w:bookmarkStart w:id="101" w:name="_Toc3864_WPSOffice_Level2"/>
      <w:bookmarkStart w:id="102" w:name="_Toc15396618"/>
      <w:r>
        <w:rPr>
          <w:rFonts w:hint="eastAsia"/>
          <w:sz w:val="32"/>
          <w:szCs w:val="32"/>
        </w:rPr>
        <w:t>部门预算项目支出绩效自评表（2023年度）</w:t>
      </w:r>
      <w:bookmarkEnd w:id="101"/>
    </w:p>
    <w:tbl>
      <w:tblPr>
        <w:tblStyle w:val="15"/>
        <w:tblW w:w="8336" w:type="dxa"/>
        <w:tblInd w:w="0" w:type="dxa"/>
        <w:shd w:val="clear" w:color="auto" w:fill="auto"/>
        <w:tblLayout w:type="fixed"/>
        <w:tblCellMar>
          <w:top w:w="0" w:type="dxa"/>
          <w:left w:w="0" w:type="dxa"/>
          <w:bottom w:w="0" w:type="dxa"/>
          <w:right w:w="0" w:type="dxa"/>
        </w:tblCellMar>
      </w:tblPr>
      <w:tblGrid>
        <w:gridCol w:w="758"/>
        <w:gridCol w:w="758"/>
        <w:gridCol w:w="757"/>
        <w:gridCol w:w="1"/>
        <w:gridCol w:w="757"/>
        <w:gridCol w:w="1"/>
        <w:gridCol w:w="757"/>
        <w:gridCol w:w="1"/>
        <w:gridCol w:w="757"/>
        <w:gridCol w:w="1"/>
        <w:gridCol w:w="757"/>
        <w:gridCol w:w="758"/>
        <w:gridCol w:w="758"/>
        <w:gridCol w:w="757"/>
        <w:gridCol w:w="1"/>
        <w:gridCol w:w="757"/>
      </w:tblGrid>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51172423T000007811462-租赁住房保障资金</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2023年-2024年完成750套保障性租赁住房的改建工作，用于2759套公租房维修维护工作，保障公租房正常运转。</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2023年-2024年完成750套保障性租赁住房的改建工作，剩余2000元质保金暂未支付。</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2023年-2024年完成750套保障性租赁住房的改建工作，剩余2000元质保金暂未支付。</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99.81%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99.81%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维修户数</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改建户数</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户（套）</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350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居住安全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安全</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维修及时</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及时</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国有资产保值增值</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保值增值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保值 增值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改建保障性租赁住房费用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元/户（套）</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27000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公租房维修维护费用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1500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94.6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目前750套保障性租赁住房，350套已竣工</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施工进度较迟缓</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督促责任单位加快施工进度</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lang w:eastAsia="zh-CN"/>
              </w:rPr>
            </w:pPr>
            <w:r>
              <w:rPr>
                <w:rFonts w:hint="eastAsia"/>
                <w:lang w:eastAsia="zh-CN"/>
              </w:rPr>
              <w:t>、</w:t>
            </w:r>
          </w:p>
          <w:p>
            <w:pPr>
              <w:pStyle w:val="2"/>
              <w:rPr>
                <w:rFonts w:hint="eastAsia"/>
                <w:lang w:eastAsia="zh-CN"/>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51172423T000008609053-白蚁防治经费</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对以前年度已防治的工程项目进行质保，对重大白蚁灾害进行防治。减少白蚁对房屋的危害，保障房屋的住用安全。</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对已防治项目进行质保，提高白蚁灭治成功率</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对以前年度已防治的工程项目进行质保，对重大白蚁灾害进行防治。减少白蚁对房屋的危害，保障房屋的住用安全。</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14.80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14.80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14.80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14.80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对已防治项目进行质保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白蚁灭治成功率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白蚁防治项目质保期</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保障房屋的住用安全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劳务费、药品</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万元/每项目</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对以前年度已防治的工程项目进行质保，对重大白蚁灾害进行防治。</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三方施工单位白蚁灭治效率不高</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坚强监督，努力提升白蚁灭治效率</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51172423T000008609808-公房维修</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应于2023年，用15万元安装惠民小区充电桩及强电更换电线，用5万元对县内200余套公房进行维修维护，实现国有资产安全，做到保值增值。</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刘家坝惠民小区增设充电桩及搭建休闲空间项目均已完成，缓解了刘家坝惠民小区租户充电难及无休闲空间的问题。公房维修保障了200户租户的住房安全。</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刘家坝惠民小区增设充电桩；缓解刘家坝惠民小区租户电瓶车充电压力，2023年刘家坝惠民小区增设电瓶车充电桩30台。公房维修保障了200户租户的住房安全，改善公房的居住条件，消除安全隐患，延长房屋使用寿命。</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公房维修</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惠民小区充电桩安装</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惠民小区强电更换</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实现国有资产安全，做到保值增值</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好</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居住安全，环境优质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112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劳务费200元/人/天、维修材料平均500元/户</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kern w:val="0"/>
                <w:sz w:val="16"/>
                <w:szCs w:val="16"/>
                <w:u w:val="none"/>
                <w:lang w:val="en-US" w:eastAsia="zh-CN" w:bidi="ar"/>
              </w:rPr>
            </w:pPr>
            <w:r>
              <w:rPr>
                <w:rFonts w:hint="eastAsia" w:ascii="微软雅黑" w:hAnsi="微软雅黑" w:eastAsia="微软雅黑" w:cs="微软雅黑"/>
                <w:i/>
                <w:color w:val="000000"/>
                <w:kern w:val="0"/>
                <w:sz w:val="16"/>
                <w:szCs w:val="16"/>
                <w:u w:val="none"/>
                <w:lang w:val="en-US" w:eastAsia="zh-CN" w:bidi="ar"/>
              </w:rPr>
              <w:t>小区增设充电桩及公房维修项目均取得了较好的绩效，达到了预期目标。</w:t>
            </w:r>
          </w:p>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项目的实施有效提升了小区的配套设施水平和居民的生活品质，具有较高的社会效益和经济效益。</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充电桩设备出现故障后维修不够及时。对危旧公房的回访不够，</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kern w:val="0"/>
                <w:sz w:val="16"/>
                <w:szCs w:val="16"/>
                <w:u w:val="none"/>
                <w:lang w:val="en-US" w:eastAsia="zh-CN" w:bidi="ar"/>
              </w:rPr>
            </w:pPr>
            <w:r>
              <w:rPr>
                <w:rFonts w:hint="eastAsia" w:ascii="微软雅黑" w:hAnsi="微软雅黑" w:eastAsia="微软雅黑" w:cs="微软雅黑"/>
                <w:i/>
                <w:color w:val="000000"/>
                <w:kern w:val="0"/>
                <w:sz w:val="16"/>
                <w:szCs w:val="16"/>
                <w:u w:val="none"/>
                <w:lang w:val="en-US" w:eastAsia="zh-CN" w:bidi="ar"/>
              </w:rPr>
              <w:t xml:space="preserve"> 1.进一步加强充电桩的日常维护和管理，提高服务质量。</w:t>
            </w:r>
          </w:p>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2.对公房维修项目进行定期回访，及时处理居民反映的问题。</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51172423T000008610212-交易与产权管理专网费</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按照全县房地产开发项目网上销售、签订购房合同、备案、交易监管工作要求，对全县房地产开发项目全部实行网上销售、签订购房合同、备案、对房地产市场交易进行监管。</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全县商品房买卖合同备案完成4643件，合同面积39.14万平方米。</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按照全县房地产开发项目网上销售、签订购房合同、备案、交易监管工作要求，对全县房地产开发项目全部实行网上销售、签订购房合同、备案、对房地产市场交易进行监管。</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9.77</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9.77</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交易合同网签备案</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万件次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0.4643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房地产市场低迷</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房产交易监管率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交易合同网签备案率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规范房地产市场交易影响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专网费</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元/月</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全县商品房买卖合同备案4643件，合同面积39.14万平方米，涉及合同金额20.89亿元。</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合同网签备案数量同比减少16.66%</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在县政府和建设局的指导下积极推进房管工作和房地产市场的平稳健康发展</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51172423T000009114080-保障性住房建设补充资金</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2023年完成2.8万平方米租赁住房及小区堵塞的污水管网的维修计划，维修285户，维修小区3个，完成防汛、防火等安全宣传8次，面向社会的便民政策宣传10次。</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项目前期准备</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维修附属设施小区个数</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项目前期准备工作</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维修保障性租赁住房户数</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验收合格率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宣传覆盖率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开工目标完成率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住房困难户知晓率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已保家庭户数占应保家庭户数比例</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城镇低收入住房困难家庭满意度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安全、政策宣传成本</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维修保障性住房成本</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51172423T000009355057-大竹县北城干道片区燃气和供排水管道老化更新改造项目</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进行北城干道片区燃气及供水管道的更新改造工作。</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进行北城干道片区燃气及供水管道的更新改造工作。</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进行北城干道片区燃气及供水管道的更新改造工作。</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1,529.00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1,529.00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1,529.00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1,529.00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立管（含引入管、水平干管）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提升城市基础设施质量</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有效提升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有效提升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用户设施每户</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627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改善片区居住条件，消除安全隐患，完善城市管网系统，提高管网运行和服务能力。</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项目建设过程遇到的具体问题较复杂，沟通协调部分较多。。</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凡涉及市政工程项目建设办理手续应该按照特事特办的原则，提升项目推进效率</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51172423T000009372586-大竹县文昌阁片区及周边老旧小区管网改造项目</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进行文昌阁片区及周边老旧小区管网改造工作。</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项目前期准备工作</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项目前期准备工作</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949.00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949.00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90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立管（含引入管、水平干管）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项目前期准备工作</w:t>
            </w:r>
          </w:p>
        </w:tc>
      </w:tr>
      <w:tr>
        <w:tblPrEx>
          <w:shd w:val="clear" w:color="auto" w:fill="auto"/>
          <w:tblCellMar>
            <w:top w:w="0" w:type="dxa"/>
            <w:left w:w="0" w:type="dxa"/>
            <w:bottom w:w="0" w:type="dxa"/>
            <w:right w:w="0"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2634</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项目前期准备工作</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提升城市基础设施质量</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有效提升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暂未完成</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用户设施每户</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51172423T000009372622-大竹县西城片区老旧小区管网改造项目</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大竹县西城片区老旧小区管网改造工作。</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项目前期准备工作</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项目前期准备工作</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90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立管（含引入管、水平干管）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项目前期准备工作</w:t>
            </w:r>
          </w:p>
        </w:tc>
      </w:tr>
      <w:tr>
        <w:tblPrEx>
          <w:shd w:val="clear" w:color="auto" w:fill="auto"/>
          <w:tblCellMar>
            <w:top w:w="0" w:type="dxa"/>
            <w:left w:w="0" w:type="dxa"/>
            <w:bottom w:w="0" w:type="dxa"/>
            <w:right w:w="0"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10.84</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项目前期准备工作</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提升城市基础设施质量</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有效提升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用户设施每户</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51172423T000009372626-大竹县荷花池片区老旧小区管网改造项目</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大竹县荷花池片区老旧小区管网改造工作。</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项目前期准备工作</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项目前期准备工作</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588.00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588.00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立管（引入管、水平干管）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项目前期准备工作</w:t>
            </w:r>
          </w:p>
        </w:tc>
      </w:tr>
      <w:tr>
        <w:tblPrEx>
          <w:shd w:val="clear" w:color="auto" w:fill="auto"/>
          <w:tblCellMar>
            <w:top w:w="0" w:type="dxa"/>
            <w:left w:w="0" w:type="dxa"/>
            <w:bottom w:w="0" w:type="dxa"/>
            <w:right w:w="0"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1489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项目前期准备工作</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提升城市基础设施质量</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有效提升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用户设施每户</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51172423T000009372638-大竹县城市棚户区燃气管网及配套设施改造项目</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大竹县城市棚户区燃气管网及配套设施改造工作。</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项目前期准备工作</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项目前期准备工作</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647.19</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647.19</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项目前期准备工作</w:t>
            </w:r>
          </w:p>
        </w:tc>
      </w:tr>
      <w:tr>
        <w:tblPrEx>
          <w:shd w:val="clear" w:color="auto" w:fill="auto"/>
          <w:tblCellMar>
            <w:top w:w="0" w:type="dxa"/>
            <w:left w:w="0" w:type="dxa"/>
            <w:bottom w:w="0" w:type="dxa"/>
            <w:right w:w="0"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3359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项目前期准备工作</w:t>
            </w:r>
          </w:p>
        </w:tc>
      </w:tr>
      <w:tr>
        <w:tblPrEx>
          <w:shd w:val="clear" w:color="auto" w:fill="auto"/>
          <w:tblCellMar>
            <w:top w:w="0" w:type="dxa"/>
            <w:left w:w="0" w:type="dxa"/>
            <w:bottom w:w="0" w:type="dxa"/>
            <w:right w:w="0" w:type="dxa"/>
          </w:tblCellMar>
        </w:tblPrEx>
        <w:trPr>
          <w:trHeight w:val="90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立管（含引入管、水平干管）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38.8</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提升城市基础设施质量</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有效提升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用户设施每户</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项目前期准备，暂未实施具体工作</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51172423T000009512543-保障性住房租金补贴</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我县2023年公共租赁住房补贴经本人申请，社区初审公示，各乡镇人民政府或街道办事处复审公示，县民政局、县税务局、县市场监督局、县公安局车管所、县社保局、县房管局、县不动产登记中心审查，县住保办进行审核公示，对符合公共租赁补贴条件的家庭进行住房补贴的发放。</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申请保障户数</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363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符合保障条件家庭户数</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350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及时发放到位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及时</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缓解住房困难家庭经济压力</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116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切实提高住房困难家庭幸福指数</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234</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234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中等偏下收入发放标准</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元/人年</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720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最低收入、低收入发放标准</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元/人年</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1080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切实减轻了中低偏下收入家庭、住房困难家庭的经济负担，实现了租赁补贴的精准发放。</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未按照省、市要求季度发放。</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加强与各部门的沟通协调，按季度发放租赁补贴。</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51172423T000009512898-公共租赁住房</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2023年-2024年完成750套保障性租赁住房的改建工作，用于2759套公租房维修维护工作，保障公租房正常运转。</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2,439.00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2,439.00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2,439.00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2,439.00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改建户数</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户（套）</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350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维修户数</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居住安全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安全</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维修及时</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及时</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国有资产保值增值</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保值增值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保值增值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公租房维修维护费用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1500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改建保障性租赁住房费用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元/户（套）</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27000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94.7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目前750套保障性租赁住房，350套已竣工</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施工进度较迟缓</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督促责任单位加快施工进度</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p>
            <w:pPr>
              <w:pStyle w:val="2"/>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833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shd w:val="clear" w:color="auto" w:fill="auto"/>
          <w:tblCellMar>
            <w:top w:w="0" w:type="dxa"/>
            <w:left w:w="0" w:type="dxa"/>
            <w:bottom w:w="0" w:type="dxa"/>
            <w:right w:w="0" w:type="dxa"/>
          </w:tblCellMar>
        </w:tblPrEx>
        <w:trPr>
          <w:trHeight w:val="27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51172424T000010042221-大竹县西城及南城片区燃气和供排水管道老化更新改造项目</w:t>
            </w:r>
          </w:p>
        </w:tc>
      </w:tr>
      <w:tr>
        <w:tblPrEx>
          <w:shd w:val="clear" w:color="auto" w:fill="auto"/>
          <w:tblCellMar>
            <w:top w:w="0" w:type="dxa"/>
            <w:left w:w="0" w:type="dxa"/>
            <w:bottom w:w="0" w:type="dxa"/>
            <w:right w:w="0" w:type="dxa"/>
          </w:tblCellMar>
        </w:tblPrEx>
        <w:trPr>
          <w:trHeight w:val="450" w:hRule="atLeast"/>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大竹县房地产管理局部门</w:t>
            </w:r>
          </w:p>
        </w:tc>
        <w:tc>
          <w:tcPr>
            <w:tcW w:w="7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大竹县房地产管理局</w:t>
            </w:r>
          </w:p>
        </w:tc>
      </w:tr>
      <w:tr>
        <w:tblPrEx>
          <w:shd w:val="clear" w:color="auto" w:fill="auto"/>
          <w:tblCellMar>
            <w:top w:w="0" w:type="dxa"/>
            <w:left w:w="0" w:type="dxa"/>
            <w:bottom w:w="0" w:type="dxa"/>
            <w:right w:w="0"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大竹县西城及南城片区老旧小区燃气和供排水管网改造工作。</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大竹县西城及南城片区老旧小区燃气和供排水管网改造工作。</w:t>
            </w: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2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大竹县西城及南城片区老旧小区燃气和供排水管网改造工作。</w:t>
            </w:r>
          </w:p>
        </w:tc>
      </w:tr>
      <w:tr>
        <w:tblPrEx>
          <w:shd w:val="clear" w:color="auto" w:fill="auto"/>
          <w:tblCellMar>
            <w:top w:w="0" w:type="dxa"/>
            <w:left w:w="0" w:type="dxa"/>
            <w:bottom w:w="0" w:type="dxa"/>
            <w:right w:w="0" w:type="dxa"/>
          </w:tblCellMar>
        </w:tblPrEx>
        <w:trPr>
          <w:trHeight w:val="675"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1,706.00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1,706.00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1,706.00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1,706.00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排水管道</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立管（含引入管、水平干管）</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40000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5"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提升城市基础设施质量</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有效提升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有效提升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排水管道每公里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41.5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庭院管道每公里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28.04</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28.04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立管每公里</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万元/公里</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用户设施每户</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468.75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468.75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70" w:hRule="atLeast"/>
        </w:trPr>
        <w:tc>
          <w:tcPr>
            <w:tcW w:w="606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改善片区居住条件，消除安全隐患，完善城市管网系统，提高管网运行和服务能力。</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项目建设过程遇到的具体问题较复杂，沟通协调部分较多。。</w:t>
            </w:r>
          </w:p>
        </w:tc>
      </w:tr>
      <w:tr>
        <w:tblPrEx>
          <w:shd w:val="clear" w:color="auto" w:fill="auto"/>
          <w:tblCellMar>
            <w:top w:w="0" w:type="dxa"/>
            <w:left w:w="0" w:type="dxa"/>
            <w:bottom w:w="0" w:type="dxa"/>
            <w:right w:w="0"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7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凡涉及市政工程项目建设办理手续应该按照特事特办的原则，提升项目推进效率</w:t>
            </w:r>
          </w:p>
        </w:tc>
      </w:tr>
      <w:tr>
        <w:tblPrEx>
          <w:shd w:val="clear" w:color="auto" w:fill="auto"/>
          <w:tblCellMar>
            <w:top w:w="0" w:type="dxa"/>
            <w:left w:w="0" w:type="dxa"/>
            <w:bottom w:w="0" w:type="dxa"/>
            <w:right w:w="0" w:type="dxa"/>
          </w:tblCellMar>
        </w:tblPrEx>
        <w:trPr>
          <w:trHeight w:val="270" w:hRule="atLeast"/>
        </w:trPr>
        <w:tc>
          <w:tcPr>
            <w:tcW w:w="37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shd w:val="clear" w:color="auto" w:fill="auto"/>
          <w:tblCellMar>
            <w:top w:w="0" w:type="dxa"/>
            <w:left w:w="0" w:type="dxa"/>
            <w:bottom w:w="0" w:type="dxa"/>
            <w:right w:w="0" w:type="dxa"/>
          </w:tblCellMar>
        </w:tblPrEx>
        <w:trPr>
          <w:trHeight w:val="270" w:hRule="atLeast"/>
        </w:trPr>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8336"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1、报表说明:该报表查询项目信息、绩效目标信息、预算及执行情况，用于预算单位查询导出开展项目自评。</w:t>
            </w:r>
          </w:p>
        </w:tc>
      </w:tr>
      <w:tr>
        <w:tblPrEx>
          <w:shd w:val="clear" w:color="auto" w:fill="auto"/>
          <w:tblCellMar>
            <w:top w:w="0" w:type="dxa"/>
            <w:left w:w="0" w:type="dxa"/>
            <w:bottom w:w="0" w:type="dxa"/>
            <w:right w:w="0" w:type="dxa"/>
          </w:tblCellMar>
        </w:tblPrEx>
        <w:trPr>
          <w:trHeight w:val="270" w:hRule="atLeast"/>
        </w:trPr>
        <w:tc>
          <w:tcPr>
            <w:tcW w:w="8336"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CellMar>
            <w:top w:w="0" w:type="dxa"/>
            <w:left w:w="0" w:type="dxa"/>
            <w:bottom w:w="0" w:type="dxa"/>
            <w:right w:w="0" w:type="dxa"/>
          </w:tblCellMar>
        </w:tblPrEx>
        <w:trPr>
          <w:trHeight w:val="270" w:hRule="atLeast"/>
        </w:trPr>
        <w:tc>
          <w:tcPr>
            <w:tcW w:w="8336"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适用地区：全省范围</w:t>
            </w:r>
          </w:p>
        </w:tc>
      </w:tr>
      <w:tr>
        <w:tblPrEx>
          <w:tblCellMar>
            <w:top w:w="0" w:type="dxa"/>
            <w:left w:w="0" w:type="dxa"/>
            <w:bottom w:w="0" w:type="dxa"/>
            <w:right w:w="0" w:type="dxa"/>
          </w:tblCellMar>
        </w:tblPrEx>
        <w:trPr>
          <w:trHeight w:val="270" w:hRule="atLeast"/>
        </w:trPr>
        <w:tc>
          <w:tcPr>
            <w:tcW w:w="8336"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适用用户：部门用户、单位用户</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bookmarkStart w:id="103" w:name="_Toc28357_WPSOffice_Level1"/>
      <w:r>
        <w:rPr>
          <w:rFonts w:hint="eastAsia" w:ascii="黑体" w:hAnsi="黑体" w:eastAsia="黑体"/>
          <w:sz w:val="44"/>
          <w:szCs w:val="44"/>
        </w:rPr>
        <w:t>第</w:t>
      </w:r>
      <w:r>
        <w:rPr>
          <w:rStyle w:val="28"/>
          <w:rFonts w:hint="eastAsia" w:ascii="黑体" w:hAnsi="黑体" w:eastAsia="黑体"/>
          <w:b w:val="0"/>
        </w:rPr>
        <w:t>五部分 附表</w:t>
      </w:r>
      <w:bookmarkEnd w:id="98"/>
      <w:bookmarkEnd w:id="102"/>
      <w:bookmarkEnd w:id="103"/>
      <w:bookmarkStart w:id="104" w:name="_Toc15396619"/>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05" w:name="_Toc3296_WPSOffice_Level2"/>
      <w:r>
        <w:rPr>
          <w:rFonts w:hint="eastAsia" w:ascii="仿宋_GB2312" w:hAnsi="仿宋_GB2312" w:eastAsia="仿宋_GB2312" w:cs="仿宋_GB2312"/>
          <w:b w:val="0"/>
        </w:rPr>
        <w:t>一、收</w:t>
      </w:r>
      <w:r>
        <w:rPr>
          <w:rStyle w:val="29"/>
          <w:rFonts w:hint="eastAsia" w:ascii="仿宋_GB2312" w:hAnsi="仿宋_GB2312" w:eastAsia="仿宋_GB2312" w:cs="仿宋_GB2312"/>
          <w:b w:val="0"/>
          <w:bCs w:val="0"/>
        </w:rPr>
        <w:t>入支出决算总表</w:t>
      </w:r>
      <w:bookmarkEnd w:id="104"/>
      <w:bookmarkEnd w:id="105"/>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06" w:name="_Toc15396620"/>
      <w:bookmarkStart w:id="107" w:name="_Toc16992_WPSOffice_Level2"/>
      <w:r>
        <w:rPr>
          <w:rFonts w:hint="eastAsia" w:ascii="仿宋_GB2312" w:hAnsi="仿宋_GB2312" w:eastAsia="仿宋_GB2312" w:cs="仿宋_GB2312"/>
          <w:b w:val="0"/>
        </w:rPr>
        <w:t>二、收</w:t>
      </w:r>
      <w:r>
        <w:rPr>
          <w:rStyle w:val="29"/>
          <w:rFonts w:hint="eastAsia" w:ascii="仿宋_GB2312" w:hAnsi="仿宋_GB2312" w:eastAsia="仿宋_GB2312" w:cs="仿宋_GB2312"/>
          <w:b w:val="0"/>
          <w:bCs w:val="0"/>
        </w:rPr>
        <w:t>入决算表</w:t>
      </w:r>
      <w:bookmarkEnd w:id="106"/>
      <w:bookmarkEnd w:id="107"/>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08" w:name="_Toc15396621"/>
      <w:bookmarkStart w:id="109" w:name="_Toc24009_WPSOffice_Level2"/>
      <w:r>
        <w:rPr>
          <w:rStyle w:val="29"/>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9"/>
          <w:rFonts w:hint="eastAsia" w:ascii="仿宋_GB2312" w:hAnsi="仿宋_GB2312" w:eastAsia="仿宋_GB2312" w:cs="仿宋_GB2312"/>
          <w:b w:val="0"/>
          <w:bCs w:val="0"/>
        </w:rPr>
        <w:t>出决算表</w:t>
      </w:r>
      <w:bookmarkEnd w:id="108"/>
      <w:bookmarkEnd w:id="109"/>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rPr>
      </w:pPr>
      <w:bookmarkStart w:id="110" w:name="_Toc15396622"/>
      <w:bookmarkStart w:id="111" w:name="_Toc16000_WPSOffice_Level2"/>
      <w:r>
        <w:rPr>
          <w:rStyle w:val="29"/>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政拨款收入支出决算总表</w:t>
      </w:r>
      <w:bookmarkEnd w:id="110"/>
      <w:bookmarkEnd w:id="111"/>
    </w:p>
    <w:p>
      <w:pPr>
        <w:pStyle w:val="4"/>
        <w:keepNext/>
        <w:keepLines/>
        <w:pageBreakBefore w:val="0"/>
        <w:widowControl w:val="0"/>
        <w:kinsoku/>
        <w:wordWrap/>
        <w:overflowPunct/>
        <w:topLinePunct w:val="0"/>
        <w:autoSpaceDE/>
        <w:autoSpaceDN/>
        <w:bidi w:val="0"/>
        <w:adjustRightInd/>
        <w:snapToGrid/>
        <w:spacing w:line="578" w:lineRule="exact"/>
        <w:textAlignment w:val="auto"/>
        <w:rPr>
          <w:rStyle w:val="29"/>
          <w:rFonts w:hint="eastAsia" w:ascii="仿宋_GB2312" w:hAnsi="仿宋_GB2312" w:eastAsia="仿宋_GB2312" w:cs="仿宋_GB2312"/>
          <w:b w:val="0"/>
          <w:bCs w:val="0"/>
        </w:rPr>
      </w:pPr>
      <w:bookmarkStart w:id="112" w:name="_Toc15396623"/>
      <w:bookmarkStart w:id="113" w:name="_Toc3958_WPSOffice_Level2"/>
      <w:r>
        <w:rPr>
          <w:rStyle w:val="29"/>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政拨款支出决算明细表</w:t>
      </w:r>
      <w:bookmarkEnd w:id="112"/>
      <w:bookmarkEnd w:id="113"/>
      <w:bookmarkStart w:id="114" w:name="_Toc15396624"/>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15" w:name="_Toc24440_WPSOffice_Level2"/>
      <w:r>
        <w:rPr>
          <w:rStyle w:val="29"/>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般公共预算财政拨款支出决算表</w:t>
      </w:r>
      <w:bookmarkEnd w:id="114"/>
      <w:bookmarkEnd w:id="115"/>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16" w:name="_Toc15396625"/>
      <w:bookmarkStart w:id="117" w:name="_Toc4660_WPSOffice_Level2"/>
      <w:r>
        <w:rPr>
          <w:rStyle w:val="29"/>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般公共预算财政拨款支出决算明细表</w:t>
      </w:r>
      <w:bookmarkEnd w:id="116"/>
      <w:bookmarkEnd w:id="117"/>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18" w:name="_Toc15396626"/>
      <w:bookmarkStart w:id="119" w:name="_Toc3942_WPSOffice_Level2"/>
      <w:r>
        <w:rPr>
          <w:rStyle w:val="29"/>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般公共预算财政拨款基本支出决算表</w:t>
      </w:r>
      <w:bookmarkEnd w:id="118"/>
      <w:bookmarkEnd w:id="119"/>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20" w:name="_Toc15396627"/>
      <w:bookmarkStart w:id="121" w:name="_Toc7825_WPSOffice_Level2"/>
      <w:r>
        <w:rPr>
          <w:rStyle w:val="29"/>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般公共预算财政拨款项目支出决算表</w:t>
      </w:r>
      <w:bookmarkEnd w:id="120"/>
      <w:bookmarkEnd w:id="121"/>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22" w:name="_Toc15396628"/>
      <w:bookmarkStart w:id="123" w:name="_Toc18427_WPSOffice_Level2"/>
      <w:r>
        <w:rPr>
          <w:rStyle w:val="29"/>
          <w:rFonts w:hint="eastAsia" w:ascii="仿宋_GB2312" w:hAnsi="仿宋_GB2312" w:eastAsia="仿宋_GB2312" w:cs="仿宋_GB2312"/>
          <w:b w:val="0"/>
          <w:bCs w:val="0"/>
        </w:rPr>
        <w:t>十、</w:t>
      </w:r>
      <w:bookmarkEnd w:id="122"/>
      <w:r>
        <w:rPr>
          <w:rFonts w:hint="eastAsia" w:ascii="仿宋_GB2312" w:hAnsi="仿宋_GB2312" w:eastAsia="仿宋_GB2312" w:cs="仿宋_GB2312"/>
          <w:b w:val="0"/>
        </w:rPr>
        <w:t>政</w:t>
      </w:r>
      <w:r>
        <w:rPr>
          <w:rStyle w:val="29"/>
          <w:rFonts w:hint="eastAsia" w:ascii="仿宋_GB2312" w:hAnsi="仿宋_GB2312" w:eastAsia="仿宋_GB2312" w:cs="仿宋_GB2312"/>
          <w:b w:val="0"/>
          <w:bCs w:val="0"/>
        </w:rPr>
        <w:t>府性基金预算财政拨款收入支出决算表</w:t>
      </w:r>
      <w:bookmarkEnd w:id="123"/>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24" w:name="_Toc15396629"/>
      <w:bookmarkStart w:id="125" w:name="_Toc17768_WPSOffice_Level2"/>
      <w:r>
        <w:rPr>
          <w:rStyle w:val="29"/>
          <w:rFonts w:hint="eastAsia" w:ascii="仿宋_GB2312" w:hAnsi="仿宋_GB2312" w:eastAsia="仿宋_GB2312" w:cs="仿宋_GB2312"/>
          <w:b w:val="0"/>
          <w:bCs w:val="0"/>
        </w:rPr>
        <w:t>十一、</w:t>
      </w:r>
      <w:bookmarkEnd w:id="124"/>
      <w:r>
        <w:rPr>
          <w:rFonts w:hint="eastAsia" w:ascii="仿宋_GB2312" w:hAnsi="仿宋_GB2312" w:eastAsia="仿宋_GB2312" w:cs="仿宋_GB2312"/>
          <w:b w:val="0"/>
        </w:rPr>
        <w:t>国</w:t>
      </w:r>
      <w:r>
        <w:rPr>
          <w:rStyle w:val="29"/>
          <w:rFonts w:hint="eastAsia" w:ascii="仿宋_GB2312" w:hAnsi="仿宋_GB2312" w:eastAsia="仿宋_GB2312" w:cs="仿宋_GB2312"/>
          <w:b w:val="0"/>
          <w:bCs w:val="0"/>
        </w:rPr>
        <w:t>有资本经营预算财政拨款收入支出决算表</w:t>
      </w:r>
      <w:bookmarkEnd w:id="125"/>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26" w:name="_Toc15396630"/>
      <w:bookmarkStart w:id="127" w:name="_Toc9430_WPSOffice_Level2"/>
      <w:r>
        <w:rPr>
          <w:rStyle w:val="29"/>
          <w:rFonts w:hint="eastAsia" w:ascii="仿宋_GB2312" w:hAnsi="仿宋_GB2312" w:eastAsia="仿宋_GB2312" w:cs="仿宋_GB2312"/>
          <w:b w:val="0"/>
          <w:bCs w:val="0"/>
        </w:rPr>
        <w:t>十二、</w:t>
      </w:r>
      <w:bookmarkEnd w:id="126"/>
      <w:r>
        <w:rPr>
          <w:rStyle w:val="29"/>
          <w:rFonts w:hint="eastAsia" w:ascii="仿宋_GB2312" w:hAnsi="仿宋_GB2312" w:eastAsia="仿宋_GB2312" w:cs="仿宋_GB2312"/>
          <w:b w:val="0"/>
          <w:bCs w:val="0"/>
        </w:rPr>
        <w:t>国有资本经营预算财政拨款支出决算表</w:t>
      </w:r>
      <w:bookmarkEnd w:id="127"/>
    </w:p>
    <w:p>
      <w:pPr>
        <w:pStyle w:val="4"/>
        <w:keepNext/>
        <w:keepLines/>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rPr>
      </w:pPr>
      <w:bookmarkStart w:id="128" w:name="_Toc15396631"/>
      <w:bookmarkStart w:id="129" w:name="_Toc29024_WPSOffice_Level2"/>
      <w:r>
        <w:rPr>
          <w:rStyle w:val="29"/>
          <w:rFonts w:hint="eastAsia" w:ascii="仿宋_GB2312" w:hAnsi="仿宋_GB2312" w:eastAsia="仿宋_GB2312" w:cs="仿宋_GB2312"/>
          <w:b w:val="0"/>
          <w:bCs w:val="0"/>
        </w:rPr>
        <w:t>十三、</w:t>
      </w:r>
      <w:bookmarkEnd w:id="128"/>
      <w:r>
        <w:rPr>
          <w:rStyle w:val="29"/>
          <w:rFonts w:hint="eastAsia" w:ascii="仿宋_GB2312" w:hAnsi="仿宋_GB2312" w:eastAsia="仿宋_GB2312" w:cs="仿宋_GB2312"/>
          <w:b w:val="0"/>
          <w:bCs w:val="0"/>
        </w:rPr>
        <w:t>财政拨款“三公”经费支出决算表</w:t>
      </w:r>
      <w:bookmarkEnd w:id="12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06F20"/>
    <w:multiLevelType w:val="singleLevel"/>
    <w:tmpl w:val="B5406F20"/>
    <w:lvl w:ilvl="0" w:tentative="0">
      <w:start w:val="2"/>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YWRhYjY5YzZiYTE0NjBhZTIyZTg0OTk3ZjNiNDIifQ=="/>
    <w:docVar w:name="KSO_WPS_MARK_KEY" w:val="0581e04f-7920-4852-bcd5-c6e39beec659"/>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3C36"/>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967C92"/>
    <w:rsid w:val="03DC2831"/>
    <w:rsid w:val="046145F2"/>
    <w:rsid w:val="059361B3"/>
    <w:rsid w:val="059A1982"/>
    <w:rsid w:val="081B5E94"/>
    <w:rsid w:val="08645C1D"/>
    <w:rsid w:val="0A2032A3"/>
    <w:rsid w:val="0B8A37D8"/>
    <w:rsid w:val="0F5FFB2F"/>
    <w:rsid w:val="0FFFCF60"/>
    <w:rsid w:val="10C055FF"/>
    <w:rsid w:val="118107EC"/>
    <w:rsid w:val="11C0374C"/>
    <w:rsid w:val="11DD6519"/>
    <w:rsid w:val="16BB723D"/>
    <w:rsid w:val="18015F3F"/>
    <w:rsid w:val="1BE8440E"/>
    <w:rsid w:val="1D155CEE"/>
    <w:rsid w:val="1DD11EF2"/>
    <w:rsid w:val="1FDBBF84"/>
    <w:rsid w:val="20362A4E"/>
    <w:rsid w:val="20F57F95"/>
    <w:rsid w:val="240371BF"/>
    <w:rsid w:val="25303422"/>
    <w:rsid w:val="25711CC6"/>
    <w:rsid w:val="25C741E6"/>
    <w:rsid w:val="25E95010"/>
    <w:rsid w:val="263D2D2F"/>
    <w:rsid w:val="276F80C0"/>
    <w:rsid w:val="27842671"/>
    <w:rsid w:val="29FD04D3"/>
    <w:rsid w:val="2ABE7A3E"/>
    <w:rsid w:val="2AFF09B6"/>
    <w:rsid w:val="2C1A4957"/>
    <w:rsid w:val="2CA234A8"/>
    <w:rsid w:val="2D7A7BCA"/>
    <w:rsid w:val="2EFA178C"/>
    <w:rsid w:val="2EFDF86C"/>
    <w:rsid w:val="2F9D17E1"/>
    <w:rsid w:val="30B46D73"/>
    <w:rsid w:val="319F7F4E"/>
    <w:rsid w:val="3213486C"/>
    <w:rsid w:val="347A63F0"/>
    <w:rsid w:val="356A28F1"/>
    <w:rsid w:val="357C035A"/>
    <w:rsid w:val="368E000D"/>
    <w:rsid w:val="383D272C"/>
    <w:rsid w:val="39345B44"/>
    <w:rsid w:val="393D320E"/>
    <w:rsid w:val="39AE70AB"/>
    <w:rsid w:val="39B96A23"/>
    <w:rsid w:val="3A4DCE41"/>
    <w:rsid w:val="3BCB56FA"/>
    <w:rsid w:val="3C0C0783"/>
    <w:rsid w:val="3EE7C2F4"/>
    <w:rsid w:val="3F371B56"/>
    <w:rsid w:val="3F5D1495"/>
    <w:rsid w:val="3F792ED8"/>
    <w:rsid w:val="3F9F3A96"/>
    <w:rsid w:val="3FECA4B2"/>
    <w:rsid w:val="3FF58C48"/>
    <w:rsid w:val="406D1E3E"/>
    <w:rsid w:val="41CA066D"/>
    <w:rsid w:val="42FF6694"/>
    <w:rsid w:val="48BF60AB"/>
    <w:rsid w:val="493C27E9"/>
    <w:rsid w:val="495432B1"/>
    <w:rsid w:val="496F39ED"/>
    <w:rsid w:val="49FF41D3"/>
    <w:rsid w:val="4B12293D"/>
    <w:rsid w:val="4BE068DB"/>
    <w:rsid w:val="4BF6002B"/>
    <w:rsid w:val="4BFFC6BE"/>
    <w:rsid w:val="4E063A1B"/>
    <w:rsid w:val="4ECE2238"/>
    <w:rsid w:val="50E21002"/>
    <w:rsid w:val="51DB4B86"/>
    <w:rsid w:val="51F64DB0"/>
    <w:rsid w:val="53550502"/>
    <w:rsid w:val="53D1252B"/>
    <w:rsid w:val="55333C3E"/>
    <w:rsid w:val="5736162A"/>
    <w:rsid w:val="5AE6382B"/>
    <w:rsid w:val="5E432D06"/>
    <w:rsid w:val="5F67802D"/>
    <w:rsid w:val="5F7DC4F2"/>
    <w:rsid w:val="5FB36814"/>
    <w:rsid w:val="5FBB8E56"/>
    <w:rsid w:val="5FFB5535"/>
    <w:rsid w:val="615A5C25"/>
    <w:rsid w:val="62EF5841"/>
    <w:rsid w:val="64CA39A1"/>
    <w:rsid w:val="655C503D"/>
    <w:rsid w:val="69630ADE"/>
    <w:rsid w:val="698F5315"/>
    <w:rsid w:val="69BD5F13"/>
    <w:rsid w:val="69FB0B4B"/>
    <w:rsid w:val="6AA6113A"/>
    <w:rsid w:val="6BFFE1FB"/>
    <w:rsid w:val="6C4A05C8"/>
    <w:rsid w:val="6D3B1A89"/>
    <w:rsid w:val="6DB7D8A3"/>
    <w:rsid w:val="6E824A35"/>
    <w:rsid w:val="6EC78701"/>
    <w:rsid w:val="6F3F4064"/>
    <w:rsid w:val="6F7A5481"/>
    <w:rsid w:val="6FFE07A9"/>
    <w:rsid w:val="71195F2A"/>
    <w:rsid w:val="71BF4EC2"/>
    <w:rsid w:val="72734D90"/>
    <w:rsid w:val="73C052AB"/>
    <w:rsid w:val="73E75B71"/>
    <w:rsid w:val="7412278C"/>
    <w:rsid w:val="749F32EE"/>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Calibri" w:hAnsi="Calibri" w:eastAsia="宋体" w:cs="Times New Roman"/>
      <w:sz w:val="20"/>
      <w:szCs w:val="20"/>
    </w:rPr>
  </w:style>
  <w:style w:type="paragraph" w:customStyle="1" w:styleId="35">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1333;&#20301;&#20915;&#31639;\&#20915;&#31639;&#20844;&#24320;&#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1333;&#20301;&#20915;&#31639;\&#20915;&#31639;&#20844;&#24320;&#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1333;&#20301;&#20915;&#31639;\&#20915;&#31639;&#20844;&#24320;&#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1333;&#20301;&#20915;&#31639;\&#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1333;&#20301;&#20915;&#31639;\&#20915;&#31639;&#20844;&#24320;&#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1333;&#20301;&#20915;&#31639;\&#20915;&#31639;&#20844;&#24320;&#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1333;&#20301;&#20915;&#31639;\&#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Sheet1!$B$45:$C$45</c:f>
              <c:strCache>
                <c:ptCount val="2"/>
                <c:pt idx="0">
                  <c:v>财政拨款收入（万元）</c:v>
                </c:pt>
                <c:pt idx="1">
                  <c:v>财政拨款支出（万元）</c:v>
                </c:pt>
              </c:strCache>
            </c:strRef>
          </c:cat>
          <c:val>
            <c:numRef>
              <c:f>Sheet1!$B$46:$C$46</c:f>
              <c:numCache>
                <c:formatCode>General</c:formatCode>
                <c:ptCount val="2"/>
                <c:pt idx="0">
                  <c:v>1558.9</c:v>
                </c:pt>
                <c:pt idx="1">
                  <c:v>1558.9</c:v>
                </c:pt>
              </c:numCache>
            </c:numRef>
          </c:val>
        </c:ser>
        <c:ser>
          <c:idx val="1"/>
          <c:order val="1"/>
          <c:tx>
            <c:strRef>
              <c:f>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Sheet1!$B$45:$C$45</c:f>
              <c:strCache>
                <c:ptCount val="2"/>
                <c:pt idx="0">
                  <c:v>财政拨款收入（万元）</c:v>
                </c:pt>
                <c:pt idx="1">
                  <c:v>财政拨款支出（万元）</c:v>
                </c:pt>
              </c:strCache>
            </c:strRef>
          </c:cat>
          <c:val>
            <c:numRef>
              <c:f>Sheet1!$B$47:$C$47</c:f>
              <c:numCache>
                <c:formatCode>General</c:formatCode>
                <c:ptCount val="2"/>
                <c:pt idx="0">
                  <c:v>6579.7</c:v>
                </c:pt>
                <c:pt idx="1">
                  <c:v>6579.7</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r>
              <a:rPr lang="en-US" altLang="zh-CN"/>
              <a:t>%</a:t>
            </a:r>
            <a:r>
              <a:t>）</a:t>
            </a:r>
          </a:p>
        </c:rich>
      </c:tx>
      <c:layout/>
      <c:overlay val="0"/>
      <c:spPr>
        <a:noFill/>
        <a:ln>
          <a:noFill/>
        </a:ln>
        <a:effectLst/>
      </c:spPr>
    </c:title>
    <c:autoTitleDeleted val="0"/>
    <c:plotArea>
      <c:layout/>
      <c:pieChart>
        <c:varyColors val="1"/>
        <c:ser>
          <c:idx val="0"/>
          <c:order val="0"/>
          <c:tx>
            <c:strRef>
              <c:f>Sheet1!$A$3</c:f>
              <c:strCache>
                <c:ptCount val="1"/>
                <c:pt idx="0">
                  <c:v>本年收入（万元）</c:v>
                </c:pt>
              </c:strCache>
            </c:strRef>
          </c:tx>
          <c:spPr/>
          <c:explosion val="0"/>
          <c:dPt>
            <c:idx val="0"/>
            <c:bubble3D val="0"/>
            <c:spPr>
              <a:solidFill>
                <a:schemeClr val="accent1"/>
              </a:solidFill>
              <a:ln w="19050">
                <a:solidFill>
                  <a:schemeClr val="lt1"/>
                </a:solidFill>
              </a:ln>
              <a:effectLst/>
            </c:spPr>
          </c:dPt>
          <c:dLbls>
            <c:dLbl>
              <c:idx val="0"/>
              <c:layout/>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c:f>
              <c:strCache>
                <c:ptCount val="1"/>
                <c:pt idx="0">
                  <c:v>一般公共预算财政拨款收入</c:v>
                </c:pt>
              </c:strCache>
            </c:strRef>
          </c:cat>
          <c:val>
            <c:numRef>
              <c:f>Sheet1!$B$3</c:f>
              <c:numCache>
                <c:formatCode>General</c:formatCode>
                <c:ptCount val="1"/>
                <c:pt idx="0">
                  <c:v>6553.18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r>
              <a:rPr lang="en-US" altLang="zh-CN"/>
              <a:t>%</a:t>
            </a:r>
            <a:r>
              <a:t>）</a:t>
            </a:r>
          </a:p>
        </c:rich>
      </c:tx>
      <c:layout/>
      <c:overlay val="0"/>
      <c:spPr>
        <a:noFill/>
        <a:ln>
          <a:noFill/>
        </a:ln>
        <a:effectLst/>
      </c:spPr>
    </c:title>
    <c:autoTitleDeleted val="0"/>
    <c:plotArea>
      <c:layout/>
      <c:pieChart>
        <c:varyColors val="1"/>
        <c:ser>
          <c:idx val="0"/>
          <c:order val="0"/>
          <c:tx>
            <c:strRef>
              <c:f>[决算公开饼状图.xlsx]Sheet1!$A$24</c:f>
              <c:strCache>
                <c:ptCount val="1"/>
                <c:pt idx="0">
                  <c:v>本年支出（万元）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[决算公开饼状图.xlsx]Sheet1!$B$23:$C$23</c:f>
              <c:strCache>
                <c:ptCount val="2"/>
                <c:pt idx="0">
                  <c:v>基本支出</c:v>
                </c:pt>
                <c:pt idx="1">
                  <c:v>项目支出</c:v>
                </c:pt>
              </c:strCache>
            </c:strRef>
          </c:cat>
          <c:val>
            <c:numRef>
              <c:f>[决算公开饼状图.xlsx]Sheet1!$B$24:$C$24</c:f>
              <c:numCache>
                <c:formatCode>General</c:formatCode>
                <c:ptCount val="2"/>
                <c:pt idx="0">
                  <c:v>683.58</c:v>
                </c:pt>
                <c:pt idx="1">
                  <c:v>5896.12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manualLayout>
          <c:xMode val="edge"/>
          <c:yMode val="edge"/>
          <c:x val="0.265943103680733"/>
          <c:y val="0.0275205080709182"/>
        </c:manualLayout>
      </c:layout>
      <c:overlay val="0"/>
      <c:spPr>
        <a:noFill/>
        <a:ln>
          <a:noFill/>
        </a:ln>
        <a:effectLst/>
      </c:spPr>
    </c:title>
    <c:autoTitleDeleted val="0"/>
    <c:plotArea>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[决算公开饼状图.xlsx]Sheet1!$B$46:$C$46</c:f>
              <c:numCache>
                <c:formatCode>General</c:formatCode>
                <c:ptCount val="2"/>
                <c:pt idx="0">
                  <c:v>1558.9</c:v>
                </c:pt>
                <c:pt idx="1">
                  <c:v>1558.9</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[决算公开饼状图.xlsx]Sheet1!$B$47:$C$47</c:f>
              <c:numCache>
                <c:formatCode>General</c:formatCode>
                <c:ptCount val="2"/>
                <c:pt idx="0">
                  <c:v>6579.7</c:v>
                </c:pt>
                <c:pt idx="1">
                  <c:v>6579.7</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一般公共预算财政拨款支出决算变动情况图（万元）</a:t>
            </a:r>
          </a:p>
        </c:rich>
      </c:tx>
      <c:layout/>
      <c:overlay val="0"/>
      <c:spPr>
        <a:noFill/>
        <a:ln>
          <a:noFill/>
        </a:ln>
        <a:effectLst/>
      </c:spPr>
    </c:title>
    <c:autoTitleDeleted val="0"/>
    <c:plotArea>
      <c:layout/>
      <c:barChart>
        <c:barDir val="col"/>
        <c:grouping val="clustered"/>
        <c:varyColors val="0"/>
        <c:ser>
          <c:idx val="0"/>
          <c:order val="0"/>
          <c:tx>
            <c:strRef>
              <c:f>[决算公开饼状图.xlsx]Sheet1!$A$68</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[决算公开饼状图.xlsx]Sheet1!$B$67:$C$67</c:f>
              <c:strCache>
                <c:ptCount val="2"/>
                <c:pt idx="0">
                  <c:v>2022年</c:v>
                </c:pt>
                <c:pt idx="1">
                  <c:v>2023年</c:v>
                </c:pt>
              </c:strCache>
            </c:strRef>
          </c:cat>
          <c:val>
            <c:numRef>
              <c:f>[决算公开饼状图.xlsx]Sheet1!$B$68:$C$68</c:f>
              <c:numCache>
                <c:formatCode>General</c:formatCode>
                <c:ptCount val="2"/>
                <c:pt idx="0">
                  <c:v>1558.9</c:v>
                </c:pt>
                <c:pt idx="1">
                  <c:v>6579.7</c:v>
                </c:pt>
              </c:numCache>
            </c:numRef>
          </c:val>
        </c:ser>
        <c:dLbls>
          <c:showLegendKey val="0"/>
          <c:showVal val="1"/>
          <c:showCatName val="0"/>
          <c:showSerName val="0"/>
          <c:showPercent val="0"/>
          <c:showBubbleSize val="0"/>
        </c:dLbls>
        <c:gapWidth val="75"/>
        <c:overlap val="0"/>
        <c:axId val="383151653"/>
        <c:axId val="789619307"/>
      </c:barChart>
      <c:catAx>
        <c:axId val="3831516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noMultiLvlLbl val="0"/>
      </c:catAx>
      <c:valAx>
        <c:axId val="7896193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[决算公开饼状图.xlsx]Sheet1!$A$88</c:f>
              <c:strCache>
                <c:ptCount val="1"/>
                <c:pt idx="0">
                  <c:v>一般公共预算财政拨款决算支出结构图（万元）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5"/>
                  <c:y val="0.0034722222222222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6875"/>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[决算公开饼状图.xlsx]Sheet1!$B$87:$E$87</c:f>
              <c:strCache>
                <c:ptCount val="4"/>
                <c:pt idx="0">
                  <c:v>卫生健康支出</c:v>
                </c:pt>
                <c:pt idx="1">
                  <c:v>社会保障和就业支出</c:v>
                </c:pt>
                <c:pt idx="2">
                  <c:v>住房保障支出</c:v>
                </c:pt>
                <c:pt idx="3">
                  <c:v>城乡社区支出</c:v>
                </c:pt>
              </c:strCache>
            </c:strRef>
          </c:cat>
          <c:val>
            <c:numRef>
              <c:f>[决算公开饼状图.xlsx]Sheet1!$B$88:$E$88</c:f>
              <c:numCache>
                <c:formatCode>General</c:formatCode>
                <c:ptCount val="4"/>
                <c:pt idx="0">
                  <c:v>19.63</c:v>
                </c:pt>
                <c:pt idx="1">
                  <c:v>120.69</c:v>
                </c:pt>
                <c:pt idx="2">
                  <c:v>4359.16</c:v>
                </c:pt>
                <c:pt idx="3">
                  <c:v>2080.21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r>
              <a:rPr lang="en-US" altLang="zh-CN"/>
              <a:t>%</a:t>
            </a:r>
            <a:r>
              <a:t>）</a:t>
            </a:r>
          </a:p>
        </c:rich>
      </c:tx>
      <c:layout/>
      <c:overlay val="0"/>
      <c:spPr>
        <a:noFill/>
        <a:ln>
          <a:noFill/>
        </a:ln>
        <a:effectLst/>
      </c:spPr>
    </c:title>
    <c:autoTitleDeleted val="0"/>
    <c:plotArea>
      <c:layout/>
      <c:pieChart>
        <c:varyColors val="1"/>
        <c:ser>
          <c:idx val="0"/>
          <c:order val="0"/>
          <c:tx>
            <c:strRef>
              <c:f>[决算公开饼状图.xlsx]Sheet1!$A$131</c:f>
              <c:strCache>
                <c:ptCount val="1"/>
                <c:pt idx="0">
                  <c:v>“三公”经费财政拨款支出（万元）</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[决算公开饼状图.xlsx]Sheet1!$B$130</c:f>
              <c:strCache>
                <c:ptCount val="1"/>
                <c:pt idx="0">
                  <c:v>公务用车购置及运行维护费支出</c:v>
                </c:pt>
              </c:strCache>
            </c:strRef>
          </c:cat>
          <c:val>
            <c:numRef>
              <c:f>[决算公开饼状图.xlsx]Sheet1!$B$131</c:f>
              <c:numCache>
                <c:formatCode>General</c:formatCode>
                <c:ptCount val="1"/>
                <c:pt idx="0">
                  <c:v>8.72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28bbae-2590-4e7a-ad6a-7ad8975aed46}"/>
        <w:style w:val=""/>
        <w:category>
          <w:name w:val="常规"/>
          <w:gallery w:val="placeholder"/>
        </w:category>
        <w:types>
          <w:type w:val="bbPlcHdr"/>
        </w:types>
        <w:behaviors>
          <w:behavior w:val="content"/>
        </w:behaviors>
        <w:description w:val=""/>
        <w:guid w:val="{2828bbae-2590-4e7a-ad6a-7ad8975aed46}"/>
      </w:docPartPr>
      <w:docPartBody>
        <w:p>
          <w:r>
            <w:rPr>
              <w:color w:val="808080"/>
            </w:rPr>
            <w:t>单击此处输入文字。</w:t>
          </w:r>
        </w:p>
      </w:docPartBody>
    </w:docPart>
    <w:docPart>
      <w:docPartPr>
        <w:name w:val="{d6f9c1c5-ef64-4eff-8516-5ef5a8e2681c}"/>
        <w:style w:val=""/>
        <w:category>
          <w:name w:val="常规"/>
          <w:gallery w:val="placeholder"/>
        </w:category>
        <w:types>
          <w:type w:val="bbPlcHdr"/>
        </w:types>
        <w:behaviors>
          <w:behavior w:val="content"/>
        </w:behaviors>
        <w:description w:val=""/>
        <w:guid w:val="{d6f9c1c5-ef64-4eff-8516-5ef5a8e2681c}"/>
      </w:docPartPr>
      <w:docPartBody>
        <w:p>
          <w:r>
            <w:rPr>
              <w:color w:val="808080"/>
            </w:rPr>
            <w:t>单击此处输入文字。</w:t>
          </w:r>
        </w:p>
      </w:docPartBody>
    </w:docPart>
    <w:docPart>
      <w:docPartPr>
        <w:name w:val="{eee6b9f1-a082-4f5c-8f6a-e57ba643f98d}"/>
        <w:style w:val=""/>
        <w:category>
          <w:name w:val="常规"/>
          <w:gallery w:val="placeholder"/>
        </w:category>
        <w:types>
          <w:type w:val="bbPlcHdr"/>
        </w:types>
        <w:behaviors>
          <w:behavior w:val="content"/>
        </w:behaviors>
        <w:description w:val=""/>
        <w:guid w:val="{eee6b9f1-a082-4f5c-8f6a-e57ba643f98d}"/>
      </w:docPartPr>
      <w:docPartBody>
        <w:p>
          <w:r>
            <w:rPr>
              <w:color w:val="808080"/>
            </w:rPr>
            <w:t>单击此处输入文字。</w:t>
          </w:r>
        </w:p>
      </w:docPartBody>
    </w:docPart>
    <w:docPart>
      <w:docPartPr>
        <w:name w:val="{94905778-0e7f-4cc8-ba88-46798a3a7f0f}"/>
        <w:style w:val=""/>
        <w:category>
          <w:name w:val="常规"/>
          <w:gallery w:val="placeholder"/>
        </w:category>
        <w:types>
          <w:type w:val="bbPlcHdr"/>
        </w:types>
        <w:behaviors>
          <w:behavior w:val="content"/>
        </w:behaviors>
        <w:description w:val=""/>
        <w:guid w:val="{94905778-0e7f-4cc8-ba88-46798a3a7f0f}"/>
      </w:docPartPr>
      <w:docPartBody>
        <w:p>
          <w:r>
            <w:rPr>
              <w:color w:val="808080"/>
            </w:rPr>
            <w:t>单击此处输入文字。</w:t>
          </w:r>
        </w:p>
      </w:docPartBody>
    </w:docPart>
    <w:docPart>
      <w:docPartPr>
        <w:name w:val="{e886b9f1-8e40-4543-af15-79fc522bb26d}"/>
        <w:style w:val=""/>
        <w:category>
          <w:name w:val="常规"/>
          <w:gallery w:val="placeholder"/>
        </w:category>
        <w:types>
          <w:type w:val="bbPlcHdr"/>
        </w:types>
        <w:behaviors>
          <w:behavior w:val="content"/>
        </w:behaviors>
        <w:description w:val=""/>
        <w:guid w:val="{e886b9f1-8e40-4543-af15-79fc522bb26d}"/>
      </w:docPartPr>
      <w:docPartBody>
        <w:p>
          <w:r>
            <w:rPr>
              <w:color w:val="808080"/>
            </w:rPr>
            <w:t>单击此处输入文字。</w:t>
          </w:r>
        </w:p>
      </w:docPartBody>
    </w:docPart>
    <w:docPart>
      <w:docPartPr>
        <w:name w:val="{3a97e6a1-2cdf-4751-af33-0cd967582dbe}"/>
        <w:style w:val=""/>
        <w:category>
          <w:name w:val="常规"/>
          <w:gallery w:val="placeholder"/>
        </w:category>
        <w:types>
          <w:type w:val="bbPlcHdr"/>
        </w:types>
        <w:behaviors>
          <w:behavior w:val="content"/>
        </w:behaviors>
        <w:description w:val=""/>
        <w:guid w:val="{3a97e6a1-2cdf-4751-af33-0cd967582dbe}"/>
      </w:docPartPr>
      <w:docPartBody>
        <w:p>
          <w:r>
            <w:rPr>
              <w:color w:val="808080"/>
            </w:rPr>
            <w:t>单击此处输入文字。</w:t>
          </w:r>
        </w:p>
      </w:docPartBody>
    </w:docPart>
    <w:docPart>
      <w:docPartPr>
        <w:name w:val="{5dc442ab-508d-4196-9d81-c95bf1038207}"/>
        <w:style w:val=""/>
        <w:category>
          <w:name w:val="常规"/>
          <w:gallery w:val="placeholder"/>
        </w:category>
        <w:types>
          <w:type w:val="bbPlcHdr"/>
        </w:types>
        <w:behaviors>
          <w:behavior w:val="content"/>
        </w:behaviors>
        <w:description w:val=""/>
        <w:guid w:val="{5dc442ab-508d-4196-9d81-c95bf1038207}"/>
      </w:docPartPr>
      <w:docPartBody>
        <w:p>
          <w:r>
            <w:rPr>
              <w:color w:val="808080"/>
            </w:rPr>
            <w:t>单击此处输入文字。</w:t>
          </w:r>
        </w:p>
      </w:docPartBody>
    </w:docPart>
    <w:docPart>
      <w:docPartPr>
        <w:name w:val="{d0b631d4-aabf-46b9-a264-72e95ed76161}"/>
        <w:style w:val=""/>
        <w:category>
          <w:name w:val="常规"/>
          <w:gallery w:val="placeholder"/>
        </w:category>
        <w:types>
          <w:type w:val="bbPlcHdr"/>
        </w:types>
        <w:behaviors>
          <w:behavior w:val="content"/>
        </w:behaviors>
        <w:description w:val=""/>
        <w:guid w:val="{d0b631d4-aabf-46b9-a264-72e95ed76161}"/>
      </w:docPartPr>
      <w:docPartBody>
        <w:p>
          <w:r>
            <w:rPr>
              <w:color w:val="808080"/>
            </w:rPr>
            <w:t>单击此处输入文字。</w:t>
          </w:r>
        </w:p>
      </w:docPartBody>
    </w:docPart>
    <w:docPart>
      <w:docPartPr>
        <w:name w:val="{b8280ff0-caa4-4dc3-bffd-f226e4cff39d}"/>
        <w:style w:val=""/>
        <w:category>
          <w:name w:val="常规"/>
          <w:gallery w:val="placeholder"/>
        </w:category>
        <w:types>
          <w:type w:val="bbPlcHdr"/>
        </w:types>
        <w:behaviors>
          <w:behavior w:val="content"/>
        </w:behaviors>
        <w:description w:val=""/>
        <w:guid w:val="{b8280ff0-caa4-4dc3-bffd-f226e4cff39d}"/>
      </w:docPartPr>
      <w:docPartBody>
        <w:p>
          <w:r>
            <w:rPr>
              <w:color w:val="808080"/>
            </w:rPr>
            <w:t>单击此处输入文字。</w:t>
          </w:r>
        </w:p>
      </w:docPartBody>
    </w:docPart>
    <w:docPart>
      <w:docPartPr>
        <w:name w:val="{f2f8570d-3491-4312-84d3-67a9aa467399}"/>
        <w:style w:val=""/>
        <w:category>
          <w:name w:val="常规"/>
          <w:gallery w:val="placeholder"/>
        </w:category>
        <w:types>
          <w:type w:val="bbPlcHdr"/>
        </w:types>
        <w:behaviors>
          <w:behavior w:val="content"/>
        </w:behaviors>
        <w:description w:val=""/>
        <w:guid w:val="{f2f8570d-3491-4312-84d3-67a9aa467399}"/>
      </w:docPartPr>
      <w:docPartBody>
        <w:p>
          <w:r>
            <w:rPr>
              <w:color w:val="808080"/>
            </w:rPr>
            <w:t>单击此处输入文字。</w:t>
          </w:r>
        </w:p>
      </w:docPartBody>
    </w:docPart>
    <w:docPart>
      <w:docPartPr>
        <w:name w:val="{444bf2e0-b312-4d7a-b845-2055035cc857}"/>
        <w:style w:val=""/>
        <w:category>
          <w:name w:val="常规"/>
          <w:gallery w:val="placeholder"/>
        </w:category>
        <w:types>
          <w:type w:val="bbPlcHdr"/>
        </w:types>
        <w:behaviors>
          <w:behavior w:val="content"/>
        </w:behaviors>
        <w:description w:val=""/>
        <w:guid w:val="{444bf2e0-b312-4d7a-b845-2055035cc857}"/>
      </w:docPartPr>
      <w:docPartBody>
        <w:p>
          <w:r>
            <w:rPr>
              <w:color w:val="808080"/>
            </w:rPr>
            <w:t>单击此处输入文字。</w:t>
          </w:r>
        </w:p>
      </w:docPartBody>
    </w:docPart>
    <w:docPart>
      <w:docPartPr>
        <w:name w:val="{82d09e22-843a-4ce3-ab63-2b85e0b87c41}"/>
        <w:style w:val=""/>
        <w:category>
          <w:name w:val="常规"/>
          <w:gallery w:val="placeholder"/>
        </w:category>
        <w:types>
          <w:type w:val="bbPlcHdr"/>
        </w:types>
        <w:behaviors>
          <w:behavior w:val="content"/>
        </w:behaviors>
        <w:description w:val=""/>
        <w:guid w:val="{82d09e22-843a-4ce3-ab63-2b85e0b87c41}"/>
      </w:docPartPr>
      <w:docPartBody>
        <w:p>
          <w:r>
            <w:rPr>
              <w:color w:val="808080"/>
            </w:rPr>
            <w:t>单击此处输入文字。</w:t>
          </w:r>
        </w:p>
      </w:docPartBody>
    </w:docPart>
    <w:docPart>
      <w:docPartPr>
        <w:name w:val="{a11e2b04-d161-4d52-a037-51f5c7d10f22}"/>
        <w:style w:val=""/>
        <w:category>
          <w:name w:val="常规"/>
          <w:gallery w:val="placeholder"/>
        </w:category>
        <w:types>
          <w:type w:val="bbPlcHdr"/>
        </w:types>
        <w:behaviors>
          <w:behavior w:val="content"/>
        </w:behaviors>
        <w:description w:val=""/>
        <w:guid w:val="{a11e2b04-d161-4d52-a037-51f5c7d10f22}"/>
      </w:docPartPr>
      <w:docPartBody>
        <w:p>
          <w:r>
            <w:rPr>
              <w:color w:val="808080"/>
            </w:rPr>
            <w:t>单击此处输入文字。</w:t>
          </w:r>
        </w:p>
      </w:docPartBody>
    </w:docPart>
    <w:docPart>
      <w:docPartPr>
        <w:name w:val="{3062cdda-58d9-4353-b356-abb260a8c5d6}"/>
        <w:style w:val=""/>
        <w:category>
          <w:name w:val="常规"/>
          <w:gallery w:val="placeholder"/>
        </w:category>
        <w:types>
          <w:type w:val="bbPlcHdr"/>
        </w:types>
        <w:behaviors>
          <w:behavior w:val="content"/>
        </w:behaviors>
        <w:description w:val=""/>
        <w:guid w:val="{3062cdda-58d9-4353-b356-abb260a8c5d6}"/>
      </w:docPartPr>
      <w:docPartBody>
        <w:p>
          <w:r>
            <w:rPr>
              <w:color w:val="808080"/>
            </w:rPr>
            <w:t>单击此处输入文字。</w:t>
          </w:r>
        </w:p>
      </w:docPartBody>
    </w:docPart>
    <w:docPart>
      <w:docPartPr>
        <w:name w:val="{404fa4c9-396c-41c6-aaed-b0cffe6b711c}"/>
        <w:style w:val=""/>
        <w:category>
          <w:name w:val="常规"/>
          <w:gallery w:val="placeholder"/>
        </w:category>
        <w:types>
          <w:type w:val="bbPlcHdr"/>
        </w:types>
        <w:behaviors>
          <w:behavior w:val="content"/>
        </w:behaviors>
        <w:description w:val=""/>
        <w:guid w:val="{404fa4c9-396c-41c6-aaed-b0cffe6b711c}"/>
      </w:docPartPr>
      <w:docPartBody>
        <w:p>
          <w:r>
            <w:rPr>
              <w:color w:val="808080"/>
            </w:rPr>
            <w:t>单击此处输入文字。</w:t>
          </w:r>
        </w:p>
      </w:docPartBody>
    </w:docPart>
    <w:docPart>
      <w:docPartPr>
        <w:name w:val="{81f5b202-120e-46c8-92c0-5f3d842bd3f8}"/>
        <w:style w:val=""/>
        <w:category>
          <w:name w:val="常规"/>
          <w:gallery w:val="placeholder"/>
        </w:category>
        <w:types>
          <w:type w:val="bbPlcHdr"/>
        </w:types>
        <w:behaviors>
          <w:behavior w:val="content"/>
        </w:behaviors>
        <w:description w:val=""/>
        <w:guid w:val="{81f5b202-120e-46c8-92c0-5f3d842bd3f8}"/>
      </w:docPartPr>
      <w:docPartBody>
        <w:p>
          <w:r>
            <w:rPr>
              <w:color w:val="808080"/>
            </w:rPr>
            <w:t>单击此处输入文字。</w:t>
          </w:r>
        </w:p>
      </w:docPartBody>
    </w:docPart>
    <w:docPart>
      <w:docPartPr>
        <w:name w:val="{99fba5dd-52d9-41d2-a88f-c6fa00793104}"/>
        <w:style w:val=""/>
        <w:category>
          <w:name w:val="常规"/>
          <w:gallery w:val="placeholder"/>
        </w:category>
        <w:types>
          <w:type w:val="bbPlcHdr"/>
        </w:types>
        <w:behaviors>
          <w:behavior w:val="content"/>
        </w:behaviors>
        <w:description w:val=""/>
        <w:guid w:val="{99fba5dd-52d9-41d2-a88f-c6fa00793104}"/>
      </w:docPartPr>
      <w:docPartBody>
        <w:p>
          <w:r>
            <w:rPr>
              <w:color w:val="808080"/>
            </w:rPr>
            <w:t>单击此处输入文字。</w:t>
          </w:r>
        </w:p>
      </w:docPartBody>
    </w:docPart>
    <w:docPart>
      <w:docPartPr>
        <w:name w:val="{4278ecac-5fb3-4c46-ae9b-b5148758a059}"/>
        <w:style w:val=""/>
        <w:category>
          <w:name w:val="常规"/>
          <w:gallery w:val="placeholder"/>
        </w:category>
        <w:types>
          <w:type w:val="bbPlcHdr"/>
        </w:types>
        <w:behaviors>
          <w:behavior w:val="content"/>
        </w:behaviors>
        <w:description w:val=""/>
        <w:guid w:val="{4278ecac-5fb3-4c46-ae9b-b5148758a059}"/>
      </w:docPartPr>
      <w:docPartBody>
        <w:p>
          <w:r>
            <w:rPr>
              <w:color w:val="808080"/>
            </w:rPr>
            <w:t>单击此处输入文字。</w:t>
          </w:r>
        </w:p>
      </w:docPartBody>
    </w:docPart>
    <w:docPart>
      <w:docPartPr>
        <w:name w:val="{c8c2ce44-0482-4d14-98ad-f09f4ce63e6a}"/>
        <w:style w:val=""/>
        <w:category>
          <w:name w:val="常规"/>
          <w:gallery w:val="placeholder"/>
        </w:category>
        <w:types>
          <w:type w:val="bbPlcHdr"/>
        </w:types>
        <w:behaviors>
          <w:behavior w:val="content"/>
        </w:behaviors>
        <w:description w:val=""/>
        <w:guid w:val="{c8c2ce44-0482-4d14-98ad-f09f4ce63e6a}"/>
      </w:docPartPr>
      <w:docPartBody>
        <w:p>
          <w:r>
            <w:rPr>
              <w:color w:val="808080"/>
            </w:rPr>
            <w:t>单击此处输入文字。</w:t>
          </w:r>
        </w:p>
      </w:docPartBody>
    </w:docPart>
    <w:docPart>
      <w:docPartPr>
        <w:name w:val="{04325984-c954-4765-b9fe-90d5e925ec76}"/>
        <w:style w:val=""/>
        <w:category>
          <w:name w:val="常规"/>
          <w:gallery w:val="placeholder"/>
        </w:category>
        <w:types>
          <w:type w:val="bbPlcHdr"/>
        </w:types>
        <w:behaviors>
          <w:behavior w:val="content"/>
        </w:behaviors>
        <w:description w:val=""/>
        <w:guid w:val="{04325984-c954-4765-b9fe-90d5e925ec76}"/>
      </w:docPartPr>
      <w:docPartBody>
        <w:p>
          <w:r>
            <w:rPr>
              <w:color w:val="808080"/>
            </w:rPr>
            <w:t>单击此处输入文字。</w:t>
          </w:r>
        </w:p>
      </w:docPartBody>
    </w:docPart>
    <w:docPart>
      <w:docPartPr>
        <w:name w:val="{46e5b8e2-06e4-4c8a-aa81-cba55769f48f}"/>
        <w:style w:val=""/>
        <w:category>
          <w:name w:val="常规"/>
          <w:gallery w:val="placeholder"/>
        </w:category>
        <w:types>
          <w:type w:val="bbPlcHdr"/>
        </w:types>
        <w:behaviors>
          <w:behavior w:val="content"/>
        </w:behaviors>
        <w:description w:val=""/>
        <w:guid w:val="{46e5b8e2-06e4-4c8a-aa81-cba55769f48f}"/>
      </w:docPartPr>
      <w:docPartBody>
        <w:p>
          <w:r>
            <w:rPr>
              <w:color w:val="808080"/>
            </w:rPr>
            <w:t>单击此处输入文字。</w:t>
          </w:r>
        </w:p>
      </w:docPartBody>
    </w:docPart>
    <w:docPart>
      <w:docPartPr>
        <w:name w:val="{ff1fb327-8dd4-4edd-beb2-e99efe627a2d}"/>
        <w:style w:val=""/>
        <w:category>
          <w:name w:val="常规"/>
          <w:gallery w:val="placeholder"/>
        </w:category>
        <w:types>
          <w:type w:val="bbPlcHdr"/>
        </w:types>
        <w:behaviors>
          <w:behavior w:val="content"/>
        </w:behaviors>
        <w:description w:val=""/>
        <w:guid w:val="{ff1fb327-8dd4-4edd-beb2-e99efe627a2d}"/>
      </w:docPartPr>
      <w:docPartBody>
        <w:p>
          <w:r>
            <w:rPr>
              <w:color w:val="808080"/>
            </w:rPr>
            <w:t>单击此处输入文字。</w:t>
          </w:r>
        </w:p>
      </w:docPartBody>
    </w:docPart>
    <w:docPart>
      <w:docPartPr>
        <w:name w:val="{e3373a86-41b4-40de-93e0-afc34a2294bd}"/>
        <w:style w:val=""/>
        <w:category>
          <w:name w:val="常规"/>
          <w:gallery w:val="placeholder"/>
        </w:category>
        <w:types>
          <w:type w:val="bbPlcHdr"/>
        </w:types>
        <w:behaviors>
          <w:behavior w:val="content"/>
        </w:behaviors>
        <w:description w:val=""/>
        <w:guid w:val="{e3373a86-41b4-40de-93e0-afc34a2294bd}"/>
      </w:docPartPr>
      <w:docPartBody>
        <w:p>
          <w:r>
            <w:rPr>
              <w:color w:val="808080"/>
            </w:rPr>
            <w:t>单击此处输入文字。</w:t>
          </w:r>
        </w:p>
      </w:docPartBody>
    </w:docPart>
    <w:docPart>
      <w:docPartPr>
        <w:name w:val="{5722577e-5b03-4974-b388-253fdf6ebfc8}"/>
        <w:style w:val=""/>
        <w:category>
          <w:name w:val="常规"/>
          <w:gallery w:val="placeholder"/>
        </w:category>
        <w:types>
          <w:type w:val="bbPlcHdr"/>
        </w:types>
        <w:behaviors>
          <w:behavior w:val="content"/>
        </w:behaviors>
        <w:description w:val=""/>
        <w:guid w:val="{5722577e-5b03-4974-b388-253fdf6ebfc8}"/>
      </w:docPartPr>
      <w:docPartBody>
        <w:p>
          <w:r>
            <w:rPr>
              <w:color w:val="808080"/>
            </w:rPr>
            <w:t>单击此处输入文字。</w:t>
          </w:r>
        </w:p>
      </w:docPartBody>
    </w:docPart>
    <w:docPart>
      <w:docPartPr>
        <w:name w:val="{df46a84a-daa6-497c-b7e9-f6139082600e}"/>
        <w:style w:val=""/>
        <w:category>
          <w:name w:val="常规"/>
          <w:gallery w:val="placeholder"/>
        </w:category>
        <w:types>
          <w:type w:val="bbPlcHdr"/>
        </w:types>
        <w:behaviors>
          <w:behavior w:val="content"/>
        </w:behaviors>
        <w:description w:val=""/>
        <w:guid w:val="{df46a84a-daa6-497c-b7e9-f6139082600e}"/>
      </w:docPartPr>
      <w:docPartBody>
        <w:p>
          <w:r>
            <w:rPr>
              <w:color w:val="808080"/>
            </w:rPr>
            <w:t>单击此处输入文字。</w:t>
          </w:r>
        </w:p>
      </w:docPartBody>
    </w:docPart>
    <w:docPart>
      <w:docPartPr>
        <w:name w:val="{62a4629b-9f03-42c1-b9e5-3503bece53c4}"/>
        <w:style w:val=""/>
        <w:category>
          <w:name w:val="常规"/>
          <w:gallery w:val="placeholder"/>
        </w:category>
        <w:types>
          <w:type w:val="bbPlcHdr"/>
        </w:types>
        <w:behaviors>
          <w:behavior w:val="content"/>
        </w:behaviors>
        <w:description w:val=""/>
        <w:guid w:val="{62a4629b-9f03-42c1-b9e5-3503bece53c4}"/>
      </w:docPartPr>
      <w:docPartBody>
        <w:p>
          <w:r>
            <w:rPr>
              <w:color w:val="808080"/>
            </w:rPr>
            <w:t>单击此处输入文字。</w:t>
          </w:r>
        </w:p>
      </w:docPartBody>
    </w:docPart>
    <w:docPart>
      <w:docPartPr>
        <w:name w:val="{e58e4e7a-ce28-410d-b1fc-6f4ee934c405}"/>
        <w:style w:val=""/>
        <w:category>
          <w:name w:val="常规"/>
          <w:gallery w:val="placeholder"/>
        </w:category>
        <w:types>
          <w:type w:val="bbPlcHdr"/>
        </w:types>
        <w:behaviors>
          <w:behavior w:val="content"/>
        </w:behaviors>
        <w:description w:val=""/>
        <w:guid w:val="{e58e4e7a-ce28-410d-b1fc-6f4ee934c405}"/>
      </w:docPartPr>
      <w:docPartBody>
        <w:p>
          <w:r>
            <w:rPr>
              <w:color w:val="808080"/>
            </w:rPr>
            <w:t>单击此处输入文字。</w:t>
          </w:r>
        </w:p>
      </w:docPartBody>
    </w:docPart>
    <w:docPart>
      <w:docPartPr>
        <w:name w:val="{5c1237a3-b0e9-4ea6-8d9e-5227513695e0}"/>
        <w:style w:val=""/>
        <w:category>
          <w:name w:val="常规"/>
          <w:gallery w:val="placeholder"/>
        </w:category>
        <w:types>
          <w:type w:val="bbPlcHdr"/>
        </w:types>
        <w:behaviors>
          <w:behavior w:val="content"/>
        </w:behaviors>
        <w:description w:val=""/>
        <w:guid w:val="{5c1237a3-b0e9-4ea6-8d9e-5227513695e0}"/>
      </w:docPartPr>
      <w:docPartBody>
        <w:p>
          <w:r>
            <w:rPr>
              <w:color w:val="808080"/>
            </w:rPr>
            <w:t>单击此处输入文字。</w:t>
          </w:r>
        </w:p>
      </w:docPartBody>
    </w:docPart>
    <w:docPart>
      <w:docPartPr>
        <w:name w:val="{a3cad2dc-ab9b-4f17-9d62-674537c80be4}"/>
        <w:style w:val=""/>
        <w:category>
          <w:name w:val="常规"/>
          <w:gallery w:val="placeholder"/>
        </w:category>
        <w:types>
          <w:type w:val="bbPlcHdr"/>
        </w:types>
        <w:behaviors>
          <w:behavior w:val="content"/>
        </w:behaviors>
        <w:description w:val=""/>
        <w:guid w:val="{a3cad2dc-ab9b-4f17-9d62-674537c80be4}"/>
      </w:docPartPr>
      <w:docPartBody>
        <w:p>
          <w:r>
            <w:rPr>
              <w:color w:val="808080"/>
            </w:rPr>
            <w:t>单击此处输入文字。</w:t>
          </w:r>
        </w:p>
      </w:docPartBody>
    </w:docPart>
    <w:docPart>
      <w:docPartPr>
        <w:name w:val="{3c655503-2360-4d30-9ff1-2234e6aa9ce4}"/>
        <w:style w:val=""/>
        <w:category>
          <w:name w:val="常规"/>
          <w:gallery w:val="placeholder"/>
        </w:category>
        <w:types>
          <w:type w:val="bbPlcHdr"/>
        </w:types>
        <w:behaviors>
          <w:behavior w:val="content"/>
        </w:behaviors>
        <w:description w:val=""/>
        <w:guid w:val="{3c655503-2360-4d30-9ff1-2234e6aa9ce4}"/>
      </w:docPartPr>
      <w:docPartBody>
        <w:p>
          <w:r>
            <w:rPr>
              <w:color w:val="808080"/>
            </w:rPr>
            <w:t>单击此处输入文字。</w:t>
          </w:r>
        </w:p>
      </w:docPartBody>
    </w:docPart>
    <w:docPart>
      <w:docPartPr>
        <w:name w:val="{74f10e5f-3844-4a85-81be-b2a84d937ed3}"/>
        <w:style w:val=""/>
        <w:category>
          <w:name w:val="常规"/>
          <w:gallery w:val="placeholder"/>
        </w:category>
        <w:types>
          <w:type w:val="bbPlcHdr"/>
        </w:types>
        <w:behaviors>
          <w:behavior w:val="content"/>
        </w:behaviors>
        <w:description w:val=""/>
        <w:guid w:val="{74f10e5f-3844-4a85-81be-b2a84d937ed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14125</Words>
  <Characters>16534</Characters>
  <Lines>42</Lines>
  <Paragraphs>11</Paragraphs>
  <TotalTime>23</TotalTime>
  <ScaleCrop>false</ScaleCrop>
  <LinksUpToDate>false</LinksUpToDate>
  <CharactersWithSpaces>16663</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2024-10-12T02:17:00Z</dcterms:created>
  <dc:creator>曹颖</dc:creator>
  <cp:lastModifiedBy>hyt</cp:lastModifiedBy>
  <cp:lastPrinted>2023-08-03T02:35:00Z</cp:lastPrinted>
  <dcterms:modified xsi:type="dcterms:W3CDTF">2024-10-23T06:48:27Z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915F7EA103CB4322B8DFBBF8650CE327_12</vt:lpwstr>
  </property>
</Properties>
</file>