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4EFE3">
      <w:pPr>
        <w:rPr>
          <w:rFonts w:asciiTheme="minorEastAsia" w:hAnsiTheme="minorEastAsia" w:eastAsiaTheme="minorEastAsia"/>
          <w:b/>
          <w:sz w:val="72"/>
          <w:szCs w:val="72"/>
        </w:rPr>
      </w:pPr>
      <w:bookmarkStart w:id="0" w:name="_Toc15396597"/>
      <w:bookmarkStart w:id="1" w:name="_Toc15377193"/>
      <w:bookmarkStart w:id="2" w:name="_Toc15306267"/>
      <w:bookmarkStart w:id="3" w:name="_Toc15396475"/>
      <w:bookmarkStart w:id="4" w:name="_Toc15377425"/>
      <w:bookmarkStart w:id="5" w:name="_Toc15378441"/>
    </w:p>
    <w:p w14:paraId="24608324">
      <w:pPr>
        <w:pStyle w:val="5"/>
        <w:ind w:firstLine="0"/>
      </w:pPr>
    </w:p>
    <w:bookmarkEnd w:id="0"/>
    <w:bookmarkEnd w:id="1"/>
    <w:bookmarkEnd w:id="2"/>
    <w:bookmarkEnd w:id="3"/>
    <w:bookmarkEnd w:id="4"/>
    <w:bookmarkEnd w:id="5"/>
    <w:p w14:paraId="37755E60">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1959"/>
      <w:bookmarkStart w:id="7" w:name="_Toc26098"/>
      <w:bookmarkStart w:id="8" w:name="_Toc30986"/>
      <w:bookmarkStart w:id="9" w:name="_Toc1355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6"/>
      <w:bookmarkEnd w:id="7"/>
      <w:bookmarkEnd w:id="8"/>
      <w:bookmarkEnd w:id="9"/>
    </w:p>
    <w:p w14:paraId="6E934BF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0" w:name="_Toc4274"/>
      <w:bookmarkStart w:id="11" w:name="_Toc30445"/>
      <w:bookmarkStart w:id="12" w:name="_Toc11800"/>
      <w:bookmarkStart w:id="13" w:name="_Toc2381"/>
      <w:bookmarkStart w:id="14" w:name="_Toc15396476"/>
      <w:bookmarkStart w:id="15" w:name="_Toc15377426"/>
      <w:bookmarkStart w:id="16" w:name="_Toc15378442"/>
      <w:bookmarkStart w:id="17" w:name="_Toc15377194"/>
      <w:bookmarkStart w:id="18" w:name="_Toc15306268"/>
      <w:bookmarkStart w:id="19" w:name="_Toc15396598"/>
      <w:r>
        <w:rPr>
          <w:rFonts w:hint="eastAsia" w:ascii="方正小标宋简体" w:hAnsi="方正小标宋简体" w:eastAsia="方正小标宋简体" w:cs="方正小标宋简体"/>
          <w:color w:val="auto"/>
          <w:sz w:val="72"/>
          <w:szCs w:val="72"/>
          <w:highlight w:val="none"/>
          <w:lang w:val="en-US" w:eastAsia="zh-CN"/>
        </w:rPr>
        <w:t>大竹县柏林镇中心小学</w:t>
      </w:r>
      <w:bookmarkEnd w:id="10"/>
      <w:bookmarkEnd w:id="11"/>
      <w:bookmarkEnd w:id="12"/>
      <w:bookmarkEnd w:id="13"/>
    </w:p>
    <w:p w14:paraId="7A15C7E1">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0" w:name="_Toc252"/>
      <w:bookmarkStart w:id="21" w:name="_Toc10496"/>
      <w:bookmarkStart w:id="22" w:name="_Toc9725"/>
      <w:bookmarkStart w:id="23" w:name="_Toc18845"/>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4"/>
      <w:bookmarkEnd w:id="15"/>
      <w:bookmarkEnd w:id="16"/>
      <w:bookmarkEnd w:id="17"/>
      <w:bookmarkEnd w:id="18"/>
      <w:bookmarkEnd w:id="19"/>
      <w:bookmarkEnd w:id="20"/>
      <w:bookmarkEnd w:id="21"/>
      <w:bookmarkEnd w:id="22"/>
      <w:bookmarkEnd w:id="23"/>
    </w:p>
    <w:p w14:paraId="528C309D">
      <w:pPr>
        <w:pStyle w:val="5"/>
      </w:pPr>
    </w:p>
    <w:p w14:paraId="766B9621">
      <w:pPr>
        <w:pStyle w:val="5"/>
      </w:pPr>
    </w:p>
    <w:p w14:paraId="6A8A7338">
      <w:pPr>
        <w:pStyle w:val="5"/>
      </w:pPr>
    </w:p>
    <w:p w14:paraId="01F609DF">
      <w:pPr>
        <w:pStyle w:val="5"/>
      </w:pPr>
    </w:p>
    <w:p w14:paraId="6B9FE489">
      <w:pPr>
        <w:pStyle w:val="5"/>
      </w:pPr>
    </w:p>
    <w:p w14:paraId="073557F7">
      <w:pPr>
        <w:pStyle w:val="5"/>
      </w:pPr>
    </w:p>
    <w:p w14:paraId="7869001D">
      <w:pPr>
        <w:pStyle w:val="5"/>
      </w:pPr>
    </w:p>
    <w:p w14:paraId="169A7A08">
      <w:pPr>
        <w:pStyle w:val="5"/>
      </w:pPr>
    </w:p>
    <w:p w14:paraId="515898A1">
      <w:pPr>
        <w:pStyle w:val="5"/>
        <w:tabs>
          <w:tab w:val="left" w:pos="3600"/>
        </w:tabs>
      </w:pPr>
      <w:r>
        <w:tab/>
      </w:r>
    </w:p>
    <w:p w14:paraId="3EC3A06D">
      <w:pPr>
        <w:pStyle w:val="5"/>
      </w:pPr>
    </w:p>
    <w:p w14:paraId="7C944239">
      <w:pPr>
        <w:pStyle w:val="5"/>
      </w:pPr>
    </w:p>
    <w:p w14:paraId="4352BEE2">
      <w:pPr>
        <w:pStyle w:val="5"/>
      </w:pPr>
    </w:p>
    <w:p w14:paraId="5D5DD30D">
      <w:pPr>
        <w:pStyle w:val="5"/>
      </w:pPr>
    </w:p>
    <w:p w14:paraId="4A77AAF9">
      <w:pPr>
        <w:pStyle w:val="5"/>
      </w:pPr>
    </w:p>
    <w:p w14:paraId="3B8577F9">
      <w:pPr>
        <w:pStyle w:val="5"/>
      </w:pPr>
    </w:p>
    <w:p w14:paraId="1DD9282B">
      <w:pPr>
        <w:pStyle w:val="5"/>
      </w:pPr>
    </w:p>
    <w:p w14:paraId="70CDCCB1">
      <w:pPr>
        <w:pStyle w:val="5"/>
      </w:pPr>
    </w:p>
    <w:p w14:paraId="649B9C6F">
      <w:pPr>
        <w:pStyle w:val="5"/>
      </w:pPr>
    </w:p>
    <w:p w14:paraId="21DE2178">
      <w:pPr>
        <w:widowControl/>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bookmarkStart w:id="24" w:name="_Toc15377196"/>
    </w:p>
    <w:p w14:paraId="274EAE00">
      <w:pPr>
        <w:pStyle w:val="12"/>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49C80F79">
      <w:pPr>
        <w:pStyle w:val="12"/>
        <w:tabs>
          <w:tab w:val="right" w:leader="dot" w:pos="8306"/>
          <w:tab w:val="clear" w:pos="8296"/>
        </w:tabs>
      </w:pPr>
      <w:r>
        <w:rPr>
          <w:smallCaps/>
          <w:sz w:val="20"/>
          <w:szCs w:val="20"/>
        </w:rPr>
        <w:fldChar w:fldCharType="begin"/>
      </w:r>
      <w:r>
        <w:rPr>
          <w:smallCaps/>
          <w:sz w:val="20"/>
          <w:szCs w:val="20"/>
        </w:rPr>
        <w:instrText xml:space="preserve"> TOC \o "1-2" \h \z \u </w:instrText>
      </w:r>
      <w:r>
        <w:rPr>
          <w:smallCaps/>
          <w:sz w:val="20"/>
          <w:szCs w:val="20"/>
        </w:rPr>
        <w:fldChar w:fldCharType="separate"/>
      </w:r>
      <w:r>
        <w:rPr>
          <w:smallCaps/>
          <w:szCs w:val="20"/>
        </w:rPr>
        <w:fldChar w:fldCharType="begin"/>
      </w:r>
      <w:r>
        <w:rPr>
          <w:smallCaps/>
          <w:szCs w:val="20"/>
        </w:rPr>
        <w:instrText xml:space="preserve"> HYPERLINK \l _Toc3368 </w:instrText>
      </w:r>
      <w:r>
        <w:rPr>
          <w:smallCaps/>
          <w:szCs w:val="20"/>
        </w:rPr>
        <w:fldChar w:fldCharType="separate"/>
      </w:r>
      <w:r>
        <w:rPr>
          <w:rFonts w:hint="eastAsia" w:ascii="黑体" w:hAnsi="黑体" w:eastAsia="黑体" w:cs="黑体"/>
        </w:rPr>
        <w:t xml:space="preserve">第一部分 </w:t>
      </w:r>
      <w:r>
        <w:rPr>
          <w:rFonts w:hint="eastAsia" w:ascii="黑体" w:hAnsi="黑体" w:eastAsia="黑体" w:cs="黑体"/>
          <w:bCs w:val="0"/>
        </w:rPr>
        <w:t>单位</w:t>
      </w:r>
      <w:r>
        <w:rPr>
          <w:rFonts w:ascii="黑体" w:hAnsi="黑体" w:eastAsia="黑体" w:cs="黑体"/>
          <w:u w:color="auto"/>
        </w:rPr>
        <w:t>概况</w:t>
      </w:r>
      <w:r>
        <w:tab/>
      </w:r>
      <w:r>
        <w:fldChar w:fldCharType="begin"/>
      </w:r>
      <w:r>
        <w:instrText xml:space="preserve"> PAGEREF _Toc3368 \h </w:instrText>
      </w:r>
      <w:r>
        <w:fldChar w:fldCharType="separate"/>
      </w:r>
      <w:r>
        <w:t>3</w:t>
      </w:r>
      <w:r>
        <w:fldChar w:fldCharType="end"/>
      </w:r>
      <w:r>
        <w:rPr>
          <w:smallCaps/>
          <w:szCs w:val="20"/>
        </w:rPr>
        <w:fldChar w:fldCharType="end"/>
      </w:r>
    </w:p>
    <w:p w14:paraId="14439CCC">
      <w:pPr>
        <w:pStyle w:val="14"/>
        <w:tabs>
          <w:tab w:val="right" w:leader="dot" w:pos="8306"/>
          <w:tab w:val="clear" w:pos="8296"/>
        </w:tabs>
      </w:pPr>
      <w:r>
        <w:rPr>
          <w:smallCaps/>
          <w:szCs w:val="20"/>
        </w:rPr>
        <w:fldChar w:fldCharType="begin"/>
      </w:r>
      <w:r>
        <w:rPr>
          <w:smallCaps/>
          <w:szCs w:val="20"/>
        </w:rPr>
        <w:instrText xml:space="preserve"> HYPERLINK \l _Toc4126 </w:instrText>
      </w:r>
      <w:r>
        <w:rPr>
          <w:smallCaps/>
          <w:szCs w:val="20"/>
        </w:rPr>
        <w:fldChar w:fldCharType="separate"/>
      </w:r>
      <w:r>
        <w:rPr>
          <w:rFonts w:hint="eastAsia" w:ascii="黑体" w:eastAsia="黑体" w:cs="Times New Roman"/>
          <w:bCs w:val="0"/>
        </w:rPr>
        <w:t>一、</w:t>
      </w:r>
      <w:r>
        <w:rPr>
          <w:rFonts w:ascii="黑体" w:eastAsia="黑体" w:cs="黑体"/>
          <w:u w:color="auto"/>
        </w:rPr>
        <w:t>主要职责</w:t>
      </w:r>
      <w:r>
        <w:tab/>
      </w:r>
      <w:r>
        <w:fldChar w:fldCharType="begin"/>
      </w:r>
      <w:r>
        <w:instrText xml:space="preserve"> PAGEREF _Toc4126 \h </w:instrText>
      </w:r>
      <w:r>
        <w:fldChar w:fldCharType="separate"/>
      </w:r>
      <w:r>
        <w:t>3</w:t>
      </w:r>
      <w:r>
        <w:fldChar w:fldCharType="end"/>
      </w:r>
      <w:r>
        <w:rPr>
          <w:smallCaps/>
          <w:szCs w:val="20"/>
        </w:rPr>
        <w:fldChar w:fldCharType="end"/>
      </w:r>
    </w:p>
    <w:p w14:paraId="674055E8">
      <w:pPr>
        <w:pStyle w:val="14"/>
        <w:tabs>
          <w:tab w:val="right" w:leader="dot" w:pos="8306"/>
          <w:tab w:val="clear" w:pos="8296"/>
        </w:tabs>
      </w:pPr>
      <w:r>
        <w:rPr>
          <w:smallCaps/>
          <w:szCs w:val="20"/>
        </w:rPr>
        <w:fldChar w:fldCharType="begin"/>
      </w:r>
      <w:r>
        <w:rPr>
          <w:smallCaps/>
          <w:szCs w:val="20"/>
        </w:rPr>
        <w:instrText xml:space="preserve"> HYPERLINK \l _Toc5389 </w:instrText>
      </w:r>
      <w:r>
        <w:rPr>
          <w:smallCaps/>
          <w:szCs w:val="20"/>
        </w:rPr>
        <w:fldChar w:fldCharType="separate"/>
      </w:r>
      <w:r>
        <w:rPr>
          <w:rFonts w:hint="eastAsia" w:ascii="黑体" w:eastAsia="黑体" w:cs="Times New Roman"/>
          <w:bCs w:val="0"/>
        </w:rPr>
        <w:t>二、机构设置</w:t>
      </w:r>
      <w:r>
        <w:tab/>
      </w:r>
      <w:r>
        <w:fldChar w:fldCharType="begin"/>
      </w:r>
      <w:r>
        <w:instrText xml:space="preserve"> PAGEREF _Toc5389 \h </w:instrText>
      </w:r>
      <w:r>
        <w:fldChar w:fldCharType="separate"/>
      </w:r>
      <w:r>
        <w:t>3</w:t>
      </w:r>
      <w:r>
        <w:fldChar w:fldCharType="end"/>
      </w:r>
      <w:r>
        <w:rPr>
          <w:smallCaps/>
          <w:szCs w:val="20"/>
        </w:rPr>
        <w:fldChar w:fldCharType="end"/>
      </w:r>
    </w:p>
    <w:p w14:paraId="3D4FF765">
      <w:pPr>
        <w:pStyle w:val="12"/>
        <w:tabs>
          <w:tab w:val="right" w:leader="dot" w:pos="8306"/>
          <w:tab w:val="clear" w:pos="8296"/>
        </w:tabs>
      </w:pPr>
      <w:r>
        <w:rPr>
          <w:smallCaps/>
          <w:szCs w:val="20"/>
        </w:rPr>
        <w:fldChar w:fldCharType="begin"/>
      </w:r>
      <w:r>
        <w:rPr>
          <w:smallCaps/>
          <w:szCs w:val="20"/>
        </w:rPr>
        <w:instrText xml:space="preserve"> HYPERLINK \l _Toc4730 </w:instrText>
      </w:r>
      <w:r>
        <w:rPr>
          <w:smallCaps/>
          <w:szCs w:val="20"/>
        </w:rPr>
        <w:fldChar w:fldCharType="separate"/>
      </w:r>
      <w:r>
        <w:rPr>
          <w:rFonts w:hint="eastAsia" w:ascii="黑体" w:hAnsi="黑体" w:eastAsia="黑体" w:cs="黑体"/>
        </w:rPr>
        <w:t>第二部分</w:t>
      </w:r>
      <w:r>
        <w:rPr>
          <w:rFonts w:ascii="黑体" w:hAnsi="黑体" w:eastAsia="黑体" w:cs="黑体"/>
        </w:rPr>
        <w:t xml:space="preserve"> </w:t>
      </w:r>
      <w:r>
        <w:rPr>
          <w:rFonts w:hint="eastAsia" w:ascii="黑体" w:hAnsi="黑体" w:eastAsia="黑体" w:cs="黑体"/>
        </w:rPr>
        <w:t>202</w:t>
      </w:r>
      <w:r>
        <w:rPr>
          <w:rFonts w:hint="eastAsia" w:ascii="黑体" w:hAnsi="黑体" w:eastAsia="黑体" w:cs="黑体"/>
          <w:lang w:val="en-US" w:eastAsia="zh-CN"/>
        </w:rPr>
        <w:t>3</w:t>
      </w:r>
      <w:r>
        <w:rPr>
          <w:rFonts w:ascii="黑体" w:hAnsi="黑体" w:eastAsia="黑体" w:cs="黑体"/>
          <w:u w:color="auto"/>
        </w:rPr>
        <w:t>年度</w:t>
      </w:r>
      <w:r>
        <w:rPr>
          <w:rFonts w:hint="eastAsia" w:ascii="黑体" w:hAnsi="黑体" w:eastAsia="黑体" w:cs="黑体"/>
          <w:lang w:val="en-US" w:eastAsia="zh-CN"/>
        </w:rPr>
        <w:t>单位</w:t>
      </w:r>
      <w:r>
        <w:rPr>
          <w:rFonts w:hint="eastAsia" w:ascii="黑体" w:hAnsi="黑体" w:eastAsia="黑体" w:cs="黑体"/>
        </w:rPr>
        <w:t>决算情况说明</w:t>
      </w:r>
      <w:r>
        <w:tab/>
      </w:r>
      <w:r>
        <w:fldChar w:fldCharType="begin"/>
      </w:r>
      <w:r>
        <w:instrText xml:space="preserve"> PAGEREF _Toc4730 \h </w:instrText>
      </w:r>
      <w:r>
        <w:fldChar w:fldCharType="separate"/>
      </w:r>
      <w:r>
        <w:t>4</w:t>
      </w:r>
      <w:r>
        <w:fldChar w:fldCharType="end"/>
      </w:r>
      <w:r>
        <w:rPr>
          <w:smallCaps/>
          <w:szCs w:val="20"/>
        </w:rPr>
        <w:fldChar w:fldCharType="end"/>
      </w:r>
    </w:p>
    <w:p w14:paraId="0137D272">
      <w:pPr>
        <w:pStyle w:val="14"/>
        <w:tabs>
          <w:tab w:val="right" w:leader="dot" w:pos="8306"/>
          <w:tab w:val="clear" w:pos="8296"/>
        </w:tabs>
      </w:pPr>
      <w:r>
        <w:rPr>
          <w:smallCaps/>
          <w:szCs w:val="20"/>
        </w:rPr>
        <w:fldChar w:fldCharType="begin"/>
      </w:r>
      <w:r>
        <w:rPr>
          <w:smallCaps/>
          <w:szCs w:val="20"/>
        </w:rPr>
        <w:instrText xml:space="preserve"> HYPERLINK \l _Toc5235 </w:instrText>
      </w:r>
      <w:r>
        <w:rPr>
          <w:smallCaps/>
          <w:szCs w:val="20"/>
        </w:rPr>
        <w:fldChar w:fldCharType="separate"/>
      </w:r>
      <w:r>
        <w:rPr>
          <w:rFonts w:hint="eastAsia" w:ascii="黑体" w:eastAsia="黑体" w:cs="Times New Roman"/>
          <w:bCs w:val="0"/>
        </w:rPr>
        <w:t>一、收入支出决算总体情况说明</w:t>
      </w:r>
      <w:r>
        <w:tab/>
      </w:r>
      <w:r>
        <w:fldChar w:fldCharType="begin"/>
      </w:r>
      <w:r>
        <w:instrText xml:space="preserve"> PAGEREF _Toc5235 \h </w:instrText>
      </w:r>
      <w:r>
        <w:fldChar w:fldCharType="separate"/>
      </w:r>
      <w:r>
        <w:t>4</w:t>
      </w:r>
      <w:r>
        <w:fldChar w:fldCharType="end"/>
      </w:r>
      <w:r>
        <w:rPr>
          <w:smallCaps/>
          <w:szCs w:val="20"/>
        </w:rPr>
        <w:fldChar w:fldCharType="end"/>
      </w:r>
    </w:p>
    <w:p w14:paraId="0AD3AEF0">
      <w:pPr>
        <w:pStyle w:val="14"/>
        <w:tabs>
          <w:tab w:val="right" w:leader="dot" w:pos="8306"/>
          <w:tab w:val="clear" w:pos="8296"/>
        </w:tabs>
      </w:pPr>
      <w:r>
        <w:rPr>
          <w:smallCaps/>
          <w:szCs w:val="20"/>
        </w:rPr>
        <w:fldChar w:fldCharType="begin"/>
      </w:r>
      <w:r>
        <w:rPr>
          <w:smallCaps/>
          <w:szCs w:val="20"/>
        </w:rPr>
        <w:instrText xml:space="preserve"> HYPERLINK \l _Toc762 </w:instrText>
      </w:r>
      <w:r>
        <w:rPr>
          <w:smallCaps/>
          <w:szCs w:val="20"/>
        </w:rPr>
        <w:fldChar w:fldCharType="separate"/>
      </w:r>
      <w:r>
        <w:rPr>
          <w:rFonts w:hint="eastAsia" w:ascii="黑体" w:eastAsia="黑体" w:cs="Times New Roman"/>
          <w:bCs w:val="0"/>
        </w:rPr>
        <w:t>二、收入决算情况说明</w:t>
      </w:r>
      <w:r>
        <w:tab/>
      </w:r>
      <w:r>
        <w:fldChar w:fldCharType="begin"/>
      </w:r>
      <w:r>
        <w:instrText xml:space="preserve"> PAGEREF _Toc762 \h </w:instrText>
      </w:r>
      <w:r>
        <w:fldChar w:fldCharType="separate"/>
      </w:r>
      <w:r>
        <w:t>4</w:t>
      </w:r>
      <w:r>
        <w:fldChar w:fldCharType="end"/>
      </w:r>
      <w:r>
        <w:rPr>
          <w:smallCaps/>
          <w:szCs w:val="20"/>
        </w:rPr>
        <w:fldChar w:fldCharType="end"/>
      </w:r>
    </w:p>
    <w:p w14:paraId="59EB0DD0">
      <w:pPr>
        <w:pStyle w:val="14"/>
        <w:tabs>
          <w:tab w:val="right" w:leader="dot" w:pos="8306"/>
          <w:tab w:val="clear" w:pos="8296"/>
        </w:tabs>
      </w:pPr>
      <w:r>
        <w:rPr>
          <w:smallCaps/>
          <w:szCs w:val="20"/>
        </w:rPr>
        <w:fldChar w:fldCharType="begin"/>
      </w:r>
      <w:r>
        <w:rPr>
          <w:smallCaps/>
          <w:szCs w:val="20"/>
        </w:rPr>
        <w:instrText xml:space="preserve"> HYPERLINK \l _Toc28797 </w:instrText>
      </w:r>
      <w:r>
        <w:rPr>
          <w:smallCaps/>
          <w:szCs w:val="20"/>
        </w:rPr>
        <w:fldChar w:fldCharType="separate"/>
      </w:r>
      <w:r>
        <w:rPr>
          <w:rFonts w:hint="eastAsia" w:ascii="黑体" w:eastAsia="黑体" w:cs="Times New Roman"/>
          <w:bCs w:val="0"/>
        </w:rPr>
        <w:t>三、支出决算情况说明</w:t>
      </w:r>
      <w:r>
        <w:tab/>
      </w:r>
      <w:r>
        <w:fldChar w:fldCharType="begin"/>
      </w:r>
      <w:r>
        <w:instrText xml:space="preserve"> PAGEREF _Toc28797 \h </w:instrText>
      </w:r>
      <w:r>
        <w:fldChar w:fldCharType="separate"/>
      </w:r>
      <w:r>
        <w:t>5</w:t>
      </w:r>
      <w:r>
        <w:fldChar w:fldCharType="end"/>
      </w:r>
      <w:r>
        <w:rPr>
          <w:smallCaps/>
          <w:szCs w:val="20"/>
        </w:rPr>
        <w:fldChar w:fldCharType="end"/>
      </w:r>
    </w:p>
    <w:p w14:paraId="4ACB9BF1">
      <w:pPr>
        <w:pStyle w:val="14"/>
        <w:tabs>
          <w:tab w:val="right" w:leader="dot" w:pos="8306"/>
          <w:tab w:val="clear" w:pos="8296"/>
        </w:tabs>
      </w:pPr>
      <w:r>
        <w:rPr>
          <w:smallCaps/>
          <w:szCs w:val="20"/>
        </w:rPr>
        <w:fldChar w:fldCharType="begin"/>
      </w:r>
      <w:r>
        <w:rPr>
          <w:smallCaps/>
          <w:szCs w:val="20"/>
        </w:rPr>
        <w:instrText xml:space="preserve"> HYPERLINK \l _Toc31069 </w:instrText>
      </w:r>
      <w:r>
        <w:rPr>
          <w:smallCaps/>
          <w:szCs w:val="20"/>
        </w:rPr>
        <w:fldChar w:fldCharType="separate"/>
      </w:r>
      <w:r>
        <w:rPr>
          <w:rFonts w:hint="eastAsia" w:ascii="黑体" w:eastAsia="黑体" w:cs="Times New Roman"/>
          <w:bCs w:val="0"/>
        </w:rPr>
        <w:t>四、财政拨款收入支出决算总体情况说明</w:t>
      </w:r>
      <w:r>
        <w:tab/>
      </w:r>
      <w:r>
        <w:fldChar w:fldCharType="begin"/>
      </w:r>
      <w:r>
        <w:instrText xml:space="preserve"> PAGEREF _Toc31069 \h </w:instrText>
      </w:r>
      <w:r>
        <w:fldChar w:fldCharType="separate"/>
      </w:r>
      <w:r>
        <w:t>6</w:t>
      </w:r>
      <w:r>
        <w:fldChar w:fldCharType="end"/>
      </w:r>
      <w:r>
        <w:rPr>
          <w:smallCaps/>
          <w:szCs w:val="20"/>
        </w:rPr>
        <w:fldChar w:fldCharType="end"/>
      </w:r>
    </w:p>
    <w:p w14:paraId="7C027C48">
      <w:pPr>
        <w:pStyle w:val="14"/>
        <w:tabs>
          <w:tab w:val="right" w:leader="dot" w:pos="8306"/>
          <w:tab w:val="clear" w:pos="8296"/>
        </w:tabs>
      </w:pPr>
      <w:r>
        <w:rPr>
          <w:smallCaps/>
          <w:szCs w:val="20"/>
        </w:rPr>
        <w:fldChar w:fldCharType="begin"/>
      </w:r>
      <w:r>
        <w:rPr>
          <w:smallCaps/>
          <w:szCs w:val="20"/>
        </w:rPr>
        <w:instrText xml:space="preserve"> HYPERLINK \l _Toc13426 </w:instrText>
      </w:r>
      <w:r>
        <w:rPr>
          <w:smallCaps/>
          <w:szCs w:val="20"/>
        </w:rPr>
        <w:fldChar w:fldCharType="separate"/>
      </w:r>
      <w:r>
        <w:rPr>
          <w:rFonts w:hint="eastAsia" w:ascii="黑体" w:eastAsia="黑体" w:cs="Times New Roman"/>
          <w:bCs w:val="0"/>
        </w:rPr>
        <w:t>五、一般公共预算财政拨款支出决算情况说明</w:t>
      </w:r>
      <w:r>
        <w:tab/>
      </w:r>
      <w:r>
        <w:fldChar w:fldCharType="begin"/>
      </w:r>
      <w:r>
        <w:instrText xml:space="preserve"> PAGEREF _Toc13426 \h </w:instrText>
      </w:r>
      <w:r>
        <w:fldChar w:fldCharType="separate"/>
      </w:r>
      <w:r>
        <w:t>7</w:t>
      </w:r>
      <w:r>
        <w:fldChar w:fldCharType="end"/>
      </w:r>
      <w:r>
        <w:rPr>
          <w:smallCaps/>
          <w:szCs w:val="20"/>
        </w:rPr>
        <w:fldChar w:fldCharType="end"/>
      </w:r>
    </w:p>
    <w:p w14:paraId="323C403A">
      <w:pPr>
        <w:pStyle w:val="14"/>
        <w:tabs>
          <w:tab w:val="right" w:leader="dot" w:pos="8306"/>
          <w:tab w:val="clear" w:pos="8296"/>
        </w:tabs>
      </w:pPr>
      <w:r>
        <w:rPr>
          <w:smallCaps/>
          <w:szCs w:val="20"/>
        </w:rPr>
        <w:fldChar w:fldCharType="begin"/>
      </w:r>
      <w:r>
        <w:rPr>
          <w:smallCaps/>
          <w:szCs w:val="20"/>
        </w:rPr>
        <w:instrText xml:space="preserve"> HYPERLINK \l _Toc25675 </w:instrText>
      </w:r>
      <w:r>
        <w:rPr>
          <w:smallCaps/>
          <w:szCs w:val="20"/>
        </w:rPr>
        <w:fldChar w:fldCharType="separate"/>
      </w:r>
      <w:r>
        <w:rPr>
          <w:rFonts w:hint="eastAsia" w:ascii="黑体" w:eastAsia="黑体" w:cs="Times New Roman"/>
          <w:bCs w:val="0"/>
        </w:rPr>
        <w:t>六、一般公共预算财政拨款基本支出决算情况说明</w:t>
      </w:r>
      <w:r>
        <w:tab/>
      </w:r>
      <w:r>
        <w:fldChar w:fldCharType="begin"/>
      </w:r>
      <w:r>
        <w:instrText xml:space="preserve"> PAGEREF _Toc25675 \h </w:instrText>
      </w:r>
      <w:r>
        <w:fldChar w:fldCharType="separate"/>
      </w:r>
      <w:r>
        <w:t>9</w:t>
      </w:r>
      <w:r>
        <w:fldChar w:fldCharType="end"/>
      </w:r>
      <w:r>
        <w:rPr>
          <w:smallCaps/>
          <w:szCs w:val="20"/>
        </w:rPr>
        <w:fldChar w:fldCharType="end"/>
      </w:r>
    </w:p>
    <w:p w14:paraId="5ECF40AC">
      <w:pPr>
        <w:pStyle w:val="14"/>
        <w:tabs>
          <w:tab w:val="right" w:leader="dot" w:pos="8306"/>
          <w:tab w:val="clear" w:pos="8296"/>
        </w:tabs>
      </w:pPr>
      <w:r>
        <w:rPr>
          <w:smallCaps/>
          <w:szCs w:val="20"/>
        </w:rPr>
        <w:fldChar w:fldCharType="begin"/>
      </w:r>
      <w:r>
        <w:rPr>
          <w:smallCaps/>
          <w:szCs w:val="20"/>
        </w:rPr>
        <w:instrText xml:space="preserve"> HYPERLINK \l _Toc19176 </w:instrText>
      </w:r>
      <w:r>
        <w:rPr>
          <w:smallCaps/>
          <w:szCs w:val="20"/>
        </w:rPr>
        <w:fldChar w:fldCharType="separate"/>
      </w:r>
      <w:r>
        <w:rPr>
          <w:rFonts w:hint="eastAsia" w:ascii="黑体" w:eastAsia="黑体" w:cs="Times New Roman"/>
          <w:bCs w:val="0"/>
        </w:rPr>
        <w:t>七、“三公”经费财政拨款支出决算情况说明</w:t>
      </w:r>
      <w:r>
        <w:tab/>
      </w:r>
      <w:r>
        <w:fldChar w:fldCharType="begin"/>
      </w:r>
      <w:r>
        <w:instrText xml:space="preserve"> PAGEREF _Toc19176 \h </w:instrText>
      </w:r>
      <w:r>
        <w:fldChar w:fldCharType="separate"/>
      </w:r>
      <w:r>
        <w:t>10</w:t>
      </w:r>
      <w:r>
        <w:fldChar w:fldCharType="end"/>
      </w:r>
      <w:r>
        <w:rPr>
          <w:smallCaps/>
          <w:szCs w:val="20"/>
        </w:rPr>
        <w:fldChar w:fldCharType="end"/>
      </w:r>
    </w:p>
    <w:p w14:paraId="48DDED21">
      <w:pPr>
        <w:pStyle w:val="14"/>
        <w:tabs>
          <w:tab w:val="right" w:leader="dot" w:pos="8306"/>
          <w:tab w:val="clear" w:pos="8296"/>
        </w:tabs>
      </w:pPr>
      <w:r>
        <w:rPr>
          <w:smallCaps/>
          <w:szCs w:val="20"/>
        </w:rPr>
        <w:fldChar w:fldCharType="begin"/>
      </w:r>
      <w:r>
        <w:rPr>
          <w:smallCaps/>
          <w:szCs w:val="20"/>
        </w:rPr>
        <w:instrText xml:space="preserve"> HYPERLINK \l _Toc10308 </w:instrText>
      </w:r>
      <w:r>
        <w:rPr>
          <w:smallCaps/>
          <w:szCs w:val="20"/>
        </w:rPr>
        <w:fldChar w:fldCharType="separate"/>
      </w:r>
      <w:r>
        <w:rPr>
          <w:rFonts w:hint="eastAsia" w:ascii="黑体" w:eastAsia="黑体" w:cs="Times New Roman"/>
          <w:bCs w:val="0"/>
        </w:rPr>
        <w:t>八、政府性基金预算支出决算情况说明</w:t>
      </w:r>
      <w:r>
        <w:tab/>
      </w:r>
      <w:r>
        <w:fldChar w:fldCharType="begin"/>
      </w:r>
      <w:r>
        <w:instrText xml:space="preserve"> PAGEREF _Toc10308 \h </w:instrText>
      </w:r>
      <w:r>
        <w:fldChar w:fldCharType="separate"/>
      </w:r>
      <w:r>
        <w:t>12</w:t>
      </w:r>
      <w:r>
        <w:fldChar w:fldCharType="end"/>
      </w:r>
      <w:r>
        <w:rPr>
          <w:smallCaps/>
          <w:szCs w:val="20"/>
        </w:rPr>
        <w:fldChar w:fldCharType="end"/>
      </w:r>
    </w:p>
    <w:p w14:paraId="113D8361">
      <w:pPr>
        <w:pStyle w:val="14"/>
        <w:tabs>
          <w:tab w:val="right" w:leader="dot" w:pos="8306"/>
          <w:tab w:val="clear" w:pos="8296"/>
        </w:tabs>
      </w:pPr>
      <w:r>
        <w:rPr>
          <w:smallCaps/>
          <w:szCs w:val="20"/>
        </w:rPr>
        <w:fldChar w:fldCharType="begin"/>
      </w:r>
      <w:r>
        <w:rPr>
          <w:smallCaps/>
          <w:szCs w:val="20"/>
        </w:rPr>
        <w:instrText xml:space="preserve"> HYPERLINK \l _Toc16770 </w:instrText>
      </w:r>
      <w:r>
        <w:rPr>
          <w:smallCaps/>
          <w:szCs w:val="20"/>
        </w:rPr>
        <w:fldChar w:fldCharType="separate"/>
      </w:r>
      <w:r>
        <w:rPr>
          <w:rFonts w:hint="eastAsia" w:ascii="黑体" w:eastAsia="黑体" w:cs="Times New Roman"/>
          <w:bCs w:val="0"/>
        </w:rPr>
        <w:t>九、国有资本经营预算支出决算情况说明</w:t>
      </w:r>
      <w:r>
        <w:tab/>
      </w:r>
      <w:r>
        <w:fldChar w:fldCharType="begin"/>
      </w:r>
      <w:r>
        <w:instrText xml:space="preserve"> PAGEREF _Toc16770 \h </w:instrText>
      </w:r>
      <w:r>
        <w:fldChar w:fldCharType="separate"/>
      </w:r>
      <w:r>
        <w:t>12</w:t>
      </w:r>
      <w:r>
        <w:fldChar w:fldCharType="end"/>
      </w:r>
      <w:r>
        <w:rPr>
          <w:smallCaps/>
          <w:szCs w:val="20"/>
        </w:rPr>
        <w:fldChar w:fldCharType="end"/>
      </w:r>
    </w:p>
    <w:p w14:paraId="648B2BA4">
      <w:pPr>
        <w:pStyle w:val="14"/>
        <w:tabs>
          <w:tab w:val="right" w:leader="dot" w:pos="8306"/>
          <w:tab w:val="clear" w:pos="8296"/>
        </w:tabs>
      </w:pPr>
      <w:r>
        <w:rPr>
          <w:smallCaps/>
          <w:szCs w:val="20"/>
        </w:rPr>
        <w:fldChar w:fldCharType="begin"/>
      </w:r>
      <w:r>
        <w:rPr>
          <w:smallCaps/>
          <w:szCs w:val="20"/>
        </w:rPr>
        <w:instrText xml:space="preserve"> HYPERLINK \l _Toc29441 </w:instrText>
      </w:r>
      <w:r>
        <w:rPr>
          <w:smallCaps/>
          <w:szCs w:val="20"/>
        </w:rPr>
        <w:fldChar w:fldCharType="separate"/>
      </w:r>
      <w:r>
        <w:rPr>
          <w:rFonts w:hint="eastAsia" w:ascii="黑体" w:eastAsia="黑体" w:cs="Times New Roman"/>
          <w:bCs w:val="0"/>
        </w:rPr>
        <w:t>十、其他重要事项的情况说明</w:t>
      </w:r>
      <w:r>
        <w:tab/>
      </w:r>
      <w:r>
        <w:fldChar w:fldCharType="begin"/>
      </w:r>
      <w:r>
        <w:instrText xml:space="preserve"> PAGEREF _Toc29441 \h </w:instrText>
      </w:r>
      <w:r>
        <w:fldChar w:fldCharType="separate"/>
      </w:r>
      <w:r>
        <w:t>12</w:t>
      </w:r>
      <w:r>
        <w:fldChar w:fldCharType="end"/>
      </w:r>
      <w:r>
        <w:rPr>
          <w:smallCaps/>
          <w:szCs w:val="20"/>
        </w:rPr>
        <w:fldChar w:fldCharType="end"/>
      </w:r>
    </w:p>
    <w:p w14:paraId="468CEC5A">
      <w:pPr>
        <w:pStyle w:val="12"/>
        <w:tabs>
          <w:tab w:val="right" w:leader="dot" w:pos="8306"/>
          <w:tab w:val="clear" w:pos="8296"/>
        </w:tabs>
        <w:rPr>
          <w:rFonts w:hint="eastAsia" w:ascii="宋体" w:hAnsi="宋体" w:eastAsia="宋体" w:cs="宋体"/>
          <w:sz w:val="28"/>
          <w:szCs w:val="28"/>
        </w:rPr>
      </w:pPr>
      <w:r>
        <w:rPr>
          <w:smallCaps/>
          <w:szCs w:val="20"/>
        </w:rPr>
        <w:fldChar w:fldCharType="begin"/>
      </w:r>
      <w:r>
        <w:rPr>
          <w:smallCaps/>
          <w:szCs w:val="20"/>
        </w:rPr>
        <w:instrText xml:space="preserve"> HYPERLINK \l _Toc29516 </w:instrText>
      </w:r>
      <w:r>
        <w:rPr>
          <w:smallCaps/>
          <w:szCs w:val="20"/>
        </w:rPr>
        <w:fldChar w:fldCharType="separate"/>
      </w:r>
      <w:r>
        <w:rPr>
          <w:rFonts w:hint="eastAsia" w:ascii="黑体" w:hAnsi="黑体" w:eastAsia="黑体" w:cs="黑体"/>
        </w:rPr>
        <w:t>第三部分 名词解释</w:t>
      </w:r>
      <w:r>
        <w:tab/>
      </w:r>
      <w:r>
        <w:fldChar w:fldCharType="begin"/>
      </w:r>
      <w:r>
        <w:instrText xml:space="preserve"> PAGEREF _Toc29516 \h </w:instrText>
      </w:r>
      <w:r>
        <w:fldChar w:fldCharType="separate"/>
      </w:r>
      <w:r>
        <w:t>14</w:t>
      </w:r>
      <w:r>
        <w:fldChar w:fldCharType="end"/>
      </w:r>
      <w:r>
        <w:rPr>
          <w:smallCaps/>
          <w:szCs w:val="20"/>
        </w:rPr>
        <w:fldChar w:fldCharType="end"/>
      </w:r>
    </w:p>
    <w:p w14:paraId="1C090557">
      <w:pPr>
        <w:pStyle w:val="12"/>
        <w:tabs>
          <w:tab w:val="right" w:leader="dot" w:pos="8306"/>
          <w:tab w:val="clear" w:pos="8296"/>
        </w:tabs>
      </w:pPr>
      <w:r>
        <w:rPr>
          <w:smallCaps/>
          <w:szCs w:val="20"/>
        </w:rPr>
        <w:fldChar w:fldCharType="begin"/>
      </w:r>
      <w:r>
        <w:rPr>
          <w:smallCaps/>
          <w:szCs w:val="20"/>
        </w:rPr>
        <w:instrText xml:space="preserve"> HYPERLINK \l _Toc20167 </w:instrText>
      </w:r>
      <w:r>
        <w:rPr>
          <w:smallCaps/>
          <w:szCs w:val="20"/>
        </w:rPr>
        <w:fldChar w:fldCharType="separate"/>
      </w:r>
      <w:r>
        <w:rPr>
          <w:rFonts w:hint="eastAsia" w:ascii="黑体" w:hAnsi="黑体" w:eastAsia="黑体" w:cs="黑体"/>
        </w:rPr>
        <w:t>第四部分 附件</w:t>
      </w:r>
      <w:r>
        <w:tab/>
      </w:r>
      <w:r>
        <w:fldChar w:fldCharType="begin"/>
      </w:r>
      <w:r>
        <w:instrText xml:space="preserve"> PAGEREF _Toc20167 \h </w:instrText>
      </w:r>
      <w:r>
        <w:fldChar w:fldCharType="separate"/>
      </w:r>
      <w:r>
        <w:t>18</w:t>
      </w:r>
      <w:r>
        <w:fldChar w:fldCharType="end"/>
      </w:r>
      <w:r>
        <w:rPr>
          <w:smallCaps/>
          <w:szCs w:val="20"/>
        </w:rPr>
        <w:fldChar w:fldCharType="end"/>
      </w:r>
    </w:p>
    <w:p w14:paraId="141E0F16">
      <w:pPr>
        <w:pStyle w:val="12"/>
        <w:tabs>
          <w:tab w:val="right" w:leader="dot" w:pos="8306"/>
          <w:tab w:val="clear" w:pos="8296"/>
        </w:tabs>
        <w:rPr>
          <w:rFonts w:hint="eastAsia" w:eastAsia="仿宋"/>
          <w:lang w:val="en-US" w:eastAsia="zh-CN"/>
        </w:rPr>
      </w:pPr>
      <w:r>
        <w:rPr>
          <w:smallCaps/>
          <w:szCs w:val="20"/>
        </w:rPr>
        <w:fldChar w:fldCharType="begin"/>
      </w:r>
      <w:r>
        <w:rPr>
          <w:smallCaps/>
          <w:szCs w:val="20"/>
        </w:rPr>
        <w:instrText xml:space="preserve"> HYPERLINK \l _Toc5939 </w:instrText>
      </w:r>
      <w:r>
        <w:rPr>
          <w:smallCaps/>
          <w:szCs w:val="20"/>
        </w:rPr>
        <w:fldChar w:fldCharType="separate"/>
      </w:r>
      <w:r>
        <w:rPr>
          <w:rFonts w:hint="eastAsia" w:ascii="黑体" w:hAnsi="黑体" w:eastAsia="黑体" w:cs="黑体"/>
        </w:rPr>
        <w:t>第五部分 附表</w:t>
      </w:r>
      <w:r>
        <w:tab/>
      </w:r>
      <w:r>
        <w:rPr>
          <w:rFonts w:hint="eastAsia"/>
          <w:lang w:val="en-US" w:eastAsia="zh-CN"/>
        </w:rPr>
        <w:t>2</w:t>
      </w:r>
      <w:r>
        <w:rPr>
          <w:smallCaps/>
          <w:szCs w:val="20"/>
        </w:rPr>
        <w:fldChar w:fldCharType="end"/>
      </w:r>
      <w:r>
        <w:rPr>
          <w:rFonts w:hint="eastAsia"/>
          <w:smallCaps/>
          <w:szCs w:val="20"/>
          <w:lang w:val="en-US" w:eastAsia="zh-CN"/>
        </w:rPr>
        <w:t>7</w:t>
      </w:r>
    </w:p>
    <w:p w14:paraId="772A922A">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_Toc7558 </w:instrText>
      </w:r>
      <w:r>
        <w:rPr>
          <w:smallCaps/>
          <w:szCs w:val="20"/>
        </w:rPr>
        <w:fldChar w:fldCharType="separate"/>
      </w:r>
      <w:r>
        <w:rPr>
          <w:rFonts w:hint="eastAsia" w:ascii="黑体" w:eastAsia="黑体" w:cs="Times New Roman"/>
          <w:bCs w:val="0"/>
        </w:rPr>
        <w:t>一、收入支出决算总表</w:t>
      </w:r>
      <w:r>
        <w:tab/>
      </w:r>
      <w:r>
        <w:rPr>
          <w:rFonts w:hint="eastAsia"/>
          <w:lang w:val="en-US" w:eastAsia="zh-CN"/>
        </w:rPr>
        <w:t>2</w:t>
      </w:r>
      <w:r>
        <w:rPr>
          <w:smallCaps/>
          <w:szCs w:val="20"/>
        </w:rPr>
        <w:fldChar w:fldCharType="end"/>
      </w:r>
      <w:r>
        <w:rPr>
          <w:rFonts w:hint="eastAsia"/>
          <w:smallCaps/>
          <w:szCs w:val="20"/>
          <w:lang w:val="en-US" w:eastAsia="zh-CN"/>
        </w:rPr>
        <w:t>7</w:t>
      </w:r>
    </w:p>
    <w:p w14:paraId="27208E01">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_Toc23357 </w:instrText>
      </w:r>
      <w:r>
        <w:rPr>
          <w:smallCaps/>
          <w:szCs w:val="20"/>
        </w:rPr>
        <w:fldChar w:fldCharType="separate"/>
      </w:r>
      <w:r>
        <w:rPr>
          <w:rFonts w:hint="eastAsia" w:ascii="黑体" w:eastAsia="黑体" w:cs="Times New Roman"/>
          <w:bCs w:val="0"/>
        </w:rPr>
        <w:t>二、收入决算表</w:t>
      </w:r>
      <w:r>
        <w:tab/>
      </w:r>
      <w:r>
        <w:rPr>
          <w:rFonts w:hint="eastAsia"/>
          <w:lang w:val="en-US" w:eastAsia="zh-CN"/>
        </w:rPr>
        <w:t>2</w:t>
      </w:r>
      <w:r>
        <w:rPr>
          <w:smallCaps/>
          <w:szCs w:val="20"/>
        </w:rPr>
        <w:fldChar w:fldCharType="end"/>
      </w:r>
      <w:r>
        <w:rPr>
          <w:rFonts w:hint="eastAsia"/>
          <w:smallCaps/>
          <w:szCs w:val="20"/>
          <w:lang w:val="en-US" w:eastAsia="zh-CN"/>
        </w:rPr>
        <w:t>7</w:t>
      </w:r>
    </w:p>
    <w:p w14:paraId="7345C793">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_Toc8630 </w:instrText>
      </w:r>
      <w:r>
        <w:rPr>
          <w:smallCaps/>
          <w:szCs w:val="20"/>
        </w:rPr>
        <w:fldChar w:fldCharType="separate"/>
      </w:r>
      <w:r>
        <w:rPr>
          <w:rFonts w:hint="eastAsia" w:ascii="黑体" w:eastAsia="黑体" w:cs="Times New Roman"/>
          <w:bCs w:val="0"/>
        </w:rPr>
        <w:t>三、支出决算表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4D110E27">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_Toc14945 </w:instrText>
      </w:r>
      <w:r>
        <w:rPr>
          <w:smallCaps/>
          <w:szCs w:val="20"/>
        </w:rPr>
        <w:fldChar w:fldCharType="separate"/>
      </w:r>
      <w:r>
        <w:rPr>
          <w:rFonts w:hint="eastAsia" w:ascii="黑体" w:eastAsia="黑体" w:cs="Times New Roman"/>
          <w:bCs w:val="0"/>
        </w:rPr>
        <w:t>四、财政拨款收入支出决算总表</w:t>
      </w:r>
      <w:r>
        <w:tab/>
      </w:r>
      <w:r>
        <w:rPr>
          <w:rFonts w:hint="eastAsia"/>
          <w:lang w:val="en-US" w:eastAsia="zh-CN"/>
        </w:rPr>
        <w:t>2</w:t>
      </w:r>
      <w:r>
        <w:rPr>
          <w:smallCaps/>
          <w:szCs w:val="20"/>
        </w:rPr>
        <w:fldChar w:fldCharType="end"/>
      </w:r>
      <w:r>
        <w:rPr>
          <w:rFonts w:hint="eastAsia"/>
          <w:smallCaps/>
          <w:szCs w:val="20"/>
          <w:lang w:val="en-US" w:eastAsia="zh-CN"/>
        </w:rPr>
        <w:t>7</w:t>
      </w:r>
    </w:p>
    <w:p w14:paraId="6223B568">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_Toc11086 </w:instrText>
      </w:r>
      <w:r>
        <w:rPr>
          <w:smallCaps/>
          <w:szCs w:val="20"/>
        </w:rPr>
        <w:fldChar w:fldCharType="separate"/>
      </w:r>
      <w:r>
        <w:rPr>
          <w:rFonts w:hint="eastAsia" w:ascii="黑体" w:eastAsia="黑体" w:cs="Times New Roman"/>
          <w:bCs w:val="0"/>
        </w:rPr>
        <w:t>五、财政拨款支出决算明细表</w:t>
      </w:r>
      <w:r>
        <w:tab/>
      </w:r>
      <w:r>
        <w:rPr>
          <w:rFonts w:hint="eastAsia"/>
          <w:lang w:val="en-US" w:eastAsia="zh-CN"/>
        </w:rPr>
        <w:t>2</w:t>
      </w:r>
      <w:r>
        <w:rPr>
          <w:smallCaps/>
          <w:szCs w:val="20"/>
        </w:rPr>
        <w:fldChar w:fldCharType="end"/>
      </w:r>
      <w:r>
        <w:rPr>
          <w:rFonts w:hint="eastAsia"/>
          <w:smallCaps/>
          <w:szCs w:val="20"/>
          <w:lang w:val="en-US" w:eastAsia="zh-CN"/>
        </w:rPr>
        <w:t>7</w:t>
      </w:r>
    </w:p>
    <w:p w14:paraId="6CF70A8D">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_Toc27180 </w:instrText>
      </w:r>
      <w:r>
        <w:rPr>
          <w:smallCaps/>
          <w:szCs w:val="20"/>
        </w:rPr>
        <w:fldChar w:fldCharType="separate"/>
      </w:r>
      <w:r>
        <w:rPr>
          <w:rFonts w:hint="eastAsia" w:ascii="黑体" w:eastAsia="黑体" w:cs="Times New Roman"/>
          <w:bCs w:val="0"/>
        </w:rPr>
        <w:t>六、一般公共预算财政拨款支出决算表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71FD2445">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_Toc29007 </w:instrText>
      </w:r>
      <w:r>
        <w:rPr>
          <w:smallCaps/>
          <w:szCs w:val="20"/>
        </w:rPr>
        <w:fldChar w:fldCharType="separate"/>
      </w:r>
      <w:r>
        <w:rPr>
          <w:rFonts w:hint="eastAsia" w:ascii="黑体" w:eastAsia="黑体" w:cs="Times New Roman"/>
          <w:bCs w:val="0"/>
        </w:rPr>
        <w:t>七、一般公共预算财政拨款支出决算明细表</w:t>
      </w:r>
      <w:r>
        <w:tab/>
      </w:r>
      <w:r>
        <w:rPr>
          <w:rFonts w:hint="eastAsia"/>
          <w:lang w:val="en-US" w:eastAsia="zh-CN"/>
        </w:rPr>
        <w:t>2</w:t>
      </w:r>
      <w:r>
        <w:rPr>
          <w:smallCaps/>
          <w:szCs w:val="20"/>
        </w:rPr>
        <w:fldChar w:fldCharType="end"/>
      </w:r>
      <w:r>
        <w:rPr>
          <w:rFonts w:hint="eastAsia"/>
          <w:smallCaps/>
          <w:szCs w:val="20"/>
          <w:lang w:val="en-US" w:eastAsia="zh-CN"/>
        </w:rPr>
        <w:t>7</w:t>
      </w:r>
    </w:p>
    <w:p w14:paraId="0342D3CB">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_Toc26272 </w:instrText>
      </w:r>
      <w:r>
        <w:rPr>
          <w:smallCaps/>
          <w:szCs w:val="20"/>
        </w:rPr>
        <w:fldChar w:fldCharType="separate"/>
      </w:r>
      <w:r>
        <w:rPr>
          <w:rFonts w:hint="eastAsia" w:ascii="黑体" w:eastAsia="黑体" w:cs="Times New Roman"/>
          <w:bCs w:val="0"/>
        </w:rPr>
        <w:t>八、一般公共预算财政拨款基本支出决算表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0A5816F0">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_Toc9392 </w:instrText>
      </w:r>
      <w:r>
        <w:rPr>
          <w:smallCaps/>
          <w:szCs w:val="20"/>
        </w:rPr>
        <w:fldChar w:fldCharType="separate"/>
      </w:r>
      <w:r>
        <w:rPr>
          <w:rFonts w:hint="eastAsia" w:ascii="黑体" w:eastAsia="黑体" w:cs="Times New Roman"/>
          <w:bCs w:val="0"/>
        </w:rPr>
        <w:t>九、一般公共预算财政拨款项目支出决算表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116E9D85">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_Toc5609 </w:instrText>
      </w:r>
      <w:r>
        <w:rPr>
          <w:smallCaps/>
          <w:szCs w:val="20"/>
        </w:rPr>
        <w:fldChar w:fldCharType="separate"/>
      </w:r>
      <w:r>
        <w:rPr>
          <w:rFonts w:hint="eastAsia" w:ascii="黑体" w:eastAsia="黑体" w:cs="Times New Roman"/>
          <w:bCs w:val="0"/>
        </w:rPr>
        <w:t>十、政府性基金预算财政拨款收入支出决算表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0F1DE1AA">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_Toc28596 </w:instrText>
      </w:r>
      <w:r>
        <w:rPr>
          <w:smallCaps/>
          <w:szCs w:val="20"/>
        </w:rPr>
        <w:fldChar w:fldCharType="separate"/>
      </w:r>
      <w:r>
        <w:rPr>
          <w:rFonts w:hint="eastAsia" w:ascii="黑体" w:eastAsia="黑体" w:cs="Times New Roman"/>
          <w:bCs w:val="0"/>
        </w:rPr>
        <w:t>十一、国有资本经营预算财政拨款收入支出决算表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6CE14060">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_Toc2782 </w:instrText>
      </w:r>
      <w:r>
        <w:rPr>
          <w:smallCaps/>
          <w:szCs w:val="20"/>
        </w:rPr>
        <w:fldChar w:fldCharType="separate"/>
      </w:r>
      <w:r>
        <w:rPr>
          <w:rFonts w:hint="eastAsia" w:ascii="黑体" w:eastAsia="黑体" w:cs="Times New Roman"/>
          <w:bCs w:val="0"/>
        </w:rPr>
        <w:t>十二、国有资本经营预算财政拨款支出决算表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7AB9ABEB">
      <w:pPr>
        <w:pStyle w:val="14"/>
        <w:tabs>
          <w:tab w:val="right" w:leader="dot" w:pos="8306"/>
          <w:tab w:val="clear" w:pos="8296"/>
        </w:tabs>
        <w:rPr>
          <w:rFonts w:hint="eastAsia" w:eastAsiaTheme="minorEastAsia"/>
          <w:lang w:val="en-US" w:eastAsia="zh-CN"/>
        </w:rPr>
      </w:pPr>
      <w:r>
        <w:rPr>
          <w:smallCaps/>
          <w:szCs w:val="20"/>
        </w:rPr>
        <w:fldChar w:fldCharType="begin"/>
      </w:r>
      <w:r>
        <w:rPr>
          <w:smallCaps/>
          <w:szCs w:val="20"/>
        </w:rPr>
        <w:instrText xml:space="preserve"> HYPERLINK \l _Toc27892 </w:instrText>
      </w:r>
      <w:r>
        <w:rPr>
          <w:smallCaps/>
          <w:szCs w:val="20"/>
        </w:rPr>
        <w:fldChar w:fldCharType="separate"/>
      </w:r>
      <w:r>
        <w:rPr>
          <w:rFonts w:hint="eastAsia" w:ascii="黑体" w:eastAsia="黑体" w:cs="Times New Roman"/>
          <w:bCs w:val="0"/>
        </w:rPr>
        <w:t>十三、财政拨款“三公”经费支出决算表</w:t>
      </w:r>
      <w:r>
        <w:tab/>
      </w:r>
      <w:r>
        <w:rPr>
          <w:rFonts w:hint="eastAsia"/>
          <w:lang w:val="en-US" w:eastAsia="zh-CN"/>
        </w:rPr>
        <w:t>2</w:t>
      </w:r>
      <w:r>
        <w:rPr>
          <w:smallCaps/>
          <w:szCs w:val="20"/>
        </w:rPr>
        <w:fldChar w:fldCharType="end"/>
      </w:r>
      <w:r>
        <w:rPr>
          <w:rFonts w:hint="eastAsia"/>
          <w:smallCaps/>
          <w:szCs w:val="20"/>
          <w:lang w:val="en-US" w:eastAsia="zh-CN"/>
        </w:rPr>
        <w:t>7</w:t>
      </w:r>
    </w:p>
    <w:p w14:paraId="27C96341">
      <w:pPr>
        <w:pStyle w:val="5"/>
      </w:pPr>
      <w:r>
        <w:rPr>
          <w:smallCaps/>
          <w:szCs w:val="20"/>
        </w:rPr>
        <w:fldChar w:fldCharType="end"/>
      </w:r>
    </w:p>
    <w:p w14:paraId="7B7F704C">
      <w:pPr>
        <w:pStyle w:val="2"/>
        <w:jc w:val="center"/>
        <w:rPr>
          <w:rFonts w:ascii="黑体" w:hAnsi="黑体" w:eastAsia="黑体" w:cs="黑体"/>
          <w:b w:val="0"/>
          <w:bCs w:val="0"/>
        </w:rPr>
      </w:pPr>
      <w:bookmarkStart w:id="25" w:name="_Toc3368"/>
      <w:bookmarkStart w:id="26" w:name="_Toc111208495"/>
      <w:r>
        <w:rPr>
          <w:rFonts w:hint="eastAsia" w:ascii="黑体" w:hAnsi="黑体" w:eastAsia="黑体" w:cs="黑体"/>
        </w:rPr>
        <w:t xml:space="preserve">第一部分 </w:t>
      </w:r>
      <w:r>
        <w:rPr>
          <w:rStyle w:val="28"/>
          <w:rFonts w:hint="eastAsia" w:ascii="黑体" w:hAnsi="黑体" w:eastAsia="黑体" w:cs="黑体"/>
          <w:b/>
          <w:bCs w:val="0"/>
        </w:rPr>
        <w:t>单位</w:t>
      </w:r>
      <w:r>
        <w:rPr>
          <w:rStyle w:val="28"/>
          <w:rFonts w:ascii="黑体" w:hAnsi="黑体" w:eastAsia="黑体" w:cs="黑体"/>
          <w:b/>
          <w:bCs w:val="0"/>
          <w:u w:color="auto"/>
        </w:rPr>
        <w:t>概况</w:t>
      </w:r>
      <w:bookmarkEnd w:id="24"/>
      <w:bookmarkEnd w:id="25"/>
      <w:bookmarkEnd w:id="26"/>
    </w:p>
    <w:p w14:paraId="05B8F15D">
      <w:pPr>
        <w:pStyle w:val="3"/>
        <w:spacing w:before="0" w:after="0" w:line="240" w:lineRule="auto"/>
        <w:ind w:left="0" w:leftChars="0" w:firstLine="0" w:firstLineChars="0"/>
        <w:jc w:val="left"/>
        <w:rPr>
          <w:rFonts w:hint="eastAsia" w:ascii="黑体" w:eastAsia="黑体" w:cs="Times New Roman"/>
          <w:bCs w:val="0"/>
          <w:color w:val="000000"/>
        </w:rPr>
      </w:pPr>
      <w:bookmarkStart w:id="27" w:name="_Toc111208496"/>
      <w:bookmarkStart w:id="28" w:name="_Toc15377197"/>
      <w:bookmarkStart w:id="29" w:name="_Toc4126"/>
      <w:r>
        <w:rPr>
          <w:rFonts w:hint="eastAsia" w:ascii="黑体" w:eastAsia="黑体" w:cs="Times New Roman"/>
          <w:bCs w:val="0"/>
          <w:color w:val="000000"/>
        </w:rPr>
        <w:t>一、</w:t>
      </w:r>
      <w:bookmarkEnd w:id="27"/>
      <w:bookmarkEnd w:id="28"/>
      <w:bookmarkStart w:id="30" w:name="_Toc15378445"/>
      <w:bookmarkStart w:id="31" w:name="_Toc15377198"/>
      <w:r>
        <w:rPr>
          <w:rFonts w:hint="eastAsia" w:ascii="黑体" w:eastAsia="黑体" w:cs="Times New Roman"/>
          <w:bCs w:val="0"/>
          <w:color w:val="000000"/>
        </w:rPr>
        <w:t>主要职责</w:t>
      </w:r>
      <w:bookmarkEnd w:id="29"/>
      <w:bookmarkEnd w:id="30"/>
      <w:bookmarkEnd w:id="31"/>
    </w:p>
    <w:p w14:paraId="29432766">
      <w:pPr>
        <w:pStyle w:val="3"/>
        <w:spacing w:before="0" w:after="0" w:line="240" w:lineRule="auto"/>
        <w:ind w:left="0" w:leftChars="0" w:firstLine="643" w:firstLineChars="200"/>
        <w:jc w:val="left"/>
      </w:pPr>
      <w:r>
        <w:rPr>
          <w:rFonts w:hint="eastAsia" w:ascii="仿宋" w:hAnsi="仿宋" w:eastAsia="仿宋"/>
          <w:color w:val="000000"/>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大竹县柏林镇中心小学是贯彻执行国家义务教育方面政策，承担辖区内适龄儿童义务教育学校。实施义务教育，促进基础教育发展，进行中小学历教育及相关的社会活动。</w:t>
      </w:r>
      <w:bookmarkStart w:id="32" w:name="_Toc15377200"/>
    </w:p>
    <w:p w14:paraId="5295136E">
      <w:pPr>
        <w:pStyle w:val="3"/>
        <w:numPr>
          <w:ilvl w:val="0"/>
          <w:numId w:val="1"/>
        </w:numPr>
        <w:ind w:left="321" w:hanging="321" w:hangingChars="100"/>
        <w:rPr>
          <w:rFonts w:hint="eastAsia" w:ascii="黑体" w:eastAsia="黑体" w:cs="Times New Roman"/>
          <w:bCs w:val="0"/>
          <w:color w:val="000000"/>
        </w:rPr>
      </w:pPr>
      <w:bookmarkStart w:id="33" w:name="_Toc5389"/>
      <w:bookmarkStart w:id="34" w:name="_Toc111208497"/>
      <w:r>
        <w:rPr>
          <w:rFonts w:hint="eastAsia" w:ascii="黑体" w:eastAsia="黑体" w:cs="Times New Roman"/>
          <w:bCs w:val="0"/>
          <w:color w:val="000000"/>
        </w:rPr>
        <w:t>机构设置</w:t>
      </w:r>
      <w:bookmarkEnd w:id="32"/>
      <w:bookmarkEnd w:id="33"/>
      <w:bookmarkEnd w:id="34"/>
    </w:p>
    <w:p w14:paraId="368C7E12">
      <w:pPr>
        <w:pStyle w:val="3"/>
        <w:numPr>
          <w:ilvl w:val="0"/>
          <w:numId w:val="0"/>
        </w:numPr>
        <w:ind w:leftChars="-100" w:firstLine="643" w:firstLineChars="200"/>
        <w:rPr>
          <w:rFonts w:ascii="仿宋" w:hAnsi="仿宋" w:eastAsia="仿宋"/>
          <w:color w:val="000000"/>
          <w:sz w:val="32"/>
          <w:szCs w:val="32"/>
        </w:rPr>
      </w:pPr>
      <w:r>
        <w:rPr>
          <w:rFonts w:hint="eastAsia" w:ascii="仿宋" w:hAnsi="仿宋" w:eastAsia="仿宋"/>
          <w:color w:val="000000"/>
          <w:sz w:val="32"/>
          <w:szCs w:val="32"/>
        </w:rPr>
        <w:t>大竹县柏林镇中心小学为一级预算单位，下属二级预算单位0个，其中行政单位0个，参照公务员法管理的事业单位0个，其他事业单位0个。</w:t>
      </w:r>
      <w:r>
        <w:rPr>
          <w:rFonts w:ascii="仿宋" w:hAnsi="仿宋" w:eastAsia="仿宋"/>
          <w:color w:val="000000"/>
          <w:sz w:val="32"/>
          <w:szCs w:val="32"/>
        </w:rPr>
        <w:cr/>
      </w:r>
    </w:p>
    <w:p w14:paraId="554B2189">
      <w:pPr>
        <w:widowControl/>
        <w:jc w:val="left"/>
        <w:rPr>
          <w:rFonts w:ascii="仿宋_GB2312" w:hAnsi="黑体" w:eastAsia="仿宋_GB2312"/>
          <w:b/>
          <w:bCs/>
          <w:color w:val="000000"/>
          <w:kern w:val="44"/>
          <w:sz w:val="44"/>
          <w:szCs w:val="44"/>
        </w:rPr>
      </w:pPr>
      <w:bookmarkStart w:id="35" w:name="_Toc15377204"/>
      <w:r>
        <w:rPr>
          <w:rFonts w:ascii="仿宋_GB2312" w:hAnsi="黑体" w:eastAsia="仿宋_GB2312"/>
          <w:color w:val="000000"/>
        </w:rPr>
        <w:br w:type="page"/>
      </w:r>
    </w:p>
    <w:p w14:paraId="0C699F68">
      <w:pPr>
        <w:pStyle w:val="2"/>
        <w:jc w:val="center"/>
        <w:rPr>
          <w:rFonts w:ascii="黑体" w:hAnsi="黑体" w:eastAsia="黑体" w:cs="黑体"/>
        </w:rPr>
      </w:pPr>
      <w:bookmarkStart w:id="36" w:name="_Toc111208498"/>
      <w:bookmarkStart w:id="37" w:name="_Toc4730"/>
      <w:r>
        <w:rPr>
          <w:rFonts w:hint="eastAsia" w:ascii="黑体" w:hAnsi="黑体" w:eastAsia="黑体" w:cs="黑体"/>
        </w:rPr>
        <w:t>第二部分</w:t>
      </w:r>
      <w:r>
        <w:rPr>
          <w:rFonts w:ascii="黑体" w:hAnsi="黑体" w:eastAsia="黑体" w:cs="黑体"/>
        </w:rPr>
        <w:t xml:space="preserve"> </w:t>
      </w:r>
      <w:r>
        <w:rPr>
          <w:rFonts w:hint="eastAsia" w:ascii="黑体" w:hAnsi="黑体" w:eastAsia="黑体" w:cs="黑体"/>
        </w:rPr>
        <w:t>202</w:t>
      </w:r>
      <w:r>
        <w:rPr>
          <w:rFonts w:hint="eastAsia" w:ascii="黑体" w:hAnsi="黑体" w:eastAsia="黑体" w:cs="黑体"/>
          <w:lang w:val="en-US" w:eastAsia="zh-CN"/>
        </w:rPr>
        <w:t>3</w:t>
      </w:r>
      <w:r>
        <w:rPr>
          <w:rFonts w:ascii="黑体" w:hAnsi="黑体" w:eastAsia="黑体" w:cs="黑体"/>
          <w:u w:color="auto"/>
        </w:rPr>
        <w:t>年度</w:t>
      </w:r>
      <w:r>
        <w:rPr>
          <w:rFonts w:hint="eastAsia" w:ascii="黑体" w:hAnsi="黑体" w:eastAsia="黑体" w:cs="黑体"/>
          <w:lang w:val="en-US" w:eastAsia="zh-CN"/>
        </w:rPr>
        <w:t>单位</w:t>
      </w:r>
      <w:r>
        <w:rPr>
          <w:rFonts w:hint="eastAsia" w:ascii="黑体" w:hAnsi="黑体" w:eastAsia="黑体" w:cs="黑体"/>
        </w:rPr>
        <w:t>决算情况说明</w:t>
      </w:r>
      <w:bookmarkEnd w:id="35"/>
      <w:bookmarkEnd w:id="36"/>
      <w:bookmarkEnd w:id="37"/>
    </w:p>
    <w:p w14:paraId="3389354A">
      <w:pPr>
        <w:pStyle w:val="3"/>
        <w:ind w:firstLine="643" w:firstLineChars="200"/>
        <w:rPr>
          <w:rFonts w:ascii="黑体" w:eastAsia="黑体" w:cs="Times New Roman"/>
          <w:bCs w:val="0"/>
          <w:color w:val="000000"/>
        </w:rPr>
      </w:pPr>
      <w:bookmarkStart w:id="38" w:name="_Toc15377205"/>
      <w:bookmarkStart w:id="39" w:name="_Toc5235"/>
      <w:bookmarkStart w:id="40" w:name="_Toc111208499"/>
      <w:r>
        <w:rPr>
          <w:rFonts w:hint="eastAsia" w:ascii="黑体" w:eastAsia="黑体" w:cs="Times New Roman"/>
          <w:bCs w:val="0"/>
          <w:color w:val="000000"/>
        </w:rPr>
        <w:t>一、收入支出决算总体情况说</w:t>
      </w:r>
      <w:bookmarkEnd w:id="38"/>
      <w:r>
        <w:rPr>
          <w:rFonts w:hint="eastAsia" w:ascii="黑体" w:eastAsia="黑体" w:cs="Times New Roman"/>
          <w:bCs w:val="0"/>
          <w:color w:val="000000"/>
        </w:rPr>
        <w:t>明</w:t>
      </w:r>
      <w:bookmarkEnd w:id="39"/>
      <w:bookmarkEnd w:id="40"/>
    </w:p>
    <w:p w14:paraId="0CE3F84E">
      <w:pPr>
        <w:spacing w:line="600" w:lineRule="exact"/>
        <w:ind w:firstLine="640" w:firstLineChars="200"/>
        <w:rPr>
          <w:rFonts w:ascii="仿宋_GB2312" w:hAnsi="仿宋" w:eastAsia="仿宋_GB2312"/>
          <w:color w:val="00B0F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年度收、支总计1,887.35万元。与</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226.09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13.61</w:t>
      </w:r>
      <w:r>
        <w:rPr>
          <w:rFonts w:hint="eastAsia" w:ascii="仿宋" w:hAnsi="仿宋" w:eastAsia="仿宋"/>
          <w:color w:val="000000"/>
          <w:sz w:val="32"/>
          <w:szCs w:val="32"/>
        </w:rPr>
        <w:t>%。</w:t>
      </w:r>
      <w:r>
        <w:rPr>
          <w:rFonts w:ascii="仿宋" w:hAnsi="仿宋" w:eastAsia="仿宋"/>
          <w:color w:val="000000"/>
          <w:sz w:val="32"/>
          <w:u w:color="auto"/>
        </w:rPr>
        <w:t xml:space="preserve"> </w:t>
      </w:r>
    </w:p>
    <w:p w14:paraId="23829204">
      <w:pPr>
        <w:spacing w:line="600" w:lineRule="exact"/>
        <w:ind w:firstLine="640" w:firstLineChars="200"/>
        <w:jc w:val="right"/>
        <w:rPr>
          <w:rFonts w:ascii="仿宋_GB2312" w:hAnsi="仿宋" w:eastAsia="仿宋_GB2312"/>
          <w:color w:val="000000" w:themeColor="text1"/>
          <w:sz w:val="28"/>
          <w:szCs w:val="28"/>
          <w14:textFill>
            <w14:solidFill>
              <w14:schemeClr w14:val="tx1"/>
            </w14:solidFill>
          </w14:textFill>
        </w:rPr>
      </w:pPr>
      <w:r>
        <w:rPr>
          <w:rFonts w:hint="eastAsia" w:ascii="仿宋" w:hAnsi="仿宋" w:eastAsia="仿宋"/>
          <w:color w:val="000000"/>
          <w:sz w:val="32"/>
          <w:szCs w:val="32"/>
        </w:rPr>
        <w:t>（图1：收、支决算总计变动情况图）</w:t>
      </w:r>
    </w:p>
    <w:p w14:paraId="187F9CCC">
      <w:pPr>
        <w:spacing w:line="600" w:lineRule="exact"/>
        <w:ind w:firstLine="560" w:firstLineChars="200"/>
        <w:jc w:val="center"/>
        <w:rPr>
          <w:rFonts w:ascii="仿宋_GB2312" w:eastAsia="仿宋_GB2312"/>
          <w:color w:val="000000"/>
          <w:sz w:val="28"/>
          <w:szCs w:val="28"/>
        </w:rPr>
      </w:pPr>
    </w:p>
    <w:p w14:paraId="3B8ADC54">
      <w:pPr>
        <w:pStyle w:val="5"/>
      </w:pPr>
      <w:r>
        <w:drawing>
          <wp:inline distT="0" distB="0" distL="114300" distR="114300">
            <wp:extent cx="5343525" cy="2945130"/>
            <wp:effectExtent l="4445" t="4445" r="5080" b="2222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F13508">
      <w:pPr>
        <w:pStyle w:val="3"/>
        <w:ind w:firstLine="643" w:firstLineChars="200"/>
        <w:rPr>
          <w:rFonts w:ascii="黑体" w:eastAsia="黑体" w:cs="Times New Roman"/>
          <w:bCs w:val="0"/>
          <w:color w:val="000000"/>
        </w:rPr>
      </w:pPr>
      <w:bookmarkStart w:id="41" w:name="_Toc111208500"/>
      <w:bookmarkStart w:id="42" w:name="_Toc762"/>
      <w:bookmarkStart w:id="43" w:name="_Toc15377206"/>
      <w:r>
        <w:rPr>
          <w:rFonts w:hint="eastAsia" w:ascii="黑体" w:eastAsia="黑体" w:cs="Times New Roman"/>
          <w:bCs w:val="0"/>
          <w:color w:val="000000"/>
        </w:rPr>
        <w:t>二、收入决算情况说明</w:t>
      </w:r>
      <w:bookmarkEnd w:id="41"/>
      <w:bookmarkEnd w:id="42"/>
      <w:bookmarkEnd w:id="43"/>
    </w:p>
    <w:p w14:paraId="6881548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年本年收入合计</w:t>
      </w:r>
      <w:r>
        <w:rPr>
          <w:rFonts w:hint="eastAsia" w:ascii="仿宋" w:hAnsi="仿宋" w:eastAsia="仿宋"/>
          <w:color w:val="000000"/>
          <w:sz w:val="32"/>
          <w:szCs w:val="32"/>
        </w:rPr>
        <w:t>1,887.35</w:t>
      </w:r>
      <w:r>
        <w:rPr>
          <w:rFonts w:ascii="仿宋" w:hAnsi="仿宋" w:eastAsia="仿宋"/>
          <w:color w:val="000000"/>
          <w:sz w:val="32"/>
          <w:u w:color="auto"/>
        </w:rPr>
        <w:t>万元，其中：一般公共预算财政</w:t>
      </w:r>
      <w:r>
        <w:rPr>
          <w:rFonts w:ascii="仿宋" w:hAnsi="仿宋" w:eastAsia="仿宋"/>
          <w:color w:val="000000" w:themeColor="text1"/>
          <w:sz w:val="32"/>
          <w:u w:color="auto"/>
          <w14:textFill>
            <w14:solidFill>
              <w14:schemeClr w14:val="tx1"/>
            </w14:solidFill>
          </w14:textFill>
        </w:rPr>
        <w:t>拨款收入</w:t>
      </w:r>
      <w:r>
        <w:rPr>
          <w:rFonts w:hint="eastAsia" w:ascii="仿宋" w:hAnsi="仿宋" w:eastAsia="仿宋"/>
          <w:color w:val="000000" w:themeColor="text1"/>
          <w:sz w:val="32"/>
          <w:u w:color="auto"/>
          <w14:textFill>
            <w14:solidFill>
              <w14:schemeClr w14:val="tx1"/>
            </w14:solidFill>
          </w14:textFill>
        </w:rPr>
        <w:t>1818.15</w:t>
      </w:r>
      <w:r>
        <w:rPr>
          <w:rFonts w:ascii="仿宋" w:hAnsi="仿宋" w:eastAsia="仿宋"/>
          <w:color w:val="000000" w:themeColor="text1"/>
          <w:sz w:val="32"/>
          <w:u w:color="auto"/>
          <w14:textFill>
            <w14:solidFill>
              <w14:schemeClr w14:val="tx1"/>
            </w14:solidFill>
          </w14:textFill>
        </w:rPr>
        <w:t>万元，占</w:t>
      </w:r>
      <w:r>
        <w:rPr>
          <w:rFonts w:hint="eastAsia" w:ascii="仿宋" w:hAnsi="仿宋" w:eastAsia="仿宋"/>
          <w:color w:val="000000" w:themeColor="text1"/>
          <w:sz w:val="32"/>
          <w:u w:color="auto"/>
          <w:lang w:val="en-US" w:eastAsia="zh-CN"/>
          <w14:textFill>
            <w14:solidFill>
              <w14:schemeClr w14:val="tx1"/>
            </w14:solidFill>
          </w14:textFill>
        </w:rPr>
        <w:t>96.36</w:t>
      </w:r>
      <w:r>
        <w:rPr>
          <w:rFonts w:ascii="仿宋" w:hAnsi="仿宋" w:eastAsia="仿宋"/>
          <w:color w:val="000000" w:themeColor="text1"/>
          <w:sz w:val="32"/>
          <w:u w:color="auto"/>
          <w14:textFill>
            <w14:solidFill>
              <w14:schemeClr w14:val="tx1"/>
            </w14:solidFill>
          </w14:textFill>
        </w:rPr>
        <w:t>%；政府性基金预算财政拨款收入0.00万元，占0.00%；国有资本经营预算财政拨款收入</w:t>
      </w:r>
      <w:r>
        <w:rPr>
          <w:rFonts w:hint="eastAsia" w:ascii="仿宋" w:hAnsi="仿宋" w:eastAsia="仿宋"/>
          <w:color w:val="000000" w:themeColor="text1"/>
          <w:sz w:val="32"/>
          <w:u w:color="auto"/>
          <w14:textFill>
            <w14:solidFill>
              <w14:schemeClr w14:val="tx1"/>
            </w14:solidFill>
          </w14:textFill>
        </w:rPr>
        <w:t>1</w:t>
      </w:r>
      <w:r>
        <w:rPr>
          <w:rFonts w:hint="eastAsia" w:ascii="仿宋" w:hAnsi="仿宋" w:eastAsia="仿宋"/>
          <w:color w:val="000000" w:themeColor="text1"/>
          <w:sz w:val="32"/>
          <w:u w:color="auto"/>
          <w:lang w:val="en-US" w:eastAsia="zh-CN"/>
          <w14:textFill>
            <w14:solidFill>
              <w14:schemeClr w14:val="tx1"/>
            </w14:solidFill>
          </w14:textFill>
        </w:rPr>
        <w:t>2</w:t>
      </w:r>
      <w:r>
        <w:rPr>
          <w:rFonts w:ascii="仿宋" w:hAnsi="仿宋" w:eastAsia="仿宋"/>
          <w:color w:val="000000" w:themeColor="text1"/>
          <w:sz w:val="32"/>
          <w:u w:color="auto"/>
          <w14:textFill>
            <w14:solidFill>
              <w14:schemeClr w14:val="tx1"/>
            </w14:solidFill>
          </w14:textFill>
        </w:rPr>
        <w:t>万元，占</w:t>
      </w:r>
      <w:r>
        <w:rPr>
          <w:rFonts w:hint="eastAsia" w:ascii="仿宋" w:hAnsi="仿宋" w:eastAsia="仿宋"/>
          <w:color w:val="000000" w:themeColor="text1"/>
          <w:sz w:val="32"/>
          <w:u w:color="auto"/>
          <w:lang w:val="en-US" w:eastAsia="zh-CN"/>
          <w14:textFill>
            <w14:solidFill>
              <w14:schemeClr w14:val="tx1"/>
            </w14:solidFill>
          </w14:textFill>
        </w:rPr>
        <w:t>0.64</w:t>
      </w:r>
      <w:r>
        <w:rPr>
          <w:rFonts w:ascii="仿宋" w:hAnsi="仿宋" w:eastAsia="仿宋"/>
          <w:color w:val="000000" w:themeColor="text1"/>
          <w:sz w:val="32"/>
          <w:u w:color="auto"/>
          <w14:textFill>
            <w14:solidFill>
              <w14:schemeClr w14:val="tx1"/>
            </w14:solidFill>
          </w14:textFill>
        </w:rPr>
        <w:t>%；上级补助收入0.00万元，占0.00%；事业收入0.00万元，占%；经营收入0.00万元，占0.00%；附属单位上缴收入0.00万元，占0.00%；其他收</w:t>
      </w:r>
      <w:r>
        <w:rPr>
          <w:rFonts w:ascii="仿宋" w:hAnsi="仿宋" w:eastAsia="仿宋"/>
          <w:color w:val="000000"/>
          <w:sz w:val="32"/>
          <w:u w:color="auto"/>
        </w:rPr>
        <w:t>入0.00万元，占0.00%</w:t>
      </w:r>
      <w:r>
        <w:rPr>
          <w:rFonts w:hint="eastAsia" w:ascii="仿宋" w:hAnsi="仿宋" w:eastAsia="仿宋"/>
          <w:color w:val="000000"/>
          <w:sz w:val="32"/>
          <w:u w:color="auto"/>
          <w:lang w:eastAsia="zh-CN"/>
        </w:rPr>
        <w:t>，年初结转57.20万元，占比</w:t>
      </w:r>
      <w:r>
        <w:rPr>
          <w:rFonts w:hint="eastAsia" w:ascii="仿宋" w:hAnsi="仿宋" w:eastAsia="仿宋"/>
          <w:color w:val="000000"/>
          <w:sz w:val="32"/>
          <w:u w:color="auto"/>
          <w:lang w:val="en-US" w:eastAsia="zh-CN"/>
        </w:rPr>
        <w:t>3.03%</w:t>
      </w:r>
      <w:r>
        <w:rPr>
          <w:rFonts w:ascii="仿宋" w:hAnsi="仿宋" w:eastAsia="仿宋"/>
          <w:color w:val="000000"/>
          <w:sz w:val="32"/>
          <w:u w:color="auto"/>
        </w:rPr>
        <w:t>。</w:t>
      </w:r>
    </w:p>
    <w:p w14:paraId="7FEAA70F">
      <w:pPr>
        <w:spacing w:line="600" w:lineRule="exact"/>
        <w:ind w:firstLine="640" w:firstLineChars="200"/>
        <w:rPr>
          <w:rFonts w:hint="eastAsia" w:ascii="仿宋_GB2312" w:eastAsia="仿宋_GB2312"/>
          <w:color w:val="FF0000"/>
          <w:sz w:val="32"/>
          <w:szCs w:val="32"/>
        </w:rPr>
      </w:pPr>
      <w:r>
        <w:rPr>
          <w:rFonts w:hint="eastAsia" w:ascii="仿宋" w:hAnsi="仿宋" w:eastAsia="仿宋"/>
          <w:color w:val="000000"/>
          <w:sz w:val="32"/>
          <w:szCs w:val="32"/>
        </w:rPr>
        <w:t>（图2：收入决算结构图）</w:t>
      </w:r>
    </w:p>
    <w:p w14:paraId="615FBBBA">
      <w:pPr>
        <w:rPr>
          <w:rFonts w:hint="eastAsia" w:ascii="仿宋_GB2312" w:eastAsia="仿宋_GB2312"/>
          <w:color w:val="FF0000"/>
          <w:sz w:val="32"/>
          <w:szCs w:val="32"/>
        </w:rPr>
      </w:pPr>
      <w:r>
        <w:rPr>
          <w:rFonts w:hint="eastAsia" w:ascii="仿宋_GB2312" w:eastAsia="仿宋_GB2312"/>
          <w:color w:val="FF0000"/>
          <w:sz w:val="32"/>
          <w:szCs w:val="32"/>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8D18DE">
      <w:pPr>
        <w:pStyle w:val="3"/>
        <w:numPr>
          <w:ilvl w:val="0"/>
          <w:numId w:val="1"/>
        </w:numPr>
        <w:ind w:left="321" w:leftChars="0" w:hanging="321" w:hangingChars="100"/>
      </w:pPr>
      <w:bookmarkStart w:id="44" w:name="_Toc28797"/>
      <w:bookmarkStart w:id="45" w:name="_Toc15377207"/>
      <w:bookmarkStart w:id="46" w:name="_Toc111208501"/>
      <w:r>
        <w:rPr>
          <w:rFonts w:hint="eastAsia" w:ascii="黑体" w:eastAsia="黑体" w:cs="Times New Roman"/>
          <w:bCs w:val="0"/>
          <w:color w:val="000000"/>
        </w:rPr>
        <w:t>支出决算情况说明</w:t>
      </w:r>
      <w:bookmarkEnd w:id="44"/>
      <w:bookmarkEnd w:id="45"/>
      <w:bookmarkEnd w:id="46"/>
    </w:p>
    <w:p w14:paraId="2D04D751">
      <w:pPr>
        <w:pStyle w:val="5"/>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ascii="仿宋" w:hAnsi="仿宋" w:eastAsia="仿宋"/>
          <w:color w:val="000000"/>
          <w:sz w:val="32"/>
          <w:szCs w:val="32"/>
        </w:rPr>
        <w:t>年本年支出合计</w:t>
      </w:r>
      <w:r>
        <w:rPr>
          <w:rFonts w:hint="eastAsia" w:ascii="仿宋" w:hAnsi="仿宋" w:eastAsia="仿宋"/>
          <w:color w:val="000000"/>
          <w:sz w:val="32"/>
          <w:szCs w:val="32"/>
        </w:rPr>
        <w:t>1,887.35</w:t>
      </w:r>
      <w:r>
        <w:rPr>
          <w:rFonts w:ascii="仿宋" w:hAnsi="仿宋" w:eastAsia="仿宋"/>
          <w:color w:val="000000"/>
          <w:sz w:val="32"/>
          <w:szCs w:val="32"/>
        </w:rPr>
        <w:t>万元，其中：基本支出</w:t>
      </w:r>
      <w:r>
        <w:rPr>
          <w:rFonts w:hint="eastAsia" w:ascii="仿宋" w:hAnsi="仿宋" w:eastAsia="仿宋"/>
          <w:color w:val="000000"/>
          <w:sz w:val="32"/>
          <w:szCs w:val="32"/>
        </w:rPr>
        <w:t>1,748.53</w:t>
      </w:r>
      <w:r>
        <w:rPr>
          <w:rFonts w:ascii="仿宋" w:hAnsi="仿宋" w:eastAsia="仿宋"/>
          <w:color w:val="000000"/>
          <w:sz w:val="32"/>
          <w:szCs w:val="32"/>
        </w:rPr>
        <w:t>万元，占</w:t>
      </w:r>
      <w:r>
        <w:rPr>
          <w:rFonts w:hint="eastAsia" w:ascii="仿宋" w:hAnsi="仿宋" w:eastAsia="仿宋"/>
          <w:color w:val="000000"/>
          <w:sz w:val="32"/>
          <w:szCs w:val="32"/>
          <w:lang w:val="en-US" w:eastAsia="zh-CN"/>
        </w:rPr>
        <w:t xml:space="preserve">92.64 </w:t>
      </w:r>
      <w:r>
        <w:rPr>
          <w:rFonts w:ascii="仿宋" w:hAnsi="仿宋" w:eastAsia="仿宋"/>
          <w:color w:val="000000"/>
          <w:sz w:val="32"/>
          <w:szCs w:val="32"/>
        </w:rPr>
        <w:t>%；项目支出</w:t>
      </w:r>
      <w:r>
        <w:rPr>
          <w:rFonts w:hint="eastAsia" w:ascii="仿宋" w:hAnsi="仿宋" w:eastAsia="仿宋"/>
          <w:color w:val="000000"/>
          <w:sz w:val="32"/>
          <w:szCs w:val="32"/>
        </w:rPr>
        <w:t>138.82</w:t>
      </w:r>
      <w:r>
        <w:rPr>
          <w:rFonts w:ascii="仿宋" w:hAnsi="仿宋" w:eastAsia="仿宋"/>
          <w:color w:val="000000"/>
          <w:sz w:val="32"/>
          <w:szCs w:val="32"/>
        </w:rPr>
        <w:t>万元，占</w:t>
      </w:r>
      <w:r>
        <w:rPr>
          <w:rFonts w:hint="eastAsia" w:ascii="仿宋" w:hAnsi="仿宋" w:eastAsia="仿宋"/>
          <w:color w:val="000000"/>
          <w:sz w:val="32"/>
          <w:szCs w:val="32"/>
          <w:lang w:val="en-US" w:eastAsia="zh-CN"/>
        </w:rPr>
        <w:t>7.36</w:t>
      </w:r>
      <w:r>
        <w:rPr>
          <w:rFonts w:ascii="仿宋" w:hAnsi="仿宋" w:eastAsia="仿宋"/>
          <w:color w:val="000000"/>
          <w:sz w:val="32"/>
          <w:szCs w:val="32"/>
        </w:rPr>
        <w:t>%；上缴上级支出</w:t>
      </w:r>
      <w:r>
        <w:rPr>
          <w:rFonts w:hint="eastAsia" w:ascii="仿宋" w:hAnsi="仿宋" w:eastAsia="仿宋"/>
          <w:color w:val="000000"/>
          <w:sz w:val="32"/>
          <w:szCs w:val="32"/>
        </w:rPr>
        <w:t>0.00</w:t>
      </w:r>
      <w:r>
        <w:rPr>
          <w:rFonts w:ascii="仿宋" w:hAnsi="仿宋" w:eastAsia="仿宋"/>
          <w:color w:val="000000"/>
          <w:sz w:val="32"/>
          <w:szCs w:val="32"/>
        </w:rPr>
        <w:t>万元，占</w:t>
      </w:r>
      <w:r>
        <w:rPr>
          <w:rFonts w:hint="eastAsia" w:ascii="仿宋" w:hAnsi="仿宋" w:eastAsia="仿宋"/>
          <w:color w:val="000000"/>
          <w:sz w:val="32"/>
          <w:szCs w:val="32"/>
        </w:rPr>
        <w:t>0.00</w:t>
      </w:r>
      <w:r>
        <w:rPr>
          <w:rFonts w:ascii="仿宋" w:hAnsi="仿宋" w:eastAsia="仿宋"/>
          <w:color w:val="000000"/>
          <w:sz w:val="32"/>
          <w:szCs w:val="32"/>
        </w:rPr>
        <w:t>%；经营支出</w:t>
      </w:r>
      <w:r>
        <w:rPr>
          <w:rFonts w:hint="eastAsia" w:ascii="仿宋" w:hAnsi="仿宋" w:eastAsia="仿宋"/>
          <w:color w:val="000000"/>
          <w:sz w:val="32"/>
          <w:szCs w:val="32"/>
        </w:rPr>
        <w:t>0.00</w:t>
      </w:r>
      <w:r>
        <w:rPr>
          <w:rFonts w:ascii="仿宋" w:hAnsi="仿宋" w:eastAsia="仿宋"/>
          <w:color w:val="000000"/>
          <w:sz w:val="32"/>
          <w:szCs w:val="32"/>
        </w:rPr>
        <w:t>万元，占</w:t>
      </w:r>
      <w:r>
        <w:rPr>
          <w:rFonts w:hint="eastAsia" w:ascii="仿宋" w:hAnsi="仿宋" w:eastAsia="仿宋"/>
          <w:color w:val="000000"/>
          <w:sz w:val="32"/>
          <w:szCs w:val="32"/>
        </w:rPr>
        <w:t>0.00</w:t>
      </w:r>
      <w:r>
        <w:rPr>
          <w:rFonts w:ascii="仿宋" w:hAnsi="仿宋" w:eastAsia="仿宋"/>
          <w:color w:val="000000"/>
          <w:sz w:val="32"/>
          <w:szCs w:val="32"/>
        </w:rPr>
        <w:t>%；对附属单位补助支出</w:t>
      </w:r>
      <w:r>
        <w:rPr>
          <w:rFonts w:hint="eastAsia" w:ascii="仿宋" w:hAnsi="仿宋" w:eastAsia="仿宋"/>
          <w:color w:val="000000"/>
          <w:sz w:val="32"/>
          <w:szCs w:val="32"/>
        </w:rPr>
        <w:t>0.00</w:t>
      </w:r>
      <w:r>
        <w:rPr>
          <w:rFonts w:ascii="仿宋" w:hAnsi="仿宋" w:eastAsia="仿宋"/>
          <w:color w:val="000000"/>
          <w:sz w:val="32"/>
          <w:szCs w:val="32"/>
        </w:rPr>
        <w:t>万元，占</w:t>
      </w:r>
      <w:r>
        <w:rPr>
          <w:rFonts w:hint="eastAsia" w:ascii="仿宋" w:hAnsi="仿宋" w:eastAsia="仿宋"/>
          <w:color w:val="000000"/>
          <w:sz w:val="32"/>
          <w:szCs w:val="32"/>
        </w:rPr>
        <w:t>0.00</w:t>
      </w:r>
      <w:r>
        <w:rPr>
          <w:rFonts w:ascii="仿宋" w:hAnsi="仿宋" w:eastAsia="仿宋"/>
          <w:color w:val="000000"/>
          <w:sz w:val="32"/>
          <w:szCs w:val="32"/>
        </w:rPr>
        <w:t>%。</w:t>
      </w:r>
    </w:p>
    <w:p w14:paraId="65FEA61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（图3：支出决算结构图）</w:t>
      </w:r>
    </w:p>
    <w:p w14:paraId="76806DE9">
      <w:pPr>
        <w:jc w:val="center"/>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C8E4BC">
      <w:pPr>
        <w:pStyle w:val="5"/>
      </w:pPr>
    </w:p>
    <w:p w14:paraId="77CF72A5">
      <w:pPr>
        <w:pStyle w:val="3"/>
        <w:ind w:firstLine="643" w:firstLineChars="200"/>
        <w:rPr>
          <w:rFonts w:ascii="黑体" w:eastAsia="黑体" w:cs="Times New Roman"/>
          <w:bCs w:val="0"/>
          <w:color w:val="000000"/>
        </w:rPr>
      </w:pPr>
      <w:bookmarkStart w:id="47" w:name="_Toc31069"/>
      <w:bookmarkStart w:id="48" w:name="_Toc111208502"/>
      <w:bookmarkStart w:id="49" w:name="_Toc15377208"/>
      <w:r>
        <w:rPr>
          <w:rFonts w:hint="eastAsia" w:ascii="黑体" w:eastAsia="黑体" w:cs="Times New Roman"/>
          <w:bCs w:val="0"/>
          <w:color w:val="000000"/>
        </w:rPr>
        <w:t>四、财政拨款收入支出决算总体情况说明</w:t>
      </w:r>
      <w:bookmarkEnd w:id="47"/>
      <w:bookmarkEnd w:id="48"/>
      <w:bookmarkEnd w:id="49"/>
    </w:p>
    <w:p w14:paraId="7CDC7F3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年财政拨款收、支总计</w:t>
      </w:r>
      <w:r>
        <w:rPr>
          <w:rFonts w:hint="eastAsia" w:ascii="仿宋" w:hAnsi="仿宋" w:eastAsia="仿宋"/>
          <w:color w:val="000000"/>
          <w:sz w:val="32"/>
          <w:szCs w:val="32"/>
        </w:rPr>
        <w:t>1,887.35</w:t>
      </w:r>
      <w:r>
        <w:rPr>
          <w:rFonts w:ascii="仿宋" w:hAnsi="仿宋" w:eastAsia="仿宋"/>
          <w:color w:val="000000"/>
          <w:sz w:val="32"/>
          <w:u w:color="auto"/>
        </w:rPr>
        <w:t>万元。与202</w:t>
      </w:r>
      <w:r>
        <w:rPr>
          <w:rFonts w:hint="eastAsia" w:ascii="仿宋" w:hAnsi="仿宋" w:eastAsia="仿宋"/>
          <w:color w:val="000000"/>
          <w:sz w:val="32"/>
          <w:u w:color="auto"/>
          <w:lang w:val="en-US" w:eastAsia="zh-CN"/>
        </w:rPr>
        <w:t>2</w:t>
      </w:r>
      <w:r>
        <w:rPr>
          <w:rFonts w:ascii="仿宋" w:hAnsi="仿宋" w:eastAsia="仿宋"/>
          <w:color w:val="000000"/>
          <w:sz w:val="32"/>
          <w:u w:color="auto"/>
        </w:rPr>
        <w:t>年相比，财政拨款收、支总计各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226.09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13.61</w:t>
      </w:r>
      <w:r>
        <w:rPr>
          <w:rFonts w:hint="eastAsia" w:ascii="仿宋" w:hAnsi="仿宋" w:eastAsia="仿宋"/>
          <w:color w:val="000000"/>
          <w:sz w:val="32"/>
          <w:szCs w:val="32"/>
        </w:rPr>
        <w:t>%</w:t>
      </w:r>
      <w:r>
        <w:rPr>
          <w:rFonts w:ascii="仿宋" w:hAnsi="仿宋" w:eastAsia="仿宋"/>
          <w:color w:val="000000"/>
          <w:sz w:val="32"/>
          <w:u w:color="auto"/>
        </w:rPr>
        <w:t xml:space="preserve">%。 </w:t>
      </w:r>
    </w:p>
    <w:p w14:paraId="37685169">
      <w:pPr>
        <w:spacing w:line="600" w:lineRule="exact"/>
        <w:ind w:firstLine="640" w:firstLineChars="200"/>
      </w:pPr>
      <w:r>
        <w:rPr>
          <w:rFonts w:hint="eastAsia" w:ascii="仿宋" w:hAnsi="仿宋" w:eastAsia="仿宋"/>
          <w:color w:val="000000"/>
          <w:sz w:val="32"/>
          <w:szCs w:val="32"/>
        </w:rPr>
        <w:t>（图4：财政拨款收、支决算总计变动情况）</w:t>
      </w:r>
    </w:p>
    <w:p w14:paraId="6F44E917">
      <w:pPr>
        <w:pStyle w:val="5"/>
        <w:jc w:val="center"/>
        <w:rPr>
          <w:rFonts w:hint="eastAsia" w:eastAsiaTheme="minorEastAsia"/>
          <w:lang w:eastAsia="zh-CN"/>
        </w:rPr>
      </w:pPr>
      <w:r>
        <w:rPr>
          <w:rFonts w:hint="eastAsia" w:eastAsiaTheme="minorEastAsia"/>
          <w:lang w:eastAsia="zh-CN"/>
        </w:rPr>
        <w:drawing>
          <wp:inline distT="0" distB="0" distL="114300" distR="114300">
            <wp:extent cx="5256530" cy="2988310"/>
            <wp:effectExtent l="5080" t="4445" r="15240" b="17145"/>
            <wp:docPr id="11" name="图表 11"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36DF42">
      <w:pPr>
        <w:pStyle w:val="3"/>
        <w:ind w:firstLine="643" w:firstLineChars="200"/>
        <w:rPr>
          <w:rFonts w:ascii="黑体" w:eastAsia="黑体" w:cs="Times New Roman"/>
          <w:bCs w:val="0"/>
          <w:color w:val="000000"/>
        </w:rPr>
      </w:pPr>
      <w:bookmarkStart w:id="50" w:name="_Toc15377209"/>
      <w:bookmarkStart w:id="51" w:name="_Toc13426"/>
      <w:bookmarkStart w:id="52" w:name="_Toc111208503"/>
      <w:r>
        <w:rPr>
          <w:rFonts w:hint="eastAsia" w:ascii="黑体" w:eastAsia="黑体" w:cs="Times New Roman"/>
          <w:bCs w:val="0"/>
          <w:color w:val="000000"/>
        </w:rPr>
        <w:t>五、一般公共预算财政拨款支出决算情况说</w:t>
      </w:r>
      <w:bookmarkEnd w:id="50"/>
      <w:r>
        <w:rPr>
          <w:rFonts w:hint="eastAsia" w:ascii="黑体" w:eastAsia="黑体" w:cs="Times New Roman"/>
          <w:bCs w:val="0"/>
          <w:color w:val="000000"/>
        </w:rPr>
        <w:t>明</w:t>
      </w:r>
      <w:bookmarkEnd w:id="51"/>
      <w:bookmarkEnd w:id="52"/>
    </w:p>
    <w:p w14:paraId="0D84EFFC">
      <w:pPr>
        <w:spacing w:line="600" w:lineRule="exact"/>
        <w:ind w:firstLine="643" w:firstLineChars="200"/>
        <w:outlineLvl w:val="2"/>
        <w:rPr>
          <w:rFonts w:ascii="仿宋" w:hAnsi="仿宋" w:eastAsia="仿宋"/>
          <w:b/>
          <w:color w:val="000000"/>
          <w:sz w:val="32"/>
          <w:szCs w:val="32"/>
        </w:rPr>
      </w:pPr>
      <w:bookmarkStart w:id="53" w:name="_Toc15377210"/>
      <w:r>
        <w:rPr>
          <w:rFonts w:hint="eastAsia" w:ascii="仿宋" w:hAnsi="仿宋" w:eastAsia="仿宋"/>
          <w:b/>
          <w:color w:val="000000"/>
          <w:sz w:val="32"/>
          <w:szCs w:val="32"/>
        </w:rPr>
        <w:t>（一）一般公共预算财政拨款支出决算总体情况</w:t>
      </w:r>
      <w:bookmarkEnd w:id="53"/>
    </w:p>
    <w:p w14:paraId="3D4339A3">
      <w:pPr>
        <w:spacing w:line="600" w:lineRule="exact"/>
        <w:ind w:firstLine="640" w:firstLineChars="200"/>
        <w:rPr>
          <w:rFonts w:ascii="仿宋_GB2312" w:hAnsi="仿宋" w:eastAsia="仿宋_GB2312"/>
          <w:color w:val="000000"/>
          <w:sz w:val="32"/>
          <w:szCs w:val="32"/>
        </w:rPr>
      </w:pPr>
      <w:bookmarkStart w:id="54" w:name="_Toc15377211"/>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年一般公共预算财政拨款支出</w:t>
      </w:r>
      <w:r>
        <w:rPr>
          <w:rFonts w:hint="eastAsia" w:ascii="仿宋" w:hAnsi="仿宋" w:eastAsia="仿宋"/>
          <w:color w:val="000000"/>
          <w:sz w:val="32"/>
          <w:szCs w:val="32"/>
        </w:rPr>
        <w:t>1,887.35万元，占本年支出合计的</w:t>
      </w:r>
      <w:r>
        <w:rPr>
          <w:rFonts w:ascii="仿宋" w:hAnsi="仿宋" w:eastAsia="仿宋"/>
          <w:color w:val="000000"/>
          <w:sz w:val="32"/>
          <w:u w:color="auto"/>
        </w:rPr>
        <w:t>100.00</w:t>
      </w:r>
      <w:r>
        <w:rPr>
          <w:rFonts w:hint="eastAsia" w:ascii="仿宋" w:hAnsi="仿宋" w:eastAsia="仿宋"/>
          <w:color w:val="000000"/>
          <w:sz w:val="32"/>
          <w:szCs w:val="32"/>
        </w:rPr>
        <w:t>%。与</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相比，一般公共预算财政拨款</w:t>
      </w:r>
      <w:r>
        <w:rPr>
          <w:rFonts w:hint="eastAsia" w:ascii="仿宋" w:hAnsi="仿宋" w:eastAsia="仿宋"/>
          <w:color w:val="000000"/>
          <w:sz w:val="32"/>
          <w:u w:color="auto"/>
          <w:lang w:eastAsia="zh-CN"/>
        </w:rPr>
        <w:t>增加</w:t>
      </w:r>
      <w:r>
        <w:rPr>
          <w:rFonts w:hint="eastAsia" w:ascii="仿宋" w:hAnsi="仿宋" w:eastAsia="仿宋"/>
          <w:color w:val="000000"/>
          <w:sz w:val="32"/>
          <w:u w:color="auto"/>
          <w:lang w:val="en-US" w:eastAsia="zh-CN"/>
        </w:rPr>
        <w:t>226.04</w:t>
      </w:r>
      <w:r>
        <w:rPr>
          <w:rFonts w:hint="eastAsia" w:ascii="仿宋" w:hAnsi="仿宋" w:eastAsia="仿宋"/>
          <w:color w:val="000000"/>
          <w:sz w:val="32"/>
          <w:szCs w:val="32"/>
        </w:rPr>
        <w:t>万元，</w:t>
      </w:r>
      <w:r>
        <w:rPr>
          <w:rFonts w:hint="eastAsia" w:ascii="仿宋" w:hAnsi="仿宋" w:eastAsia="仿宋"/>
          <w:color w:val="000000"/>
          <w:sz w:val="32"/>
          <w:u w:color="auto"/>
          <w:lang w:eastAsia="zh-CN"/>
        </w:rPr>
        <w:t>增加</w:t>
      </w:r>
      <w:r>
        <w:rPr>
          <w:rFonts w:hint="eastAsia" w:ascii="仿宋" w:hAnsi="仿宋" w:eastAsia="仿宋"/>
          <w:color w:val="000000"/>
          <w:sz w:val="32"/>
          <w:u w:color="auto"/>
          <w:lang w:val="en-US" w:eastAsia="zh-CN"/>
        </w:rPr>
        <w:t>13.61</w:t>
      </w:r>
      <w:r>
        <w:rPr>
          <w:rFonts w:hint="eastAsia" w:ascii="仿宋" w:hAnsi="仿宋" w:eastAsia="仿宋"/>
          <w:color w:val="000000"/>
          <w:sz w:val="32"/>
          <w:szCs w:val="32"/>
        </w:rPr>
        <w:t xml:space="preserve"> %。</w:t>
      </w:r>
      <w:r>
        <w:rPr>
          <w:rFonts w:ascii="仿宋" w:hAnsi="仿宋" w:eastAsia="仿宋"/>
          <w:color w:val="000000"/>
          <w:sz w:val="32"/>
          <w:u w:color="auto"/>
        </w:rPr>
        <w:t xml:space="preserve"> </w:t>
      </w:r>
    </w:p>
    <w:p w14:paraId="033CE7CB">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w:t>
      </w:r>
    </w:p>
    <w:p w14:paraId="15B636BF">
      <w:pPr>
        <w:pStyle w:val="5"/>
        <w:ind w:firstLine="0"/>
        <w:rPr>
          <w:rFonts w:ascii="仿宋_GB2312" w:hAnsi="仿宋" w:eastAsia="仿宋_GB2312"/>
          <w:b/>
          <w:color w:val="000000"/>
          <w:sz w:val="32"/>
          <w:szCs w:val="32"/>
        </w:rPr>
      </w:pPr>
    </w:p>
    <w:p w14:paraId="16C7E62F">
      <w:pPr>
        <w:pStyle w:val="5"/>
        <w:ind w:firstLine="0"/>
        <w:rPr>
          <w:rFonts w:hint="eastAsia" w:ascii="仿宋_GB2312" w:hAnsi="仿宋" w:eastAsia="仿宋_GB2312"/>
          <w:b/>
          <w:color w:val="000000"/>
          <w:sz w:val="32"/>
          <w:szCs w:val="32"/>
          <w:lang w:eastAsia="zh-CN"/>
        </w:rPr>
      </w:pPr>
      <w:r>
        <w:rPr>
          <w:rFonts w:hint="eastAsia" w:ascii="仿宋_GB2312" w:hAnsi="仿宋" w:eastAsia="仿宋_GB2312"/>
          <w:b/>
          <w:color w:val="000000"/>
          <w:sz w:val="32"/>
          <w:szCs w:val="32"/>
          <w:lang w:eastAsia="zh-CN"/>
        </w:rPr>
        <w:drawing>
          <wp:inline distT="0" distB="0" distL="114300" distR="114300">
            <wp:extent cx="5256530" cy="2988310"/>
            <wp:effectExtent l="5080" t="4445" r="15240" b="17145"/>
            <wp:docPr id="12" name="图表 12"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453F61">
      <w:pPr>
        <w:pStyle w:val="5"/>
        <w:ind w:firstLine="0"/>
        <w:rPr>
          <w:rFonts w:ascii="仿宋_GB2312" w:hAnsi="仿宋" w:eastAsia="仿宋_GB2312"/>
          <w:b/>
          <w:color w:val="000000"/>
          <w:sz w:val="32"/>
          <w:szCs w:val="32"/>
        </w:rPr>
      </w:pPr>
    </w:p>
    <w:p w14:paraId="36812698">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54"/>
      <w:r>
        <w:rPr>
          <w:rFonts w:hint="eastAsia" w:ascii="仿宋" w:hAnsi="仿宋" w:eastAsia="仿宋"/>
          <w:b/>
          <w:color w:val="000000"/>
          <w:sz w:val="32"/>
          <w:szCs w:val="32"/>
        </w:rPr>
        <w:t>（一般公共预算收支表）</w:t>
      </w:r>
    </w:p>
    <w:p w14:paraId="77F7E2C3">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年一般公共预算财政拨款支出</w:t>
      </w:r>
      <w:r>
        <w:rPr>
          <w:rFonts w:hint="eastAsia" w:ascii="仿宋" w:hAnsi="仿宋" w:eastAsia="仿宋"/>
          <w:color w:val="000000"/>
          <w:sz w:val="32"/>
          <w:szCs w:val="32"/>
        </w:rPr>
        <w:t>1,8</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 xml:space="preserve">.35万元，主要用于以下方面: </w:t>
      </w:r>
      <w:r>
        <w:rPr>
          <w:rFonts w:ascii="仿宋" w:hAnsi="仿宋" w:eastAsia="仿宋"/>
          <w:color w:val="000000"/>
          <w:sz w:val="32"/>
          <w:u w:color="auto"/>
        </w:rPr>
        <w:t>教育支出</w:t>
      </w:r>
      <w:r>
        <w:rPr>
          <w:rFonts w:hint="eastAsia" w:ascii="仿宋" w:hAnsi="仿宋" w:eastAsia="仿宋"/>
          <w:color w:val="000000"/>
          <w:sz w:val="32"/>
          <w:u w:color="auto"/>
        </w:rPr>
        <w:t>1,460.39</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77.38</w:t>
      </w:r>
      <w:r>
        <w:rPr>
          <w:rFonts w:ascii="仿宋" w:hAnsi="仿宋" w:eastAsia="仿宋"/>
          <w:color w:val="000000"/>
          <w:sz w:val="32"/>
          <w:u w:color="auto"/>
        </w:rPr>
        <w:t>%；社会保障和就业支出</w:t>
      </w:r>
      <w:r>
        <w:rPr>
          <w:rFonts w:hint="eastAsia" w:ascii="仿宋" w:hAnsi="仿宋" w:eastAsia="仿宋"/>
          <w:color w:val="000000"/>
          <w:sz w:val="32"/>
          <w:u w:color="auto"/>
        </w:rPr>
        <w:t>317.68</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16.83</w:t>
      </w:r>
      <w:r>
        <w:rPr>
          <w:rFonts w:ascii="仿宋" w:hAnsi="仿宋" w:eastAsia="仿宋"/>
          <w:color w:val="000000"/>
          <w:sz w:val="32"/>
          <w:u w:color="auto"/>
        </w:rPr>
        <w:t>%；卫生健康支出</w:t>
      </w:r>
      <w:r>
        <w:rPr>
          <w:rFonts w:hint="eastAsia" w:ascii="仿宋" w:hAnsi="仿宋" w:eastAsia="仿宋"/>
          <w:color w:val="000000"/>
          <w:sz w:val="32"/>
          <w:u w:color="auto"/>
        </w:rPr>
        <w:t>65.28</w:t>
      </w:r>
      <w:r>
        <w:rPr>
          <w:rFonts w:ascii="仿宋" w:hAnsi="仿宋" w:eastAsia="仿宋"/>
          <w:color w:val="000000"/>
          <w:sz w:val="32"/>
          <w:u w:color="auto"/>
        </w:rPr>
        <w:t>万元，占3.</w:t>
      </w:r>
      <w:r>
        <w:rPr>
          <w:rFonts w:hint="eastAsia" w:ascii="仿宋" w:hAnsi="仿宋" w:eastAsia="仿宋"/>
          <w:color w:val="000000"/>
          <w:sz w:val="32"/>
          <w:u w:color="auto"/>
          <w:lang w:val="en-US" w:eastAsia="zh-CN"/>
        </w:rPr>
        <w:t>46</w:t>
      </w:r>
      <w:r>
        <w:rPr>
          <w:rFonts w:ascii="仿宋" w:hAnsi="仿宋" w:eastAsia="仿宋"/>
          <w:color w:val="000000"/>
          <w:sz w:val="32"/>
          <w:u w:color="auto"/>
        </w:rPr>
        <w:t>%；住房保障支出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0</w:t>
      </w:r>
      <w:r>
        <w:rPr>
          <w:rFonts w:ascii="仿宋" w:hAnsi="仿宋" w:eastAsia="仿宋"/>
          <w:color w:val="000000"/>
          <w:sz w:val="32"/>
          <w:u w:color="auto"/>
        </w:rPr>
        <w:t>%</w:t>
      </w:r>
      <w:r>
        <w:rPr>
          <w:rFonts w:hint="eastAsia" w:ascii="仿宋" w:hAnsi="仿宋" w:eastAsia="仿宋"/>
          <w:color w:val="000000"/>
          <w:sz w:val="32"/>
          <w:u w:color="auto"/>
          <w:lang w:eastAsia="zh-CN"/>
        </w:rPr>
        <w:t>，</w:t>
      </w:r>
      <w:r>
        <w:rPr>
          <w:rFonts w:hint="eastAsia" w:ascii="仿宋" w:hAnsi="仿宋" w:eastAsia="仿宋"/>
          <w:color w:val="000000"/>
          <w:sz w:val="32"/>
          <w:u w:color="auto"/>
          <w:lang w:val="en-US" w:eastAsia="zh-CN"/>
        </w:rPr>
        <w:t>其他支出32.00万元，占1.69%</w:t>
      </w:r>
      <w:r>
        <w:rPr>
          <w:rFonts w:ascii="仿宋" w:hAnsi="仿宋" w:eastAsia="仿宋"/>
          <w:color w:val="000000"/>
          <w:sz w:val="32"/>
          <w:u w:color="auto"/>
        </w:rPr>
        <w:t>。</w:t>
      </w:r>
    </w:p>
    <w:p w14:paraId="67441CF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bookmarkStart w:id="55" w:name="_Toc15377212"/>
    </w:p>
    <w:p w14:paraId="7A179672">
      <w:pPr>
        <w:pStyle w:val="5"/>
        <w:rPr>
          <w:rFonts w:hint="eastAsia" w:eastAsiaTheme="minorEastAsia"/>
          <w:lang w:eastAsia="zh-CN"/>
        </w:rPr>
      </w:pPr>
      <w:r>
        <w:rPr>
          <w:rFonts w:hint="eastAsia" w:eastAsiaTheme="minorEastAsia"/>
          <w:lang w:eastAsia="zh-CN"/>
        </w:rPr>
        <w:drawing>
          <wp:inline distT="0" distB="0" distL="114300" distR="114300">
            <wp:extent cx="5256530" cy="2988310"/>
            <wp:effectExtent l="5080" t="4445" r="15240"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281B12">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55"/>
    </w:p>
    <w:p w14:paraId="2C7195BB">
      <w:pPr>
        <w:spacing w:line="600" w:lineRule="exact"/>
        <w:ind w:firstLine="640"/>
        <w:rPr>
          <w:rFonts w:ascii="仿宋" w:hAnsi="仿宋" w:eastAsia="仿宋"/>
          <w:color w:val="000000"/>
          <w:sz w:val="32"/>
          <w:szCs w:val="32"/>
        </w:rPr>
      </w:pPr>
      <w:bookmarkStart w:id="56" w:name="_Toc15377213"/>
      <w:bookmarkStart w:id="57" w:name="_Toc15377444"/>
      <w:bookmarkStart w:id="58" w:name="_Toc15378460"/>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年一般公共预算支出决算数为</w:t>
      </w:r>
      <w:r>
        <w:rPr>
          <w:rFonts w:hint="eastAsia" w:ascii="仿宋" w:hAnsi="仿宋" w:eastAsia="仿宋"/>
          <w:color w:val="000000"/>
          <w:sz w:val="32"/>
          <w:szCs w:val="32"/>
        </w:rPr>
        <w:t>1,8</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.35万元，完成预算100%。其中：</w:t>
      </w:r>
      <w:bookmarkEnd w:id="56"/>
      <w:bookmarkEnd w:id="57"/>
      <w:bookmarkEnd w:id="58"/>
    </w:p>
    <w:p w14:paraId="58C5E5BC">
      <w:pPr>
        <w:numPr>
          <w:ilvl w:val="0"/>
          <w:numId w:val="2"/>
        </w:num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教育支出（205）普通教育（20502）学前教育（2050201）支出决算</w:t>
      </w:r>
      <w:r>
        <w:rPr>
          <w:rFonts w:hint="eastAsia" w:ascii="仿宋" w:hAnsi="仿宋" w:eastAsia="仿宋"/>
          <w:color w:val="000000"/>
          <w:sz w:val="32"/>
          <w:u w:color="auto"/>
        </w:rPr>
        <w:t>23.63</w:t>
      </w:r>
      <w:r>
        <w:rPr>
          <w:rFonts w:hint="eastAsia" w:ascii="仿宋" w:hAnsi="仿宋" w:eastAsia="仿宋"/>
          <w:color w:val="000000"/>
          <w:sz w:val="32"/>
          <w:szCs w:val="32"/>
        </w:rPr>
        <w:t>万元，完成预算</w:t>
      </w:r>
      <w:r>
        <w:rPr>
          <w:rFonts w:hint="eastAsia" w:ascii="仿宋" w:hAnsi="仿宋" w:eastAsia="仿宋"/>
          <w:color w:val="000000"/>
          <w:sz w:val="32"/>
          <w:u w:color="auto"/>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rPr>
        <w:cr/>
      </w:r>
      <w:r>
        <w:rPr>
          <w:rFonts w:hint="eastAsia" w:ascii="仿宋" w:hAnsi="仿宋" w:eastAsia="仿宋"/>
          <w:color w:val="000000"/>
          <w:sz w:val="32"/>
          <w:szCs w:val="32"/>
        </w:rPr>
        <w:t xml:space="preserve">    2.教育支出（205）普通教育（20502）小学教育（2050202）支出决算762.93万元，完成预算100%。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3.教育支出（205）普通教育（20502）初中教育（2050203）支出决算648.10万元，完成预算100%。</w:t>
      </w:r>
    </w:p>
    <w:p w14:paraId="3EF8A075">
      <w:pPr>
        <w:numPr>
          <w:ilvl w:val="0"/>
          <w:numId w:val="0"/>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教育支出（205）普通教育（20502）初中教育（20502</w:t>
      </w:r>
      <w:r>
        <w:rPr>
          <w:rFonts w:hint="eastAsia" w:ascii="仿宋" w:hAnsi="仿宋" w:eastAsia="仿宋"/>
          <w:color w:val="000000"/>
          <w:sz w:val="32"/>
          <w:szCs w:val="32"/>
          <w:lang w:val="en-US" w:eastAsia="zh-CN"/>
        </w:rPr>
        <w:t>99</w:t>
      </w:r>
      <w:r>
        <w:rPr>
          <w:rFonts w:hint="eastAsia" w:ascii="仿宋" w:hAnsi="仿宋" w:eastAsia="仿宋"/>
          <w:color w:val="000000"/>
          <w:sz w:val="32"/>
          <w:szCs w:val="32"/>
        </w:rPr>
        <w:t>）支出决算25.73万元，完成预算100%。</w:t>
      </w:r>
    </w:p>
    <w:p w14:paraId="09AF15D5">
      <w:pPr>
        <w:numPr>
          <w:ilvl w:val="0"/>
          <w:numId w:val="0"/>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.社会保障和就业支出（208）行政事业单位养老支出（20805）事业单位离退休（2080502）支出决算28.54万元，完成预算100%。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.社会保障和就业支出（208）行政事业单位养老支出（20805）机关事业单位基本养老保险缴费支出（2080505）支出决算91.81万元，完成预算100%。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.社会保障和就业支出（208）行政事业单位养老支出（20805）机关事业单位职业年金缴费支出（20805</w:t>
      </w:r>
      <w:r>
        <w:rPr>
          <w:rFonts w:hint="eastAsia" w:ascii="仿宋" w:hAnsi="仿宋" w:eastAsia="仿宋"/>
          <w:color w:val="000000"/>
          <w:sz w:val="32"/>
          <w:szCs w:val="32"/>
          <w:lang w:val="en-US" w:eastAsia="zh-CN"/>
        </w:rPr>
        <w:t>06</w:t>
      </w:r>
      <w:r>
        <w:rPr>
          <w:rFonts w:hint="eastAsia" w:ascii="仿宋" w:hAnsi="仿宋" w:eastAsia="仿宋"/>
          <w:color w:val="000000"/>
          <w:sz w:val="32"/>
          <w:szCs w:val="32"/>
        </w:rPr>
        <w:t>）支出决算20.63万元，完成预算100%。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.社会保障和就业支出（208）其他行政事业单位养老支出（208</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）其他行政事业单位养老支出（208</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99）支出决算150.30万元，完成预算100%。</w:t>
      </w:r>
    </w:p>
    <w:p w14:paraId="2B436CC1">
      <w:pPr>
        <w:numPr>
          <w:ilvl w:val="0"/>
          <w:numId w:val="0"/>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社会保障和就业支出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208</w:t>
      </w:r>
      <w:r>
        <w:rPr>
          <w:rFonts w:hint="eastAsia" w:ascii="仿宋" w:hAnsi="仿宋" w:eastAsia="仿宋"/>
          <w:color w:val="000000"/>
          <w:sz w:val="32"/>
          <w:szCs w:val="32"/>
          <w:lang w:eastAsia="zh-CN"/>
        </w:rPr>
        <w:t>）</w:t>
      </w:r>
      <w:r>
        <w:rPr>
          <w:rFonts w:hint="eastAsia" w:ascii="仿宋" w:hAnsi="仿宋" w:eastAsia="仿宋"/>
          <w:color w:val="000000"/>
          <w:sz w:val="32"/>
          <w:szCs w:val="32"/>
        </w:rPr>
        <w:t>抚恤</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20808</w:t>
      </w:r>
      <w:r>
        <w:rPr>
          <w:rFonts w:hint="eastAsia" w:ascii="仿宋" w:hAnsi="仿宋" w:eastAsia="仿宋"/>
          <w:color w:val="000000"/>
          <w:sz w:val="32"/>
          <w:szCs w:val="32"/>
          <w:lang w:eastAsia="zh-CN"/>
        </w:rPr>
        <w:t>）死亡抚恤支出（</w:t>
      </w:r>
      <w:r>
        <w:rPr>
          <w:rFonts w:hint="eastAsia" w:ascii="仿宋" w:hAnsi="仿宋" w:eastAsia="仿宋"/>
          <w:color w:val="000000"/>
          <w:sz w:val="32"/>
          <w:szCs w:val="32"/>
          <w:lang w:val="en-US" w:eastAsia="zh-CN"/>
        </w:rPr>
        <w:t>2080801</w:t>
      </w:r>
      <w:r>
        <w:rPr>
          <w:rFonts w:hint="eastAsia" w:ascii="仿宋" w:hAnsi="仿宋" w:eastAsia="仿宋"/>
          <w:color w:val="000000"/>
          <w:sz w:val="32"/>
          <w:szCs w:val="32"/>
          <w:lang w:eastAsia="zh-CN"/>
        </w:rPr>
        <w:t>）支出决算26.40</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.卫生健康支出（210）行政事业单位医疗（21011）事业单位医疗（2101102）支出决算65.28万元，完成预算100%。</w:t>
      </w:r>
    </w:p>
    <w:p w14:paraId="2AB4D73F">
      <w:pPr>
        <w:numPr>
          <w:ilvl w:val="0"/>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11.其他支出（229）其他支出（22999）其他支出（2299999）支出决算32.00万元，</w:t>
      </w:r>
      <w:r>
        <w:rPr>
          <w:rFonts w:hint="eastAsia" w:ascii="仿宋" w:hAnsi="仿宋" w:eastAsia="仿宋"/>
          <w:color w:val="000000"/>
          <w:sz w:val="32"/>
          <w:szCs w:val="32"/>
        </w:rPr>
        <w:t>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14:paraId="3D73E605">
      <w:pPr>
        <w:pStyle w:val="3"/>
        <w:ind w:firstLine="643" w:firstLineChars="200"/>
        <w:rPr>
          <w:rFonts w:ascii="黑体" w:eastAsia="黑体" w:cs="Times New Roman"/>
          <w:b w:val="0"/>
          <w:color w:val="000000"/>
        </w:rPr>
      </w:pPr>
      <w:bookmarkStart w:id="59" w:name="_Toc15377214"/>
      <w:bookmarkStart w:id="60" w:name="_Toc25675"/>
      <w:bookmarkStart w:id="61" w:name="_Toc111208504"/>
      <w:r>
        <w:rPr>
          <w:rFonts w:hint="eastAsia" w:ascii="黑体" w:eastAsia="黑体" w:cs="Times New Roman"/>
          <w:bCs w:val="0"/>
          <w:color w:val="000000"/>
        </w:rPr>
        <w:t>六、一般公共预算财政拨款基本支出决算情况说</w:t>
      </w:r>
      <w:bookmarkEnd w:id="59"/>
      <w:r>
        <w:rPr>
          <w:rFonts w:hint="eastAsia" w:ascii="黑体" w:eastAsia="黑体" w:cs="Times New Roman"/>
          <w:bCs w:val="0"/>
          <w:color w:val="000000"/>
        </w:rPr>
        <w:t>明</w:t>
      </w:r>
      <w:bookmarkEnd w:id="60"/>
      <w:bookmarkEnd w:id="61"/>
    </w:p>
    <w:p w14:paraId="221A1533">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年一般公共预算财政拨款基本支出</w:t>
      </w:r>
      <w:r>
        <w:rPr>
          <w:rFonts w:hint="eastAsia" w:ascii="仿宋" w:hAnsi="仿宋" w:eastAsia="仿宋"/>
          <w:color w:val="000000"/>
          <w:sz w:val="32"/>
          <w:szCs w:val="32"/>
        </w:rPr>
        <w:t>1,8</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.35万元，其</w:t>
      </w:r>
      <w:r>
        <w:rPr>
          <w:rFonts w:hint="eastAsia" w:ascii="仿宋" w:hAnsi="仿宋" w:eastAsia="仿宋"/>
          <w:color w:val="000000" w:themeColor="text1"/>
          <w:sz w:val="32"/>
          <w:szCs w:val="32"/>
          <w14:textFill>
            <w14:solidFill>
              <w14:schemeClr w14:val="tx1"/>
            </w14:solidFill>
          </w14:textFill>
        </w:rPr>
        <w:t>中：</w:t>
      </w:r>
    </w:p>
    <w:p w14:paraId="5494E3CF">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人员经费</w:t>
      </w:r>
      <w:r>
        <w:rPr>
          <w:rFonts w:hint="eastAsia" w:ascii="仿宋" w:hAnsi="仿宋" w:eastAsia="仿宋"/>
          <w:color w:val="000000" w:themeColor="text1"/>
          <w:sz w:val="32"/>
          <w:u w:color="auto"/>
          <w14:textFill>
            <w14:solidFill>
              <w14:schemeClr w14:val="tx1"/>
            </w14:solidFill>
          </w14:textFill>
        </w:rPr>
        <w:t>1,448.76</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color w:val="000000" w:themeColor="text1"/>
          <w:sz w:val="32"/>
          <w:u w:color="auto"/>
          <w14:textFill>
            <w14:solidFill>
              <w14:schemeClr w14:val="tx1"/>
            </w14:solidFill>
          </w14:textFill>
        </w:rPr>
        <w:t>基本工资</w:t>
      </w:r>
      <w:r>
        <w:rPr>
          <w:rFonts w:hint="eastAsia" w:ascii="仿宋" w:hAnsi="仿宋" w:eastAsia="仿宋"/>
          <w:color w:val="000000" w:themeColor="text1"/>
          <w:sz w:val="32"/>
          <w:u w:color="auto"/>
          <w14:textFill>
            <w14:solidFill>
              <w14:schemeClr w14:val="tx1"/>
            </w14:solidFill>
          </w14:textFill>
        </w:rPr>
        <w:t>439.29</w:t>
      </w:r>
      <w:r>
        <w:rPr>
          <w:rFonts w:ascii="仿宋" w:hAnsi="仿宋" w:eastAsia="仿宋"/>
          <w:color w:val="000000" w:themeColor="text1"/>
          <w:sz w:val="32"/>
          <w:u w:color="auto"/>
          <w14:textFill>
            <w14:solidFill>
              <w14:schemeClr w14:val="tx1"/>
            </w14:solidFill>
          </w14:textFill>
        </w:rPr>
        <w:t>万元、津贴补贴</w:t>
      </w:r>
      <w:r>
        <w:rPr>
          <w:rFonts w:hint="eastAsia" w:ascii="仿宋" w:hAnsi="仿宋" w:eastAsia="仿宋"/>
          <w:color w:val="000000" w:themeColor="text1"/>
          <w:sz w:val="32"/>
          <w:u w:color="auto"/>
          <w14:textFill>
            <w14:solidFill>
              <w14:schemeClr w14:val="tx1"/>
            </w14:solidFill>
          </w14:textFill>
        </w:rPr>
        <w:t>142.70</w:t>
      </w:r>
      <w:r>
        <w:rPr>
          <w:rFonts w:ascii="仿宋" w:hAnsi="仿宋" w:eastAsia="仿宋"/>
          <w:color w:val="000000" w:themeColor="text1"/>
          <w:sz w:val="32"/>
          <w:u w:color="auto"/>
          <w14:textFill>
            <w14:solidFill>
              <w14:schemeClr w14:val="tx1"/>
            </w14:solidFill>
          </w14:textFill>
        </w:rPr>
        <w:t>万元、绩效工资</w:t>
      </w:r>
      <w:r>
        <w:rPr>
          <w:rFonts w:hint="eastAsia" w:ascii="仿宋" w:hAnsi="仿宋" w:eastAsia="仿宋"/>
          <w:color w:val="000000" w:themeColor="text1"/>
          <w:sz w:val="32"/>
          <w:u w:color="auto"/>
          <w14:textFill>
            <w14:solidFill>
              <w14:schemeClr w14:val="tx1"/>
            </w14:solidFill>
          </w14:textFill>
        </w:rPr>
        <w:t>372.98</w:t>
      </w:r>
      <w:r>
        <w:rPr>
          <w:rFonts w:ascii="仿宋" w:hAnsi="仿宋" w:eastAsia="仿宋"/>
          <w:color w:val="000000" w:themeColor="text1"/>
          <w:sz w:val="32"/>
          <w:u w:color="auto"/>
          <w14:textFill>
            <w14:solidFill>
              <w14:schemeClr w14:val="tx1"/>
            </w14:solidFill>
          </w14:textFill>
        </w:rPr>
        <w:t>万元、机关事业单位基本养老保险缴费</w:t>
      </w:r>
      <w:r>
        <w:rPr>
          <w:rFonts w:hint="eastAsia" w:ascii="仿宋" w:hAnsi="仿宋" w:eastAsia="仿宋"/>
          <w:color w:val="000000" w:themeColor="text1"/>
          <w:sz w:val="32"/>
          <w:u w:color="auto"/>
          <w14:textFill>
            <w14:solidFill>
              <w14:schemeClr w14:val="tx1"/>
            </w14:solidFill>
          </w14:textFill>
        </w:rPr>
        <w:t>91.81</w:t>
      </w:r>
      <w:r>
        <w:rPr>
          <w:rFonts w:ascii="仿宋" w:hAnsi="仿宋" w:eastAsia="仿宋"/>
          <w:color w:val="000000" w:themeColor="text1"/>
          <w:sz w:val="32"/>
          <w:u w:color="auto"/>
          <w14:textFill>
            <w14:solidFill>
              <w14:schemeClr w14:val="tx1"/>
            </w14:solidFill>
          </w14:textFill>
        </w:rPr>
        <w:t>万元、</w:t>
      </w:r>
      <w:r>
        <w:rPr>
          <w:rFonts w:hint="eastAsia" w:ascii="仿宋" w:hAnsi="仿宋" w:eastAsia="仿宋"/>
          <w:color w:val="000000" w:themeColor="text1"/>
          <w:sz w:val="32"/>
          <w:u w:color="auto"/>
          <w:lang w:eastAsia="zh-CN"/>
          <w14:textFill>
            <w14:solidFill>
              <w14:schemeClr w14:val="tx1"/>
            </w14:solidFill>
          </w14:textFill>
        </w:rPr>
        <w:t>职业年金缴费20.63万元、</w:t>
      </w:r>
      <w:r>
        <w:rPr>
          <w:rFonts w:ascii="仿宋" w:hAnsi="仿宋" w:eastAsia="仿宋"/>
          <w:color w:val="000000" w:themeColor="text1"/>
          <w:sz w:val="32"/>
          <w:u w:color="auto"/>
          <w14:textFill>
            <w14:solidFill>
              <w14:schemeClr w14:val="tx1"/>
            </w14:solidFill>
          </w14:textFill>
        </w:rPr>
        <w:t>职工基本医疗保险缴费</w:t>
      </w:r>
      <w:r>
        <w:rPr>
          <w:rFonts w:hint="eastAsia" w:ascii="仿宋" w:hAnsi="仿宋" w:eastAsia="仿宋"/>
          <w:color w:val="000000" w:themeColor="text1"/>
          <w:sz w:val="32"/>
          <w:u w:color="auto"/>
          <w14:textFill>
            <w14:solidFill>
              <w14:schemeClr w14:val="tx1"/>
            </w14:solidFill>
          </w14:textFill>
        </w:rPr>
        <w:t>65.28</w:t>
      </w:r>
      <w:r>
        <w:rPr>
          <w:rFonts w:ascii="仿宋" w:hAnsi="仿宋" w:eastAsia="仿宋"/>
          <w:color w:val="000000" w:themeColor="text1"/>
          <w:sz w:val="32"/>
          <w:u w:color="auto"/>
          <w14:textFill>
            <w14:solidFill>
              <w14:schemeClr w14:val="tx1"/>
            </w14:solidFill>
          </w14:textFill>
        </w:rPr>
        <w:t>万元、退休费</w:t>
      </w:r>
      <w:r>
        <w:rPr>
          <w:rFonts w:hint="eastAsia" w:ascii="仿宋" w:hAnsi="仿宋" w:eastAsia="仿宋"/>
          <w:color w:val="000000" w:themeColor="text1"/>
          <w:sz w:val="32"/>
          <w:u w:color="auto"/>
          <w14:textFill>
            <w14:solidFill>
              <w14:schemeClr w14:val="tx1"/>
            </w14:solidFill>
          </w14:textFill>
        </w:rPr>
        <w:t>28.54</w:t>
      </w:r>
      <w:r>
        <w:rPr>
          <w:rFonts w:ascii="仿宋" w:hAnsi="仿宋" w:eastAsia="仿宋"/>
          <w:color w:val="000000" w:themeColor="text1"/>
          <w:sz w:val="32"/>
          <w:u w:color="auto"/>
          <w14:textFill>
            <w14:solidFill>
              <w14:schemeClr w14:val="tx1"/>
            </w14:solidFill>
          </w14:textFill>
        </w:rPr>
        <w:t>万元、</w:t>
      </w:r>
      <w:r>
        <w:rPr>
          <w:rFonts w:hint="eastAsia" w:ascii="仿宋" w:hAnsi="仿宋" w:eastAsia="仿宋"/>
          <w:color w:val="000000" w:themeColor="text1"/>
          <w:sz w:val="32"/>
          <w:u w:color="auto"/>
          <w:lang w:eastAsia="zh-CN"/>
          <w14:textFill>
            <w14:solidFill>
              <w14:schemeClr w14:val="tx1"/>
            </w14:solidFill>
          </w14:textFill>
        </w:rPr>
        <w:t>抚恤金26.40万元、</w:t>
      </w:r>
      <w:r>
        <w:rPr>
          <w:rFonts w:ascii="仿宋" w:hAnsi="仿宋" w:eastAsia="仿宋"/>
          <w:color w:val="000000" w:themeColor="text1"/>
          <w:sz w:val="32"/>
          <w:u w:color="auto"/>
          <w14:textFill>
            <w14:solidFill>
              <w14:schemeClr w14:val="tx1"/>
            </w14:solidFill>
          </w14:textFill>
        </w:rPr>
        <w:t>生活补助</w:t>
      </w:r>
      <w:r>
        <w:rPr>
          <w:rFonts w:hint="eastAsia" w:ascii="仿宋" w:hAnsi="仿宋" w:eastAsia="仿宋"/>
          <w:color w:val="000000" w:themeColor="text1"/>
          <w:sz w:val="32"/>
          <w:u w:color="auto"/>
          <w14:textFill>
            <w14:solidFill>
              <w14:schemeClr w14:val="tx1"/>
            </w14:solidFill>
          </w14:textFill>
        </w:rPr>
        <w:t>261.0</w:t>
      </w:r>
      <w:r>
        <w:rPr>
          <w:rFonts w:hint="eastAsia" w:ascii="仿宋" w:hAnsi="仿宋" w:eastAsia="仿宋"/>
          <w:color w:val="000000" w:themeColor="text1"/>
          <w:sz w:val="32"/>
          <w:u w:color="auto"/>
          <w:lang w:val="en-US" w:eastAsia="zh-CN"/>
          <w14:textFill>
            <w14:solidFill>
              <w14:schemeClr w14:val="tx1"/>
            </w14:solidFill>
          </w14:textFill>
        </w:rPr>
        <w:t>4</w:t>
      </w:r>
      <w:r>
        <w:rPr>
          <w:rFonts w:ascii="仿宋" w:hAnsi="仿宋" w:eastAsia="仿宋"/>
          <w:color w:val="000000" w:themeColor="text1"/>
          <w:sz w:val="32"/>
          <w:u w:color="auto"/>
          <w14:textFill>
            <w14:solidFill>
              <w14:schemeClr w14:val="tx1"/>
            </w14:solidFill>
          </w14:textFill>
        </w:rPr>
        <w:t>万元、奖励金</w:t>
      </w:r>
      <w:r>
        <w:rPr>
          <w:rFonts w:hint="eastAsia" w:ascii="仿宋" w:hAnsi="仿宋" w:eastAsia="仿宋"/>
          <w:color w:val="000000" w:themeColor="text1"/>
          <w:sz w:val="32"/>
          <w:u w:color="auto"/>
          <w14:textFill>
            <w14:solidFill>
              <w14:schemeClr w14:val="tx1"/>
            </w14:solidFill>
          </w14:textFill>
        </w:rPr>
        <w:t>0.09</w:t>
      </w:r>
      <w:r>
        <w:rPr>
          <w:rFonts w:ascii="仿宋" w:hAnsi="仿宋" w:eastAsia="仿宋"/>
          <w:color w:val="000000" w:themeColor="text1"/>
          <w:sz w:val="32"/>
          <w:u w:color="auto"/>
          <w14:textFill>
            <w14:solidFill>
              <w14:schemeClr w14:val="tx1"/>
            </w14:solidFill>
          </w14:textFill>
        </w:rPr>
        <w:t>万元。</w:t>
      </w:r>
    </w:p>
    <w:p w14:paraId="7C69883F">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w:t>
      </w:r>
      <w:r>
        <w:rPr>
          <w:rFonts w:hint="eastAsia" w:ascii="仿宋" w:hAnsi="仿宋" w:eastAsia="仿宋"/>
          <w:color w:val="000000" w:themeColor="text1"/>
          <w:sz w:val="32"/>
          <w:u w:color="auto"/>
          <w:lang w:val="en-US" w:eastAsia="zh-CN"/>
          <w14:textFill>
            <w14:solidFill>
              <w14:schemeClr w14:val="tx1"/>
            </w14:solidFill>
          </w14:textFill>
        </w:rPr>
        <w:t>299.76</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color w:val="000000" w:themeColor="text1"/>
          <w:sz w:val="32"/>
          <w:u w:color="auto"/>
          <w14:textFill>
            <w14:solidFill>
              <w14:schemeClr w14:val="tx1"/>
            </w14:solidFill>
          </w14:textFill>
        </w:rPr>
        <w:t>办公费</w:t>
      </w:r>
      <w:r>
        <w:rPr>
          <w:rFonts w:hint="eastAsia" w:ascii="仿宋" w:hAnsi="仿宋" w:eastAsia="仿宋"/>
          <w:color w:val="000000" w:themeColor="text1"/>
          <w:sz w:val="32"/>
          <w:u w:color="auto"/>
          <w14:textFill>
            <w14:solidFill>
              <w14:schemeClr w14:val="tx1"/>
            </w14:solidFill>
          </w14:textFill>
        </w:rPr>
        <w:t>236.9</w:t>
      </w:r>
      <w:r>
        <w:rPr>
          <w:rFonts w:hint="eastAsia" w:ascii="仿宋" w:hAnsi="仿宋" w:eastAsia="仿宋"/>
          <w:color w:val="000000" w:themeColor="text1"/>
          <w:sz w:val="32"/>
          <w:u w:color="auto"/>
          <w:lang w:val="en-US" w:eastAsia="zh-CN"/>
          <w14:textFill>
            <w14:solidFill>
              <w14:schemeClr w14:val="tx1"/>
            </w14:solidFill>
          </w14:textFill>
        </w:rPr>
        <w:t>6</w:t>
      </w:r>
      <w:r>
        <w:rPr>
          <w:rFonts w:ascii="仿宋" w:hAnsi="仿宋" w:eastAsia="仿宋"/>
          <w:color w:val="000000" w:themeColor="text1"/>
          <w:sz w:val="32"/>
          <w:u w:color="auto"/>
          <w14:textFill>
            <w14:solidFill>
              <w14:schemeClr w14:val="tx1"/>
            </w14:solidFill>
          </w14:textFill>
        </w:rPr>
        <w:t>万元、水费</w:t>
      </w:r>
      <w:r>
        <w:rPr>
          <w:rFonts w:hint="eastAsia" w:ascii="仿宋" w:hAnsi="仿宋" w:eastAsia="仿宋"/>
          <w:color w:val="000000" w:themeColor="text1"/>
          <w:sz w:val="32"/>
          <w:u w:color="auto"/>
          <w14:textFill>
            <w14:solidFill>
              <w14:schemeClr w14:val="tx1"/>
            </w14:solidFill>
          </w14:textFill>
        </w:rPr>
        <w:t>0.46</w:t>
      </w:r>
      <w:r>
        <w:rPr>
          <w:rFonts w:ascii="仿宋" w:hAnsi="仿宋" w:eastAsia="仿宋"/>
          <w:color w:val="000000" w:themeColor="text1"/>
          <w:sz w:val="32"/>
          <w:u w:color="auto"/>
          <w14:textFill>
            <w14:solidFill>
              <w14:schemeClr w14:val="tx1"/>
            </w14:solidFill>
          </w14:textFill>
        </w:rPr>
        <w:t>万元、电费</w:t>
      </w:r>
      <w:r>
        <w:rPr>
          <w:rFonts w:hint="eastAsia" w:ascii="仿宋" w:hAnsi="仿宋" w:eastAsia="仿宋"/>
          <w:color w:val="000000" w:themeColor="text1"/>
          <w:sz w:val="32"/>
          <w:u w:color="auto"/>
          <w14:textFill>
            <w14:solidFill>
              <w14:schemeClr w14:val="tx1"/>
            </w14:solidFill>
          </w14:textFill>
        </w:rPr>
        <w:t>1.23</w:t>
      </w:r>
      <w:r>
        <w:rPr>
          <w:rFonts w:ascii="仿宋" w:hAnsi="仿宋" w:eastAsia="仿宋"/>
          <w:color w:val="000000" w:themeColor="text1"/>
          <w:sz w:val="32"/>
          <w:u w:color="auto"/>
          <w14:textFill>
            <w14:solidFill>
              <w14:schemeClr w14:val="tx1"/>
            </w14:solidFill>
          </w14:textFill>
        </w:rPr>
        <w:t>万元、工会经费</w:t>
      </w:r>
      <w:r>
        <w:rPr>
          <w:rFonts w:hint="eastAsia" w:ascii="仿宋" w:hAnsi="仿宋" w:eastAsia="仿宋"/>
          <w:color w:val="000000" w:themeColor="text1"/>
          <w:sz w:val="32"/>
          <w:u w:color="auto"/>
          <w14:textFill>
            <w14:solidFill>
              <w14:schemeClr w14:val="tx1"/>
            </w14:solidFill>
          </w14:textFill>
        </w:rPr>
        <w:t>18.33</w:t>
      </w:r>
      <w:r>
        <w:rPr>
          <w:rFonts w:ascii="仿宋" w:hAnsi="仿宋" w:eastAsia="仿宋"/>
          <w:color w:val="000000" w:themeColor="text1"/>
          <w:sz w:val="32"/>
          <w:u w:color="auto"/>
          <w14:textFill>
            <w14:solidFill>
              <w14:schemeClr w14:val="tx1"/>
            </w14:solidFill>
          </w14:textFill>
        </w:rPr>
        <w:t>万元、福利费</w:t>
      </w:r>
      <w:r>
        <w:rPr>
          <w:rFonts w:hint="eastAsia" w:ascii="仿宋" w:hAnsi="仿宋" w:eastAsia="仿宋"/>
          <w:color w:val="000000" w:themeColor="text1"/>
          <w:sz w:val="32"/>
          <w:u w:color="auto"/>
          <w14:textFill>
            <w14:solidFill>
              <w14:schemeClr w14:val="tx1"/>
            </w14:solidFill>
          </w14:textFill>
        </w:rPr>
        <w:t>42.7</w:t>
      </w:r>
      <w:r>
        <w:rPr>
          <w:rFonts w:hint="eastAsia" w:ascii="仿宋" w:hAnsi="仿宋" w:eastAsia="仿宋"/>
          <w:color w:val="000000" w:themeColor="text1"/>
          <w:sz w:val="32"/>
          <w:u w:color="auto"/>
          <w:lang w:val="en-US" w:eastAsia="zh-CN"/>
          <w14:textFill>
            <w14:solidFill>
              <w14:schemeClr w14:val="tx1"/>
            </w14:solidFill>
          </w14:textFill>
        </w:rPr>
        <w:t>8</w:t>
      </w:r>
      <w:r>
        <w:rPr>
          <w:rFonts w:ascii="仿宋" w:hAnsi="仿宋" w:eastAsia="仿宋"/>
          <w:color w:val="000000" w:themeColor="text1"/>
          <w:sz w:val="32"/>
          <w:u w:color="auto"/>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p>
    <w:p w14:paraId="67E55CAC">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项目支出：126.83万元。</w:t>
      </w:r>
    </w:p>
    <w:p w14:paraId="4DF0F312">
      <w:pPr>
        <w:pStyle w:val="3"/>
        <w:pageBreakBefore w:val="0"/>
        <w:widowControl w:val="0"/>
        <w:kinsoku/>
        <w:wordWrap/>
        <w:overflowPunct/>
        <w:topLinePunct w:val="0"/>
        <w:autoSpaceDE/>
        <w:autoSpaceDN/>
        <w:bidi w:val="0"/>
        <w:adjustRightInd/>
        <w:snapToGrid/>
        <w:spacing w:line="240" w:lineRule="auto"/>
        <w:ind w:firstLine="482" w:firstLineChars="150"/>
        <w:textAlignment w:val="auto"/>
        <w:rPr>
          <w:rFonts w:ascii="黑体" w:eastAsia="黑体" w:cs="Times New Roman"/>
          <w:bCs w:val="0"/>
          <w:color w:val="000000" w:themeColor="text1"/>
          <w14:textFill>
            <w14:solidFill>
              <w14:schemeClr w14:val="tx1"/>
            </w14:solidFill>
          </w14:textFill>
        </w:rPr>
      </w:pPr>
      <w:bookmarkStart w:id="62" w:name="_Toc111208505"/>
      <w:bookmarkStart w:id="63" w:name="_Toc15377215"/>
      <w:bookmarkStart w:id="64" w:name="_Toc19176"/>
      <w:r>
        <w:rPr>
          <w:rFonts w:hint="eastAsia" w:ascii="黑体" w:eastAsia="黑体" w:cs="Times New Roman"/>
          <w:bCs w:val="0"/>
          <w:color w:val="000000" w:themeColor="text1"/>
          <w14:textFill>
            <w14:solidFill>
              <w14:schemeClr w14:val="tx1"/>
            </w14:solidFill>
          </w14:textFill>
        </w:rPr>
        <w:t>七、“三公”经费财政拨款支出决算情况说明</w:t>
      </w:r>
      <w:bookmarkEnd w:id="62"/>
      <w:bookmarkEnd w:id="63"/>
      <w:bookmarkEnd w:id="64"/>
    </w:p>
    <w:p w14:paraId="1A23DA0C">
      <w:pPr>
        <w:pageBreakBefore w:val="0"/>
        <w:widowControl w:val="0"/>
        <w:kinsoku/>
        <w:wordWrap/>
        <w:overflowPunct/>
        <w:topLinePunct w:val="0"/>
        <w:autoSpaceDE/>
        <w:autoSpaceDN/>
        <w:bidi w:val="0"/>
        <w:adjustRightInd/>
        <w:snapToGrid/>
        <w:spacing w:line="240" w:lineRule="auto"/>
        <w:ind w:firstLine="482" w:firstLineChars="150"/>
        <w:textAlignment w:val="auto"/>
        <w:outlineLvl w:val="2"/>
        <w:rPr>
          <w:rFonts w:ascii="仿宋" w:hAnsi="仿宋" w:eastAsia="仿宋"/>
          <w:b/>
          <w:color w:val="000000"/>
          <w:sz w:val="32"/>
          <w:szCs w:val="32"/>
        </w:rPr>
      </w:pPr>
      <w:bookmarkStart w:id="65" w:name="_Toc15377216"/>
      <w:r>
        <w:rPr>
          <w:rFonts w:hint="eastAsia" w:ascii="仿宋" w:hAnsi="仿宋" w:eastAsia="仿宋"/>
          <w:b/>
          <w:color w:val="000000"/>
          <w:sz w:val="32"/>
          <w:szCs w:val="32"/>
        </w:rPr>
        <w:t>（一）“三公”经费财政拨款支出决算总体情况说明</w:t>
      </w:r>
      <w:bookmarkEnd w:id="65"/>
    </w:p>
    <w:p w14:paraId="7A32DA1D">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年“三公”经费财政拨款支出决算为</w:t>
      </w:r>
      <w:r>
        <w:rPr>
          <w:rFonts w:hint="eastAsia" w:ascii="仿宋" w:hAnsi="仿宋" w:eastAsia="仿宋"/>
          <w:color w:val="000000"/>
          <w:sz w:val="32"/>
          <w:u w:color="auto"/>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u w:color="auto"/>
          <w:lang w:val="en-US" w:eastAsia="zh-CN"/>
        </w:rPr>
        <w:t>0</w:t>
      </w:r>
      <w:r>
        <w:rPr>
          <w:rFonts w:hint="eastAsia" w:ascii="仿宋" w:hAnsi="仿宋" w:eastAsia="仿宋"/>
          <w:color w:val="000000"/>
          <w:sz w:val="32"/>
          <w:szCs w:val="32"/>
        </w:rPr>
        <w:t>%。</w:t>
      </w:r>
      <w:bookmarkStart w:id="66" w:name="_Toc15377217"/>
    </w:p>
    <w:p w14:paraId="4E22B3A9">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66"/>
    </w:p>
    <w:p w14:paraId="438D62C3">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年“三公”经费财政拨款支出</w:t>
      </w:r>
      <w:r>
        <w:rPr>
          <w:rFonts w:hint="eastAsia" w:ascii="仿宋" w:hAnsi="仿宋" w:eastAsia="仿宋"/>
          <w:color w:val="000000"/>
          <w:sz w:val="32"/>
          <w:u w:color="auto"/>
          <w:lang w:val="en-US" w:eastAsia="zh-CN"/>
        </w:rPr>
        <w:t>0</w:t>
      </w:r>
      <w:r>
        <w:rPr>
          <w:rFonts w:hint="eastAsia" w:ascii="仿宋" w:hAnsi="仿宋" w:eastAsia="仿宋"/>
          <w:color w:val="000000"/>
          <w:sz w:val="32"/>
          <w:szCs w:val="32"/>
        </w:rPr>
        <w:t>万元，因公出国（境）费支出决算</w:t>
      </w:r>
      <w:r>
        <w:rPr>
          <w:rFonts w:ascii="仿宋" w:hAnsi="仿宋" w:eastAsia="仿宋"/>
          <w:color w:val="000000"/>
          <w:sz w:val="32"/>
          <w:u w:color="auto"/>
        </w:rPr>
        <w:t>0.00</w:t>
      </w:r>
      <w:r>
        <w:rPr>
          <w:rFonts w:hint="eastAsia" w:ascii="仿宋" w:hAnsi="仿宋" w:eastAsia="仿宋"/>
          <w:color w:val="000000"/>
          <w:sz w:val="32"/>
          <w:szCs w:val="32"/>
        </w:rPr>
        <w:t>万元，占</w:t>
      </w:r>
      <w:r>
        <w:rPr>
          <w:rFonts w:ascii="仿宋" w:hAnsi="仿宋" w:eastAsia="仿宋"/>
          <w:color w:val="000000"/>
          <w:sz w:val="32"/>
          <w:u w:color="auto"/>
        </w:rPr>
        <w:t>0.00</w:t>
      </w:r>
      <w:r>
        <w:rPr>
          <w:rFonts w:hint="eastAsia" w:ascii="仿宋" w:hAnsi="仿宋" w:eastAsia="仿宋"/>
          <w:color w:val="000000"/>
          <w:sz w:val="32"/>
          <w:szCs w:val="32"/>
        </w:rPr>
        <w:t>%；公务用车购置及运行维护费支出决算</w:t>
      </w:r>
      <w:r>
        <w:rPr>
          <w:rFonts w:ascii="仿宋" w:hAnsi="仿宋" w:eastAsia="仿宋"/>
          <w:color w:val="000000"/>
          <w:sz w:val="32"/>
          <w:u w:color="auto"/>
        </w:rPr>
        <w:t>0.00</w:t>
      </w:r>
      <w:r>
        <w:rPr>
          <w:rFonts w:hint="eastAsia" w:ascii="仿宋" w:hAnsi="仿宋" w:eastAsia="仿宋"/>
          <w:color w:val="000000"/>
          <w:sz w:val="32"/>
          <w:szCs w:val="32"/>
        </w:rPr>
        <w:t>万元，占</w:t>
      </w:r>
      <w:r>
        <w:rPr>
          <w:rFonts w:ascii="仿宋" w:hAnsi="仿宋" w:eastAsia="仿宋"/>
          <w:color w:val="000000"/>
          <w:sz w:val="32"/>
          <w:u w:color="auto"/>
        </w:rPr>
        <w:t>0.00</w:t>
      </w:r>
      <w:r>
        <w:rPr>
          <w:rFonts w:hint="eastAsia" w:ascii="仿宋" w:hAnsi="仿宋" w:eastAsia="仿宋"/>
          <w:color w:val="000000"/>
          <w:sz w:val="32"/>
          <w:szCs w:val="32"/>
        </w:rPr>
        <w:t>%；公务接待费支出决算</w:t>
      </w:r>
      <w:r>
        <w:rPr>
          <w:rFonts w:hint="eastAsia" w:ascii="仿宋" w:hAnsi="仿宋" w:eastAsia="仿宋"/>
          <w:color w:val="000000"/>
          <w:sz w:val="32"/>
          <w:u w:color="auto"/>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u w:color="auto"/>
          <w:lang w:val="en-US" w:eastAsia="zh-CN"/>
        </w:rPr>
        <w:t>0</w:t>
      </w:r>
      <w:r>
        <w:rPr>
          <w:rFonts w:hint="eastAsia" w:ascii="仿宋" w:hAnsi="仿宋" w:eastAsia="仿宋"/>
          <w:color w:val="000000"/>
          <w:sz w:val="32"/>
          <w:szCs w:val="32"/>
        </w:rPr>
        <w:t>%。具体情况如下：</w:t>
      </w:r>
    </w:p>
    <w:p w14:paraId="0EBB647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14:paraId="68329052">
      <w:pPr>
        <w:pStyle w:val="5"/>
        <w:rPr>
          <w:rFonts w:ascii="仿宋_GB2312" w:hAnsi="仿宋" w:eastAsia="仿宋_GB2312"/>
          <w:color w:val="000000"/>
          <w:sz w:val="32"/>
          <w:szCs w:val="32"/>
        </w:rPr>
      </w:pPr>
      <w:r>
        <w:drawing>
          <wp:inline distT="0" distB="0" distL="0" distR="0">
            <wp:extent cx="4333240" cy="2886075"/>
            <wp:effectExtent l="0" t="0" r="1016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20D737">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1.因公出国（境）经费支出</w:t>
      </w:r>
      <w:r>
        <w:rPr>
          <w:rFonts w:ascii="仿宋" w:hAnsi="仿宋" w:eastAsia="仿宋"/>
          <w:color w:val="000000"/>
          <w:sz w:val="32"/>
          <w:u w:color="auto"/>
        </w:rPr>
        <w:t>0.00</w:t>
      </w:r>
      <w:r>
        <w:rPr>
          <w:rFonts w:hint="eastAsia" w:ascii="仿宋" w:hAnsi="仿宋" w:eastAsia="仿宋"/>
          <w:color w:val="000000"/>
          <w:sz w:val="32"/>
          <w:szCs w:val="32"/>
        </w:rPr>
        <w:t>万元,完成预算100%。全年安排因公出国（境）团组</w:t>
      </w:r>
      <w:r>
        <w:rPr>
          <w:rFonts w:ascii="仿宋" w:hAnsi="仿宋" w:eastAsia="仿宋"/>
          <w:color w:val="000000"/>
          <w:sz w:val="32"/>
          <w:u w:color="auto"/>
        </w:rPr>
        <w:t>0</w:t>
      </w:r>
      <w:r>
        <w:rPr>
          <w:rFonts w:hint="eastAsia" w:ascii="仿宋" w:hAnsi="仿宋" w:eastAsia="仿宋"/>
          <w:color w:val="000000"/>
          <w:sz w:val="32"/>
          <w:szCs w:val="32"/>
        </w:rPr>
        <w:t>次，出国（境）</w:t>
      </w:r>
      <w:r>
        <w:rPr>
          <w:rFonts w:ascii="仿宋" w:hAnsi="仿宋" w:eastAsia="仿宋"/>
          <w:color w:val="000000"/>
          <w:sz w:val="32"/>
          <w:u w:color="auto"/>
        </w:rPr>
        <w:t>0</w:t>
      </w:r>
      <w:r>
        <w:rPr>
          <w:rFonts w:hint="eastAsia" w:ascii="仿宋" w:hAnsi="仿宋" w:eastAsia="仿宋"/>
          <w:color w:val="000000"/>
          <w:sz w:val="32"/>
          <w:szCs w:val="32"/>
        </w:rPr>
        <w:t>人。因公出国（境）支出决算比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年增加0.00</w:t>
      </w:r>
      <w:r>
        <w:rPr>
          <w:rFonts w:hint="eastAsia" w:ascii="仿宋" w:hAnsi="仿宋" w:eastAsia="仿宋"/>
          <w:color w:val="000000"/>
          <w:sz w:val="32"/>
          <w:szCs w:val="32"/>
        </w:rPr>
        <w:t>万元，</w:t>
      </w:r>
      <w:r>
        <w:rPr>
          <w:rFonts w:ascii="仿宋" w:hAnsi="仿宋" w:eastAsia="仿宋"/>
          <w:color w:val="000000"/>
          <w:sz w:val="32"/>
          <w:u w:color="auto"/>
        </w:rPr>
        <w:t>增加0.00</w:t>
      </w:r>
      <w:r>
        <w:rPr>
          <w:rFonts w:hint="eastAsia" w:ascii="仿宋" w:hAnsi="仿宋" w:eastAsia="仿宋"/>
          <w:color w:val="000000"/>
          <w:sz w:val="32"/>
          <w:szCs w:val="32"/>
        </w:rPr>
        <w:t xml:space="preserve"> %。</w:t>
      </w:r>
      <w:r>
        <w:rPr>
          <w:rFonts w:ascii="仿宋" w:hAnsi="仿宋" w:eastAsia="仿宋"/>
          <w:color w:val="000000"/>
          <w:sz w:val="32"/>
          <w:u w:color="auto"/>
        </w:rPr>
        <w:t xml:space="preserve"> </w:t>
      </w:r>
    </w:p>
    <w:p w14:paraId="2DBC5EE2">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2.公务用车购置及运行维护费支出</w:t>
      </w:r>
      <w:r>
        <w:rPr>
          <w:rFonts w:ascii="仿宋" w:hAnsi="仿宋" w:eastAsia="仿宋"/>
          <w:color w:val="000000"/>
          <w:sz w:val="32"/>
          <w:u w:color="auto"/>
        </w:rPr>
        <w:t>0.00</w:t>
      </w:r>
      <w:r>
        <w:rPr>
          <w:rFonts w:hint="eastAsia" w:ascii="仿宋" w:hAnsi="仿宋" w:eastAsia="仿宋"/>
          <w:color w:val="000000"/>
          <w:sz w:val="32"/>
          <w:szCs w:val="32"/>
        </w:rPr>
        <w:t>万元,完成预算</w:t>
      </w:r>
      <w:r>
        <w:rPr>
          <w:rFonts w:ascii="仿宋" w:hAnsi="仿宋" w:eastAsia="仿宋"/>
          <w:color w:val="000000"/>
          <w:sz w:val="32"/>
          <w:u w:color="auto"/>
        </w:rPr>
        <w:t>0.00</w:t>
      </w:r>
      <w:r>
        <w:rPr>
          <w:rFonts w:hint="eastAsia" w:ascii="仿宋" w:hAnsi="仿宋" w:eastAsia="仿宋"/>
          <w:color w:val="000000"/>
          <w:sz w:val="32"/>
          <w:szCs w:val="32"/>
        </w:rPr>
        <w:t>%。公务用车购置及运行维护费支出决算比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年增加0.00</w:t>
      </w:r>
      <w:r>
        <w:rPr>
          <w:rFonts w:hint="eastAsia" w:ascii="仿宋" w:hAnsi="仿宋" w:eastAsia="仿宋"/>
          <w:color w:val="000000"/>
          <w:sz w:val="32"/>
          <w:szCs w:val="32"/>
        </w:rPr>
        <w:t>万元，</w:t>
      </w:r>
      <w:r>
        <w:rPr>
          <w:rFonts w:ascii="仿宋" w:hAnsi="仿宋" w:eastAsia="仿宋"/>
          <w:color w:val="000000"/>
          <w:sz w:val="32"/>
          <w:u w:color="auto"/>
        </w:rPr>
        <w:t>增加0.00</w:t>
      </w:r>
      <w:r>
        <w:rPr>
          <w:rFonts w:hint="eastAsia" w:ascii="仿宋" w:hAnsi="仿宋" w:eastAsia="仿宋"/>
          <w:color w:val="000000"/>
          <w:sz w:val="32"/>
          <w:szCs w:val="32"/>
        </w:rPr>
        <w:t>%。</w:t>
      </w:r>
      <w:r>
        <w:rPr>
          <w:rFonts w:ascii="仿宋" w:hAnsi="仿宋" w:eastAsia="仿宋"/>
          <w:color w:val="000000"/>
          <w:sz w:val="32"/>
          <w:u w:color="auto"/>
        </w:rPr>
        <w:t xml:space="preserve"> </w:t>
      </w:r>
    </w:p>
    <w:p w14:paraId="755C8F0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其中：公务用车购置支出</w:t>
      </w:r>
      <w:r>
        <w:rPr>
          <w:rFonts w:ascii="仿宋" w:hAnsi="仿宋" w:eastAsia="仿宋"/>
          <w:color w:val="000000"/>
          <w:sz w:val="32"/>
          <w:u w:color="auto"/>
        </w:rPr>
        <w:t>0.00万元。全年按规定更新购置公务用车0辆，其中：轿车0辆、金额0.00万元，越野车0辆、金额0.00万元，载客汽车0辆、金额0.00万元。截至</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u w:color="auto"/>
        </w:rPr>
        <w:t>0</w:t>
      </w:r>
      <w:r>
        <w:rPr>
          <w:rFonts w:hint="eastAsia" w:ascii="仿宋" w:hAnsi="仿宋" w:eastAsia="仿宋"/>
          <w:color w:val="000000"/>
          <w:sz w:val="32"/>
          <w:szCs w:val="32"/>
        </w:rPr>
        <w:t>辆，其中：轿车</w:t>
      </w:r>
      <w:r>
        <w:rPr>
          <w:rFonts w:ascii="仿宋" w:hAnsi="仿宋" w:eastAsia="仿宋"/>
          <w:color w:val="000000"/>
          <w:sz w:val="32"/>
          <w:u w:color="auto"/>
        </w:rPr>
        <w:t>0辆、越野车0辆、载客汽车0辆。</w:t>
      </w:r>
    </w:p>
    <w:p w14:paraId="32208788">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w:t>
      </w:r>
      <w:r>
        <w:rPr>
          <w:rFonts w:ascii="仿宋" w:hAnsi="仿宋" w:eastAsia="仿宋"/>
          <w:color w:val="000000"/>
          <w:sz w:val="32"/>
          <w:u w:color="auto"/>
        </w:rPr>
        <w:t>0.00</w:t>
      </w:r>
      <w:r>
        <w:rPr>
          <w:rFonts w:hint="eastAsia" w:ascii="仿宋" w:hAnsi="仿宋" w:eastAsia="仿宋"/>
          <w:color w:val="000000"/>
          <w:sz w:val="32"/>
          <w:szCs w:val="32"/>
        </w:rPr>
        <w:t>万元。</w:t>
      </w:r>
      <w:r>
        <w:rPr>
          <w:rFonts w:ascii="仿宋" w:hAnsi="仿宋" w:eastAsia="仿宋"/>
          <w:color w:val="000000"/>
          <w:sz w:val="32"/>
          <w:u w:color="auto"/>
        </w:rPr>
        <w:t xml:space="preserve"> </w:t>
      </w:r>
    </w:p>
    <w:p w14:paraId="2892818D">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3.公务接待费支出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万元，完成预算62.80</w:t>
      </w:r>
      <w:r>
        <w:rPr>
          <w:rFonts w:hint="eastAsia" w:ascii="仿宋" w:hAnsi="仿宋" w:eastAsia="仿宋"/>
          <w:color w:val="000000"/>
          <w:sz w:val="32"/>
          <w:szCs w:val="32"/>
        </w:rPr>
        <w:t>%。公务接待费支出决算比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年减少</w:t>
      </w:r>
      <w:r>
        <w:rPr>
          <w:rFonts w:hint="eastAsia" w:ascii="仿宋" w:hAnsi="仿宋" w:eastAsia="仿宋"/>
          <w:color w:val="000000"/>
          <w:sz w:val="32"/>
          <w:u w:color="auto"/>
          <w:lang w:val="en-US" w:eastAsia="zh-CN"/>
        </w:rPr>
        <w:t>0.31</w:t>
      </w:r>
      <w:r>
        <w:rPr>
          <w:rFonts w:hint="eastAsia" w:ascii="仿宋" w:hAnsi="仿宋" w:eastAsia="仿宋"/>
          <w:color w:val="000000"/>
          <w:sz w:val="32"/>
          <w:szCs w:val="32"/>
        </w:rPr>
        <w:t>万元，</w:t>
      </w:r>
      <w:r>
        <w:rPr>
          <w:rFonts w:ascii="仿宋" w:hAnsi="仿宋" w:eastAsia="仿宋"/>
          <w:color w:val="000000"/>
          <w:sz w:val="32"/>
          <w:u w:color="auto"/>
        </w:rPr>
        <w:t>减少1</w:t>
      </w:r>
      <w:r>
        <w:rPr>
          <w:rFonts w:hint="eastAsia" w:ascii="仿宋" w:hAnsi="仿宋" w:eastAsia="仿宋"/>
          <w:color w:val="000000"/>
          <w:sz w:val="32"/>
          <w:u w:color="auto"/>
          <w:lang w:val="en-US" w:eastAsia="zh-CN"/>
        </w:rPr>
        <w:t>00</w:t>
      </w:r>
      <w:r>
        <w:rPr>
          <w:rFonts w:ascii="仿宋" w:hAnsi="仿宋" w:eastAsia="仿宋"/>
          <w:color w:val="000000"/>
          <w:sz w:val="32"/>
          <w:szCs w:val="32"/>
        </w:rPr>
        <w:t>%</w:t>
      </w:r>
      <w:r>
        <w:rPr>
          <w:rFonts w:hint="eastAsia" w:ascii="仿宋" w:hAnsi="仿宋" w:eastAsia="仿宋"/>
          <w:color w:val="000000"/>
          <w:sz w:val="32"/>
          <w:szCs w:val="32"/>
        </w:rPr>
        <w:t>。</w:t>
      </w:r>
      <w:bookmarkStart w:id="67" w:name="_Toc15377218"/>
      <w:r>
        <w:rPr>
          <w:rFonts w:hint="eastAsia" w:ascii="仿宋" w:hAnsi="仿宋" w:eastAsia="仿宋"/>
          <w:color w:val="000000"/>
          <w:sz w:val="32"/>
          <w:szCs w:val="32"/>
        </w:rPr>
        <w:t>主要原因是本年</w:t>
      </w:r>
      <w:r>
        <w:rPr>
          <w:rFonts w:hint="eastAsia" w:ascii="仿宋" w:hAnsi="仿宋" w:eastAsia="仿宋"/>
          <w:color w:val="000000"/>
          <w:sz w:val="32"/>
          <w:szCs w:val="32"/>
          <w:lang w:eastAsia="zh-CN"/>
        </w:rPr>
        <w:t>没有公务接待人员</w:t>
      </w:r>
      <w:r>
        <w:rPr>
          <w:rFonts w:hint="eastAsia" w:ascii="仿宋" w:hAnsi="仿宋" w:eastAsia="仿宋"/>
          <w:color w:val="000000"/>
          <w:sz w:val="32"/>
          <w:szCs w:val="32"/>
        </w:rPr>
        <w:t xml:space="preserve">。 </w:t>
      </w:r>
    </w:p>
    <w:p w14:paraId="1E29FC74">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国内公务接待支出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万元。国内公务接待</w:t>
      </w:r>
      <w:r>
        <w:rPr>
          <w:rFonts w:hint="eastAsia" w:ascii="仿宋" w:hAnsi="仿宋" w:eastAsia="仿宋"/>
          <w:color w:val="000000"/>
          <w:sz w:val="32"/>
          <w:u w:color="auto"/>
          <w:lang w:val="en-US" w:eastAsia="zh-CN"/>
        </w:rPr>
        <w:t>0</w:t>
      </w:r>
      <w:r>
        <w:rPr>
          <w:rFonts w:ascii="仿宋" w:hAnsi="仿宋" w:eastAsia="仿宋"/>
          <w:color w:val="000000"/>
          <w:sz w:val="32"/>
          <w:u w:color="auto"/>
        </w:rPr>
        <w:t>批次，</w:t>
      </w:r>
      <w:r>
        <w:rPr>
          <w:rFonts w:hint="eastAsia" w:ascii="仿宋" w:hAnsi="仿宋" w:eastAsia="仿宋"/>
          <w:color w:val="000000"/>
          <w:sz w:val="32"/>
          <w:u w:color="auto"/>
          <w:lang w:val="en-US" w:eastAsia="zh-CN"/>
        </w:rPr>
        <w:t>0</w:t>
      </w:r>
      <w:r>
        <w:rPr>
          <w:rFonts w:ascii="仿宋" w:hAnsi="仿宋" w:eastAsia="仿宋"/>
          <w:color w:val="000000"/>
          <w:sz w:val="32"/>
          <w:u w:color="auto"/>
        </w:rPr>
        <w:t>人次（不包括陪同人员），共计支出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w:t>
      </w:r>
    </w:p>
    <w:p w14:paraId="367AEEA3">
      <w:pPr>
        <w:pStyle w:val="5"/>
        <w:rPr>
          <w:rFonts w:ascii="仿宋" w:hAnsi="仿宋" w:eastAsia="仿宋"/>
          <w:color w:val="000000"/>
          <w:sz w:val="32"/>
          <w:szCs w:val="32"/>
        </w:rPr>
      </w:pPr>
      <w:r>
        <w:rPr>
          <w:rFonts w:hint="eastAsia" w:ascii="仿宋" w:hAnsi="仿宋" w:eastAsia="仿宋"/>
          <w:color w:val="000000"/>
          <w:sz w:val="32"/>
          <w:szCs w:val="32"/>
        </w:rPr>
        <w:t>外事接待支出</w:t>
      </w:r>
      <w:r>
        <w:rPr>
          <w:rFonts w:ascii="仿宋" w:hAnsi="仿宋" w:eastAsia="仿宋"/>
          <w:color w:val="000000"/>
          <w:sz w:val="32"/>
          <w:u w:color="auto"/>
        </w:rPr>
        <w:t>0.00万元，外事接待0批次，0人，共计支出0.00万元。</w:t>
      </w:r>
    </w:p>
    <w:p w14:paraId="09FA5949">
      <w:pPr>
        <w:pStyle w:val="3"/>
        <w:ind w:firstLine="643" w:firstLineChars="200"/>
        <w:rPr>
          <w:rFonts w:ascii="黑体" w:eastAsia="黑体" w:cs="Times New Roman"/>
          <w:bCs w:val="0"/>
          <w:color w:val="000000"/>
        </w:rPr>
      </w:pPr>
      <w:bookmarkStart w:id="68" w:name="_Toc10308"/>
      <w:bookmarkStart w:id="69" w:name="_Toc111208506"/>
      <w:r>
        <w:rPr>
          <w:rFonts w:hint="eastAsia" w:ascii="黑体" w:eastAsia="黑体" w:cs="Times New Roman"/>
          <w:bCs w:val="0"/>
          <w:color w:val="000000"/>
        </w:rPr>
        <w:t>八、政府性基金预算支出决算情况说明</w:t>
      </w:r>
      <w:bookmarkEnd w:id="67"/>
      <w:bookmarkEnd w:id="68"/>
      <w:bookmarkEnd w:id="69"/>
    </w:p>
    <w:p w14:paraId="77F2B7A2">
      <w:pPr>
        <w:spacing w:line="600" w:lineRule="exact"/>
        <w:ind w:firstLine="640"/>
        <w:rPr>
          <w:rFonts w:ascii="仿宋" w:hAnsi="仿宋" w:eastAsia="仿宋"/>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年政府性基金预算拨款支出0.00</w:t>
      </w:r>
      <w:r>
        <w:rPr>
          <w:rFonts w:hint="eastAsia" w:ascii="仿宋" w:hAnsi="仿宋" w:eastAsia="仿宋"/>
          <w:color w:val="000000"/>
          <w:sz w:val="32"/>
          <w:szCs w:val="32"/>
        </w:rPr>
        <w:t>万元。</w:t>
      </w:r>
      <w:bookmarkStart w:id="70" w:name="_Toc15377219"/>
    </w:p>
    <w:p w14:paraId="4215E13F">
      <w:pPr>
        <w:pStyle w:val="3"/>
        <w:ind w:firstLine="643" w:firstLineChars="200"/>
        <w:rPr>
          <w:rFonts w:ascii="黑体" w:eastAsia="黑体" w:cs="Times New Roman"/>
          <w:bCs w:val="0"/>
          <w:color w:val="000000"/>
        </w:rPr>
      </w:pPr>
      <w:bookmarkStart w:id="71" w:name="_Toc16770"/>
      <w:bookmarkStart w:id="72" w:name="_Toc111208507"/>
      <w:r>
        <w:rPr>
          <w:rFonts w:hint="eastAsia" w:ascii="黑体" w:eastAsia="黑体" w:cs="Times New Roman"/>
          <w:bCs w:val="0"/>
          <w:color w:val="000000"/>
        </w:rPr>
        <w:t>九、国有资本经营预算支出决算情况说明</w:t>
      </w:r>
      <w:bookmarkEnd w:id="70"/>
      <w:bookmarkEnd w:id="71"/>
      <w:bookmarkEnd w:id="72"/>
    </w:p>
    <w:p w14:paraId="68AFEE2B">
      <w:pPr>
        <w:spacing w:line="600" w:lineRule="exact"/>
        <w:ind w:firstLine="640"/>
        <w:rPr>
          <w:rFonts w:ascii="仿宋" w:hAnsi="仿宋" w:eastAsia="仿宋"/>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年国有资本经营预算拨款支出</w:t>
      </w:r>
      <w:r>
        <w:rPr>
          <w:rFonts w:hint="eastAsia" w:ascii="仿宋" w:hAnsi="仿宋" w:eastAsia="仿宋"/>
          <w:color w:val="000000"/>
          <w:sz w:val="32"/>
          <w:u w:color="auto"/>
          <w:lang w:val="en-US" w:eastAsia="zh-CN"/>
        </w:rPr>
        <w:t>12.00</w:t>
      </w:r>
      <w:r>
        <w:rPr>
          <w:rFonts w:hint="eastAsia" w:ascii="仿宋" w:hAnsi="仿宋" w:eastAsia="仿宋"/>
          <w:color w:val="000000"/>
          <w:sz w:val="32"/>
          <w:szCs w:val="32"/>
        </w:rPr>
        <w:t>万元。</w:t>
      </w:r>
    </w:p>
    <w:p w14:paraId="5C5E550D">
      <w:pPr>
        <w:pStyle w:val="3"/>
        <w:ind w:firstLine="643" w:firstLineChars="200"/>
        <w:rPr>
          <w:rFonts w:ascii="黑体" w:eastAsia="黑体" w:cs="Times New Roman"/>
          <w:bCs w:val="0"/>
          <w:color w:val="000000"/>
        </w:rPr>
      </w:pPr>
      <w:bookmarkStart w:id="73" w:name="_Toc15377221"/>
      <w:bookmarkStart w:id="74" w:name="_Toc29441"/>
      <w:bookmarkStart w:id="75" w:name="_Toc111208508"/>
      <w:r>
        <w:rPr>
          <w:rFonts w:hint="eastAsia" w:ascii="黑体" w:eastAsia="黑体" w:cs="Times New Roman"/>
          <w:bCs w:val="0"/>
          <w:color w:val="000000"/>
        </w:rPr>
        <w:t>十、其他重要事项的情况说明</w:t>
      </w:r>
      <w:bookmarkEnd w:id="73"/>
      <w:bookmarkEnd w:id="74"/>
      <w:bookmarkEnd w:id="75"/>
    </w:p>
    <w:p w14:paraId="064946E8">
      <w:pPr>
        <w:spacing w:line="600" w:lineRule="exact"/>
        <w:ind w:firstLine="643" w:firstLineChars="200"/>
        <w:outlineLvl w:val="2"/>
        <w:rPr>
          <w:rFonts w:ascii="仿宋" w:hAnsi="仿宋" w:eastAsia="仿宋"/>
          <w:b/>
          <w:color w:val="000000"/>
          <w:sz w:val="32"/>
          <w:szCs w:val="32"/>
        </w:rPr>
      </w:pPr>
      <w:bookmarkStart w:id="76" w:name="_Toc15377222"/>
      <w:r>
        <w:rPr>
          <w:rFonts w:hint="eastAsia" w:ascii="仿宋" w:hAnsi="仿宋" w:eastAsia="仿宋"/>
          <w:b/>
          <w:color w:val="000000"/>
          <w:sz w:val="32"/>
          <w:szCs w:val="32"/>
        </w:rPr>
        <w:t>（一）机关运行经费支出情况</w:t>
      </w:r>
      <w:bookmarkEnd w:id="76"/>
    </w:p>
    <w:p w14:paraId="4DD89527">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年，机关运行经费支出0.00</w:t>
      </w:r>
      <w:r>
        <w:rPr>
          <w:rFonts w:hint="eastAsia" w:ascii="仿宋" w:hAnsi="仿宋" w:eastAsia="仿宋"/>
          <w:color w:val="000000"/>
          <w:sz w:val="32"/>
          <w:szCs w:val="32"/>
        </w:rPr>
        <w:t>万元，比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年增加0.00</w:t>
      </w:r>
      <w:r>
        <w:rPr>
          <w:rFonts w:hint="eastAsia" w:ascii="仿宋" w:hAnsi="仿宋" w:eastAsia="仿宋"/>
          <w:color w:val="000000"/>
          <w:sz w:val="32"/>
          <w:szCs w:val="32"/>
        </w:rPr>
        <w:t>万元，</w:t>
      </w:r>
      <w:r>
        <w:rPr>
          <w:rFonts w:ascii="仿宋" w:hAnsi="仿宋" w:eastAsia="仿宋"/>
          <w:color w:val="000000"/>
          <w:sz w:val="32"/>
          <w:u w:color="auto"/>
        </w:rPr>
        <w:t xml:space="preserve">增加0.00 %。 </w:t>
      </w:r>
    </w:p>
    <w:p w14:paraId="35802A54">
      <w:pPr>
        <w:spacing w:line="600" w:lineRule="exact"/>
        <w:ind w:firstLine="643" w:firstLineChars="200"/>
        <w:outlineLvl w:val="2"/>
        <w:rPr>
          <w:rFonts w:ascii="仿宋" w:hAnsi="仿宋" w:eastAsia="仿宋"/>
          <w:b/>
          <w:color w:val="000000"/>
          <w:sz w:val="32"/>
          <w:szCs w:val="32"/>
        </w:rPr>
      </w:pPr>
      <w:bookmarkStart w:id="77" w:name="_Toc15377223"/>
      <w:r>
        <w:rPr>
          <w:rFonts w:hint="eastAsia" w:ascii="仿宋" w:hAnsi="仿宋" w:eastAsia="仿宋"/>
          <w:b/>
          <w:color w:val="000000"/>
          <w:sz w:val="32"/>
          <w:szCs w:val="32"/>
        </w:rPr>
        <w:t>（二）政府采购支出情况</w:t>
      </w:r>
      <w:bookmarkEnd w:id="77"/>
      <w:r>
        <w:rPr>
          <w:rFonts w:hint="eastAsia" w:ascii="仿宋" w:hAnsi="仿宋" w:eastAsia="仿宋"/>
          <w:b/>
          <w:color w:val="000000"/>
          <w:sz w:val="32"/>
          <w:szCs w:val="32"/>
        </w:rPr>
        <w:t>(机构运行信息表)</w:t>
      </w:r>
    </w:p>
    <w:p w14:paraId="19DE43A4">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ascii="仿宋" w:hAnsi="仿宋" w:eastAsia="仿宋"/>
          <w:color w:val="000000"/>
          <w:sz w:val="32"/>
          <w:u w:color="auto"/>
        </w:rPr>
        <w:t>年，政府采购支出总额0.00</w:t>
      </w:r>
      <w:r>
        <w:rPr>
          <w:rFonts w:hint="eastAsia" w:ascii="仿宋" w:hAnsi="仿宋" w:eastAsia="仿宋"/>
          <w:color w:val="000000"/>
          <w:sz w:val="32"/>
          <w:szCs w:val="32"/>
        </w:rPr>
        <w:t>万元，其中：政府采购货物支出</w:t>
      </w:r>
      <w:r>
        <w:rPr>
          <w:rFonts w:ascii="仿宋" w:hAnsi="仿宋" w:eastAsia="仿宋"/>
          <w:color w:val="000000"/>
          <w:sz w:val="32"/>
          <w:u w:color="auto"/>
        </w:rPr>
        <w:t>0.00</w:t>
      </w:r>
      <w:r>
        <w:rPr>
          <w:rFonts w:hint="eastAsia" w:ascii="仿宋" w:hAnsi="仿宋" w:eastAsia="仿宋"/>
          <w:color w:val="000000"/>
          <w:sz w:val="32"/>
          <w:szCs w:val="32"/>
        </w:rPr>
        <w:t>万元、政府采购工程支出</w:t>
      </w:r>
      <w:r>
        <w:rPr>
          <w:rFonts w:ascii="仿宋" w:hAnsi="仿宋" w:eastAsia="仿宋"/>
          <w:color w:val="000000"/>
          <w:sz w:val="32"/>
          <w:u w:color="auto"/>
        </w:rPr>
        <w:t>0.00</w:t>
      </w:r>
      <w:r>
        <w:rPr>
          <w:rFonts w:hint="eastAsia" w:ascii="仿宋" w:hAnsi="仿宋" w:eastAsia="仿宋"/>
          <w:color w:val="000000"/>
          <w:sz w:val="32"/>
          <w:szCs w:val="32"/>
        </w:rPr>
        <w:t>万元、政府采购服务支出</w:t>
      </w:r>
      <w:r>
        <w:rPr>
          <w:rFonts w:ascii="仿宋" w:hAnsi="仿宋" w:eastAsia="仿宋"/>
          <w:color w:val="000000"/>
          <w:sz w:val="32"/>
          <w:u w:color="auto"/>
        </w:rPr>
        <w:t>0.00</w:t>
      </w:r>
      <w:r>
        <w:rPr>
          <w:rFonts w:hint="eastAsia" w:ascii="仿宋" w:hAnsi="仿宋" w:eastAsia="仿宋"/>
          <w:color w:val="000000"/>
          <w:sz w:val="32"/>
          <w:szCs w:val="32"/>
        </w:rPr>
        <w:t>万元。授予中小企业合同金额</w:t>
      </w:r>
      <w:r>
        <w:rPr>
          <w:rFonts w:ascii="仿宋" w:hAnsi="仿宋" w:eastAsia="仿宋"/>
          <w:color w:val="000000"/>
          <w:sz w:val="32"/>
          <w:u w:color="auto"/>
        </w:rPr>
        <w:t>0.00</w:t>
      </w:r>
      <w:r>
        <w:rPr>
          <w:rFonts w:hint="eastAsia" w:ascii="仿宋" w:hAnsi="仿宋" w:eastAsia="仿宋"/>
          <w:color w:val="000000"/>
          <w:sz w:val="32"/>
          <w:szCs w:val="32"/>
        </w:rPr>
        <w:t>万元，其中：授予小微企业合同金额</w:t>
      </w:r>
      <w:r>
        <w:rPr>
          <w:rFonts w:ascii="仿宋" w:hAnsi="仿宋" w:eastAsia="仿宋"/>
          <w:color w:val="000000"/>
          <w:sz w:val="32"/>
          <w:u w:color="auto"/>
        </w:rPr>
        <w:t>0.00</w:t>
      </w:r>
      <w:r>
        <w:rPr>
          <w:rFonts w:hint="eastAsia" w:ascii="仿宋" w:hAnsi="仿宋" w:eastAsia="仿宋"/>
          <w:color w:val="000000"/>
          <w:sz w:val="32"/>
          <w:szCs w:val="32"/>
        </w:rPr>
        <w:t>万元，占总合同的</w:t>
      </w:r>
      <w:r>
        <w:rPr>
          <w:rFonts w:ascii="仿宋" w:hAnsi="仿宋" w:eastAsia="仿宋"/>
          <w:color w:val="000000"/>
          <w:sz w:val="32"/>
          <w:u w:color="auto"/>
        </w:rPr>
        <w:t>0.00</w:t>
      </w:r>
      <w:r>
        <w:rPr>
          <w:rFonts w:hint="eastAsia" w:ascii="仿宋" w:hAnsi="仿宋" w:eastAsia="仿宋"/>
          <w:color w:val="000000"/>
          <w:sz w:val="32"/>
          <w:szCs w:val="32"/>
        </w:rPr>
        <w:t>%。</w:t>
      </w:r>
    </w:p>
    <w:p w14:paraId="169CA366">
      <w:pPr>
        <w:spacing w:line="600" w:lineRule="exact"/>
        <w:ind w:firstLine="643" w:firstLineChars="200"/>
        <w:outlineLvl w:val="2"/>
        <w:rPr>
          <w:rFonts w:ascii="仿宋" w:hAnsi="仿宋" w:eastAsia="仿宋"/>
          <w:b/>
          <w:color w:val="000000"/>
          <w:sz w:val="32"/>
          <w:szCs w:val="32"/>
        </w:rPr>
      </w:pPr>
      <w:bookmarkStart w:id="78" w:name="_Toc15377224"/>
      <w:r>
        <w:rPr>
          <w:rFonts w:hint="eastAsia" w:ascii="仿宋" w:hAnsi="仿宋" w:eastAsia="仿宋"/>
          <w:b/>
          <w:color w:val="000000"/>
          <w:sz w:val="32"/>
          <w:szCs w:val="32"/>
        </w:rPr>
        <w:t>（三）国有资产占有使用情况</w:t>
      </w:r>
      <w:bookmarkEnd w:id="78"/>
    </w:p>
    <w:p w14:paraId="5162158A">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u w:color="auto"/>
        </w:rPr>
        <w:t>202</w:t>
      </w:r>
      <w:r>
        <w:rPr>
          <w:rFonts w:hint="eastAsia" w:ascii="仿宋" w:hAnsi="仿宋" w:eastAsia="仿宋"/>
          <w:color w:val="000000"/>
          <w:sz w:val="32"/>
          <w:u w:color="auto"/>
          <w:lang w:val="en-US" w:eastAsia="zh-CN"/>
        </w:rPr>
        <w:t>3</w:t>
      </w:r>
      <w:r>
        <w:rPr>
          <w:rFonts w:ascii="仿宋" w:hAnsi="仿宋" w:eastAsia="仿宋"/>
          <w:color w:val="000000"/>
          <w:sz w:val="32"/>
          <w:u w:color="auto"/>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日，共有车辆</w:t>
      </w:r>
      <w:r>
        <w:rPr>
          <w:rFonts w:ascii="仿宋" w:hAnsi="仿宋" w:eastAsia="仿宋"/>
          <w:color w:val="000000"/>
          <w:sz w:val="32"/>
          <w:u w:color="auto"/>
        </w:rPr>
        <w:t>0辆，其中：主要领导干部用车0</w:t>
      </w:r>
      <w:r>
        <w:rPr>
          <w:rFonts w:hint="eastAsia" w:ascii="仿宋" w:hAnsi="仿宋" w:eastAsia="仿宋"/>
          <w:color w:val="000000"/>
          <w:sz w:val="32"/>
          <w:szCs w:val="32"/>
        </w:rPr>
        <w:t>辆、机要通信用车</w:t>
      </w:r>
      <w:r>
        <w:rPr>
          <w:rFonts w:ascii="仿宋" w:hAnsi="仿宋" w:eastAsia="仿宋"/>
          <w:color w:val="000000"/>
          <w:sz w:val="32"/>
          <w:u w:color="auto"/>
        </w:rPr>
        <w:t>0</w:t>
      </w:r>
      <w:r>
        <w:rPr>
          <w:rFonts w:hint="eastAsia" w:ascii="仿宋" w:hAnsi="仿宋" w:eastAsia="仿宋"/>
          <w:color w:val="000000"/>
          <w:sz w:val="32"/>
          <w:szCs w:val="32"/>
        </w:rPr>
        <w:t>辆、应急保障用车</w:t>
      </w:r>
      <w:r>
        <w:rPr>
          <w:rFonts w:ascii="仿宋" w:hAnsi="仿宋" w:eastAsia="仿宋"/>
          <w:color w:val="000000"/>
          <w:sz w:val="32"/>
          <w:u w:color="auto"/>
        </w:rPr>
        <w:t>0</w:t>
      </w:r>
      <w:r>
        <w:rPr>
          <w:rFonts w:hint="eastAsia" w:ascii="仿宋" w:hAnsi="仿宋" w:eastAsia="仿宋"/>
          <w:color w:val="000000"/>
          <w:sz w:val="32"/>
          <w:szCs w:val="32"/>
        </w:rPr>
        <w:t>辆、其他用车</w:t>
      </w:r>
      <w:r>
        <w:rPr>
          <w:rFonts w:ascii="仿宋" w:hAnsi="仿宋" w:eastAsia="仿宋"/>
          <w:color w:val="000000"/>
          <w:sz w:val="32"/>
          <w:u w:color="auto"/>
        </w:rPr>
        <w:t>0</w:t>
      </w:r>
      <w:r>
        <w:rPr>
          <w:rFonts w:hint="eastAsia" w:ascii="仿宋" w:hAnsi="仿宋" w:eastAsia="仿宋"/>
          <w:color w:val="000000"/>
          <w:sz w:val="32"/>
          <w:szCs w:val="32"/>
        </w:rPr>
        <w:t>辆。单价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u w:color="auto"/>
        </w:rPr>
        <w:t>0</w:t>
      </w:r>
      <w:r>
        <w:rPr>
          <w:rFonts w:hint="eastAsia" w:ascii="仿宋" w:hAnsi="仿宋" w:eastAsia="仿宋"/>
          <w:color w:val="000000"/>
          <w:sz w:val="32"/>
          <w:szCs w:val="32"/>
        </w:rPr>
        <w:t>台（套）。</w:t>
      </w:r>
    </w:p>
    <w:p w14:paraId="3A74ED28">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1DAE84DD">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4D20EF54"/>
    <w:p w14:paraId="7022FDC9">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39FE6CE1">
      <w:pPr>
        <w:pStyle w:val="2"/>
        <w:jc w:val="center"/>
        <w:rPr>
          <w:rFonts w:ascii="黑体" w:hAnsi="黑体" w:eastAsia="黑体" w:cs="黑体"/>
        </w:rPr>
      </w:pPr>
      <w:bookmarkStart w:id="79" w:name="_Toc15377225"/>
      <w:bookmarkStart w:id="80" w:name="_Toc29516"/>
      <w:bookmarkStart w:id="81" w:name="_Toc111208509"/>
      <w:r>
        <w:rPr>
          <w:rFonts w:hint="eastAsia" w:ascii="黑体" w:hAnsi="黑体" w:eastAsia="黑体" w:cs="黑体"/>
        </w:rPr>
        <w:t>第三部分 名词解释</w:t>
      </w:r>
      <w:bookmarkEnd w:id="79"/>
      <w:bookmarkEnd w:id="80"/>
      <w:bookmarkEnd w:id="81"/>
    </w:p>
    <w:p w14:paraId="7738BFB4">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财政拨款收入：指单位从同级财政部门取得的财政预算资金。</w:t>
      </w:r>
    </w:p>
    <w:p w14:paraId="6DA71116">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事业收入：指事业单位开展专业业务活动及辅助活动取得的收入。</w:t>
      </w:r>
    </w:p>
    <w:p w14:paraId="477BD6C4">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经营收入：指事业单位在专业业务活动及其辅助活动之外开展非独立核算经营活动取得的收入</w:t>
      </w:r>
    </w:p>
    <w:p w14:paraId="708ADFEE">
      <w:pPr>
        <w:spacing w:line="600" w:lineRule="exact"/>
        <w:ind w:firstLine="64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其他收入：指单位取得的除上述收入以外的各项收入。</w:t>
      </w:r>
    </w:p>
    <w:p w14:paraId="71BE8AAB">
      <w:pPr>
        <w:spacing w:line="600" w:lineRule="exact"/>
        <w:ind w:firstLine="64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olor w:val="000000"/>
          <w:sz w:val="32"/>
          <w:szCs w:val="32"/>
        </w:rPr>
        <w:t xml:space="preserve"> </w:t>
      </w:r>
    </w:p>
    <w:p w14:paraId="710B5EF2">
      <w:pPr>
        <w:spacing w:line="600" w:lineRule="exact"/>
        <w:ind w:firstLine="64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年初结转和结余：指以前年度尚未完成、结转到本年按有关规定继续使用的资金。</w:t>
      </w:r>
      <w:r>
        <w:rPr>
          <w:rFonts w:ascii="仿宋" w:hAnsi="仿宋" w:eastAsia="仿宋"/>
          <w:color w:val="000000"/>
          <w:sz w:val="32"/>
          <w:szCs w:val="32"/>
        </w:rPr>
        <w:t xml:space="preserve"> </w:t>
      </w:r>
    </w:p>
    <w:p w14:paraId="1C0A94F6">
      <w:pPr>
        <w:spacing w:line="600" w:lineRule="exact"/>
        <w:ind w:firstLine="64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结余分配：指事业单位按照事业单位会计制度的规定从非财政补助结余中分配的事业基金和职工福利基金等。</w:t>
      </w:r>
    </w:p>
    <w:p w14:paraId="6F191F7C">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.年末结转和结余：指单位按有关规定结转到下年或以后年度继续使用的资金。</w:t>
      </w:r>
    </w:p>
    <w:p w14:paraId="2D3725B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9.教育支出（205）普通教育（20502）学前教育（2050201）：反映各部门举办的学前教育支出。政府各部门对社会组织等举办的幼儿园的资助，如捐赠、补贴等，也在本科目中反映。</w:t>
      </w:r>
      <w:r>
        <w:rPr>
          <w:rFonts w:hint="eastAsia" w:ascii="仿宋" w:hAnsi="仿宋" w:eastAsia="仿宋"/>
          <w:color w:val="000000"/>
          <w:sz w:val="32"/>
          <w:szCs w:val="32"/>
        </w:rPr>
        <w:cr/>
      </w:r>
      <w:r>
        <w:rPr>
          <w:rFonts w:hint="eastAsia" w:ascii="仿宋" w:hAnsi="仿宋" w:eastAsia="仿宋"/>
          <w:color w:val="000000"/>
          <w:sz w:val="32"/>
          <w:szCs w:val="32"/>
        </w:rPr>
        <w:t xml:space="preserve">    10.教育支出（205）普通教育（20502）小学教育（2050202）：反映各部门举办的小学教育支出。政府各部门对社会组织等举办的小学的资助，如捐赠、补贴等，也在本科目中反映。</w:t>
      </w:r>
      <w:r>
        <w:rPr>
          <w:rFonts w:hint="eastAsia" w:ascii="仿宋" w:hAnsi="仿宋" w:eastAsia="仿宋"/>
          <w:color w:val="000000"/>
          <w:sz w:val="32"/>
          <w:szCs w:val="32"/>
        </w:rPr>
        <w:cr/>
      </w:r>
      <w:r>
        <w:rPr>
          <w:rFonts w:hint="eastAsia" w:ascii="仿宋" w:hAnsi="仿宋" w:eastAsia="仿宋"/>
          <w:color w:val="000000"/>
          <w:sz w:val="32"/>
          <w:szCs w:val="32"/>
        </w:rPr>
        <w:t xml:space="preserve">    11.教育支出（205）普通教育（20502）初中教育（2050203）：反映各部门举办的初中教育支出。政府各部门对社会组织等举办的初中的资助，如捐赠、补贴等，也在本科目中反映。</w:t>
      </w:r>
      <w:r>
        <w:rPr>
          <w:rFonts w:hint="eastAsia" w:ascii="仿宋" w:hAnsi="仿宋" w:eastAsia="仿宋"/>
          <w:color w:val="000000"/>
          <w:sz w:val="32"/>
          <w:szCs w:val="32"/>
        </w:rPr>
        <w:cr/>
      </w:r>
      <w:r>
        <w:rPr>
          <w:rFonts w:hint="eastAsia" w:ascii="仿宋" w:hAnsi="仿宋" w:eastAsia="仿宋"/>
          <w:color w:val="000000"/>
          <w:sz w:val="32"/>
          <w:szCs w:val="32"/>
        </w:rPr>
        <w:t xml:space="preserve">    12.社会保障和就业支出（208）行政事业单位养老支出（20805）事业单位离退休（2080502）：反映事业单位开支的离退休经费。</w:t>
      </w:r>
      <w:r>
        <w:rPr>
          <w:rFonts w:hint="eastAsia" w:ascii="仿宋" w:hAnsi="仿宋" w:eastAsia="仿宋"/>
          <w:color w:val="000000"/>
          <w:sz w:val="32"/>
          <w:szCs w:val="32"/>
        </w:rPr>
        <w:cr/>
      </w:r>
      <w:r>
        <w:rPr>
          <w:rFonts w:hint="eastAsia" w:ascii="仿宋" w:hAnsi="仿宋" w:eastAsia="仿宋"/>
          <w:color w:val="000000"/>
          <w:sz w:val="32"/>
          <w:szCs w:val="32"/>
        </w:rPr>
        <w:t xml:space="preserve">    13.社会保障和就业支出（208）行政事业单位养老支出（20805）机关事业单位基本养老保险缴费支出（2080505）：反映机关事业单位实施养老保险制度由单位缴纳的基本养老保险费支出。</w:t>
      </w:r>
      <w:r>
        <w:rPr>
          <w:rFonts w:hint="eastAsia" w:ascii="仿宋" w:hAnsi="仿宋" w:eastAsia="仿宋"/>
          <w:color w:val="000000"/>
          <w:sz w:val="32"/>
          <w:szCs w:val="32"/>
        </w:rPr>
        <w:cr/>
      </w:r>
      <w:r>
        <w:rPr>
          <w:rFonts w:hint="eastAsia" w:ascii="仿宋" w:hAnsi="仿宋" w:eastAsia="仿宋"/>
          <w:color w:val="000000"/>
          <w:sz w:val="32"/>
          <w:szCs w:val="32"/>
        </w:rPr>
        <w:t xml:space="preserve">    14.社会保障和就业支出（208）行政事业单位养老支出（20805）其他行政事业单位养老支出（2080599）：反映除上述项目以外其他用于行政事业单位养老方面的支出。</w:t>
      </w:r>
      <w:r>
        <w:rPr>
          <w:rFonts w:hint="eastAsia" w:ascii="仿宋" w:hAnsi="仿宋" w:eastAsia="仿宋"/>
          <w:color w:val="000000"/>
          <w:sz w:val="32"/>
          <w:szCs w:val="32"/>
        </w:rPr>
        <w:cr/>
      </w:r>
      <w:r>
        <w:rPr>
          <w:rFonts w:hint="eastAsia" w:ascii="仿宋" w:hAnsi="仿宋" w:eastAsia="仿宋"/>
          <w:color w:val="000000"/>
          <w:sz w:val="32"/>
          <w:szCs w:val="32"/>
        </w:rPr>
        <w:t xml:space="preserve">    15.社会保障和就业支出（208）其他社会保障和就业支出（20899）其他社会保障和就业支出（2089999）：反映除上述项i以外其他用于社会保障和就业方面的支出。</w:t>
      </w:r>
      <w:r>
        <w:rPr>
          <w:rFonts w:hint="eastAsia" w:ascii="仿宋" w:hAnsi="仿宋" w:eastAsia="仿宋"/>
          <w:color w:val="000000"/>
          <w:sz w:val="32"/>
          <w:szCs w:val="32"/>
        </w:rPr>
        <w:cr/>
      </w:r>
      <w:r>
        <w:rPr>
          <w:rFonts w:hint="eastAsia" w:ascii="仿宋" w:hAnsi="仿宋" w:eastAsia="仿宋"/>
          <w:color w:val="000000"/>
          <w:sz w:val="32"/>
          <w:szCs w:val="32"/>
        </w:rPr>
        <w:t xml:space="preserve">    16.卫生健康支出（210）行政事业单位医疗（21011）事业单位医疗（2101102）：反映财政部门安排的事业单位基本医疗保险缴费经费，未参加医疗保险的事业单位的公费医疗经费，按国家规定享受离休人员待遇的医疗经费。</w:t>
      </w:r>
      <w:r>
        <w:rPr>
          <w:rFonts w:hint="eastAsia" w:ascii="仿宋" w:hAnsi="仿宋" w:eastAsia="仿宋"/>
          <w:color w:val="000000"/>
          <w:sz w:val="32"/>
          <w:szCs w:val="32"/>
        </w:rPr>
        <w:cr/>
      </w:r>
      <w:r>
        <w:rPr>
          <w:rFonts w:hint="eastAsia" w:ascii="仿宋" w:hAnsi="仿宋" w:eastAsia="仿宋"/>
          <w:color w:val="000000"/>
          <w:sz w:val="32"/>
          <w:szCs w:val="32"/>
        </w:rPr>
        <w:t xml:space="preserve">    17.住房保障支出（221）住房改革支出（22102）住房公积金（2210201）：反映行政事业单位按人力资源和社会保障部、财政部规定的基本工资和津贴补贴以及规定比例为职工缴纳的住房公积金。</w:t>
      </w:r>
    </w:p>
    <w:p w14:paraId="2463A89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18.基本支出：指为保障机构正常运转、完成日常工作任务而发生的人员支出和公用支出。</w:t>
      </w:r>
    </w:p>
    <w:p w14:paraId="04E41308">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19.项目支出：指在基本支出之外为完成特定行政任务和事业发展目标所发生的支出。 </w:t>
      </w:r>
    </w:p>
    <w:p w14:paraId="31D29F43">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20.经营支出：指事业单位在专业业务活动及其辅助活动之外开展非独立核算经营活动发生的支出。</w:t>
      </w:r>
    </w:p>
    <w:p w14:paraId="2FBAF8A7">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A150B6C">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D57D15">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23.财政应返还额度：为行政事业单位会计核算科目，用于核算实行国库集中支付的行政事业单位应收财政返还的资金额度。</w:t>
      </w:r>
    </w:p>
    <w:p w14:paraId="10EFFD6D">
      <w:pPr>
        <w:pStyle w:val="2"/>
        <w:jc w:val="center"/>
        <w:rPr>
          <w:rStyle w:val="28"/>
          <w:rFonts w:ascii="黑体" w:hAnsi="黑体" w:eastAsia="黑体"/>
          <w:b/>
          <w:bCs/>
        </w:rPr>
      </w:pPr>
      <w:r>
        <w:rPr>
          <w:rFonts w:hint="eastAsia" w:ascii="黑体" w:hAnsi="黑体" w:eastAsia="黑体" w:cs="黑体"/>
          <w:color w:val="4F81BD" w:themeColor="accent1"/>
          <w14:textFill>
            <w14:solidFill>
              <w14:schemeClr w14:val="accent1"/>
            </w14:solidFill>
          </w14:textFill>
        </w:rPr>
        <w:t>第四部分 附件</w:t>
      </w:r>
      <w:bookmarkStart w:id="101" w:name="_GoBack"/>
      <w:bookmarkEnd w:id="101"/>
      <w:r>
        <w:rPr>
          <w:rStyle w:val="28"/>
          <w:rFonts w:ascii="黑体" w:hAnsi="黑体" w:eastAsia="黑体"/>
          <w:b/>
          <w:bCs/>
        </w:rPr>
        <w:br w:type="page"/>
      </w:r>
    </w:p>
    <w:tbl>
      <w:tblPr>
        <w:tblStyle w:val="15"/>
        <w:tblpPr w:leftFromText="180" w:rightFromText="180" w:vertAnchor="text" w:horzAnchor="page" w:tblpX="542" w:tblpY="1606"/>
        <w:tblOverlap w:val="never"/>
        <w:tblW w:w="11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976"/>
        <w:gridCol w:w="1158"/>
        <w:gridCol w:w="3132"/>
        <w:gridCol w:w="996"/>
        <w:gridCol w:w="972"/>
        <w:gridCol w:w="847"/>
        <w:gridCol w:w="713"/>
        <w:gridCol w:w="888"/>
      </w:tblGrid>
      <w:tr w14:paraId="7E07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1436" w:type="dxa"/>
            <w:gridSpan w:val="9"/>
            <w:tcBorders>
              <w:top w:val="nil"/>
              <w:left w:val="nil"/>
              <w:bottom w:val="nil"/>
              <w:right w:val="nil"/>
            </w:tcBorders>
            <w:shd w:val="clear" w:color="auto" w:fill="auto"/>
            <w:noWrap/>
            <w:vAlign w:val="center"/>
          </w:tcPr>
          <w:p w14:paraId="601F8754">
            <w:pPr>
              <w:keepNext w:val="0"/>
              <w:keepLines w:val="0"/>
              <w:widowControl/>
              <w:suppressLineNumbers w:val="0"/>
              <w:jc w:val="center"/>
              <w:textAlignment w:val="center"/>
              <w:rPr>
                <w:rFonts w:ascii="方正舒体" w:hAnsi="方正舒体" w:eastAsia="方正舒体" w:cs="方正舒体"/>
                <w:i w:val="0"/>
                <w:iCs w:val="0"/>
                <w:color w:val="000000"/>
                <w:sz w:val="48"/>
                <w:szCs w:val="48"/>
                <w:u w:val="none"/>
              </w:rPr>
            </w:pPr>
            <w:bookmarkStart w:id="82" w:name="_Toc20167"/>
            <w:bookmarkStart w:id="83" w:name="_Toc111208510"/>
            <w:r>
              <w:rPr>
                <w:rFonts w:hint="eastAsia" w:ascii="方正舒体" w:hAnsi="方正舒体" w:eastAsia="方正舒体" w:cs="方正舒体"/>
                <w:i w:val="0"/>
                <w:iCs w:val="0"/>
                <w:color w:val="000000"/>
                <w:kern w:val="0"/>
                <w:sz w:val="48"/>
                <w:szCs w:val="48"/>
                <w:u w:val="none"/>
                <w:lang w:val="en-US" w:eastAsia="zh-CN" w:bidi="ar"/>
              </w:rPr>
              <w:t>部门整体支出绩效目标完成情况自评表</w:t>
            </w:r>
          </w:p>
        </w:tc>
      </w:tr>
      <w:tr w14:paraId="54B1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436" w:type="dxa"/>
            <w:gridSpan w:val="9"/>
            <w:tcBorders>
              <w:top w:val="nil"/>
              <w:left w:val="nil"/>
              <w:bottom w:val="nil"/>
              <w:right w:val="nil"/>
            </w:tcBorders>
            <w:shd w:val="clear" w:color="auto" w:fill="auto"/>
            <w:noWrap/>
            <w:vAlign w:val="center"/>
          </w:tcPr>
          <w:p w14:paraId="57B9BF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（2023年度）</w:t>
            </w:r>
          </w:p>
        </w:tc>
      </w:tr>
      <w:tr w14:paraId="789B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54" w:type="dxa"/>
            <w:tcBorders>
              <w:top w:val="nil"/>
              <w:left w:val="nil"/>
              <w:bottom w:val="nil"/>
              <w:right w:val="nil"/>
            </w:tcBorders>
            <w:shd w:val="clear" w:color="auto" w:fill="auto"/>
            <w:noWrap/>
            <w:vAlign w:val="center"/>
          </w:tcPr>
          <w:p w14:paraId="1778EB5F">
            <w:pPr>
              <w:rPr>
                <w:rFonts w:hint="eastAsia" w:ascii="宋体" w:hAnsi="宋体" w:eastAsia="宋体" w:cs="宋体"/>
                <w:i w:val="0"/>
                <w:iCs w:val="0"/>
                <w:color w:val="000000"/>
                <w:sz w:val="28"/>
                <w:szCs w:val="28"/>
                <w:u w:val="none"/>
              </w:rPr>
            </w:pPr>
          </w:p>
        </w:tc>
        <w:tc>
          <w:tcPr>
            <w:tcW w:w="1976" w:type="dxa"/>
            <w:tcBorders>
              <w:top w:val="nil"/>
              <w:left w:val="nil"/>
              <w:bottom w:val="nil"/>
              <w:right w:val="nil"/>
            </w:tcBorders>
            <w:shd w:val="clear" w:color="auto" w:fill="auto"/>
            <w:noWrap/>
            <w:vAlign w:val="center"/>
          </w:tcPr>
          <w:p w14:paraId="448CFA99">
            <w:pPr>
              <w:rPr>
                <w:rFonts w:hint="eastAsia" w:ascii="宋体" w:hAnsi="宋体" w:eastAsia="宋体" w:cs="宋体"/>
                <w:i w:val="0"/>
                <w:iCs w:val="0"/>
                <w:color w:val="000000"/>
                <w:sz w:val="28"/>
                <w:szCs w:val="28"/>
                <w:u w:val="none"/>
              </w:rPr>
            </w:pPr>
          </w:p>
        </w:tc>
        <w:tc>
          <w:tcPr>
            <w:tcW w:w="1158" w:type="dxa"/>
            <w:tcBorders>
              <w:top w:val="nil"/>
              <w:left w:val="nil"/>
              <w:bottom w:val="nil"/>
              <w:right w:val="nil"/>
            </w:tcBorders>
            <w:shd w:val="clear" w:color="auto" w:fill="auto"/>
            <w:noWrap/>
            <w:vAlign w:val="center"/>
          </w:tcPr>
          <w:p w14:paraId="5831F1CF">
            <w:pPr>
              <w:rPr>
                <w:rFonts w:hint="eastAsia" w:ascii="宋体" w:hAnsi="宋体" w:eastAsia="宋体" w:cs="宋体"/>
                <w:i w:val="0"/>
                <w:iCs w:val="0"/>
                <w:color w:val="000000"/>
                <w:sz w:val="28"/>
                <w:szCs w:val="28"/>
                <w:u w:val="none"/>
              </w:rPr>
            </w:pPr>
          </w:p>
        </w:tc>
        <w:tc>
          <w:tcPr>
            <w:tcW w:w="3132" w:type="dxa"/>
            <w:tcBorders>
              <w:top w:val="nil"/>
              <w:left w:val="nil"/>
              <w:bottom w:val="nil"/>
              <w:right w:val="nil"/>
            </w:tcBorders>
            <w:shd w:val="clear" w:color="auto" w:fill="auto"/>
            <w:noWrap/>
            <w:vAlign w:val="center"/>
          </w:tcPr>
          <w:p w14:paraId="51DACEF8">
            <w:pPr>
              <w:rPr>
                <w:rFonts w:hint="eastAsia" w:ascii="宋体" w:hAnsi="宋体" w:eastAsia="宋体" w:cs="宋体"/>
                <w:i w:val="0"/>
                <w:iCs w:val="0"/>
                <w:color w:val="000000"/>
                <w:sz w:val="28"/>
                <w:szCs w:val="28"/>
                <w:u w:val="none"/>
              </w:rPr>
            </w:pPr>
          </w:p>
        </w:tc>
        <w:tc>
          <w:tcPr>
            <w:tcW w:w="996" w:type="dxa"/>
            <w:tcBorders>
              <w:top w:val="nil"/>
              <w:left w:val="nil"/>
              <w:bottom w:val="nil"/>
              <w:right w:val="nil"/>
            </w:tcBorders>
            <w:shd w:val="clear" w:color="auto" w:fill="auto"/>
            <w:noWrap/>
            <w:vAlign w:val="center"/>
          </w:tcPr>
          <w:p w14:paraId="07F5A9B3">
            <w:pPr>
              <w:rPr>
                <w:rFonts w:hint="eastAsia" w:ascii="宋体" w:hAnsi="宋体" w:eastAsia="宋体" w:cs="宋体"/>
                <w:i w:val="0"/>
                <w:iCs w:val="0"/>
                <w:color w:val="000000"/>
                <w:sz w:val="28"/>
                <w:szCs w:val="28"/>
                <w:u w:val="none"/>
              </w:rPr>
            </w:pPr>
          </w:p>
        </w:tc>
        <w:tc>
          <w:tcPr>
            <w:tcW w:w="972" w:type="dxa"/>
            <w:tcBorders>
              <w:top w:val="nil"/>
              <w:left w:val="nil"/>
              <w:bottom w:val="nil"/>
              <w:right w:val="nil"/>
            </w:tcBorders>
            <w:shd w:val="clear" w:color="auto" w:fill="auto"/>
            <w:noWrap/>
            <w:vAlign w:val="center"/>
          </w:tcPr>
          <w:p w14:paraId="511E4D06">
            <w:pPr>
              <w:rPr>
                <w:rFonts w:hint="eastAsia" w:ascii="宋体" w:hAnsi="宋体" w:eastAsia="宋体" w:cs="宋体"/>
                <w:i w:val="0"/>
                <w:iCs w:val="0"/>
                <w:color w:val="000000"/>
                <w:sz w:val="28"/>
                <w:szCs w:val="28"/>
                <w:u w:val="none"/>
              </w:rPr>
            </w:pPr>
          </w:p>
        </w:tc>
        <w:tc>
          <w:tcPr>
            <w:tcW w:w="847" w:type="dxa"/>
            <w:tcBorders>
              <w:top w:val="nil"/>
              <w:left w:val="nil"/>
              <w:bottom w:val="nil"/>
              <w:right w:val="nil"/>
            </w:tcBorders>
            <w:shd w:val="clear" w:color="auto" w:fill="auto"/>
            <w:noWrap/>
            <w:vAlign w:val="center"/>
          </w:tcPr>
          <w:p w14:paraId="16BE1880">
            <w:pPr>
              <w:rPr>
                <w:rFonts w:hint="eastAsia" w:ascii="宋体" w:hAnsi="宋体" w:eastAsia="宋体" w:cs="宋体"/>
                <w:i w:val="0"/>
                <w:iCs w:val="0"/>
                <w:color w:val="000000"/>
                <w:sz w:val="28"/>
                <w:szCs w:val="28"/>
                <w:u w:val="none"/>
              </w:rPr>
            </w:pPr>
          </w:p>
        </w:tc>
        <w:tc>
          <w:tcPr>
            <w:tcW w:w="1601" w:type="dxa"/>
            <w:gridSpan w:val="2"/>
            <w:tcBorders>
              <w:top w:val="nil"/>
              <w:left w:val="nil"/>
              <w:bottom w:val="nil"/>
              <w:right w:val="nil"/>
            </w:tcBorders>
            <w:shd w:val="clear" w:color="auto" w:fill="auto"/>
            <w:noWrap/>
            <w:vAlign w:val="center"/>
          </w:tcPr>
          <w:p w14:paraId="5134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EAF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F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75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2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大竹县柏林镇中心小学</w:t>
            </w:r>
          </w:p>
        </w:tc>
      </w:tr>
      <w:tr w14:paraId="5F30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F2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年度部门整体支出预算</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B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r>
      <w:tr w14:paraId="6375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9D6F">
            <w:pPr>
              <w:jc w:val="center"/>
              <w:rPr>
                <w:rFonts w:hint="eastAsia" w:ascii="宋体" w:hAnsi="宋体" w:eastAsia="宋体" w:cs="宋体"/>
                <w:i w:val="0"/>
                <w:iCs w:val="0"/>
                <w:color w:val="000000"/>
                <w:sz w:val="22"/>
                <w:szCs w:val="22"/>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1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1,887.35</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1,887.35</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6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A18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2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10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EB4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障单位在职人员80人、退休人员65人，遗嘱人员10人，正常办公、生活秩序；坚决执行党和国家的教育方针政策；管好用好国家的教育资金，改善和优化农村的办学条件；把教职工服务和管理质量放在首位，提高教职工的幸福感，办人民满意的教育。各项工作顺利开展，经费使用已完成 100 %；听从党的指挥，做好学校各项工作；正确使用资金，使教职工条件得到了改善，教育服务有所提升；办好了人民教育，受到了教职工和人民认可。</w:t>
            </w:r>
          </w:p>
        </w:tc>
      </w:tr>
      <w:tr w14:paraId="79B0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9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年度主要任务</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6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75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主要内容</w:t>
            </w:r>
          </w:p>
        </w:tc>
      </w:tr>
      <w:tr w14:paraId="1494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D1198">
            <w:pPr>
              <w:jc w:val="center"/>
              <w:rPr>
                <w:rFonts w:hint="eastAsia" w:ascii="宋体" w:hAnsi="宋体" w:eastAsia="宋体" w:cs="宋体"/>
                <w:i w:val="0"/>
                <w:iCs w:val="0"/>
                <w:color w:val="000000"/>
                <w:sz w:val="22"/>
                <w:szCs w:val="22"/>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E7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保障学校各项工作正常运行</w:t>
            </w:r>
          </w:p>
        </w:tc>
        <w:tc>
          <w:tcPr>
            <w:tcW w:w="7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51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依法办学，严格执行党的教育方针政策。确保各项工作正常开展</w:t>
            </w:r>
          </w:p>
        </w:tc>
      </w:tr>
      <w:tr w14:paraId="2F69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B7A01">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4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帮助教师全面发展</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12F6">
            <w:pPr>
              <w:jc w:val="left"/>
              <w:rPr>
                <w:rFonts w:hint="eastAsia" w:ascii="宋体" w:hAnsi="宋体" w:eastAsia="宋体" w:cs="宋体"/>
                <w:i w:val="0"/>
                <w:iCs w:val="0"/>
                <w:color w:val="000000"/>
                <w:sz w:val="22"/>
                <w:szCs w:val="22"/>
                <w:u w:val="none"/>
              </w:rPr>
            </w:pPr>
          </w:p>
        </w:tc>
        <w:tc>
          <w:tcPr>
            <w:tcW w:w="7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D24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督促、指导学校教师的思想政治工作、德育工作、体育卫生与艺术教育、国防教育工作、安全稳定工作。</w:t>
            </w:r>
          </w:p>
        </w:tc>
      </w:tr>
      <w:tr w14:paraId="60CC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BB2EE">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0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加强人才队伍建设</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C651">
            <w:pPr>
              <w:jc w:val="left"/>
              <w:rPr>
                <w:rFonts w:hint="eastAsia" w:ascii="宋体" w:hAnsi="宋体" w:eastAsia="宋体" w:cs="宋体"/>
                <w:i w:val="0"/>
                <w:iCs w:val="0"/>
                <w:color w:val="000000"/>
                <w:sz w:val="22"/>
                <w:szCs w:val="22"/>
                <w:u w:val="none"/>
              </w:rPr>
            </w:pPr>
          </w:p>
        </w:tc>
        <w:tc>
          <w:tcPr>
            <w:tcW w:w="7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86F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贯彻实施各类教师资格标准。会同有关部门研究制定人才队伍建设。</w:t>
            </w:r>
          </w:p>
        </w:tc>
      </w:tr>
      <w:tr w14:paraId="5406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FB67">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D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完成教育教学工作</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E218">
            <w:pPr>
              <w:jc w:val="left"/>
              <w:rPr>
                <w:rFonts w:hint="eastAsia" w:ascii="宋体" w:hAnsi="宋体" w:eastAsia="宋体" w:cs="宋体"/>
                <w:i w:val="0"/>
                <w:iCs w:val="0"/>
                <w:color w:val="000000"/>
                <w:sz w:val="22"/>
                <w:szCs w:val="22"/>
                <w:u w:val="none"/>
              </w:rPr>
            </w:pPr>
          </w:p>
        </w:tc>
        <w:tc>
          <w:tcPr>
            <w:tcW w:w="7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01E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指导、协调和监督教师教育教学工作。指导、管理资助经济困难学生工作。完成年度教育教学任务。</w:t>
            </w:r>
          </w:p>
        </w:tc>
      </w:tr>
      <w:tr w14:paraId="2ACB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5A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5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8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绩效制表性质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8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绩效指标值</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绩效度量单位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4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实际完成指标值</w:t>
            </w:r>
          </w:p>
        </w:tc>
      </w:tr>
      <w:tr w14:paraId="6688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4F32">
            <w:pPr>
              <w:jc w:val="cente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B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C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数值指标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完成初中年度招生计划60人</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4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B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5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3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C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339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371A">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2AA8">
            <w:pPr>
              <w:jc w:val="center"/>
              <w:rPr>
                <w:rFonts w:hint="eastAsia" w:ascii="宋体" w:hAnsi="宋体" w:eastAsia="宋体" w:cs="宋体"/>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4C3B">
            <w:pPr>
              <w:jc w:val="center"/>
              <w:rPr>
                <w:rFonts w:hint="eastAsia" w:ascii="宋体" w:hAnsi="宋体" w:eastAsia="宋体" w:cs="宋体"/>
                <w:i w:val="0"/>
                <w:iCs w:val="0"/>
                <w:color w:val="000000"/>
                <w:sz w:val="22"/>
                <w:szCs w:val="22"/>
                <w:u w:val="none"/>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8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教职工培训合格率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7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D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5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0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07CE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F3CD">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981">
            <w:pPr>
              <w:jc w:val="center"/>
              <w:rPr>
                <w:rFonts w:hint="eastAsia" w:ascii="宋体" w:hAnsi="宋体" w:eastAsia="宋体" w:cs="宋体"/>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D7C7">
            <w:pPr>
              <w:jc w:val="center"/>
              <w:rPr>
                <w:rFonts w:hint="eastAsia" w:ascii="宋体" w:hAnsi="宋体" w:eastAsia="宋体" w:cs="宋体"/>
                <w:i w:val="0"/>
                <w:iCs w:val="0"/>
                <w:color w:val="000000"/>
                <w:sz w:val="22"/>
                <w:szCs w:val="22"/>
                <w:u w:val="none"/>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E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完成教室课桌凳配全配齐</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9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E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4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C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4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D75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1425">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76D">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3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教室灯光达到“护眼”标准和规范要求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0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0B2">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2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E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14:paraId="770B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A06B">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3D28">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6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完成招生计划</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2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F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3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9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7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w:t>
            </w:r>
          </w:p>
        </w:tc>
      </w:tr>
      <w:tr w14:paraId="4095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AFA4">
            <w:pPr>
              <w:jc w:val="cente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D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C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4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节约用水用电</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5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B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5E1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C0F8">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E99A">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E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A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对以后年度工作产生可持续影响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7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8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E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1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F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14:paraId="503E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F201">
            <w:pPr>
              <w:jc w:val="cente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32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7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学生满意度</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0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F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5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2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317F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0965">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25BCD">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A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对社会带来积极正面的影响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1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7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B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2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4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bookmarkEnd w:id="82"/>
      <w:bookmarkEnd w:id="83"/>
    </w:tbl>
    <w:p w14:paraId="7CC5A868"/>
    <w:p w14:paraId="6C973637">
      <w:pPr>
        <w:rPr>
          <w:color w:val="4F81BD" w:themeColor="accent1"/>
          <w14:textFill>
            <w14:solidFill>
              <w14:schemeClr w14:val="accent1"/>
            </w14:solidFill>
          </w14:textFill>
        </w:rPr>
      </w:pPr>
    </w:p>
    <w:tbl>
      <w:tblPr>
        <w:tblStyle w:val="15"/>
        <w:tblW w:w="10496" w:type="dxa"/>
        <w:tblInd w:w="-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2"/>
        <w:gridCol w:w="1454"/>
        <w:gridCol w:w="930"/>
        <w:gridCol w:w="975"/>
        <w:gridCol w:w="525"/>
        <w:gridCol w:w="825"/>
        <w:gridCol w:w="525"/>
        <w:gridCol w:w="1035"/>
        <w:gridCol w:w="510"/>
        <w:gridCol w:w="450"/>
        <w:gridCol w:w="2235"/>
      </w:tblGrid>
      <w:tr w14:paraId="1977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2B187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302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75F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FA4B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51172422T000005664764-幼儿活动用房及活动场地等附属设施改造工程（存量））</w:t>
            </w:r>
          </w:p>
        </w:tc>
      </w:tr>
      <w:tr w14:paraId="6E17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FF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3FD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3EDC08A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84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528B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4CF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8B6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E3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CC1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D2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3200">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6102">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B9F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严格执行相关政策，足额保障幼儿活动用房及活动场地工程款资金。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3D7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本年度严格执行相关政策，足额保障幼儿活动用房及活动场地工程款资金支付到位。</w:t>
            </w:r>
          </w:p>
        </w:tc>
      </w:tr>
      <w:tr w14:paraId="1B70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23FF">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CBB0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本年度严格执行相关政策，严格幼儿活动用房及活动场地工程项目款专款专用，按时按质保障项目经费。</w:t>
            </w:r>
          </w:p>
        </w:tc>
      </w:tr>
      <w:tr w14:paraId="7CDD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9A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B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B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0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C0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4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8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5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CB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F087">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1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0.57</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B2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D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E997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4A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5023">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C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F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0.57</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66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0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F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107C">
            <w:pPr>
              <w:rPr>
                <w:rFonts w:hint="eastAsia" w:ascii="黑体" w:hAnsi="黑体" w:eastAsia="黑体" w:cs="黑体"/>
                <w:i/>
                <w:iCs/>
                <w:color w:val="000000"/>
                <w:sz w:val="18"/>
                <w:szCs w:val="18"/>
                <w:u w:val="none"/>
              </w:rPr>
            </w:pPr>
          </w:p>
        </w:tc>
      </w:tr>
      <w:tr w14:paraId="7436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C0276">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2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4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78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A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E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88033">
            <w:pPr>
              <w:rPr>
                <w:rFonts w:hint="eastAsia" w:ascii="黑体" w:hAnsi="黑体" w:eastAsia="黑体" w:cs="黑体"/>
                <w:i/>
                <w:iCs/>
                <w:color w:val="000000"/>
                <w:sz w:val="18"/>
                <w:szCs w:val="18"/>
                <w:u w:val="none"/>
              </w:rPr>
            </w:pPr>
          </w:p>
        </w:tc>
      </w:tr>
      <w:tr w14:paraId="7B43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BBF91">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2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0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E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0A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9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5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E0B5C">
            <w:pPr>
              <w:rPr>
                <w:rFonts w:hint="eastAsia" w:ascii="黑体" w:hAnsi="黑体" w:eastAsia="黑体" w:cs="黑体"/>
                <w:i/>
                <w:iCs/>
                <w:color w:val="000000"/>
                <w:sz w:val="18"/>
                <w:szCs w:val="18"/>
                <w:u w:val="none"/>
              </w:rPr>
            </w:pPr>
          </w:p>
        </w:tc>
      </w:tr>
      <w:tr w14:paraId="70E6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CE3B3">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A0DC">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FE71">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B6E93">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A0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4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6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60FF">
            <w:pPr>
              <w:rPr>
                <w:rFonts w:hint="eastAsia" w:ascii="黑体" w:hAnsi="黑体" w:eastAsia="黑体" w:cs="黑体"/>
                <w:i/>
                <w:iCs/>
                <w:color w:val="000000"/>
                <w:sz w:val="18"/>
                <w:szCs w:val="18"/>
                <w:u w:val="none"/>
              </w:rPr>
            </w:pPr>
          </w:p>
        </w:tc>
      </w:tr>
      <w:tr w14:paraId="04D4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A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7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4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7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6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B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B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8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3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2B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9BB1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9A72">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68C">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482">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A0E">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83DA">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CB2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367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D71">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70F7">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4A3E">
            <w:pPr>
              <w:jc w:val="center"/>
              <w:rPr>
                <w:rFonts w:hint="eastAsia" w:ascii="微软雅黑" w:hAnsi="微软雅黑" w:eastAsia="微软雅黑" w:cs="微软雅黑"/>
                <w:i/>
                <w:iCs/>
                <w:color w:val="000000"/>
                <w:sz w:val="16"/>
                <w:szCs w:val="16"/>
                <w:u w:val="none"/>
              </w:rPr>
            </w:pPr>
          </w:p>
        </w:tc>
      </w:tr>
      <w:tr w14:paraId="76C6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DA9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C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DE6C">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4D2D">
            <w:pPr>
              <w:rPr>
                <w:rFonts w:hint="eastAsia" w:ascii="宋体" w:hAnsi="宋体" w:eastAsia="宋体" w:cs="宋体"/>
                <w:i w:val="0"/>
                <w:iCs w:val="0"/>
                <w:color w:val="000000"/>
                <w:sz w:val="18"/>
                <w:szCs w:val="18"/>
                <w:u w:val="none"/>
              </w:rPr>
            </w:pPr>
          </w:p>
        </w:tc>
      </w:tr>
      <w:tr w14:paraId="269E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0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B05D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本年度顺利完成儿活动用房及活动场地工程项目，资金到位，支付到位，该项目自评得分10分</w:t>
            </w:r>
          </w:p>
        </w:tc>
      </w:tr>
      <w:tr w14:paraId="1F13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79E6C3">
            <w:pPr>
              <w:rPr>
                <w:rFonts w:hint="eastAsia" w:ascii="微软雅黑" w:hAnsi="微软雅黑" w:eastAsia="微软雅黑" w:cs="微软雅黑"/>
                <w:i/>
                <w:iCs/>
                <w:color w:val="000000"/>
                <w:sz w:val="16"/>
                <w:szCs w:val="16"/>
                <w:u w:val="none"/>
              </w:rPr>
            </w:pPr>
          </w:p>
        </w:tc>
      </w:tr>
      <w:tr w14:paraId="461E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57DBBA">
            <w:pPr>
              <w:rPr>
                <w:rFonts w:hint="eastAsia" w:ascii="微软雅黑" w:hAnsi="微软雅黑" w:eastAsia="微软雅黑" w:cs="微软雅黑"/>
                <w:i/>
                <w:iCs/>
                <w:color w:val="000000"/>
                <w:sz w:val="16"/>
                <w:szCs w:val="16"/>
                <w:u w:val="none"/>
              </w:rPr>
            </w:pPr>
          </w:p>
        </w:tc>
      </w:tr>
      <w:tr w14:paraId="0135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C84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EC2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5667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0960C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B90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54A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E154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51172422T000005665116-教师周转房建设项目尾款（存量））</w:t>
            </w:r>
          </w:p>
        </w:tc>
      </w:tr>
      <w:tr w14:paraId="169A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AAD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AF9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140C5A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EB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5B02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33F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48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C8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28F0C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9D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769E">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D79A3">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B22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改善教师生活教学环境，美化校园，提升教学氛围。</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FBE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本年度严格执行相关政策，足额保障教师周转房建设工程款资金支付到位。</w:t>
            </w:r>
          </w:p>
        </w:tc>
      </w:tr>
      <w:tr w14:paraId="05E3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D2899">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76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7216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本年度严格执行相关政策，严格教师周转房建设项目款专款专用，按时按质保障项目经费。</w:t>
            </w:r>
          </w:p>
        </w:tc>
      </w:tr>
      <w:tr w14:paraId="33BB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09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C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3F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4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5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7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74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62A9B">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B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E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01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9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0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DA0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16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56BF0">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B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6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F0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C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8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9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458B">
            <w:pPr>
              <w:rPr>
                <w:rFonts w:hint="eastAsia" w:ascii="黑体" w:hAnsi="黑体" w:eastAsia="黑体" w:cs="黑体"/>
                <w:i/>
                <w:iCs/>
                <w:color w:val="000000"/>
                <w:sz w:val="18"/>
                <w:szCs w:val="18"/>
                <w:u w:val="none"/>
              </w:rPr>
            </w:pPr>
          </w:p>
        </w:tc>
      </w:tr>
      <w:tr w14:paraId="1B10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BB06">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0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87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6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1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9910">
            <w:pPr>
              <w:rPr>
                <w:rFonts w:hint="eastAsia" w:ascii="黑体" w:hAnsi="黑体" w:eastAsia="黑体" w:cs="黑体"/>
                <w:i/>
                <w:iCs/>
                <w:color w:val="000000"/>
                <w:sz w:val="18"/>
                <w:szCs w:val="18"/>
                <w:u w:val="none"/>
              </w:rPr>
            </w:pPr>
          </w:p>
        </w:tc>
      </w:tr>
      <w:tr w14:paraId="0895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82F4">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0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C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17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C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3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23C11">
            <w:pPr>
              <w:rPr>
                <w:rFonts w:hint="eastAsia" w:ascii="黑体" w:hAnsi="黑体" w:eastAsia="黑体" w:cs="黑体"/>
                <w:i/>
                <w:iCs/>
                <w:color w:val="000000"/>
                <w:sz w:val="18"/>
                <w:szCs w:val="18"/>
                <w:u w:val="none"/>
              </w:rPr>
            </w:pPr>
          </w:p>
        </w:tc>
      </w:tr>
      <w:tr w14:paraId="428A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288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9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FA17">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F98E">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785C7">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D4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B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F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B570">
            <w:pPr>
              <w:rPr>
                <w:rFonts w:hint="eastAsia" w:ascii="黑体" w:hAnsi="黑体" w:eastAsia="黑体" w:cs="黑体"/>
                <w:i/>
                <w:iCs/>
                <w:color w:val="000000"/>
                <w:sz w:val="18"/>
                <w:szCs w:val="18"/>
                <w:u w:val="none"/>
              </w:rPr>
            </w:pPr>
          </w:p>
        </w:tc>
      </w:tr>
      <w:tr w14:paraId="61D5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84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F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E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6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4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B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2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B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04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4BC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7936">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6003">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002">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B1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3AA7">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556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F03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A0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F4B9">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E1FA">
            <w:pPr>
              <w:jc w:val="center"/>
              <w:rPr>
                <w:rFonts w:hint="eastAsia" w:ascii="微软雅黑" w:hAnsi="微软雅黑" w:eastAsia="微软雅黑" w:cs="微软雅黑"/>
                <w:i/>
                <w:iCs/>
                <w:color w:val="000000"/>
                <w:sz w:val="16"/>
                <w:szCs w:val="16"/>
                <w:u w:val="none"/>
              </w:rPr>
            </w:pPr>
          </w:p>
        </w:tc>
      </w:tr>
      <w:tr w14:paraId="2D01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752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D90">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B0CF">
            <w:pPr>
              <w:rPr>
                <w:rFonts w:hint="eastAsia" w:ascii="宋体" w:hAnsi="宋体" w:eastAsia="宋体" w:cs="宋体"/>
                <w:i w:val="0"/>
                <w:iCs w:val="0"/>
                <w:color w:val="000000"/>
                <w:sz w:val="18"/>
                <w:szCs w:val="18"/>
                <w:u w:val="none"/>
              </w:rPr>
            </w:pPr>
          </w:p>
        </w:tc>
      </w:tr>
      <w:tr w14:paraId="1457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C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5424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本年度顺利完成顶防漏维修工程项目，资金到位，支付到位，该项目自评得分10分</w:t>
            </w:r>
          </w:p>
        </w:tc>
      </w:tr>
      <w:tr w14:paraId="4103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D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E942BA">
            <w:pPr>
              <w:rPr>
                <w:rFonts w:hint="eastAsia" w:ascii="微软雅黑" w:hAnsi="微软雅黑" w:eastAsia="微软雅黑" w:cs="微软雅黑"/>
                <w:i/>
                <w:iCs/>
                <w:color w:val="000000"/>
                <w:sz w:val="16"/>
                <w:szCs w:val="16"/>
                <w:u w:val="none"/>
              </w:rPr>
            </w:pPr>
          </w:p>
        </w:tc>
      </w:tr>
      <w:tr w14:paraId="58AF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A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AEF6AA">
            <w:pPr>
              <w:rPr>
                <w:rFonts w:hint="eastAsia" w:ascii="微软雅黑" w:hAnsi="微软雅黑" w:eastAsia="微软雅黑" w:cs="微软雅黑"/>
                <w:i/>
                <w:iCs/>
                <w:color w:val="000000"/>
                <w:sz w:val="16"/>
                <w:szCs w:val="16"/>
                <w:u w:val="none"/>
              </w:rPr>
            </w:pPr>
          </w:p>
        </w:tc>
      </w:tr>
      <w:tr w14:paraId="77BB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D49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C795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64D1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32" w:type="dxa"/>
            <w:tcBorders>
              <w:top w:val="nil"/>
              <w:left w:val="nil"/>
              <w:bottom w:val="nil"/>
              <w:right w:val="nil"/>
            </w:tcBorders>
            <w:shd w:val="clear" w:color="auto" w:fill="auto"/>
            <w:vAlign w:val="center"/>
          </w:tcPr>
          <w:p w14:paraId="2778AE5C">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5A5C2BD0">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78B221EF">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518CD145">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F8A3911">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241C62AC">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6AC6FFF3">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34AAE597">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6307B874">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245E1F8B">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4F9D1328">
            <w:pPr>
              <w:rPr>
                <w:rFonts w:hint="eastAsia" w:ascii="黑体" w:hAnsi="黑体" w:eastAsia="黑体" w:cs="黑体"/>
                <w:i w:val="0"/>
                <w:iCs w:val="0"/>
                <w:color w:val="000000"/>
                <w:sz w:val="18"/>
                <w:szCs w:val="18"/>
                <w:u w:val="none"/>
              </w:rPr>
            </w:pPr>
          </w:p>
        </w:tc>
      </w:tr>
      <w:tr w14:paraId="2907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32" w:type="dxa"/>
            <w:tcBorders>
              <w:top w:val="nil"/>
              <w:left w:val="nil"/>
              <w:bottom w:val="nil"/>
              <w:right w:val="nil"/>
            </w:tcBorders>
            <w:shd w:val="clear" w:color="auto" w:fill="auto"/>
            <w:vAlign w:val="center"/>
          </w:tcPr>
          <w:p w14:paraId="20F8FABF">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304E71FD">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006946FD">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71739A0F">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4CDB9457">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557DC4AE">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47C36AA">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3DE0AAC">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3E6A2A87">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43057CF1">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7F51F948">
            <w:pPr>
              <w:rPr>
                <w:rFonts w:hint="eastAsia" w:ascii="黑体" w:hAnsi="黑体" w:eastAsia="黑体" w:cs="黑体"/>
                <w:i w:val="0"/>
                <w:iCs w:val="0"/>
                <w:color w:val="000000"/>
                <w:sz w:val="18"/>
                <w:szCs w:val="18"/>
                <w:u w:val="none"/>
              </w:rPr>
            </w:pPr>
          </w:p>
        </w:tc>
      </w:tr>
      <w:tr w14:paraId="4706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32" w:type="dxa"/>
            <w:tcBorders>
              <w:top w:val="nil"/>
              <w:left w:val="nil"/>
              <w:bottom w:val="nil"/>
              <w:right w:val="nil"/>
            </w:tcBorders>
            <w:shd w:val="clear" w:color="auto" w:fill="auto"/>
            <w:vAlign w:val="center"/>
          </w:tcPr>
          <w:p w14:paraId="732EDEA5">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210ECBF4">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16BB5088">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67EBF2F2">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89BA98E">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7602E053">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6C70F80">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BF5CCD3">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0CF9C26F">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63EAC711">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60D7022E">
            <w:pPr>
              <w:rPr>
                <w:rFonts w:hint="eastAsia" w:ascii="黑体" w:hAnsi="黑体" w:eastAsia="黑体" w:cs="黑体"/>
                <w:i w:val="0"/>
                <w:iCs w:val="0"/>
                <w:color w:val="000000"/>
                <w:sz w:val="18"/>
                <w:szCs w:val="18"/>
                <w:u w:val="none"/>
              </w:rPr>
            </w:pPr>
          </w:p>
        </w:tc>
      </w:tr>
      <w:tr w14:paraId="6D0B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32" w:type="dxa"/>
            <w:tcBorders>
              <w:top w:val="nil"/>
              <w:left w:val="nil"/>
              <w:bottom w:val="nil"/>
              <w:right w:val="nil"/>
            </w:tcBorders>
            <w:shd w:val="clear" w:color="auto" w:fill="auto"/>
            <w:vAlign w:val="center"/>
          </w:tcPr>
          <w:p w14:paraId="7E369A29">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55EA7FE3">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4BE1A752">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79D74C8C">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084AB5B1">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5A939CA3">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0D3CF5BF">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6012BE4E">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3ECEB0D7">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6ED25A36">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16033846">
            <w:pPr>
              <w:rPr>
                <w:rFonts w:hint="eastAsia" w:ascii="黑体" w:hAnsi="黑体" w:eastAsia="黑体" w:cs="黑体"/>
                <w:i w:val="0"/>
                <w:iCs w:val="0"/>
                <w:color w:val="000000"/>
                <w:sz w:val="18"/>
                <w:szCs w:val="18"/>
                <w:u w:val="none"/>
              </w:rPr>
            </w:pPr>
          </w:p>
        </w:tc>
      </w:tr>
      <w:tr w14:paraId="5DF2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A967F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37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15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7C71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51172422T000005665444-2015年教学综合楼建设项目质量保证金（存量））</w:t>
            </w:r>
          </w:p>
        </w:tc>
      </w:tr>
      <w:tr w14:paraId="0A77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8C4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1D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3B90DC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9D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524B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90D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76E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71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E338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6A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54D6">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AE0E">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037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严格执行相关政策，足额保障教学综合楼建设工程款资金。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3FE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本年度严格执行相关政策，足额保障教学综合楼建设工程款资金支付到位。</w:t>
            </w:r>
          </w:p>
        </w:tc>
      </w:tr>
      <w:tr w14:paraId="25C3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993C3">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4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4E78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本年度严格执行相关政策，严格教学综合楼建设项工程目款专款专用，按时按质保障项目经费。</w:t>
            </w:r>
          </w:p>
        </w:tc>
      </w:tr>
      <w:tr w14:paraId="4154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B1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7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C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DD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F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1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A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86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6EA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D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B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9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AF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5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8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6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FEE7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07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D69B">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A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A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E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2C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1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5BEE">
            <w:pPr>
              <w:rPr>
                <w:rFonts w:hint="eastAsia" w:ascii="黑体" w:hAnsi="黑体" w:eastAsia="黑体" w:cs="黑体"/>
                <w:i/>
                <w:iCs/>
                <w:color w:val="000000"/>
                <w:sz w:val="18"/>
                <w:szCs w:val="18"/>
                <w:u w:val="none"/>
              </w:rPr>
            </w:pPr>
          </w:p>
        </w:tc>
      </w:tr>
      <w:tr w14:paraId="07DB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0C723">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B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CF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D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BC20D">
            <w:pPr>
              <w:rPr>
                <w:rFonts w:hint="eastAsia" w:ascii="黑体" w:hAnsi="黑体" w:eastAsia="黑体" w:cs="黑体"/>
                <w:i/>
                <w:iCs/>
                <w:color w:val="000000"/>
                <w:sz w:val="18"/>
                <w:szCs w:val="18"/>
                <w:u w:val="none"/>
              </w:rPr>
            </w:pPr>
          </w:p>
        </w:tc>
      </w:tr>
      <w:tr w14:paraId="50E2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5F2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B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27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7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8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006D">
            <w:pPr>
              <w:rPr>
                <w:rFonts w:hint="eastAsia" w:ascii="黑体" w:hAnsi="黑体" w:eastAsia="黑体" w:cs="黑体"/>
                <w:i/>
                <w:iCs/>
                <w:color w:val="000000"/>
                <w:sz w:val="18"/>
                <w:szCs w:val="18"/>
                <w:u w:val="none"/>
              </w:rPr>
            </w:pPr>
          </w:p>
        </w:tc>
      </w:tr>
      <w:tr w14:paraId="2ABA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49A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1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BE8E">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DD39">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22D57">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A07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8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D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4895">
            <w:pPr>
              <w:rPr>
                <w:rFonts w:hint="eastAsia" w:ascii="黑体" w:hAnsi="黑体" w:eastAsia="黑体" w:cs="黑体"/>
                <w:i/>
                <w:iCs/>
                <w:color w:val="000000"/>
                <w:sz w:val="18"/>
                <w:szCs w:val="18"/>
                <w:u w:val="none"/>
              </w:rPr>
            </w:pPr>
          </w:p>
        </w:tc>
      </w:tr>
      <w:tr w14:paraId="0C99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6B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6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1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1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2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7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FDD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D7A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4DD3">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6E14">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6C9">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3C5A">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4554">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2E9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54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D77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E57">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606">
            <w:pPr>
              <w:jc w:val="center"/>
              <w:rPr>
                <w:rFonts w:hint="eastAsia" w:ascii="微软雅黑" w:hAnsi="微软雅黑" w:eastAsia="微软雅黑" w:cs="微软雅黑"/>
                <w:i/>
                <w:iCs/>
                <w:color w:val="000000"/>
                <w:sz w:val="16"/>
                <w:szCs w:val="16"/>
                <w:u w:val="none"/>
              </w:rPr>
            </w:pPr>
          </w:p>
        </w:tc>
      </w:tr>
      <w:tr w14:paraId="3640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6F9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2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2830">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871">
            <w:pPr>
              <w:rPr>
                <w:rFonts w:hint="eastAsia" w:ascii="宋体" w:hAnsi="宋体" w:eastAsia="宋体" w:cs="宋体"/>
                <w:i w:val="0"/>
                <w:iCs w:val="0"/>
                <w:color w:val="000000"/>
                <w:sz w:val="18"/>
                <w:szCs w:val="18"/>
                <w:u w:val="none"/>
              </w:rPr>
            </w:pPr>
          </w:p>
        </w:tc>
      </w:tr>
      <w:tr w14:paraId="3C2D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7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ADFC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本年度顺利完成顶防漏维修工程项目，资金到位，支付到位，该项目自评得分10分</w:t>
            </w:r>
          </w:p>
        </w:tc>
      </w:tr>
      <w:tr w14:paraId="08F0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6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9CD5B3">
            <w:pPr>
              <w:rPr>
                <w:rFonts w:hint="eastAsia" w:ascii="微软雅黑" w:hAnsi="微软雅黑" w:eastAsia="微软雅黑" w:cs="微软雅黑"/>
                <w:i/>
                <w:iCs/>
                <w:color w:val="000000"/>
                <w:sz w:val="16"/>
                <w:szCs w:val="16"/>
                <w:u w:val="none"/>
              </w:rPr>
            </w:pPr>
          </w:p>
        </w:tc>
      </w:tr>
      <w:tr w14:paraId="00E3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FB3895">
            <w:pPr>
              <w:rPr>
                <w:rFonts w:hint="eastAsia" w:ascii="微软雅黑" w:hAnsi="微软雅黑" w:eastAsia="微软雅黑" w:cs="微软雅黑"/>
                <w:i/>
                <w:iCs/>
                <w:color w:val="000000"/>
                <w:sz w:val="16"/>
                <w:szCs w:val="16"/>
                <w:u w:val="none"/>
              </w:rPr>
            </w:pPr>
          </w:p>
        </w:tc>
      </w:tr>
      <w:tr w14:paraId="0728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4AA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51FC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0A8A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2" w:type="dxa"/>
            <w:tcBorders>
              <w:top w:val="nil"/>
              <w:left w:val="nil"/>
              <w:bottom w:val="nil"/>
              <w:right w:val="nil"/>
            </w:tcBorders>
            <w:shd w:val="clear" w:color="auto" w:fill="auto"/>
            <w:vAlign w:val="center"/>
          </w:tcPr>
          <w:p w14:paraId="1B1910F3">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628EAEE5">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5ABD6832">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3325ED41">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04CB090">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112553C7">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2F687DB5">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E905D26">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5E568DD2">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1B1A23E">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3E164F8A">
            <w:pPr>
              <w:rPr>
                <w:rFonts w:hint="eastAsia" w:ascii="黑体" w:hAnsi="黑体" w:eastAsia="黑体" w:cs="黑体"/>
                <w:i w:val="0"/>
                <w:iCs w:val="0"/>
                <w:color w:val="000000"/>
                <w:sz w:val="18"/>
                <w:szCs w:val="18"/>
                <w:u w:val="none"/>
              </w:rPr>
            </w:pPr>
          </w:p>
        </w:tc>
      </w:tr>
      <w:tr w14:paraId="5219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2" w:type="dxa"/>
            <w:tcBorders>
              <w:top w:val="nil"/>
              <w:left w:val="nil"/>
              <w:bottom w:val="nil"/>
              <w:right w:val="nil"/>
            </w:tcBorders>
            <w:shd w:val="clear" w:color="auto" w:fill="auto"/>
            <w:vAlign w:val="center"/>
          </w:tcPr>
          <w:p w14:paraId="0087C443">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64351911">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0DBD7F1C">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127F2A00">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211BB882">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3E4DF7D6">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6C46C8B9">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55C9E562">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5C42063B">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036ECE6">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4215B116">
            <w:pPr>
              <w:rPr>
                <w:rFonts w:hint="eastAsia" w:ascii="黑体" w:hAnsi="黑体" w:eastAsia="黑体" w:cs="黑体"/>
                <w:i w:val="0"/>
                <w:iCs w:val="0"/>
                <w:color w:val="000000"/>
                <w:sz w:val="18"/>
                <w:szCs w:val="18"/>
                <w:u w:val="none"/>
              </w:rPr>
            </w:pPr>
          </w:p>
        </w:tc>
      </w:tr>
      <w:tr w14:paraId="1D95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2" w:type="dxa"/>
            <w:tcBorders>
              <w:top w:val="nil"/>
              <w:left w:val="nil"/>
              <w:bottom w:val="nil"/>
              <w:right w:val="nil"/>
            </w:tcBorders>
            <w:shd w:val="clear" w:color="auto" w:fill="auto"/>
            <w:vAlign w:val="center"/>
          </w:tcPr>
          <w:p w14:paraId="4984A8BC">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45061BCF">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60661339">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03EF8319">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1566E6E8">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7D103B5A">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37460340">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3DE9AC30">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32C9B9D2">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27F1FAF4">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0BD3A9CD">
            <w:pPr>
              <w:rPr>
                <w:rFonts w:hint="eastAsia" w:ascii="黑体" w:hAnsi="黑体" w:eastAsia="黑体" w:cs="黑体"/>
                <w:i w:val="0"/>
                <w:iCs w:val="0"/>
                <w:color w:val="000000"/>
                <w:sz w:val="18"/>
                <w:szCs w:val="18"/>
                <w:u w:val="none"/>
              </w:rPr>
            </w:pPr>
          </w:p>
        </w:tc>
      </w:tr>
      <w:tr w14:paraId="41F3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9DCD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67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BE1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371D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51172422T000005665704-幼儿园设施设备采购项目款（存量）</w:t>
            </w:r>
          </w:p>
        </w:tc>
      </w:tr>
      <w:tr w14:paraId="7FBA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83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B12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552FF2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2F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623E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75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98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84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0002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CE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F2EE">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BC8E">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F43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严格执行相关政策，足额保障幼儿园设施设备采购款资金。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7FF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本年度严格执行相关政策，足额保障幼儿园设施设备采购款资金支付到位。</w:t>
            </w:r>
          </w:p>
        </w:tc>
      </w:tr>
      <w:tr w14:paraId="7A90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3B2D">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8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FD2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本年度严格执行相关政策，严格幼儿园设施设备采购款专款专用，按时按质保障项目经费。</w:t>
            </w:r>
          </w:p>
        </w:tc>
      </w:tr>
      <w:tr w14:paraId="1A2E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DB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2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3E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C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E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9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D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E5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5C4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A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2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38.73</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E3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F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3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0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0681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67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0A7F">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7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B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3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38.73</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17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4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1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8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F792">
            <w:pPr>
              <w:rPr>
                <w:rFonts w:hint="eastAsia" w:ascii="黑体" w:hAnsi="黑体" w:eastAsia="黑体" w:cs="黑体"/>
                <w:i/>
                <w:iCs/>
                <w:color w:val="000000"/>
                <w:sz w:val="18"/>
                <w:szCs w:val="18"/>
                <w:u w:val="none"/>
              </w:rPr>
            </w:pPr>
          </w:p>
        </w:tc>
      </w:tr>
      <w:tr w14:paraId="2874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43A4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F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7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0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37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5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F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7592">
            <w:pPr>
              <w:rPr>
                <w:rFonts w:hint="eastAsia" w:ascii="黑体" w:hAnsi="黑体" w:eastAsia="黑体" w:cs="黑体"/>
                <w:i/>
                <w:iCs/>
                <w:color w:val="000000"/>
                <w:sz w:val="18"/>
                <w:szCs w:val="18"/>
                <w:u w:val="none"/>
              </w:rPr>
            </w:pPr>
          </w:p>
        </w:tc>
      </w:tr>
      <w:tr w14:paraId="703A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61B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5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5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AF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F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C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9391">
            <w:pPr>
              <w:rPr>
                <w:rFonts w:hint="eastAsia" w:ascii="黑体" w:hAnsi="黑体" w:eastAsia="黑体" w:cs="黑体"/>
                <w:i/>
                <w:iCs/>
                <w:color w:val="000000"/>
                <w:sz w:val="18"/>
                <w:szCs w:val="18"/>
                <w:u w:val="none"/>
              </w:rPr>
            </w:pPr>
          </w:p>
        </w:tc>
      </w:tr>
      <w:tr w14:paraId="541C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796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D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B0C7">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990">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4860C">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292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5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CDB0">
            <w:pPr>
              <w:rPr>
                <w:rFonts w:hint="eastAsia" w:ascii="黑体" w:hAnsi="黑体" w:eastAsia="黑体" w:cs="黑体"/>
                <w:i/>
                <w:iCs/>
                <w:color w:val="000000"/>
                <w:sz w:val="18"/>
                <w:szCs w:val="18"/>
                <w:u w:val="none"/>
              </w:rPr>
            </w:pPr>
          </w:p>
        </w:tc>
      </w:tr>
      <w:tr w14:paraId="4B5D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76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7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C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5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0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E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5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C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38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76FF">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27B">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5B30">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B47">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550">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D8D">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E5C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71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C1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0BD">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157">
            <w:pPr>
              <w:jc w:val="center"/>
              <w:rPr>
                <w:rFonts w:hint="eastAsia" w:ascii="微软雅黑" w:hAnsi="微软雅黑" w:eastAsia="微软雅黑" w:cs="微软雅黑"/>
                <w:i/>
                <w:iCs/>
                <w:color w:val="000000"/>
                <w:sz w:val="16"/>
                <w:szCs w:val="16"/>
                <w:u w:val="none"/>
              </w:rPr>
            </w:pPr>
          </w:p>
        </w:tc>
      </w:tr>
      <w:tr w14:paraId="024C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00F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0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E563">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A43">
            <w:pPr>
              <w:rPr>
                <w:rFonts w:hint="eastAsia" w:ascii="宋体" w:hAnsi="宋体" w:eastAsia="宋体" w:cs="宋体"/>
                <w:i w:val="0"/>
                <w:iCs w:val="0"/>
                <w:color w:val="000000"/>
                <w:sz w:val="18"/>
                <w:szCs w:val="18"/>
                <w:u w:val="none"/>
              </w:rPr>
            </w:pPr>
          </w:p>
        </w:tc>
      </w:tr>
      <w:tr w14:paraId="0D47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5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1740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本年度顺利完成顶防漏维修工程项目，资金到位，支付到位，该项目自评得分10分</w:t>
            </w:r>
          </w:p>
        </w:tc>
      </w:tr>
      <w:tr w14:paraId="211B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90DD30">
            <w:pPr>
              <w:rPr>
                <w:rFonts w:hint="eastAsia" w:ascii="微软雅黑" w:hAnsi="微软雅黑" w:eastAsia="微软雅黑" w:cs="微软雅黑"/>
                <w:i/>
                <w:iCs/>
                <w:color w:val="000000"/>
                <w:sz w:val="16"/>
                <w:szCs w:val="16"/>
                <w:u w:val="none"/>
              </w:rPr>
            </w:pPr>
          </w:p>
        </w:tc>
      </w:tr>
      <w:tr w14:paraId="70A1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F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C7E486">
            <w:pPr>
              <w:rPr>
                <w:rFonts w:hint="eastAsia" w:ascii="微软雅黑" w:hAnsi="微软雅黑" w:eastAsia="微软雅黑" w:cs="微软雅黑"/>
                <w:i/>
                <w:iCs/>
                <w:color w:val="000000"/>
                <w:sz w:val="16"/>
                <w:szCs w:val="16"/>
                <w:u w:val="none"/>
              </w:rPr>
            </w:pPr>
          </w:p>
        </w:tc>
      </w:tr>
      <w:tr w14:paraId="24DD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77F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B169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4E94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2" w:type="dxa"/>
            <w:tcBorders>
              <w:top w:val="nil"/>
              <w:left w:val="nil"/>
              <w:bottom w:val="nil"/>
              <w:right w:val="nil"/>
            </w:tcBorders>
            <w:shd w:val="clear" w:color="auto" w:fill="auto"/>
            <w:vAlign w:val="center"/>
          </w:tcPr>
          <w:p w14:paraId="44391FB2">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78E5C87E">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251C219A">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16287C2B">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4E63B79">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046BF8CE">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A02A07E">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0789380D">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61E7AE67">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FBAAE04">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401D8A0B">
            <w:pPr>
              <w:rPr>
                <w:rFonts w:hint="eastAsia" w:ascii="黑体" w:hAnsi="黑体" w:eastAsia="黑体" w:cs="黑体"/>
                <w:i w:val="0"/>
                <w:iCs w:val="0"/>
                <w:color w:val="000000"/>
                <w:sz w:val="18"/>
                <w:szCs w:val="18"/>
                <w:u w:val="none"/>
              </w:rPr>
            </w:pPr>
          </w:p>
        </w:tc>
      </w:tr>
      <w:tr w14:paraId="573C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2" w:type="dxa"/>
            <w:tcBorders>
              <w:top w:val="nil"/>
              <w:left w:val="nil"/>
              <w:bottom w:val="nil"/>
              <w:right w:val="nil"/>
            </w:tcBorders>
            <w:shd w:val="clear" w:color="auto" w:fill="auto"/>
            <w:vAlign w:val="center"/>
          </w:tcPr>
          <w:p w14:paraId="4EBEFFEE">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2AF4D177">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21429505">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24B5DEB7">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4D4DB21F">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07F77BA1">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124E473A">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97A7B9F">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3B6560BF">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69823DAB">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085D5FEA">
            <w:pPr>
              <w:rPr>
                <w:rFonts w:hint="eastAsia" w:ascii="黑体" w:hAnsi="黑体" w:eastAsia="黑体" w:cs="黑体"/>
                <w:i w:val="0"/>
                <w:iCs w:val="0"/>
                <w:color w:val="000000"/>
                <w:sz w:val="18"/>
                <w:szCs w:val="18"/>
                <w:u w:val="none"/>
              </w:rPr>
            </w:pPr>
          </w:p>
        </w:tc>
      </w:tr>
      <w:tr w14:paraId="2E53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C4F66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8A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2A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1647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51172422T000005666343-教室改教师宿舍（存量）</w:t>
            </w:r>
          </w:p>
        </w:tc>
      </w:tr>
      <w:tr w14:paraId="1D98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C1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30C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6814F0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0B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3FE3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35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7B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5F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021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AC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9C38">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9012">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FF06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严格执行相关政策，足额保障教室改教师宿舍款资金。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C07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本年度严格执行相关政策，足额保障教室改教师宿舍款资金支付到位。</w:t>
            </w:r>
          </w:p>
        </w:tc>
      </w:tr>
      <w:tr w14:paraId="4050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9699">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8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171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本年度严格执行相关政策，严格幼教室改教师宿舍款专用，按时按质保障项目经费。</w:t>
            </w:r>
          </w:p>
        </w:tc>
      </w:tr>
      <w:tr w14:paraId="1ADE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D2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6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7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2E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2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0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9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E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16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1559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D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B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0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B2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0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7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2328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DD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B92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4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27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C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D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7755">
            <w:pPr>
              <w:rPr>
                <w:rFonts w:hint="eastAsia" w:ascii="黑体" w:hAnsi="黑体" w:eastAsia="黑体" w:cs="黑体"/>
                <w:i/>
                <w:iCs/>
                <w:color w:val="000000"/>
                <w:sz w:val="18"/>
                <w:szCs w:val="18"/>
                <w:u w:val="none"/>
              </w:rPr>
            </w:pPr>
          </w:p>
        </w:tc>
      </w:tr>
      <w:tr w14:paraId="3FBD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815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2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A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6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C1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7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1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E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968D">
            <w:pPr>
              <w:rPr>
                <w:rFonts w:hint="eastAsia" w:ascii="黑体" w:hAnsi="黑体" w:eastAsia="黑体" w:cs="黑体"/>
                <w:i/>
                <w:iCs/>
                <w:color w:val="000000"/>
                <w:sz w:val="18"/>
                <w:szCs w:val="18"/>
                <w:u w:val="none"/>
              </w:rPr>
            </w:pPr>
          </w:p>
        </w:tc>
      </w:tr>
      <w:tr w14:paraId="142F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B87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7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4A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2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4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2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83472">
            <w:pPr>
              <w:rPr>
                <w:rFonts w:hint="eastAsia" w:ascii="黑体" w:hAnsi="黑体" w:eastAsia="黑体" w:cs="黑体"/>
                <w:i/>
                <w:iCs/>
                <w:color w:val="000000"/>
                <w:sz w:val="18"/>
                <w:szCs w:val="18"/>
                <w:u w:val="none"/>
              </w:rPr>
            </w:pPr>
          </w:p>
        </w:tc>
      </w:tr>
      <w:tr w14:paraId="07A7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4130">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8D6F">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D21">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4411B">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27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4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85A46">
            <w:pPr>
              <w:rPr>
                <w:rFonts w:hint="eastAsia" w:ascii="黑体" w:hAnsi="黑体" w:eastAsia="黑体" w:cs="黑体"/>
                <w:i/>
                <w:iCs/>
                <w:color w:val="000000"/>
                <w:sz w:val="18"/>
                <w:szCs w:val="18"/>
                <w:u w:val="none"/>
              </w:rPr>
            </w:pPr>
          </w:p>
        </w:tc>
      </w:tr>
      <w:tr w14:paraId="267B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7C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5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D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E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B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9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6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7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7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5C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062D">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2669">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90BC">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8485">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8F1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6F23">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878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250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386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D723">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FD0">
            <w:pPr>
              <w:jc w:val="center"/>
              <w:rPr>
                <w:rFonts w:hint="eastAsia" w:ascii="微软雅黑" w:hAnsi="微软雅黑" w:eastAsia="微软雅黑" w:cs="微软雅黑"/>
                <w:i/>
                <w:iCs/>
                <w:color w:val="000000"/>
                <w:sz w:val="16"/>
                <w:szCs w:val="16"/>
                <w:u w:val="none"/>
              </w:rPr>
            </w:pPr>
          </w:p>
        </w:tc>
      </w:tr>
      <w:tr w14:paraId="191F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9CD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F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031">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128">
            <w:pPr>
              <w:rPr>
                <w:rFonts w:hint="eastAsia" w:ascii="宋体" w:hAnsi="宋体" w:eastAsia="宋体" w:cs="宋体"/>
                <w:i w:val="0"/>
                <w:iCs w:val="0"/>
                <w:color w:val="000000"/>
                <w:sz w:val="18"/>
                <w:szCs w:val="18"/>
                <w:u w:val="none"/>
              </w:rPr>
            </w:pPr>
          </w:p>
        </w:tc>
      </w:tr>
      <w:tr w14:paraId="4694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A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7409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本年度顺利完成顶防漏维修工程项目，资金到位，支付到位，该项目自评得分10分</w:t>
            </w:r>
          </w:p>
        </w:tc>
      </w:tr>
      <w:tr w14:paraId="2063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96C447">
            <w:pPr>
              <w:rPr>
                <w:rFonts w:hint="eastAsia" w:ascii="微软雅黑" w:hAnsi="微软雅黑" w:eastAsia="微软雅黑" w:cs="微软雅黑"/>
                <w:i/>
                <w:iCs/>
                <w:color w:val="000000"/>
                <w:sz w:val="16"/>
                <w:szCs w:val="16"/>
                <w:u w:val="none"/>
              </w:rPr>
            </w:pPr>
          </w:p>
        </w:tc>
      </w:tr>
      <w:tr w14:paraId="0E18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5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74E8F3">
            <w:pPr>
              <w:rPr>
                <w:rFonts w:hint="eastAsia" w:ascii="微软雅黑" w:hAnsi="微软雅黑" w:eastAsia="微软雅黑" w:cs="微软雅黑"/>
                <w:i/>
                <w:iCs/>
                <w:color w:val="000000"/>
                <w:sz w:val="16"/>
                <w:szCs w:val="16"/>
                <w:u w:val="none"/>
              </w:rPr>
            </w:pPr>
          </w:p>
        </w:tc>
      </w:tr>
      <w:tr w14:paraId="6804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E23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F685C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3984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32" w:type="dxa"/>
            <w:tcBorders>
              <w:top w:val="nil"/>
              <w:left w:val="nil"/>
              <w:bottom w:val="nil"/>
              <w:right w:val="nil"/>
            </w:tcBorders>
            <w:shd w:val="clear" w:color="auto" w:fill="auto"/>
            <w:vAlign w:val="center"/>
          </w:tcPr>
          <w:p w14:paraId="34FADD17">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51513647">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1D24AB57">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68F2C1B4">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27A434E4">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65EF9997">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31CC60DA">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61961355">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5709B12B">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1DC83E70">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64305F3D">
            <w:pPr>
              <w:rPr>
                <w:rFonts w:hint="eastAsia" w:ascii="黑体" w:hAnsi="黑体" w:eastAsia="黑体" w:cs="黑体"/>
                <w:i w:val="0"/>
                <w:iCs w:val="0"/>
                <w:color w:val="000000"/>
                <w:sz w:val="18"/>
                <w:szCs w:val="18"/>
                <w:u w:val="none"/>
              </w:rPr>
            </w:pPr>
          </w:p>
        </w:tc>
      </w:tr>
      <w:tr w14:paraId="2F0A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32" w:type="dxa"/>
            <w:tcBorders>
              <w:top w:val="nil"/>
              <w:left w:val="nil"/>
              <w:bottom w:val="nil"/>
              <w:right w:val="nil"/>
            </w:tcBorders>
            <w:shd w:val="clear" w:color="auto" w:fill="auto"/>
            <w:vAlign w:val="center"/>
          </w:tcPr>
          <w:p w14:paraId="62679B28">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45BD9FBD">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59C5AEEE">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2B445481">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26881F1">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6F9BEA0C">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ED310DA">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6B5451BC">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54ABF1A7">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3298DF6B">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4DA60392">
            <w:pPr>
              <w:rPr>
                <w:rFonts w:hint="eastAsia" w:ascii="黑体" w:hAnsi="黑体" w:eastAsia="黑体" w:cs="黑体"/>
                <w:i w:val="0"/>
                <w:iCs w:val="0"/>
                <w:color w:val="000000"/>
                <w:sz w:val="18"/>
                <w:szCs w:val="18"/>
                <w:u w:val="none"/>
              </w:rPr>
            </w:pPr>
          </w:p>
        </w:tc>
      </w:tr>
      <w:tr w14:paraId="4C33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32" w:type="dxa"/>
            <w:tcBorders>
              <w:top w:val="nil"/>
              <w:left w:val="nil"/>
              <w:bottom w:val="nil"/>
              <w:right w:val="nil"/>
            </w:tcBorders>
            <w:shd w:val="clear" w:color="auto" w:fill="auto"/>
            <w:vAlign w:val="center"/>
          </w:tcPr>
          <w:p w14:paraId="118ED96E">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394A488A">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7A0BB41B">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7099F567">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444074F8">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1BF418CE">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3FF3F175">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4AB00DF2">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28729958">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334E66E3">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26F0D317">
            <w:pPr>
              <w:rPr>
                <w:rFonts w:hint="eastAsia" w:ascii="黑体" w:hAnsi="黑体" w:eastAsia="黑体" w:cs="黑体"/>
                <w:i w:val="0"/>
                <w:iCs w:val="0"/>
                <w:color w:val="000000"/>
                <w:sz w:val="18"/>
                <w:szCs w:val="18"/>
                <w:u w:val="none"/>
              </w:rPr>
            </w:pPr>
          </w:p>
        </w:tc>
      </w:tr>
      <w:tr w14:paraId="5BC6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7AEE6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76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81F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F10D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51172422T000005735225-营养餐</w:t>
            </w:r>
          </w:p>
        </w:tc>
      </w:tr>
      <w:tr w14:paraId="27C8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984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1A0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43C9C7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3D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1053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806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399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82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0034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95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D788">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64D32">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D64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本年度严格执行相关政策，严格营养餐项目款专款专用，按时按质保障项目经费。</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3086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本年度严格执行相关政策，足额保障营养餐资金支付到位，专款专用。</w:t>
            </w:r>
          </w:p>
        </w:tc>
      </w:tr>
      <w:tr w14:paraId="4F1A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809C">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5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8655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本年度严格执行相关政策，严格营养餐项目资金款专款专用，按时按质保障营养餐资金支付到位。</w:t>
            </w:r>
          </w:p>
        </w:tc>
      </w:tr>
      <w:tr w14:paraId="0649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0C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C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7C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E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0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2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6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C6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9C07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4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F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DA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F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6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B279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47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D10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6C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1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C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D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B017">
            <w:pPr>
              <w:rPr>
                <w:rFonts w:hint="eastAsia" w:ascii="黑体" w:hAnsi="黑体" w:eastAsia="黑体" w:cs="黑体"/>
                <w:i/>
                <w:iCs/>
                <w:color w:val="000000"/>
                <w:sz w:val="18"/>
                <w:szCs w:val="18"/>
                <w:u w:val="none"/>
              </w:rPr>
            </w:pPr>
          </w:p>
        </w:tc>
      </w:tr>
      <w:tr w14:paraId="7852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CF2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4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7A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2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F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09AF">
            <w:pPr>
              <w:rPr>
                <w:rFonts w:hint="eastAsia" w:ascii="黑体" w:hAnsi="黑体" w:eastAsia="黑体" w:cs="黑体"/>
                <w:i/>
                <w:iCs/>
                <w:color w:val="000000"/>
                <w:sz w:val="18"/>
                <w:szCs w:val="18"/>
                <w:u w:val="none"/>
              </w:rPr>
            </w:pPr>
          </w:p>
        </w:tc>
      </w:tr>
      <w:tr w14:paraId="06DA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0F4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A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F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90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3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D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3821">
            <w:pPr>
              <w:rPr>
                <w:rFonts w:hint="eastAsia" w:ascii="黑体" w:hAnsi="黑体" w:eastAsia="黑体" w:cs="黑体"/>
                <w:i/>
                <w:iCs/>
                <w:color w:val="000000"/>
                <w:sz w:val="18"/>
                <w:szCs w:val="18"/>
                <w:u w:val="none"/>
              </w:rPr>
            </w:pPr>
          </w:p>
        </w:tc>
      </w:tr>
      <w:tr w14:paraId="0A3A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620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98D7">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9020">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21452">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1B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0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BAB4">
            <w:pPr>
              <w:rPr>
                <w:rFonts w:hint="eastAsia" w:ascii="黑体" w:hAnsi="黑体" w:eastAsia="黑体" w:cs="黑体"/>
                <w:i/>
                <w:iCs/>
                <w:color w:val="000000"/>
                <w:sz w:val="18"/>
                <w:szCs w:val="18"/>
                <w:u w:val="none"/>
              </w:rPr>
            </w:pPr>
          </w:p>
        </w:tc>
      </w:tr>
      <w:tr w14:paraId="516C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29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6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F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6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B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9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E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2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E53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F2E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642D">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6463">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F05">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5E6B">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913F">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FE1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DB0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0D24">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8F6B">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230">
            <w:pPr>
              <w:jc w:val="center"/>
              <w:rPr>
                <w:rFonts w:hint="eastAsia" w:ascii="微软雅黑" w:hAnsi="微软雅黑" w:eastAsia="微软雅黑" w:cs="微软雅黑"/>
                <w:i/>
                <w:iCs/>
                <w:color w:val="000000"/>
                <w:sz w:val="16"/>
                <w:szCs w:val="16"/>
                <w:u w:val="none"/>
              </w:rPr>
            </w:pPr>
          </w:p>
        </w:tc>
      </w:tr>
      <w:tr w14:paraId="6629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F81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C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E5C">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227A">
            <w:pPr>
              <w:rPr>
                <w:rFonts w:hint="eastAsia" w:ascii="宋体" w:hAnsi="宋体" w:eastAsia="宋体" w:cs="宋体"/>
                <w:i w:val="0"/>
                <w:iCs w:val="0"/>
                <w:color w:val="000000"/>
                <w:sz w:val="18"/>
                <w:szCs w:val="18"/>
                <w:u w:val="none"/>
              </w:rPr>
            </w:pPr>
          </w:p>
        </w:tc>
      </w:tr>
      <w:tr w14:paraId="6D34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40D1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全校学生足额享义务教育阶段营养餐改造计划，营养餐饭菜质量好，学生和家长满意。</w:t>
            </w:r>
          </w:p>
        </w:tc>
      </w:tr>
      <w:tr w14:paraId="62F2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7CB4CD">
            <w:pPr>
              <w:rPr>
                <w:rFonts w:hint="eastAsia" w:ascii="微软雅黑" w:hAnsi="微软雅黑" w:eastAsia="微软雅黑" w:cs="微软雅黑"/>
                <w:i/>
                <w:iCs/>
                <w:color w:val="000000"/>
                <w:sz w:val="16"/>
                <w:szCs w:val="16"/>
                <w:u w:val="none"/>
              </w:rPr>
            </w:pPr>
          </w:p>
        </w:tc>
      </w:tr>
      <w:tr w14:paraId="13A9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7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D91BB9">
            <w:pPr>
              <w:rPr>
                <w:rFonts w:hint="eastAsia" w:ascii="微软雅黑" w:hAnsi="微软雅黑" w:eastAsia="微软雅黑" w:cs="微软雅黑"/>
                <w:i/>
                <w:iCs/>
                <w:color w:val="000000"/>
                <w:sz w:val="16"/>
                <w:szCs w:val="16"/>
                <w:u w:val="none"/>
              </w:rPr>
            </w:pPr>
          </w:p>
        </w:tc>
      </w:tr>
      <w:tr w14:paraId="2790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301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C1CA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3BB5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2" w:type="dxa"/>
            <w:tcBorders>
              <w:top w:val="nil"/>
              <w:left w:val="nil"/>
              <w:bottom w:val="nil"/>
              <w:right w:val="nil"/>
            </w:tcBorders>
            <w:shd w:val="clear" w:color="auto" w:fill="auto"/>
            <w:vAlign w:val="center"/>
          </w:tcPr>
          <w:p w14:paraId="4E09C00D">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78A93473">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24D12D94">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5EF0FAD4">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26DA2589">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749CB672">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547B157">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124A02F9">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1CD70667">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386273E2">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79113214">
            <w:pPr>
              <w:rPr>
                <w:rFonts w:hint="eastAsia" w:ascii="黑体" w:hAnsi="黑体" w:eastAsia="黑体" w:cs="黑体"/>
                <w:i w:val="0"/>
                <w:iCs w:val="0"/>
                <w:color w:val="000000"/>
                <w:sz w:val="18"/>
                <w:szCs w:val="18"/>
                <w:u w:val="none"/>
              </w:rPr>
            </w:pPr>
          </w:p>
        </w:tc>
      </w:tr>
      <w:tr w14:paraId="08F5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2" w:type="dxa"/>
            <w:tcBorders>
              <w:top w:val="nil"/>
              <w:left w:val="nil"/>
              <w:bottom w:val="nil"/>
              <w:right w:val="nil"/>
            </w:tcBorders>
            <w:shd w:val="clear" w:color="auto" w:fill="auto"/>
            <w:vAlign w:val="center"/>
          </w:tcPr>
          <w:p w14:paraId="00D492B5">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47EC243">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69741E39">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1BCEC21F">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2A0BC26B">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18D5060C">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695EB57">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032BA285">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63F99A26">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A61B6EE">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3DDD505B">
            <w:pPr>
              <w:rPr>
                <w:rFonts w:hint="eastAsia" w:ascii="黑体" w:hAnsi="黑体" w:eastAsia="黑体" w:cs="黑体"/>
                <w:i w:val="0"/>
                <w:iCs w:val="0"/>
                <w:color w:val="000000"/>
                <w:sz w:val="18"/>
                <w:szCs w:val="18"/>
                <w:u w:val="none"/>
              </w:rPr>
            </w:pPr>
          </w:p>
        </w:tc>
      </w:tr>
      <w:tr w14:paraId="69B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2" w:type="dxa"/>
            <w:tcBorders>
              <w:top w:val="nil"/>
              <w:left w:val="nil"/>
              <w:bottom w:val="nil"/>
              <w:right w:val="nil"/>
            </w:tcBorders>
            <w:shd w:val="clear" w:color="auto" w:fill="auto"/>
            <w:vAlign w:val="center"/>
          </w:tcPr>
          <w:p w14:paraId="2BCFC49E">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190A1E2">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6D6D9C10">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0BC6FC17">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116AA9A9">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5C96F66C">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1B391135">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3254CC95">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01A34534">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AD85BBD">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16B171FE">
            <w:pPr>
              <w:rPr>
                <w:rFonts w:hint="eastAsia" w:ascii="黑体" w:hAnsi="黑体" w:eastAsia="黑体" w:cs="黑体"/>
                <w:i w:val="0"/>
                <w:iCs w:val="0"/>
                <w:color w:val="000000"/>
                <w:sz w:val="18"/>
                <w:szCs w:val="18"/>
                <w:u w:val="none"/>
              </w:rPr>
            </w:pPr>
          </w:p>
        </w:tc>
      </w:tr>
      <w:tr w14:paraId="4A9D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2" w:type="dxa"/>
            <w:tcBorders>
              <w:top w:val="nil"/>
              <w:left w:val="nil"/>
              <w:bottom w:val="nil"/>
              <w:right w:val="nil"/>
            </w:tcBorders>
            <w:shd w:val="clear" w:color="auto" w:fill="auto"/>
            <w:vAlign w:val="center"/>
          </w:tcPr>
          <w:p w14:paraId="73C41E1A">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5758EF65">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7D9CD031">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46CCE21E">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1759074E">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5275D483">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667FBD73">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E046154">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19C1779A">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4A959C5">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01372AA9">
            <w:pPr>
              <w:rPr>
                <w:rFonts w:hint="eastAsia" w:ascii="黑体" w:hAnsi="黑体" w:eastAsia="黑体" w:cs="黑体"/>
                <w:i w:val="0"/>
                <w:iCs w:val="0"/>
                <w:color w:val="000000"/>
                <w:sz w:val="18"/>
                <w:szCs w:val="18"/>
                <w:u w:val="none"/>
              </w:rPr>
            </w:pPr>
          </w:p>
        </w:tc>
      </w:tr>
      <w:tr w14:paraId="7CEF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A2CD7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BB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427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587C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51172422T000006752018-维修改造</w:t>
            </w:r>
          </w:p>
        </w:tc>
      </w:tr>
      <w:tr w14:paraId="2F9B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ED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730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1F1493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79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470A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15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24C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DC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F9C2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02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9BAC1">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FEC3">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081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按照相关政策，足额保障校舍维修资金。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E06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本年度严格执行相关政策，足额保障校舍维修工程款资金支付到位。</w:t>
            </w:r>
          </w:p>
        </w:tc>
      </w:tr>
      <w:tr w14:paraId="6593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F52B">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4F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6DF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本年度按照相关政策，努力推进校舍维修改造工程项目，足额保障校舍维修资金。</w:t>
            </w:r>
          </w:p>
        </w:tc>
      </w:tr>
      <w:tr w14:paraId="5538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3C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9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9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1E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6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B0C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5E4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4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7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4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FF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7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1B4E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D5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837D">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8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7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F5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C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A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C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D1D6">
            <w:pPr>
              <w:rPr>
                <w:rFonts w:hint="eastAsia" w:ascii="黑体" w:hAnsi="黑体" w:eastAsia="黑体" w:cs="黑体"/>
                <w:i/>
                <w:iCs/>
                <w:color w:val="000000"/>
                <w:sz w:val="18"/>
                <w:szCs w:val="18"/>
                <w:u w:val="none"/>
              </w:rPr>
            </w:pPr>
          </w:p>
        </w:tc>
      </w:tr>
      <w:tr w14:paraId="4271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5C8AB">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A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C3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5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D22A">
            <w:pPr>
              <w:rPr>
                <w:rFonts w:hint="eastAsia" w:ascii="黑体" w:hAnsi="黑体" w:eastAsia="黑体" w:cs="黑体"/>
                <w:i/>
                <w:iCs/>
                <w:color w:val="000000"/>
                <w:sz w:val="18"/>
                <w:szCs w:val="18"/>
                <w:u w:val="none"/>
              </w:rPr>
            </w:pPr>
          </w:p>
        </w:tc>
      </w:tr>
      <w:tr w14:paraId="454F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B4EF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9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5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7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BD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3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C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8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78D0">
            <w:pPr>
              <w:rPr>
                <w:rFonts w:hint="eastAsia" w:ascii="黑体" w:hAnsi="黑体" w:eastAsia="黑体" w:cs="黑体"/>
                <w:i/>
                <w:iCs/>
                <w:color w:val="000000"/>
                <w:sz w:val="18"/>
                <w:szCs w:val="18"/>
                <w:u w:val="none"/>
              </w:rPr>
            </w:pPr>
          </w:p>
        </w:tc>
      </w:tr>
      <w:tr w14:paraId="0AE7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4256F">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D91">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4469">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EB79A">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893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A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CABC">
            <w:pPr>
              <w:rPr>
                <w:rFonts w:hint="eastAsia" w:ascii="黑体" w:hAnsi="黑体" w:eastAsia="黑体" w:cs="黑体"/>
                <w:i/>
                <w:iCs/>
                <w:color w:val="000000"/>
                <w:sz w:val="18"/>
                <w:szCs w:val="18"/>
                <w:u w:val="none"/>
              </w:rPr>
            </w:pPr>
          </w:p>
        </w:tc>
      </w:tr>
      <w:tr w14:paraId="5560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F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B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4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1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9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D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A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5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F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7B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9D2D6">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551">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BAA">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1B8D">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466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962">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28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D45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F5D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9D59">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DA70">
            <w:pPr>
              <w:jc w:val="center"/>
              <w:rPr>
                <w:rFonts w:hint="eastAsia" w:ascii="微软雅黑" w:hAnsi="微软雅黑" w:eastAsia="微软雅黑" w:cs="微软雅黑"/>
                <w:i/>
                <w:iCs/>
                <w:color w:val="000000"/>
                <w:sz w:val="16"/>
                <w:szCs w:val="16"/>
                <w:u w:val="none"/>
              </w:rPr>
            </w:pPr>
          </w:p>
        </w:tc>
      </w:tr>
      <w:tr w14:paraId="37A6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8BB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9A97">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7243">
            <w:pPr>
              <w:rPr>
                <w:rFonts w:hint="eastAsia" w:ascii="宋体" w:hAnsi="宋体" w:eastAsia="宋体" w:cs="宋体"/>
                <w:i w:val="0"/>
                <w:iCs w:val="0"/>
                <w:color w:val="000000"/>
                <w:sz w:val="18"/>
                <w:szCs w:val="18"/>
                <w:u w:val="none"/>
              </w:rPr>
            </w:pPr>
          </w:p>
        </w:tc>
      </w:tr>
      <w:tr w14:paraId="55F7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4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B375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本年度顺利完成校舍维修工程项目，资金拨付及时，支付到位，该项目自评得分10分</w:t>
            </w:r>
          </w:p>
        </w:tc>
      </w:tr>
      <w:tr w14:paraId="0F2F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B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9707B7">
            <w:pPr>
              <w:rPr>
                <w:rFonts w:hint="eastAsia" w:ascii="微软雅黑" w:hAnsi="微软雅黑" w:eastAsia="微软雅黑" w:cs="微软雅黑"/>
                <w:i/>
                <w:iCs/>
                <w:color w:val="000000"/>
                <w:sz w:val="16"/>
                <w:szCs w:val="16"/>
                <w:u w:val="none"/>
              </w:rPr>
            </w:pPr>
          </w:p>
        </w:tc>
      </w:tr>
      <w:tr w14:paraId="5076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1DBB25">
            <w:pPr>
              <w:rPr>
                <w:rFonts w:hint="eastAsia" w:ascii="微软雅黑" w:hAnsi="微软雅黑" w:eastAsia="微软雅黑" w:cs="微软雅黑"/>
                <w:i/>
                <w:iCs/>
                <w:color w:val="000000"/>
                <w:sz w:val="16"/>
                <w:szCs w:val="16"/>
                <w:u w:val="none"/>
              </w:rPr>
            </w:pPr>
          </w:p>
        </w:tc>
      </w:tr>
      <w:tr w14:paraId="4F4E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7AD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D41D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6BF2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32" w:type="dxa"/>
            <w:tcBorders>
              <w:top w:val="nil"/>
              <w:left w:val="nil"/>
              <w:bottom w:val="nil"/>
              <w:right w:val="nil"/>
            </w:tcBorders>
            <w:shd w:val="clear" w:color="auto" w:fill="auto"/>
            <w:vAlign w:val="center"/>
          </w:tcPr>
          <w:p w14:paraId="5DFC39F6">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1D664E33">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37880111">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0EA597C2">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030E581F">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495A82CB">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45A94A87">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239120BD">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6A8F055E">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2EC79982">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3E1F034C">
            <w:pPr>
              <w:rPr>
                <w:rFonts w:hint="eastAsia" w:ascii="黑体" w:hAnsi="黑体" w:eastAsia="黑体" w:cs="黑体"/>
                <w:i w:val="0"/>
                <w:iCs w:val="0"/>
                <w:color w:val="000000"/>
                <w:sz w:val="18"/>
                <w:szCs w:val="18"/>
                <w:u w:val="none"/>
              </w:rPr>
            </w:pPr>
          </w:p>
        </w:tc>
      </w:tr>
      <w:tr w14:paraId="68B4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32" w:type="dxa"/>
            <w:tcBorders>
              <w:top w:val="nil"/>
              <w:left w:val="nil"/>
              <w:bottom w:val="nil"/>
              <w:right w:val="nil"/>
            </w:tcBorders>
            <w:shd w:val="clear" w:color="auto" w:fill="auto"/>
            <w:vAlign w:val="center"/>
          </w:tcPr>
          <w:p w14:paraId="4432FD66">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155D1690">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7DFB9355">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18949643">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709D8E">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2821E1BA">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A01F01A">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298891CB">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106C5EE5">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62C3DD84">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1818D45A">
            <w:pPr>
              <w:rPr>
                <w:rFonts w:hint="eastAsia" w:ascii="黑体" w:hAnsi="黑体" w:eastAsia="黑体" w:cs="黑体"/>
                <w:i w:val="0"/>
                <w:iCs w:val="0"/>
                <w:color w:val="000000"/>
                <w:sz w:val="18"/>
                <w:szCs w:val="18"/>
                <w:u w:val="none"/>
              </w:rPr>
            </w:pPr>
          </w:p>
        </w:tc>
      </w:tr>
      <w:tr w14:paraId="5727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32" w:type="dxa"/>
            <w:tcBorders>
              <w:top w:val="nil"/>
              <w:left w:val="nil"/>
              <w:bottom w:val="nil"/>
              <w:right w:val="nil"/>
            </w:tcBorders>
            <w:shd w:val="clear" w:color="auto" w:fill="auto"/>
            <w:vAlign w:val="center"/>
          </w:tcPr>
          <w:p w14:paraId="0B064721">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01BCC26">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4EFD13EC">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01ECB926">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5044874C">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64DA6D1F">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4CB58D2E">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51C0B23D">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37ECFB08">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78916954">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028834EB">
            <w:pPr>
              <w:rPr>
                <w:rFonts w:hint="eastAsia" w:ascii="黑体" w:hAnsi="黑体" w:eastAsia="黑体" w:cs="黑体"/>
                <w:i w:val="0"/>
                <w:iCs w:val="0"/>
                <w:color w:val="000000"/>
                <w:sz w:val="18"/>
                <w:szCs w:val="18"/>
                <w:u w:val="none"/>
              </w:rPr>
            </w:pPr>
          </w:p>
        </w:tc>
      </w:tr>
      <w:tr w14:paraId="025F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tcBorders>
              <w:top w:val="nil"/>
              <w:left w:val="nil"/>
              <w:bottom w:val="nil"/>
              <w:right w:val="nil"/>
            </w:tcBorders>
            <w:shd w:val="clear" w:color="auto" w:fill="auto"/>
            <w:vAlign w:val="center"/>
          </w:tcPr>
          <w:p w14:paraId="7F7D3A84">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659BD524">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auto"/>
            <w:vAlign w:val="center"/>
          </w:tcPr>
          <w:p w14:paraId="3E0D5CBA">
            <w:pP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auto"/>
            <w:vAlign w:val="center"/>
          </w:tcPr>
          <w:p w14:paraId="6970B24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866FB36">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14:paraId="0846A06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ADC4F9E">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A76DD3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3CF1F4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237BA870">
            <w:pPr>
              <w:rPr>
                <w:rFonts w:hint="eastAsia" w:ascii="宋体" w:hAnsi="宋体" w:eastAsia="宋体" w:cs="宋体"/>
                <w:i w:val="0"/>
                <w:iCs w:val="0"/>
                <w:color w:val="000000"/>
                <w:sz w:val="18"/>
                <w:szCs w:val="18"/>
                <w:u w:val="none"/>
              </w:rPr>
            </w:pPr>
          </w:p>
        </w:tc>
        <w:tc>
          <w:tcPr>
            <w:tcW w:w="2235" w:type="dxa"/>
            <w:tcBorders>
              <w:top w:val="nil"/>
              <w:left w:val="nil"/>
              <w:bottom w:val="nil"/>
              <w:right w:val="nil"/>
            </w:tcBorders>
            <w:shd w:val="clear" w:color="auto" w:fill="auto"/>
            <w:vAlign w:val="center"/>
          </w:tcPr>
          <w:p w14:paraId="014FC635">
            <w:pPr>
              <w:rPr>
                <w:rFonts w:hint="eastAsia" w:ascii="宋体" w:hAnsi="宋体" w:eastAsia="宋体" w:cs="宋体"/>
                <w:i w:val="0"/>
                <w:iCs w:val="0"/>
                <w:color w:val="000000"/>
                <w:sz w:val="18"/>
                <w:szCs w:val="18"/>
                <w:u w:val="none"/>
              </w:rPr>
            </w:pPr>
          </w:p>
        </w:tc>
      </w:tr>
      <w:tr w14:paraId="4664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1A495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D2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F5B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9239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51172423T000008007954-校舍维修改造</w:t>
            </w:r>
          </w:p>
        </w:tc>
      </w:tr>
      <w:tr w14:paraId="2854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E6E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A6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487B75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A4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2817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50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30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81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E7A1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79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03C1">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2D3E1">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B7F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按照相关政策，足额保障校舍维修资金。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B4B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本年度严格执行相关政策，足额保障校舍维修工程款资金支付到位。</w:t>
            </w:r>
          </w:p>
        </w:tc>
      </w:tr>
      <w:tr w14:paraId="3CC1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457C">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D2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714F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本年度按照相关政策，努力推进校舍维修改造工程项目，足额保障校舍维修资金。</w:t>
            </w:r>
          </w:p>
        </w:tc>
      </w:tr>
      <w:tr w14:paraId="5A40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6E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17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3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C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887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08880">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1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F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39.73</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15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8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EA93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5D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3C0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D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39.73</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BF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E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0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7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859B">
            <w:pPr>
              <w:rPr>
                <w:rFonts w:hint="eastAsia" w:ascii="黑体" w:hAnsi="黑体" w:eastAsia="黑体" w:cs="黑体"/>
                <w:i/>
                <w:iCs/>
                <w:color w:val="000000"/>
                <w:sz w:val="18"/>
                <w:szCs w:val="18"/>
                <w:u w:val="none"/>
              </w:rPr>
            </w:pPr>
          </w:p>
        </w:tc>
      </w:tr>
      <w:tr w14:paraId="5BF5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CA4C">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6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9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3E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2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9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0FB76">
            <w:pPr>
              <w:rPr>
                <w:rFonts w:hint="eastAsia" w:ascii="黑体" w:hAnsi="黑体" w:eastAsia="黑体" w:cs="黑体"/>
                <w:i/>
                <w:iCs/>
                <w:color w:val="000000"/>
                <w:sz w:val="18"/>
                <w:szCs w:val="18"/>
                <w:u w:val="none"/>
              </w:rPr>
            </w:pPr>
          </w:p>
        </w:tc>
      </w:tr>
      <w:tr w14:paraId="5B1E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C2F3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9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9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C7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6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1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7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0BB3">
            <w:pPr>
              <w:rPr>
                <w:rFonts w:hint="eastAsia" w:ascii="黑体" w:hAnsi="黑体" w:eastAsia="黑体" w:cs="黑体"/>
                <w:i/>
                <w:iCs/>
                <w:color w:val="000000"/>
                <w:sz w:val="18"/>
                <w:szCs w:val="18"/>
                <w:u w:val="none"/>
              </w:rPr>
            </w:pPr>
          </w:p>
        </w:tc>
      </w:tr>
      <w:tr w14:paraId="3AD7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FE31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A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ADF">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269B">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382FE">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49F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2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05C7">
            <w:pPr>
              <w:rPr>
                <w:rFonts w:hint="eastAsia" w:ascii="黑体" w:hAnsi="黑体" w:eastAsia="黑体" w:cs="黑体"/>
                <w:i/>
                <w:iCs/>
                <w:color w:val="000000"/>
                <w:sz w:val="18"/>
                <w:szCs w:val="18"/>
                <w:u w:val="none"/>
              </w:rPr>
            </w:pPr>
          </w:p>
        </w:tc>
      </w:tr>
      <w:tr w14:paraId="3906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83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0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9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6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C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8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B07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435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3CE0">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EEE">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F18">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54C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6279">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B9D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A42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F51">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0B4">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254">
            <w:pPr>
              <w:jc w:val="center"/>
              <w:rPr>
                <w:rFonts w:hint="eastAsia" w:ascii="微软雅黑" w:hAnsi="微软雅黑" w:eastAsia="微软雅黑" w:cs="微软雅黑"/>
                <w:i/>
                <w:iCs/>
                <w:color w:val="000000"/>
                <w:sz w:val="16"/>
                <w:szCs w:val="16"/>
                <w:u w:val="none"/>
              </w:rPr>
            </w:pPr>
          </w:p>
        </w:tc>
      </w:tr>
      <w:tr w14:paraId="365B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F75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B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9CA1">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8AF4">
            <w:pPr>
              <w:rPr>
                <w:rFonts w:hint="eastAsia" w:ascii="宋体" w:hAnsi="宋体" w:eastAsia="宋体" w:cs="宋体"/>
                <w:i w:val="0"/>
                <w:iCs w:val="0"/>
                <w:color w:val="000000"/>
                <w:sz w:val="18"/>
                <w:szCs w:val="18"/>
                <w:u w:val="none"/>
              </w:rPr>
            </w:pPr>
          </w:p>
        </w:tc>
      </w:tr>
      <w:tr w14:paraId="3D93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1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2ECE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本年度顺利完成校舍维修工程项目，资金拨付及时，支付到位，该项目自评得分10分</w:t>
            </w:r>
          </w:p>
        </w:tc>
      </w:tr>
      <w:tr w14:paraId="65A2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B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A6731D">
            <w:pPr>
              <w:rPr>
                <w:rFonts w:hint="eastAsia" w:ascii="微软雅黑" w:hAnsi="微软雅黑" w:eastAsia="微软雅黑" w:cs="微软雅黑"/>
                <w:i/>
                <w:iCs/>
                <w:color w:val="000000"/>
                <w:sz w:val="16"/>
                <w:szCs w:val="16"/>
                <w:u w:val="none"/>
              </w:rPr>
            </w:pPr>
          </w:p>
        </w:tc>
      </w:tr>
      <w:tr w14:paraId="239C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1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B9B29B">
            <w:pPr>
              <w:rPr>
                <w:rFonts w:hint="eastAsia" w:ascii="微软雅黑" w:hAnsi="微软雅黑" w:eastAsia="微软雅黑" w:cs="微软雅黑"/>
                <w:i/>
                <w:iCs/>
                <w:color w:val="000000"/>
                <w:sz w:val="16"/>
                <w:szCs w:val="16"/>
                <w:u w:val="none"/>
              </w:rPr>
            </w:pPr>
          </w:p>
        </w:tc>
      </w:tr>
      <w:tr w14:paraId="4B29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B6E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EAE3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4CF9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32" w:type="dxa"/>
            <w:tcBorders>
              <w:top w:val="nil"/>
              <w:left w:val="nil"/>
              <w:bottom w:val="nil"/>
              <w:right w:val="nil"/>
            </w:tcBorders>
            <w:shd w:val="clear" w:color="auto" w:fill="auto"/>
            <w:vAlign w:val="center"/>
          </w:tcPr>
          <w:p w14:paraId="34963AD0">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AB55594">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321B86E3">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42EAA30F">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6117BF44">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509B3CB7">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79EED6F">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6DA5DBCF">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22FBBFE1">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17D39C79">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5D342B84">
            <w:pPr>
              <w:rPr>
                <w:rFonts w:hint="eastAsia" w:ascii="黑体" w:hAnsi="黑体" w:eastAsia="黑体" w:cs="黑体"/>
                <w:i w:val="0"/>
                <w:iCs w:val="0"/>
                <w:color w:val="000000"/>
                <w:sz w:val="18"/>
                <w:szCs w:val="18"/>
                <w:u w:val="none"/>
              </w:rPr>
            </w:pPr>
          </w:p>
        </w:tc>
      </w:tr>
      <w:tr w14:paraId="1BA3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32" w:type="dxa"/>
            <w:tcBorders>
              <w:top w:val="nil"/>
              <w:left w:val="nil"/>
              <w:bottom w:val="nil"/>
              <w:right w:val="nil"/>
            </w:tcBorders>
            <w:shd w:val="clear" w:color="auto" w:fill="auto"/>
            <w:vAlign w:val="center"/>
          </w:tcPr>
          <w:p w14:paraId="24A7885B">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31CEDD12">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27E0849A">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589D741C">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888732D">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0005FCF1">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FFC9B39">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3B81A479">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01D76A7A">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59378BA2">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1FE8F4E9">
            <w:pPr>
              <w:rPr>
                <w:rFonts w:hint="eastAsia" w:ascii="黑体" w:hAnsi="黑体" w:eastAsia="黑体" w:cs="黑体"/>
                <w:i w:val="0"/>
                <w:iCs w:val="0"/>
                <w:color w:val="000000"/>
                <w:sz w:val="18"/>
                <w:szCs w:val="18"/>
                <w:u w:val="none"/>
              </w:rPr>
            </w:pPr>
          </w:p>
        </w:tc>
      </w:tr>
      <w:tr w14:paraId="7927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32" w:type="dxa"/>
            <w:tcBorders>
              <w:top w:val="nil"/>
              <w:left w:val="nil"/>
              <w:bottom w:val="nil"/>
              <w:right w:val="nil"/>
            </w:tcBorders>
            <w:shd w:val="clear" w:color="auto" w:fill="auto"/>
            <w:vAlign w:val="center"/>
          </w:tcPr>
          <w:p w14:paraId="3BCFB319">
            <w:pPr>
              <w:rPr>
                <w:rFonts w:hint="eastAsia" w:ascii="黑体" w:hAnsi="黑体" w:eastAsia="黑体" w:cs="黑体"/>
                <w:i w:val="0"/>
                <w:iCs w:val="0"/>
                <w:color w:val="000000"/>
                <w:sz w:val="18"/>
                <w:szCs w:val="18"/>
                <w:u w:val="none"/>
              </w:rPr>
            </w:pPr>
          </w:p>
        </w:tc>
        <w:tc>
          <w:tcPr>
            <w:tcW w:w="1454" w:type="dxa"/>
            <w:tcBorders>
              <w:top w:val="nil"/>
              <w:left w:val="nil"/>
              <w:bottom w:val="nil"/>
              <w:right w:val="nil"/>
            </w:tcBorders>
            <w:shd w:val="clear" w:color="auto" w:fill="auto"/>
            <w:vAlign w:val="center"/>
          </w:tcPr>
          <w:p w14:paraId="7A6B0D51">
            <w:pPr>
              <w:rPr>
                <w:rFonts w:hint="eastAsia" w:ascii="黑体" w:hAnsi="黑体" w:eastAsia="黑体" w:cs="黑体"/>
                <w:i w:val="0"/>
                <w:iCs w:val="0"/>
                <w:color w:val="000000"/>
                <w:sz w:val="18"/>
                <w:szCs w:val="18"/>
                <w:u w:val="none"/>
              </w:rPr>
            </w:pPr>
          </w:p>
        </w:tc>
        <w:tc>
          <w:tcPr>
            <w:tcW w:w="930" w:type="dxa"/>
            <w:tcBorders>
              <w:top w:val="nil"/>
              <w:left w:val="nil"/>
              <w:bottom w:val="nil"/>
              <w:right w:val="nil"/>
            </w:tcBorders>
            <w:shd w:val="clear" w:color="auto" w:fill="auto"/>
            <w:vAlign w:val="center"/>
          </w:tcPr>
          <w:p w14:paraId="12CCB594">
            <w:pPr>
              <w:rPr>
                <w:rFonts w:hint="eastAsia" w:ascii="黑体" w:hAnsi="黑体" w:eastAsia="黑体" w:cs="黑体"/>
                <w:i w:val="0"/>
                <w:iCs w:val="0"/>
                <w:color w:val="000000"/>
                <w:sz w:val="18"/>
                <w:szCs w:val="18"/>
                <w:u w:val="none"/>
              </w:rPr>
            </w:pPr>
          </w:p>
        </w:tc>
        <w:tc>
          <w:tcPr>
            <w:tcW w:w="975" w:type="dxa"/>
            <w:tcBorders>
              <w:top w:val="nil"/>
              <w:left w:val="nil"/>
              <w:bottom w:val="nil"/>
              <w:right w:val="nil"/>
            </w:tcBorders>
            <w:shd w:val="clear" w:color="auto" w:fill="auto"/>
            <w:vAlign w:val="center"/>
          </w:tcPr>
          <w:p w14:paraId="1EAB8E21">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267E5332">
            <w:pPr>
              <w:rPr>
                <w:rFonts w:hint="eastAsia" w:ascii="黑体" w:hAnsi="黑体" w:eastAsia="黑体" w:cs="黑体"/>
                <w:i w:val="0"/>
                <w:iCs w:val="0"/>
                <w:color w:val="000000"/>
                <w:sz w:val="18"/>
                <w:szCs w:val="18"/>
                <w:u w:val="none"/>
              </w:rPr>
            </w:pPr>
          </w:p>
        </w:tc>
        <w:tc>
          <w:tcPr>
            <w:tcW w:w="825" w:type="dxa"/>
            <w:tcBorders>
              <w:top w:val="nil"/>
              <w:left w:val="nil"/>
              <w:bottom w:val="nil"/>
              <w:right w:val="nil"/>
            </w:tcBorders>
            <w:shd w:val="clear" w:color="auto" w:fill="auto"/>
            <w:vAlign w:val="center"/>
          </w:tcPr>
          <w:p w14:paraId="1093AB9A">
            <w:pPr>
              <w:rPr>
                <w:rFonts w:hint="eastAsia" w:ascii="黑体" w:hAnsi="黑体" w:eastAsia="黑体" w:cs="黑体"/>
                <w:i w:val="0"/>
                <w:iCs w:val="0"/>
                <w:color w:val="000000"/>
                <w:sz w:val="18"/>
                <w:szCs w:val="18"/>
                <w:u w:val="none"/>
              </w:rPr>
            </w:pPr>
          </w:p>
        </w:tc>
        <w:tc>
          <w:tcPr>
            <w:tcW w:w="525" w:type="dxa"/>
            <w:tcBorders>
              <w:top w:val="nil"/>
              <w:left w:val="nil"/>
              <w:bottom w:val="nil"/>
              <w:right w:val="nil"/>
            </w:tcBorders>
            <w:shd w:val="clear" w:color="auto" w:fill="auto"/>
            <w:vAlign w:val="center"/>
          </w:tcPr>
          <w:p w14:paraId="7C29725C">
            <w:pPr>
              <w:rPr>
                <w:rFonts w:hint="eastAsia" w:ascii="黑体" w:hAnsi="黑体" w:eastAsia="黑体" w:cs="黑体"/>
                <w:i w:val="0"/>
                <w:iCs w:val="0"/>
                <w:color w:val="000000"/>
                <w:sz w:val="18"/>
                <w:szCs w:val="18"/>
                <w:u w:val="none"/>
              </w:rPr>
            </w:pPr>
          </w:p>
        </w:tc>
        <w:tc>
          <w:tcPr>
            <w:tcW w:w="1035" w:type="dxa"/>
            <w:tcBorders>
              <w:top w:val="nil"/>
              <w:left w:val="nil"/>
              <w:bottom w:val="nil"/>
              <w:right w:val="nil"/>
            </w:tcBorders>
            <w:shd w:val="clear" w:color="auto" w:fill="auto"/>
            <w:vAlign w:val="center"/>
          </w:tcPr>
          <w:p w14:paraId="67D81C63">
            <w:pPr>
              <w:rPr>
                <w:rFonts w:hint="eastAsia" w:ascii="黑体" w:hAnsi="黑体" w:eastAsia="黑体" w:cs="黑体"/>
                <w:i w:val="0"/>
                <w:iCs w:val="0"/>
                <w:color w:val="000000"/>
                <w:sz w:val="18"/>
                <w:szCs w:val="18"/>
                <w:u w:val="none"/>
              </w:rPr>
            </w:pPr>
          </w:p>
        </w:tc>
        <w:tc>
          <w:tcPr>
            <w:tcW w:w="510" w:type="dxa"/>
            <w:tcBorders>
              <w:top w:val="nil"/>
              <w:left w:val="nil"/>
              <w:bottom w:val="nil"/>
              <w:right w:val="nil"/>
            </w:tcBorders>
            <w:shd w:val="clear" w:color="auto" w:fill="auto"/>
            <w:vAlign w:val="center"/>
          </w:tcPr>
          <w:p w14:paraId="29476686">
            <w:pPr>
              <w:rPr>
                <w:rFonts w:hint="eastAsia" w:ascii="黑体" w:hAnsi="黑体" w:eastAsia="黑体" w:cs="黑体"/>
                <w:i w:val="0"/>
                <w:iCs w:val="0"/>
                <w:color w:val="000000"/>
                <w:sz w:val="18"/>
                <w:szCs w:val="18"/>
                <w:u w:val="none"/>
              </w:rPr>
            </w:pPr>
          </w:p>
        </w:tc>
        <w:tc>
          <w:tcPr>
            <w:tcW w:w="450" w:type="dxa"/>
            <w:tcBorders>
              <w:top w:val="nil"/>
              <w:left w:val="nil"/>
              <w:bottom w:val="nil"/>
              <w:right w:val="nil"/>
            </w:tcBorders>
            <w:shd w:val="clear" w:color="auto" w:fill="auto"/>
            <w:vAlign w:val="center"/>
          </w:tcPr>
          <w:p w14:paraId="000C9170">
            <w:pPr>
              <w:rPr>
                <w:rFonts w:hint="eastAsia" w:ascii="黑体" w:hAnsi="黑体" w:eastAsia="黑体" w:cs="黑体"/>
                <w:i w:val="0"/>
                <w:iCs w:val="0"/>
                <w:color w:val="000000"/>
                <w:sz w:val="18"/>
                <w:szCs w:val="18"/>
                <w:u w:val="none"/>
              </w:rPr>
            </w:pPr>
          </w:p>
        </w:tc>
        <w:tc>
          <w:tcPr>
            <w:tcW w:w="2235" w:type="dxa"/>
            <w:tcBorders>
              <w:top w:val="nil"/>
              <w:left w:val="nil"/>
              <w:bottom w:val="nil"/>
              <w:right w:val="nil"/>
            </w:tcBorders>
            <w:shd w:val="clear" w:color="auto" w:fill="auto"/>
            <w:vAlign w:val="center"/>
          </w:tcPr>
          <w:p w14:paraId="5C1256E7">
            <w:pPr>
              <w:rPr>
                <w:rFonts w:hint="eastAsia" w:ascii="黑体" w:hAnsi="黑体" w:eastAsia="黑体" w:cs="黑体"/>
                <w:i w:val="0"/>
                <w:iCs w:val="0"/>
                <w:color w:val="000000"/>
                <w:sz w:val="18"/>
                <w:szCs w:val="18"/>
                <w:u w:val="none"/>
              </w:rPr>
            </w:pPr>
          </w:p>
        </w:tc>
      </w:tr>
      <w:tr w14:paraId="7BFF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tcBorders>
              <w:top w:val="nil"/>
              <w:left w:val="nil"/>
              <w:bottom w:val="nil"/>
              <w:right w:val="nil"/>
            </w:tcBorders>
            <w:shd w:val="clear" w:color="auto" w:fill="auto"/>
            <w:vAlign w:val="center"/>
          </w:tcPr>
          <w:p w14:paraId="17A1654B">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73DF66E">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auto"/>
            <w:vAlign w:val="center"/>
          </w:tcPr>
          <w:p w14:paraId="29781B4C">
            <w:pP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auto"/>
            <w:vAlign w:val="center"/>
          </w:tcPr>
          <w:p w14:paraId="1801B0C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7A8E4D7">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14:paraId="367C37D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E302B8">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2E4740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E15470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22661600">
            <w:pPr>
              <w:rPr>
                <w:rFonts w:hint="eastAsia" w:ascii="宋体" w:hAnsi="宋体" w:eastAsia="宋体" w:cs="宋体"/>
                <w:i w:val="0"/>
                <w:iCs w:val="0"/>
                <w:color w:val="000000"/>
                <w:sz w:val="18"/>
                <w:szCs w:val="18"/>
                <w:u w:val="none"/>
              </w:rPr>
            </w:pPr>
          </w:p>
        </w:tc>
        <w:tc>
          <w:tcPr>
            <w:tcW w:w="2235" w:type="dxa"/>
            <w:tcBorders>
              <w:top w:val="nil"/>
              <w:left w:val="nil"/>
              <w:bottom w:val="nil"/>
              <w:right w:val="nil"/>
            </w:tcBorders>
            <w:shd w:val="clear" w:color="auto" w:fill="auto"/>
            <w:vAlign w:val="center"/>
          </w:tcPr>
          <w:p w14:paraId="7F43940F">
            <w:pPr>
              <w:rPr>
                <w:rFonts w:hint="eastAsia" w:ascii="宋体" w:hAnsi="宋体" w:eastAsia="宋体" w:cs="宋体"/>
                <w:i w:val="0"/>
                <w:iCs w:val="0"/>
                <w:color w:val="000000"/>
                <w:sz w:val="18"/>
                <w:szCs w:val="18"/>
                <w:u w:val="none"/>
              </w:rPr>
            </w:pPr>
          </w:p>
        </w:tc>
      </w:tr>
      <w:tr w14:paraId="1D37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5459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7A4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D3C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FDD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51172424T000011322446-政策性关闭破产企业社会只能经费补助</w:t>
            </w:r>
          </w:p>
        </w:tc>
      </w:tr>
      <w:tr w14:paraId="35C2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BD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B75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大竹县柏林镇中心小学部门</w:t>
            </w:r>
          </w:p>
        </w:tc>
        <w:tc>
          <w:tcPr>
            <w:tcW w:w="1035" w:type="dxa"/>
            <w:tcBorders>
              <w:top w:val="nil"/>
              <w:left w:val="nil"/>
              <w:bottom w:val="nil"/>
              <w:right w:val="nil"/>
            </w:tcBorders>
            <w:shd w:val="clear" w:color="auto" w:fill="auto"/>
            <w:vAlign w:val="center"/>
          </w:tcPr>
          <w:p w14:paraId="0E6262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38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大竹县柏林镇中心小学</w:t>
            </w:r>
          </w:p>
        </w:tc>
      </w:tr>
      <w:tr w14:paraId="5BF9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5F6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3E6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77D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0B3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8E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DBE4">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80A1">
            <w:pPr>
              <w:rPr>
                <w:rFonts w:hint="eastAsia" w:ascii="宋体" w:hAnsi="宋体" w:eastAsia="宋体" w:cs="宋体"/>
                <w:i w:val="0"/>
                <w:iCs w:val="0"/>
                <w:color w:val="000000"/>
                <w:sz w:val="18"/>
                <w:szCs w:val="18"/>
                <w:u w:val="none"/>
              </w:rPr>
            </w:pP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618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按照相关政策，足额保障企业移交退休教师待遇补发资金。</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42D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本年度严格执行相关政策，足额保障企业移交退休教师待遇补发资金支付到位。</w:t>
            </w:r>
          </w:p>
        </w:tc>
      </w:tr>
      <w:tr w14:paraId="70DB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A914">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A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1921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本年度按照相关政策，足额保障企业移交退休教师待遇补发资金。</w:t>
            </w:r>
          </w:p>
        </w:tc>
      </w:tr>
      <w:tr w14:paraId="2F0E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B1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0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B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B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4C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3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5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65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3BC3">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1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9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D9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B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E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4E18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6A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273C">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6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A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E5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E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F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C826">
            <w:pPr>
              <w:rPr>
                <w:rFonts w:hint="eastAsia" w:ascii="黑体" w:hAnsi="黑体" w:eastAsia="黑体" w:cs="黑体"/>
                <w:i/>
                <w:iCs/>
                <w:color w:val="000000"/>
                <w:sz w:val="18"/>
                <w:szCs w:val="18"/>
                <w:u w:val="none"/>
              </w:rPr>
            </w:pPr>
          </w:p>
        </w:tc>
      </w:tr>
      <w:tr w14:paraId="23C6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3C50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9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AD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B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D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C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F6C0F">
            <w:pPr>
              <w:rPr>
                <w:rFonts w:hint="eastAsia" w:ascii="黑体" w:hAnsi="黑体" w:eastAsia="黑体" w:cs="黑体"/>
                <w:i/>
                <w:iCs/>
                <w:color w:val="000000"/>
                <w:sz w:val="18"/>
                <w:szCs w:val="18"/>
                <w:u w:val="none"/>
              </w:rPr>
            </w:pPr>
          </w:p>
        </w:tc>
      </w:tr>
      <w:tr w14:paraId="4787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3ADD">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0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5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60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2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4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5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A25E">
            <w:pPr>
              <w:rPr>
                <w:rFonts w:hint="eastAsia" w:ascii="黑体" w:hAnsi="黑体" w:eastAsia="黑体" w:cs="黑体"/>
                <w:i/>
                <w:iCs/>
                <w:color w:val="000000"/>
                <w:sz w:val="18"/>
                <w:szCs w:val="18"/>
                <w:u w:val="none"/>
              </w:rPr>
            </w:pPr>
          </w:p>
        </w:tc>
      </w:tr>
      <w:tr w14:paraId="3D8B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D84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8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784E">
            <w:pPr>
              <w:jc w:val="center"/>
              <w:rPr>
                <w:rFonts w:hint="eastAsia" w:ascii="微软雅黑" w:hAnsi="微软雅黑" w:eastAsia="微软雅黑" w:cs="微软雅黑"/>
                <w:i/>
                <w:iCs/>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87F9">
            <w:pPr>
              <w:jc w:val="center"/>
              <w:rPr>
                <w:rFonts w:hint="eastAsia" w:ascii="微软雅黑" w:hAnsi="微软雅黑" w:eastAsia="微软雅黑" w:cs="微软雅黑"/>
                <w:i/>
                <w:iCs/>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4F865">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589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B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9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A252">
            <w:pPr>
              <w:rPr>
                <w:rFonts w:hint="eastAsia" w:ascii="黑体" w:hAnsi="黑体" w:eastAsia="黑体" w:cs="黑体"/>
                <w:i/>
                <w:iCs/>
                <w:color w:val="000000"/>
                <w:sz w:val="18"/>
                <w:szCs w:val="18"/>
                <w:u w:val="none"/>
              </w:rPr>
            </w:pPr>
          </w:p>
        </w:tc>
      </w:tr>
      <w:tr w14:paraId="7486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15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3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2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7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C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1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217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E18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AEE">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C130">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E298">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669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3E11">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83B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01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E6B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E202">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7D7B">
            <w:pPr>
              <w:jc w:val="center"/>
              <w:rPr>
                <w:rFonts w:hint="eastAsia" w:ascii="微软雅黑" w:hAnsi="微软雅黑" w:eastAsia="微软雅黑" w:cs="微软雅黑"/>
                <w:i/>
                <w:iCs/>
                <w:color w:val="000000"/>
                <w:sz w:val="16"/>
                <w:szCs w:val="16"/>
                <w:u w:val="none"/>
              </w:rPr>
            </w:pPr>
          </w:p>
        </w:tc>
      </w:tr>
      <w:tr w14:paraId="03F1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369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6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A2A">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477">
            <w:pPr>
              <w:rPr>
                <w:rFonts w:hint="eastAsia" w:ascii="宋体" w:hAnsi="宋体" w:eastAsia="宋体" w:cs="宋体"/>
                <w:i w:val="0"/>
                <w:iCs w:val="0"/>
                <w:color w:val="000000"/>
                <w:sz w:val="18"/>
                <w:szCs w:val="18"/>
                <w:u w:val="none"/>
              </w:rPr>
            </w:pPr>
          </w:p>
        </w:tc>
      </w:tr>
      <w:tr w14:paraId="2515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A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6014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本年度顺利完成障企业移交退休教师待遇补发资金拨付及时，支付到位。</w:t>
            </w:r>
          </w:p>
        </w:tc>
      </w:tr>
      <w:tr w14:paraId="7FFB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0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0F2805">
            <w:pPr>
              <w:rPr>
                <w:rFonts w:hint="eastAsia" w:ascii="微软雅黑" w:hAnsi="微软雅黑" w:eastAsia="微软雅黑" w:cs="微软雅黑"/>
                <w:i/>
                <w:iCs/>
                <w:color w:val="000000"/>
                <w:sz w:val="16"/>
                <w:szCs w:val="16"/>
                <w:u w:val="none"/>
              </w:rPr>
            </w:pPr>
          </w:p>
        </w:tc>
      </w:tr>
      <w:tr w14:paraId="7B5F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79338E">
            <w:pPr>
              <w:rPr>
                <w:rFonts w:hint="eastAsia" w:ascii="微软雅黑" w:hAnsi="微软雅黑" w:eastAsia="微软雅黑" w:cs="微软雅黑"/>
                <w:i/>
                <w:iCs/>
                <w:color w:val="000000"/>
                <w:sz w:val="16"/>
                <w:szCs w:val="16"/>
                <w:u w:val="none"/>
              </w:rPr>
            </w:pPr>
          </w:p>
        </w:tc>
      </w:tr>
      <w:tr w14:paraId="7883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1B2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项目负责人：杨永平</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CB9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财务负责人：黄燕</w:t>
            </w:r>
          </w:p>
        </w:tc>
      </w:tr>
      <w:tr w14:paraId="0227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2" w:type="dxa"/>
            <w:tcBorders>
              <w:top w:val="nil"/>
              <w:left w:val="nil"/>
              <w:bottom w:val="nil"/>
              <w:right w:val="nil"/>
            </w:tcBorders>
            <w:shd w:val="clear" w:color="auto" w:fill="auto"/>
            <w:vAlign w:val="center"/>
          </w:tcPr>
          <w:p w14:paraId="4D3935BC">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A3A0360">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auto"/>
            <w:vAlign w:val="center"/>
          </w:tcPr>
          <w:p w14:paraId="0E8345E6">
            <w:pP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auto"/>
            <w:vAlign w:val="center"/>
          </w:tcPr>
          <w:p w14:paraId="540A725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985B255">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14:paraId="64F3546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044748E">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14:paraId="765A8316">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AC1FC3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8105ECC">
            <w:pPr>
              <w:rPr>
                <w:rFonts w:hint="eastAsia" w:ascii="宋体" w:hAnsi="宋体" w:eastAsia="宋体" w:cs="宋体"/>
                <w:i w:val="0"/>
                <w:iCs w:val="0"/>
                <w:color w:val="000000"/>
                <w:sz w:val="18"/>
                <w:szCs w:val="18"/>
                <w:u w:val="none"/>
              </w:rPr>
            </w:pPr>
          </w:p>
        </w:tc>
        <w:tc>
          <w:tcPr>
            <w:tcW w:w="2235" w:type="dxa"/>
            <w:tcBorders>
              <w:top w:val="nil"/>
              <w:left w:val="nil"/>
              <w:bottom w:val="nil"/>
              <w:right w:val="nil"/>
            </w:tcBorders>
            <w:shd w:val="clear" w:color="auto" w:fill="auto"/>
            <w:vAlign w:val="center"/>
          </w:tcPr>
          <w:p w14:paraId="2E195A86">
            <w:pPr>
              <w:rPr>
                <w:rFonts w:hint="eastAsia" w:ascii="宋体" w:hAnsi="宋体" w:eastAsia="宋体" w:cs="宋体"/>
                <w:i w:val="0"/>
                <w:iCs w:val="0"/>
                <w:color w:val="000000"/>
                <w:sz w:val="18"/>
                <w:szCs w:val="18"/>
                <w:u w:val="none"/>
              </w:rPr>
            </w:pPr>
          </w:p>
        </w:tc>
      </w:tr>
      <w:tr w14:paraId="0FAC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96" w:type="dxa"/>
            <w:gridSpan w:val="11"/>
            <w:tcBorders>
              <w:top w:val="nil"/>
              <w:left w:val="nil"/>
              <w:bottom w:val="nil"/>
              <w:right w:val="nil"/>
            </w:tcBorders>
            <w:shd w:val="clear" w:color="auto" w:fill="auto"/>
            <w:vAlign w:val="center"/>
          </w:tcPr>
          <w:p w14:paraId="1C19AF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62CD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96" w:type="dxa"/>
            <w:gridSpan w:val="11"/>
            <w:tcBorders>
              <w:top w:val="nil"/>
              <w:left w:val="nil"/>
              <w:bottom w:val="nil"/>
              <w:right w:val="nil"/>
            </w:tcBorders>
            <w:shd w:val="clear" w:color="auto" w:fill="auto"/>
            <w:vAlign w:val="center"/>
          </w:tcPr>
          <w:p w14:paraId="1C2529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3B88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96" w:type="dxa"/>
            <w:gridSpan w:val="11"/>
            <w:tcBorders>
              <w:top w:val="nil"/>
              <w:left w:val="nil"/>
              <w:bottom w:val="nil"/>
              <w:right w:val="nil"/>
            </w:tcBorders>
            <w:shd w:val="clear" w:color="auto" w:fill="auto"/>
            <w:vAlign w:val="center"/>
          </w:tcPr>
          <w:p w14:paraId="4A449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35C5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96" w:type="dxa"/>
            <w:gridSpan w:val="11"/>
            <w:tcBorders>
              <w:top w:val="nil"/>
              <w:left w:val="nil"/>
              <w:bottom w:val="nil"/>
              <w:right w:val="nil"/>
            </w:tcBorders>
            <w:shd w:val="clear" w:color="auto" w:fill="auto"/>
            <w:vAlign w:val="center"/>
          </w:tcPr>
          <w:p w14:paraId="58708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2D83D21A">
      <w:pPr>
        <w:rPr>
          <w:color w:val="4F81BD" w:themeColor="accent1"/>
          <w14:textFill>
            <w14:solidFill>
              <w14:schemeClr w14:val="accent1"/>
            </w14:solidFill>
          </w14:textFill>
        </w:rPr>
      </w:pPr>
    </w:p>
    <w:p w14:paraId="5578AC47">
      <w:pPr>
        <w:pStyle w:val="2"/>
        <w:jc w:val="center"/>
        <w:rPr>
          <w:rFonts w:ascii="黑体" w:hAnsi="黑体" w:eastAsia="黑体" w:cs="黑体"/>
        </w:rPr>
      </w:pPr>
      <w:bookmarkStart w:id="84" w:name="_Toc111208512"/>
      <w:bookmarkStart w:id="85" w:name="_Toc79163885"/>
      <w:bookmarkStart w:id="86" w:name="_Toc79163635"/>
      <w:bookmarkStart w:id="87" w:name="_Toc5939"/>
      <w:r>
        <w:rPr>
          <w:rFonts w:hint="eastAsia" w:ascii="黑体" w:hAnsi="黑体" w:eastAsia="黑体" w:cs="黑体"/>
        </w:rPr>
        <w:t>第五部分 附表</w:t>
      </w:r>
      <w:bookmarkEnd w:id="84"/>
      <w:bookmarkEnd w:id="85"/>
      <w:bookmarkEnd w:id="86"/>
      <w:bookmarkEnd w:id="87"/>
    </w:p>
    <w:p w14:paraId="2B96DC13">
      <w:pPr>
        <w:pStyle w:val="3"/>
        <w:ind w:firstLine="643" w:firstLineChars="200"/>
        <w:rPr>
          <w:rFonts w:ascii="黑体" w:eastAsia="黑体" w:cs="Times New Roman"/>
          <w:bCs w:val="0"/>
          <w:color w:val="000000"/>
        </w:rPr>
      </w:pPr>
      <w:bookmarkStart w:id="88" w:name="_Toc7558"/>
      <w:r>
        <w:rPr>
          <w:rFonts w:hint="eastAsia" w:ascii="黑体" w:eastAsia="黑体" w:cs="Times New Roman"/>
          <w:bCs w:val="0"/>
          <w:color w:val="000000"/>
        </w:rPr>
        <w:t>一、收入支出决算总表</w:t>
      </w:r>
      <w:bookmarkEnd w:id="88"/>
    </w:p>
    <w:p w14:paraId="31688441">
      <w:pPr>
        <w:pStyle w:val="3"/>
        <w:ind w:firstLine="643" w:firstLineChars="200"/>
        <w:rPr>
          <w:rFonts w:ascii="黑体" w:eastAsia="黑体" w:cs="Times New Roman"/>
          <w:bCs w:val="0"/>
          <w:color w:val="000000"/>
        </w:rPr>
      </w:pPr>
      <w:bookmarkStart w:id="89" w:name="_Toc23357"/>
      <w:r>
        <w:rPr>
          <w:rFonts w:hint="eastAsia" w:ascii="黑体" w:eastAsia="黑体" w:cs="Times New Roman"/>
          <w:bCs w:val="0"/>
          <w:color w:val="000000"/>
        </w:rPr>
        <w:t>二、收入决算表</w:t>
      </w:r>
      <w:bookmarkEnd w:id="89"/>
    </w:p>
    <w:p w14:paraId="4F5F0D20">
      <w:pPr>
        <w:pStyle w:val="3"/>
        <w:ind w:firstLine="643" w:firstLineChars="200"/>
        <w:rPr>
          <w:rFonts w:ascii="黑体" w:eastAsia="黑体" w:cs="Times New Roman"/>
          <w:bCs w:val="0"/>
          <w:color w:val="000000"/>
        </w:rPr>
      </w:pPr>
      <w:bookmarkStart w:id="90" w:name="_Toc8630"/>
      <w:r>
        <w:rPr>
          <w:rFonts w:hint="eastAsia" w:ascii="黑体" w:eastAsia="黑体" w:cs="Times New Roman"/>
          <w:bCs w:val="0"/>
          <w:color w:val="000000"/>
        </w:rPr>
        <w:t>三、支出决算表</w:t>
      </w:r>
      <w:bookmarkEnd w:id="90"/>
    </w:p>
    <w:p w14:paraId="3DCD56BE">
      <w:pPr>
        <w:pStyle w:val="3"/>
        <w:ind w:firstLine="643" w:firstLineChars="200"/>
        <w:rPr>
          <w:rFonts w:ascii="黑体" w:eastAsia="黑体" w:cs="Times New Roman"/>
          <w:bCs w:val="0"/>
          <w:color w:val="000000"/>
        </w:rPr>
      </w:pPr>
      <w:bookmarkStart w:id="91" w:name="_Toc14945"/>
      <w:r>
        <w:rPr>
          <w:rFonts w:hint="eastAsia" w:ascii="黑体" w:eastAsia="黑体" w:cs="Times New Roman"/>
          <w:bCs w:val="0"/>
          <w:color w:val="000000"/>
        </w:rPr>
        <w:t>四、财政拨款收入支出决算总表</w:t>
      </w:r>
      <w:bookmarkEnd w:id="91"/>
    </w:p>
    <w:p w14:paraId="283A5E40">
      <w:pPr>
        <w:pStyle w:val="3"/>
        <w:ind w:firstLine="643" w:firstLineChars="200"/>
        <w:rPr>
          <w:rFonts w:ascii="黑体" w:eastAsia="黑体" w:cs="Times New Roman"/>
          <w:bCs w:val="0"/>
          <w:color w:val="000000"/>
        </w:rPr>
      </w:pPr>
      <w:bookmarkStart w:id="92" w:name="_Toc11086"/>
      <w:r>
        <w:rPr>
          <w:rFonts w:hint="eastAsia" w:ascii="黑体" w:eastAsia="黑体" w:cs="Times New Roman"/>
          <w:bCs w:val="0"/>
          <w:color w:val="000000"/>
        </w:rPr>
        <w:t>五、财政拨款支出决算明细表</w:t>
      </w:r>
      <w:bookmarkEnd w:id="92"/>
    </w:p>
    <w:p w14:paraId="2C6AA180">
      <w:pPr>
        <w:pStyle w:val="3"/>
        <w:ind w:firstLine="643" w:firstLineChars="200"/>
        <w:rPr>
          <w:rFonts w:ascii="黑体" w:eastAsia="黑体" w:cs="Times New Roman"/>
          <w:bCs w:val="0"/>
          <w:color w:val="000000"/>
        </w:rPr>
      </w:pPr>
      <w:bookmarkStart w:id="93" w:name="_Toc27180"/>
      <w:r>
        <w:rPr>
          <w:rFonts w:hint="eastAsia" w:ascii="黑体" w:eastAsia="黑体" w:cs="Times New Roman"/>
          <w:bCs w:val="0"/>
          <w:color w:val="000000"/>
        </w:rPr>
        <w:t>六、一般公共预算财政拨款支出决算表</w:t>
      </w:r>
      <w:bookmarkEnd w:id="93"/>
    </w:p>
    <w:p w14:paraId="521FE8A4">
      <w:pPr>
        <w:pStyle w:val="3"/>
        <w:ind w:firstLine="643" w:firstLineChars="200"/>
        <w:rPr>
          <w:rFonts w:ascii="黑体" w:eastAsia="黑体" w:cs="Times New Roman"/>
          <w:bCs w:val="0"/>
          <w:color w:val="000000"/>
        </w:rPr>
      </w:pPr>
      <w:bookmarkStart w:id="94" w:name="_Toc29007"/>
      <w:r>
        <w:rPr>
          <w:rFonts w:hint="eastAsia" w:ascii="黑体" w:eastAsia="黑体" w:cs="Times New Roman"/>
          <w:bCs w:val="0"/>
          <w:color w:val="000000"/>
        </w:rPr>
        <w:t>七、一般公共预算财政拨款支出决算明细表</w:t>
      </w:r>
      <w:bookmarkEnd w:id="94"/>
    </w:p>
    <w:p w14:paraId="7E5D34BE">
      <w:pPr>
        <w:pStyle w:val="3"/>
        <w:ind w:firstLine="643" w:firstLineChars="200"/>
        <w:rPr>
          <w:rFonts w:ascii="黑体" w:eastAsia="黑体" w:cs="Times New Roman"/>
          <w:bCs w:val="0"/>
          <w:color w:val="000000"/>
        </w:rPr>
      </w:pPr>
      <w:bookmarkStart w:id="95" w:name="_Toc26272"/>
      <w:r>
        <w:rPr>
          <w:rFonts w:hint="eastAsia" w:ascii="黑体" w:eastAsia="黑体" w:cs="Times New Roman"/>
          <w:bCs w:val="0"/>
          <w:color w:val="000000"/>
        </w:rPr>
        <w:t>八、一般公共预算财政拨款基本支出决算表</w:t>
      </w:r>
      <w:bookmarkEnd w:id="95"/>
    </w:p>
    <w:p w14:paraId="07996E13">
      <w:pPr>
        <w:pStyle w:val="3"/>
        <w:ind w:firstLine="643" w:firstLineChars="200"/>
        <w:rPr>
          <w:rFonts w:ascii="黑体" w:eastAsia="黑体" w:cs="Times New Roman"/>
          <w:bCs w:val="0"/>
          <w:color w:val="000000"/>
        </w:rPr>
      </w:pPr>
      <w:bookmarkStart w:id="96" w:name="_Toc9392"/>
      <w:r>
        <w:rPr>
          <w:rFonts w:hint="eastAsia" w:ascii="黑体" w:eastAsia="黑体" w:cs="Times New Roman"/>
          <w:bCs w:val="0"/>
          <w:color w:val="000000"/>
        </w:rPr>
        <w:t>九、一般公共预算财政拨款项目支出决算表</w:t>
      </w:r>
      <w:bookmarkEnd w:id="96"/>
    </w:p>
    <w:p w14:paraId="53E2C125">
      <w:pPr>
        <w:pStyle w:val="3"/>
        <w:ind w:firstLine="643" w:firstLineChars="200"/>
        <w:rPr>
          <w:rFonts w:ascii="黑体" w:eastAsia="黑体" w:cs="Times New Roman"/>
          <w:bCs w:val="0"/>
          <w:color w:val="000000"/>
        </w:rPr>
      </w:pPr>
      <w:bookmarkStart w:id="97" w:name="_Toc5609"/>
      <w:r>
        <w:rPr>
          <w:rFonts w:hint="eastAsia" w:ascii="黑体" w:eastAsia="黑体" w:cs="Times New Roman"/>
          <w:bCs w:val="0"/>
          <w:color w:val="000000"/>
        </w:rPr>
        <w:t>十、政府性基金预算财政拨款收入支出决算表</w:t>
      </w:r>
      <w:bookmarkEnd w:id="97"/>
    </w:p>
    <w:p w14:paraId="080652D7">
      <w:pPr>
        <w:pStyle w:val="3"/>
        <w:ind w:firstLine="643" w:firstLineChars="200"/>
        <w:rPr>
          <w:rFonts w:ascii="黑体" w:eastAsia="黑体" w:cs="Times New Roman"/>
          <w:bCs w:val="0"/>
          <w:color w:val="000000"/>
        </w:rPr>
      </w:pPr>
      <w:bookmarkStart w:id="98" w:name="_Toc28596"/>
      <w:r>
        <w:rPr>
          <w:rFonts w:hint="eastAsia" w:ascii="黑体" w:eastAsia="黑体" w:cs="Times New Roman"/>
          <w:bCs w:val="0"/>
          <w:color w:val="000000"/>
        </w:rPr>
        <w:t>十一、国有资本经营预算财政拨款收入支出决算表</w:t>
      </w:r>
      <w:bookmarkEnd w:id="98"/>
    </w:p>
    <w:p w14:paraId="0078198B">
      <w:pPr>
        <w:pStyle w:val="3"/>
        <w:ind w:firstLine="643" w:firstLineChars="200"/>
        <w:rPr>
          <w:rFonts w:ascii="黑体" w:eastAsia="黑体" w:cs="Times New Roman"/>
          <w:bCs w:val="0"/>
          <w:color w:val="000000"/>
        </w:rPr>
      </w:pPr>
      <w:bookmarkStart w:id="99" w:name="_Toc2782"/>
      <w:r>
        <w:rPr>
          <w:rFonts w:hint="eastAsia" w:ascii="黑体" w:eastAsia="黑体" w:cs="Times New Roman"/>
          <w:bCs w:val="0"/>
          <w:color w:val="000000"/>
        </w:rPr>
        <w:t>十二、国有资本经营预算财政拨款支出决算表</w:t>
      </w:r>
      <w:bookmarkEnd w:id="99"/>
    </w:p>
    <w:p w14:paraId="2DE30012">
      <w:pPr>
        <w:pStyle w:val="3"/>
        <w:ind w:firstLine="643" w:firstLineChars="200"/>
        <w:rPr>
          <w:rFonts w:ascii="黑体" w:eastAsia="黑体" w:cs="Times New Roman"/>
          <w:b w:val="0"/>
          <w:color w:val="000000"/>
        </w:rPr>
      </w:pPr>
      <w:bookmarkStart w:id="100" w:name="_Toc27892"/>
      <w:r>
        <w:rPr>
          <w:rFonts w:hint="eastAsia" w:ascii="黑体" w:eastAsia="黑体" w:cs="Times New Roman"/>
          <w:bCs w:val="0"/>
          <w:color w:val="000000"/>
        </w:rPr>
        <w:t>十三、财政拨款“三公”经费支出决算表</w:t>
      </w:r>
      <w:bookmarkEnd w:id="10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0206E9D">
        <w:pPr>
          <w:pStyle w:val="10"/>
          <w:jc w:val="center"/>
        </w:pPr>
        <w:r>
          <w:fldChar w:fldCharType="begin"/>
        </w:r>
        <w:r>
          <w:instrText xml:space="preserve">PAGE   \* MERGEFORMAT</w:instrText>
        </w:r>
        <w:r>
          <w:fldChar w:fldCharType="separate"/>
        </w:r>
        <w:r>
          <w:rPr>
            <w:lang w:val="zh-CN"/>
          </w:rPr>
          <w:t>4</w:t>
        </w:r>
        <w:r>
          <w:fldChar w:fldCharType="end"/>
        </w:r>
      </w:p>
    </w:sdtContent>
  </w:sdt>
  <w:p w14:paraId="2B2ED28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B99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5D013"/>
    <w:multiLevelType w:val="singleLevel"/>
    <w:tmpl w:val="DBC5D013"/>
    <w:lvl w:ilvl="0" w:tentative="0">
      <w:start w:val="2"/>
      <w:numFmt w:val="chineseCounting"/>
      <w:suff w:val="nothing"/>
      <w:lvlText w:val="%1、"/>
      <w:lvlJc w:val="left"/>
      <w:rPr>
        <w:rFonts w:hint="eastAsia"/>
      </w:rPr>
    </w:lvl>
  </w:abstractNum>
  <w:abstractNum w:abstractNumId="1">
    <w:nsid w:val="3AA2975D"/>
    <w:multiLevelType w:val="singleLevel"/>
    <w:tmpl w:val="3AA2975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NWVhMDc5MDVkYTY0YzFkNDFkODZhNWJmOGZkNTcifQ=="/>
  </w:docVars>
  <w:rsids>
    <w:rsidRoot w:val="00F1361C"/>
    <w:rsid w:val="000000BC"/>
    <w:rsid w:val="00000665"/>
    <w:rsid w:val="00000B38"/>
    <w:rsid w:val="000015A2"/>
    <w:rsid w:val="00002628"/>
    <w:rsid w:val="00003E5B"/>
    <w:rsid w:val="00004806"/>
    <w:rsid w:val="00007EA6"/>
    <w:rsid w:val="00012FB7"/>
    <w:rsid w:val="00013357"/>
    <w:rsid w:val="00013C9E"/>
    <w:rsid w:val="00015450"/>
    <w:rsid w:val="000175E6"/>
    <w:rsid w:val="00017F98"/>
    <w:rsid w:val="00020F07"/>
    <w:rsid w:val="000222C6"/>
    <w:rsid w:val="00022FC0"/>
    <w:rsid w:val="000230B2"/>
    <w:rsid w:val="0002359B"/>
    <w:rsid w:val="00023DEB"/>
    <w:rsid w:val="00025226"/>
    <w:rsid w:val="0002549F"/>
    <w:rsid w:val="00025F1E"/>
    <w:rsid w:val="0002749D"/>
    <w:rsid w:val="0003013F"/>
    <w:rsid w:val="00031598"/>
    <w:rsid w:val="0003171E"/>
    <w:rsid w:val="00031926"/>
    <w:rsid w:val="000326D5"/>
    <w:rsid w:val="00033414"/>
    <w:rsid w:val="00034ABC"/>
    <w:rsid w:val="00034D1D"/>
    <w:rsid w:val="00034D24"/>
    <w:rsid w:val="00035A69"/>
    <w:rsid w:val="000366B3"/>
    <w:rsid w:val="00036E57"/>
    <w:rsid w:val="00047195"/>
    <w:rsid w:val="00047C09"/>
    <w:rsid w:val="00052D93"/>
    <w:rsid w:val="000551CF"/>
    <w:rsid w:val="000571AC"/>
    <w:rsid w:val="00063AA8"/>
    <w:rsid w:val="0006487A"/>
    <w:rsid w:val="00065F8F"/>
    <w:rsid w:val="00066365"/>
    <w:rsid w:val="00066A65"/>
    <w:rsid w:val="00070C93"/>
    <w:rsid w:val="00070D58"/>
    <w:rsid w:val="00070F40"/>
    <w:rsid w:val="00071796"/>
    <w:rsid w:val="00072BEC"/>
    <w:rsid w:val="00073345"/>
    <w:rsid w:val="000768F2"/>
    <w:rsid w:val="00077C80"/>
    <w:rsid w:val="00081156"/>
    <w:rsid w:val="000815F6"/>
    <w:rsid w:val="00083B72"/>
    <w:rsid w:val="000846FF"/>
    <w:rsid w:val="0008503A"/>
    <w:rsid w:val="000851B4"/>
    <w:rsid w:val="000859F0"/>
    <w:rsid w:val="00087C06"/>
    <w:rsid w:val="00090134"/>
    <w:rsid w:val="00090DB7"/>
    <w:rsid w:val="0009184B"/>
    <w:rsid w:val="00091AAC"/>
    <w:rsid w:val="000925CB"/>
    <w:rsid w:val="0009389E"/>
    <w:rsid w:val="0009593C"/>
    <w:rsid w:val="000A1370"/>
    <w:rsid w:val="000A17C4"/>
    <w:rsid w:val="000A37A2"/>
    <w:rsid w:val="000A500C"/>
    <w:rsid w:val="000B007F"/>
    <w:rsid w:val="000B047F"/>
    <w:rsid w:val="000B071C"/>
    <w:rsid w:val="000B1716"/>
    <w:rsid w:val="000B202D"/>
    <w:rsid w:val="000B26BE"/>
    <w:rsid w:val="000B2D44"/>
    <w:rsid w:val="000B2FD8"/>
    <w:rsid w:val="000B44F0"/>
    <w:rsid w:val="000B5923"/>
    <w:rsid w:val="000B5A48"/>
    <w:rsid w:val="000B6FF3"/>
    <w:rsid w:val="000C0A06"/>
    <w:rsid w:val="000C148A"/>
    <w:rsid w:val="000C2B6A"/>
    <w:rsid w:val="000C3467"/>
    <w:rsid w:val="000C3CA6"/>
    <w:rsid w:val="000C4E3D"/>
    <w:rsid w:val="000C7136"/>
    <w:rsid w:val="000D1267"/>
    <w:rsid w:val="000D1D50"/>
    <w:rsid w:val="000D304F"/>
    <w:rsid w:val="000D4033"/>
    <w:rsid w:val="000D5782"/>
    <w:rsid w:val="000D620F"/>
    <w:rsid w:val="000D74AA"/>
    <w:rsid w:val="000E3AC5"/>
    <w:rsid w:val="000E4C84"/>
    <w:rsid w:val="000E6613"/>
    <w:rsid w:val="000E6663"/>
    <w:rsid w:val="000E7119"/>
    <w:rsid w:val="000E75B2"/>
    <w:rsid w:val="000F0D1B"/>
    <w:rsid w:val="000F3E1D"/>
    <w:rsid w:val="000F7336"/>
    <w:rsid w:val="00101546"/>
    <w:rsid w:val="00106B75"/>
    <w:rsid w:val="0010727E"/>
    <w:rsid w:val="00107CCA"/>
    <w:rsid w:val="00110310"/>
    <w:rsid w:val="0011211B"/>
    <w:rsid w:val="00112787"/>
    <w:rsid w:val="00114E9B"/>
    <w:rsid w:val="0011649B"/>
    <w:rsid w:val="00116E5E"/>
    <w:rsid w:val="0012218E"/>
    <w:rsid w:val="0012398F"/>
    <w:rsid w:val="00124113"/>
    <w:rsid w:val="00124BFE"/>
    <w:rsid w:val="0012516D"/>
    <w:rsid w:val="00125224"/>
    <w:rsid w:val="00130F18"/>
    <w:rsid w:val="00133C7A"/>
    <w:rsid w:val="0013434B"/>
    <w:rsid w:val="00137E3C"/>
    <w:rsid w:val="001418EE"/>
    <w:rsid w:val="00142F42"/>
    <w:rsid w:val="00143AE1"/>
    <w:rsid w:val="00143C8F"/>
    <w:rsid w:val="001446FE"/>
    <w:rsid w:val="00144A59"/>
    <w:rsid w:val="00146A3D"/>
    <w:rsid w:val="0014729F"/>
    <w:rsid w:val="00147410"/>
    <w:rsid w:val="001506F6"/>
    <w:rsid w:val="00151128"/>
    <w:rsid w:val="0015213E"/>
    <w:rsid w:val="001544D9"/>
    <w:rsid w:val="00156D25"/>
    <w:rsid w:val="00156D5D"/>
    <w:rsid w:val="00157BAB"/>
    <w:rsid w:val="0016151A"/>
    <w:rsid w:val="00163B54"/>
    <w:rsid w:val="001654D1"/>
    <w:rsid w:val="00166A14"/>
    <w:rsid w:val="00166F25"/>
    <w:rsid w:val="0016730C"/>
    <w:rsid w:val="0017190C"/>
    <w:rsid w:val="00174145"/>
    <w:rsid w:val="0018106D"/>
    <w:rsid w:val="0018125C"/>
    <w:rsid w:val="00181856"/>
    <w:rsid w:val="00183B64"/>
    <w:rsid w:val="00184B52"/>
    <w:rsid w:val="001877A7"/>
    <w:rsid w:val="00187CD2"/>
    <w:rsid w:val="00191536"/>
    <w:rsid w:val="00191B2C"/>
    <w:rsid w:val="001927B3"/>
    <w:rsid w:val="00193E73"/>
    <w:rsid w:val="00193FE2"/>
    <w:rsid w:val="001959D9"/>
    <w:rsid w:val="00195AB7"/>
    <w:rsid w:val="00196687"/>
    <w:rsid w:val="001A0107"/>
    <w:rsid w:val="001A0B9F"/>
    <w:rsid w:val="001A0EA2"/>
    <w:rsid w:val="001A1DBF"/>
    <w:rsid w:val="001A41F1"/>
    <w:rsid w:val="001A5CF3"/>
    <w:rsid w:val="001A63BB"/>
    <w:rsid w:val="001B1840"/>
    <w:rsid w:val="001B1FA9"/>
    <w:rsid w:val="001B2FB3"/>
    <w:rsid w:val="001B6640"/>
    <w:rsid w:val="001B7FF7"/>
    <w:rsid w:val="001C0962"/>
    <w:rsid w:val="001C1941"/>
    <w:rsid w:val="001C1A81"/>
    <w:rsid w:val="001C38A5"/>
    <w:rsid w:val="001C597C"/>
    <w:rsid w:val="001C6464"/>
    <w:rsid w:val="001C746B"/>
    <w:rsid w:val="001D14B6"/>
    <w:rsid w:val="001D342B"/>
    <w:rsid w:val="001D6C1E"/>
    <w:rsid w:val="001D7531"/>
    <w:rsid w:val="001E0A1B"/>
    <w:rsid w:val="001E1402"/>
    <w:rsid w:val="001E2922"/>
    <w:rsid w:val="001E3680"/>
    <w:rsid w:val="001E6926"/>
    <w:rsid w:val="001E737D"/>
    <w:rsid w:val="001F0592"/>
    <w:rsid w:val="001F0C89"/>
    <w:rsid w:val="001F7506"/>
    <w:rsid w:val="002006CD"/>
    <w:rsid w:val="0020075A"/>
    <w:rsid w:val="00202B36"/>
    <w:rsid w:val="00202C44"/>
    <w:rsid w:val="00202F80"/>
    <w:rsid w:val="002030A5"/>
    <w:rsid w:val="00204B7A"/>
    <w:rsid w:val="00206616"/>
    <w:rsid w:val="0020689D"/>
    <w:rsid w:val="00206B0E"/>
    <w:rsid w:val="00207949"/>
    <w:rsid w:val="0021101A"/>
    <w:rsid w:val="0021190F"/>
    <w:rsid w:val="0021334C"/>
    <w:rsid w:val="00216B50"/>
    <w:rsid w:val="00220536"/>
    <w:rsid w:val="00220C02"/>
    <w:rsid w:val="00224F1D"/>
    <w:rsid w:val="00225CB7"/>
    <w:rsid w:val="0023060C"/>
    <w:rsid w:val="00234E40"/>
    <w:rsid w:val="00235629"/>
    <w:rsid w:val="00237AE4"/>
    <w:rsid w:val="00240C43"/>
    <w:rsid w:val="00240C5D"/>
    <w:rsid w:val="00243589"/>
    <w:rsid w:val="002527B1"/>
    <w:rsid w:val="0025301B"/>
    <w:rsid w:val="00253FF8"/>
    <w:rsid w:val="00260A32"/>
    <w:rsid w:val="00260C38"/>
    <w:rsid w:val="00260F84"/>
    <w:rsid w:val="002616C0"/>
    <w:rsid w:val="002620C0"/>
    <w:rsid w:val="002662AA"/>
    <w:rsid w:val="00267E1C"/>
    <w:rsid w:val="00272FB2"/>
    <w:rsid w:val="0027313F"/>
    <w:rsid w:val="00273F8B"/>
    <w:rsid w:val="002740FA"/>
    <w:rsid w:val="0027692F"/>
    <w:rsid w:val="0027703A"/>
    <w:rsid w:val="00277BF4"/>
    <w:rsid w:val="002803BD"/>
    <w:rsid w:val="00280496"/>
    <w:rsid w:val="00283D63"/>
    <w:rsid w:val="00283E91"/>
    <w:rsid w:val="002856F9"/>
    <w:rsid w:val="002866CA"/>
    <w:rsid w:val="00286C21"/>
    <w:rsid w:val="002875BF"/>
    <w:rsid w:val="0029076F"/>
    <w:rsid w:val="0029094E"/>
    <w:rsid w:val="00291DC2"/>
    <w:rsid w:val="00292626"/>
    <w:rsid w:val="00292E6B"/>
    <w:rsid w:val="00295495"/>
    <w:rsid w:val="002A0D55"/>
    <w:rsid w:val="002A0E88"/>
    <w:rsid w:val="002A1940"/>
    <w:rsid w:val="002A3F4C"/>
    <w:rsid w:val="002A5BEA"/>
    <w:rsid w:val="002A70D7"/>
    <w:rsid w:val="002A77B7"/>
    <w:rsid w:val="002A7AE1"/>
    <w:rsid w:val="002B133E"/>
    <w:rsid w:val="002B1B6D"/>
    <w:rsid w:val="002B2613"/>
    <w:rsid w:val="002B2C2A"/>
    <w:rsid w:val="002B2F51"/>
    <w:rsid w:val="002B44FC"/>
    <w:rsid w:val="002B5438"/>
    <w:rsid w:val="002B544A"/>
    <w:rsid w:val="002B5F40"/>
    <w:rsid w:val="002B79B7"/>
    <w:rsid w:val="002C00BF"/>
    <w:rsid w:val="002C0137"/>
    <w:rsid w:val="002C1004"/>
    <w:rsid w:val="002C1E97"/>
    <w:rsid w:val="002C4022"/>
    <w:rsid w:val="002C5275"/>
    <w:rsid w:val="002C6074"/>
    <w:rsid w:val="002D1F9E"/>
    <w:rsid w:val="002D30E8"/>
    <w:rsid w:val="002E0F9C"/>
    <w:rsid w:val="002E1F75"/>
    <w:rsid w:val="002E202A"/>
    <w:rsid w:val="002E5C3A"/>
    <w:rsid w:val="002E64D0"/>
    <w:rsid w:val="002F1818"/>
    <w:rsid w:val="002F1A28"/>
    <w:rsid w:val="002F2C84"/>
    <w:rsid w:val="002F335F"/>
    <w:rsid w:val="002F567B"/>
    <w:rsid w:val="002F66D8"/>
    <w:rsid w:val="002F7353"/>
    <w:rsid w:val="0030080A"/>
    <w:rsid w:val="0030298F"/>
    <w:rsid w:val="00302AF1"/>
    <w:rsid w:val="00305126"/>
    <w:rsid w:val="0030593B"/>
    <w:rsid w:val="00310306"/>
    <w:rsid w:val="0031156F"/>
    <w:rsid w:val="00311F7D"/>
    <w:rsid w:val="00317D41"/>
    <w:rsid w:val="00317FD1"/>
    <w:rsid w:val="00321358"/>
    <w:rsid w:val="003216A9"/>
    <w:rsid w:val="00322D89"/>
    <w:rsid w:val="00325332"/>
    <w:rsid w:val="00325856"/>
    <w:rsid w:val="00325985"/>
    <w:rsid w:val="003278AA"/>
    <w:rsid w:val="00332726"/>
    <w:rsid w:val="0033309F"/>
    <w:rsid w:val="00335ED6"/>
    <w:rsid w:val="00337694"/>
    <w:rsid w:val="003431B7"/>
    <w:rsid w:val="0034381A"/>
    <w:rsid w:val="003440C6"/>
    <w:rsid w:val="00350C26"/>
    <w:rsid w:val="003515CF"/>
    <w:rsid w:val="00353569"/>
    <w:rsid w:val="00354D51"/>
    <w:rsid w:val="0035612F"/>
    <w:rsid w:val="00356A32"/>
    <w:rsid w:val="0035779A"/>
    <w:rsid w:val="00360394"/>
    <w:rsid w:val="0036392A"/>
    <w:rsid w:val="003663FE"/>
    <w:rsid w:val="0036688B"/>
    <w:rsid w:val="00366A86"/>
    <w:rsid w:val="00367683"/>
    <w:rsid w:val="00367B91"/>
    <w:rsid w:val="0037013F"/>
    <w:rsid w:val="00373FCE"/>
    <w:rsid w:val="00377A4C"/>
    <w:rsid w:val="003802FF"/>
    <w:rsid w:val="00380C92"/>
    <w:rsid w:val="00383877"/>
    <w:rsid w:val="00385025"/>
    <w:rsid w:val="00386455"/>
    <w:rsid w:val="00390D36"/>
    <w:rsid w:val="00390F3B"/>
    <w:rsid w:val="0039111A"/>
    <w:rsid w:val="003936B4"/>
    <w:rsid w:val="00393AFD"/>
    <w:rsid w:val="003A079E"/>
    <w:rsid w:val="003A10FA"/>
    <w:rsid w:val="003A163E"/>
    <w:rsid w:val="003A32EC"/>
    <w:rsid w:val="003A36AE"/>
    <w:rsid w:val="003A3ACA"/>
    <w:rsid w:val="003A4404"/>
    <w:rsid w:val="003A484F"/>
    <w:rsid w:val="003A4F96"/>
    <w:rsid w:val="003A5540"/>
    <w:rsid w:val="003B0BE0"/>
    <w:rsid w:val="003B0C1A"/>
    <w:rsid w:val="003B0C1B"/>
    <w:rsid w:val="003B5601"/>
    <w:rsid w:val="003B688C"/>
    <w:rsid w:val="003C0291"/>
    <w:rsid w:val="003C2ECB"/>
    <w:rsid w:val="003C350E"/>
    <w:rsid w:val="003C39AE"/>
    <w:rsid w:val="003C6D0D"/>
    <w:rsid w:val="003C76CC"/>
    <w:rsid w:val="003C7B60"/>
    <w:rsid w:val="003D0821"/>
    <w:rsid w:val="003D1FB2"/>
    <w:rsid w:val="003D2303"/>
    <w:rsid w:val="003D3CC9"/>
    <w:rsid w:val="003D4221"/>
    <w:rsid w:val="003D644D"/>
    <w:rsid w:val="003D66DA"/>
    <w:rsid w:val="003E10D3"/>
    <w:rsid w:val="003E1310"/>
    <w:rsid w:val="003E2E1C"/>
    <w:rsid w:val="003E5BD3"/>
    <w:rsid w:val="003E6348"/>
    <w:rsid w:val="003E6F55"/>
    <w:rsid w:val="003F133D"/>
    <w:rsid w:val="003F26B9"/>
    <w:rsid w:val="003F2794"/>
    <w:rsid w:val="003F339D"/>
    <w:rsid w:val="003F363F"/>
    <w:rsid w:val="003F3A2A"/>
    <w:rsid w:val="003F3DED"/>
    <w:rsid w:val="003F3E94"/>
    <w:rsid w:val="003F44B8"/>
    <w:rsid w:val="003F7CD6"/>
    <w:rsid w:val="00400549"/>
    <w:rsid w:val="00401C71"/>
    <w:rsid w:val="004026F9"/>
    <w:rsid w:val="00402FCE"/>
    <w:rsid w:val="00405639"/>
    <w:rsid w:val="00406254"/>
    <w:rsid w:val="004071E0"/>
    <w:rsid w:val="00407AD0"/>
    <w:rsid w:val="00410C16"/>
    <w:rsid w:val="00422023"/>
    <w:rsid w:val="004223DE"/>
    <w:rsid w:val="004234B2"/>
    <w:rsid w:val="00426FA8"/>
    <w:rsid w:val="00427162"/>
    <w:rsid w:val="0043341C"/>
    <w:rsid w:val="004343F3"/>
    <w:rsid w:val="00434489"/>
    <w:rsid w:val="0043475E"/>
    <w:rsid w:val="0043497B"/>
    <w:rsid w:val="00435137"/>
    <w:rsid w:val="00436E88"/>
    <w:rsid w:val="00437085"/>
    <w:rsid w:val="004370D1"/>
    <w:rsid w:val="00440872"/>
    <w:rsid w:val="00440A29"/>
    <w:rsid w:val="00441C18"/>
    <w:rsid w:val="004422EF"/>
    <w:rsid w:val="00443880"/>
    <w:rsid w:val="00444CE1"/>
    <w:rsid w:val="0044578E"/>
    <w:rsid w:val="0044581C"/>
    <w:rsid w:val="004464F4"/>
    <w:rsid w:val="00446FA9"/>
    <w:rsid w:val="00447035"/>
    <w:rsid w:val="00450BFF"/>
    <w:rsid w:val="00454FA9"/>
    <w:rsid w:val="004571F2"/>
    <w:rsid w:val="0045723A"/>
    <w:rsid w:val="00460A67"/>
    <w:rsid w:val="00461A98"/>
    <w:rsid w:val="00462B33"/>
    <w:rsid w:val="0046346E"/>
    <w:rsid w:val="004708B9"/>
    <w:rsid w:val="00471401"/>
    <w:rsid w:val="00471CBB"/>
    <w:rsid w:val="00473F31"/>
    <w:rsid w:val="00474218"/>
    <w:rsid w:val="004750E8"/>
    <w:rsid w:val="00476F1B"/>
    <w:rsid w:val="0047729B"/>
    <w:rsid w:val="0048263A"/>
    <w:rsid w:val="0048368B"/>
    <w:rsid w:val="0048372E"/>
    <w:rsid w:val="00483F46"/>
    <w:rsid w:val="00484CD3"/>
    <w:rsid w:val="004857E4"/>
    <w:rsid w:val="00486073"/>
    <w:rsid w:val="0048694C"/>
    <w:rsid w:val="00486E3E"/>
    <w:rsid w:val="00487E5D"/>
    <w:rsid w:val="00491181"/>
    <w:rsid w:val="00492070"/>
    <w:rsid w:val="004941B6"/>
    <w:rsid w:val="00497E59"/>
    <w:rsid w:val="004A2A48"/>
    <w:rsid w:val="004A4A66"/>
    <w:rsid w:val="004A4B01"/>
    <w:rsid w:val="004A5576"/>
    <w:rsid w:val="004A6B85"/>
    <w:rsid w:val="004A711F"/>
    <w:rsid w:val="004A7B2B"/>
    <w:rsid w:val="004B01AE"/>
    <w:rsid w:val="004B199D"/>
    <w:rsid w:val="004B2279"/>
    <w:rsid w:val="004B25B9"/>
    <w:rsid w:val="004B3F00"/>
    <w:rsid w:val="004B4690"/>
    <w:rsid w:val="004B7108"/>
    <w:rsid w:val="004B778F"/>
    <w:rsid w:val="004B785F"/>
    <w:rsid w:val="004C01B1"/>
    <w:rsid w:val="004C062D"/>
    <w:rsid w:val="004C4638"/>
    <w:rsid w:val="004C5745"/>
    <w:rsid w:val="004C5DBD"/>
    <w:rsid w:val="004C62FA"/>
    <w:rsid w:val="004C6FB9"/>
    <w:rsid w:val="004D1DC6"/>
    <w:rsid w:val="004D31FB"/>
    <w:rsid w:val="004D4BB1"/>
    <w:rsid w:val="004D4D6E"/>
    <w:rsid w:val="004D4DA3"/>
    <w:rsid w:val="004D798C"/>
    <w:rsid w:val="004D7AEF"/>
    <w:rsid w:val="004E028C"/>
    <w:rsid w:val="004E0815"/>
    <w:rsid w:val="004E0A2D"/>
    <w:rsid w:val="004E206B"/>
    <w:rsid w:val="004E3DEC"/>
    <w:rsid w:val="004E67E0"/>
    <w:rsid w:val="004E6DF7"/>
    <w:rsid w:val="004F0FBD"/>
    <w:rsid w:val="00501436"/>
    <w:rsid w:val="00501B3E"/>
    <w:rsid w:val="00502053"/>
    <w:rsid w:val="005020BB"/>
    <w:rsid w:val="00505843"/>
    <w:rsid w:val="00505A47"/>
    <w:rsid w:val="0050679E"/>
    <w:rsid w:val="0051166F"/>
    <w:rsid w:val="0051173A"/>
    <w:rsid w:val="00512FDA"/>
    <w:rsid w:val="00513ED7"/>
    <w:rsid w:val="0051467D"/>
    <w:rsid w:val="00520DA0"/>
    <w:rsid w:val="005225FC"/>
    <w:rsid w:val="00524AC4"/>
    <w:rsid w:val="0052729E"/>
    <w:rsid w:val="0052733D"/>
    <w:rsid w:val="00530E19"/>
    <w:rsid w:val="00530F71"/>
    <w:rsid w:val="005322EB"/>
    <w:rsid w:val="0053459C"/>
    <w:rsid w:val="005455A3"/>
    <w:rsid w:val="00550726"/>
    <w:rsid w:val="00550F95"/>
    <w:rsid w:val="0055106D"/>
    <w:rsid w:val="005559A4"/>
    <w:rsid w:val="0056304B"/>
    <w:rsid w:val="005651E3"/>
    <w:rsid w:val="00565D17"/>
    <w:rsid w:val="005664BB"/>
    <w:rsid w:val="00566C08"/>
    <w:rsid w:val="0056722F"/>
    <w:rsid w:val="00567B67"/>
    <w:rsid w:val="00570C62"/>
    <w:rsid w:val="00572EB1"/>
    <w:rsid w:val="00572EC9"/>
    <w:rsid w:val="00573576"/>
    <w:rsid w:val="0057481D"/>
    <w:rsid w:val="0057798B"/>
    <w:rsid w:val="00577A75"/>
    <w:rsid w:val="00577DF2"/>
    <w:rsid w:val="00580D35"/>
    <w:rsid w:val="0058486E"/>
    <w:rsid w:val="00584F2B"/>
    <w:rsid w:val="005935E9"/>
    <w:rsid w:val="005939BC"/>
    <w:rsid w:val="00593D4E"/>
    <w:rsid w:val="005975DB"/>
    <w:rsid w:val="00597919"/>
    <w:rsid w:val="005A0204"/>
    <w:rsid w:val="005A0CF8"/>
    <w:rsid w:val="005A324B"/>
    <w:rsid w:val="005B186A"/>
    <w:rsid w:val="005B553C"/>
    <w:rsid w:val="005B57DB"/>
    <w:rsid w:val="005B58F9"/>
    <w:rsid w:val="005B5ACB"/>
    <w:rsid w:val="005B76E6"/>
    <w:rsid w:val="005C0AF7"/>
    <w:rsid w:val="005C0B82"/>
    <w:rsid w:val="005C0D5C"/>
    <w:rsid w:val="005C4A4C"/>
    <w:rsid w:val="005C52C6"/>
    <w:rsid w:val="005C7204"/>
    <w:rsid w:val="005D1C8B"/>
    <w:rsid w:val="005D5CED"/>
    <w:rsid w:val="005D6054"/>
    <w:rsid w:val="005E1522"/>
    <w:rsid w:val="005E3365"/>
    <w:rsid w:val="005E5517"/>
    <w:rsid w:val="005E6AFB"/>
    <w:rsid w:val="005F0705"/>
    <w:rsid w:val="005F0C83"/>
    <w:rsid w:val="005F1A4C"/>
    <w:rsid w:val="005F1F76"/>
    <w:rsid w:val="005F2C70"/>
    <w:rsid w:val="005F32B6"/>
    <w:rsid w:val="005F4162"/>
    <w:rsid w:val="005F44C7"/>
    <w:rsid w:val="005F632F"/>
    <w:rsid w:val="00600946"/>
    <w:rsid w:val="006044AC"/>
    <w:rsid w:val="00604551"/>
    <w:rsid w:val="00605688"/>
    <w:rsid w:val="006070AF"/>
    <w:rsid w:val="00607816"/>
    <w:rsid w:val="00607E6C"/>
    <w:rsid w:val="006101B1"/>
    <w:rsid w:val="00611AD3"/>
    <w:rsid w:val="00612209"/>
    <w:rsid w:val="00614423"/>
    <w:rsid w:val="00614E44"/>
    <w:rsid w:val="006155B0"/>
    <w:rsid w:val="006205F4"/>
    <w:rsid w:val="00620717"/>
    <w:rsid w:val="00622830"/>
    <w:rsid w:val="006256DB"/>
    <w:rsid w:val="00630AEF"/>
    <w:rsid w:val="00630BB3"/>
    <w:rsid w:val="006325F8"/>
    <w:rsid w:val="00633AE4"/>
    <w:rsid w:val="006348B1"/>
    <w:rsid w:val="00634C9A"/>
    <w:rsid w:val="00635FC7"/>
    <w:rsid w:val="00636040"/>
    <w:rsid w:val="00642529"/>
    <w:rsid w:val="0064301E"/>
    <w:rsid w:val="00643322"/>
    <w:rsid w:val="00643C0A"/>
    <w:rsid w:val="006440E4"/>
    <w:rsid w:val="00645301"/>
    <w:rsid w:val="00645F78"/>
    <w:rsid w:val="0064753B"/>
    <w:rsid w:val="00650D36"/>
    <w:rsid w:val="00650F17"/>
    <w:rsid w:val="006511E7"/>
    <w:rsid w:val="0065182B"/>
    <w:rsid w:val="00660339"/>
    <w:rsid w:val="00660F57"/>
    <w:rsid w:val="00661830"/>
    <w:rsid w:val="0066343B"/>
    <w:rsid w:val="00663BDD"/>
    <w:rsid w:val="00664777"/>
    <w:rsid w:val="00664ED7"/>
    <w:rsid w:val="0066615D"/>
    <w:rsid w:val="00666366"/>
    <w:rsid w:val="0066748A"/>
    <w:rsid w:val="0067155A"/>
    <w:rsid w:val="00671D25"/>
    <w:rsid w:val="00672345"/>
    <w:rsid w:val="00673381"/>
    <w:rsid w:val="006740AB"/>
    <w:rsid w:val="00674446"/>
    <w:rsid w:val="006748A4"/>
    <w:rsid w:val="006757D8"/>
    <w:rsid w:val="00680EF7"/>
    <w:rsid w:val="00683E73"/>
    <w:rsid w:val="0068590F"/>
    <w:rsid w:val="00686CF0"/>
    <w:rsid w:val="00687CAC"/>
    <w:rsid w:val="00691D82"/>
    <w:rsid w:val="006931FE"/>
    <w:rsid w:val="006947FC"/>
    <w:rsid w:val="006950FD"/>
    <w:rsid w:val="00695AD3"/>
    <w:rsid w:val="00696ACE"/>
    <w:rsid w:val="006A01D3"/>
    <w:rsid w:val="006A04FE"/>
    <w:rsid w:val="006A0C2C"/>
    <w:rsid w:val="006A0C51"/>
    <w:rsid w:val="006A1E7E"/>
    <w:rsid w:val="006A2BCD"/>
    <w:rsid w:val="006A3141"/>
    <w:rsid w:val="006A5E34"/>
    <w:rsid w:val="006A64AA"/>
    <w:rsid w:val="006A75B7"/>
    <w:rsid w:val="006B0ABA"/>
    <w:rsid w:val="006B2422"/>
    <w:rsid w:val="006B2B9A"/>
    <w:rsid w:val="006B2E2F"/>
    <w:rsid w:val="006B471C"/>
    <w:rsid w:val="006B4C59"/>
    <w:rsid w:val="006B533E"/>
    <w:rsid w:val="006C04D7"/>
    <w:rsid w:val="006C1937"/>
    <w:rsid w:val="006C397F"/>
    <w:rsid w:val="006C6427"/>
    <w:rsid w:val="006C76DB"/>
    <w:rsid w:val="006D1F0B"/>
    <w:rsid w:val="006D42C6"/>
    <w:rsid w:val="006E0081"/>
    <w:rsid w:val="006E3700"/>
    <w:rsid w:val="006E6C66"/>
    <w:rsid w:val="006F020C"/>
    <w:rsid w:val="006F3DF7"/>
    <w:rsid w:val="006F7849"/>
    <w:rsid w:val="006F7CBD"/>
    <w:rsid w:val="0070094B"/>
    <w:rsid w:val="007040F2"/>
    <w:rsid w:val="00705B7C"/>
    <w:rsid w:val="00705E24"/>
    <w:rsid w:val="00707EEC"/>
    <w:rsid w:val="007115FE"/>
    <w:rsid w:val="007127B7"/>
    <w:rsid w:val="00713977"/>
    <w:rsid w:val="00714DBE"/>
    <w:rsid w:val="007220F2"/>
    <w:rsid w:val="007231D9"/>
    <w:rsid w:val="007244D2"/>
    <w:rsid w:val="00725B08"/>
    <w:rsid w:val="007355BA"/>
    <w:rsid w:val="0074019B"/>
    <w:rsid w:val="007403C2"/>
    <w:rsid w:val="007410FA"/>
    <w:rsid w:val="007416B6"/>
    <w:rsid w:val="007426C0"/>
    <w:rsid w:val="00746F48"/>
    <w:rsid w:val="0074730D"/>
    <w:rsid w:val="0075129E"/>
    <w:rsid w:val="00751951"/>
    <w:rsid w:val="00751EE9"/>
    <w:rsid w:val="007522D6"/>
    <w:rsid w:val="007525C3"/>
    <w:rsid w:val="007537B3"/>
    <w:rsid w:val="00753DC2"/>
    <w:rsid w:val="0075404D"/>
    <w:rsid w:val="0075503D"/>
    <w:rsid w:val="0076078E"/>
    <w:rsid w:val="00760D5E"/>
    <w:rsid w:val="0076182A"/>
    <w:rsid w:val="00763BC1"/>
    <w:rsid w:val="0076499D"/>
    <w:rsid w:val="007656DB"/>
    <w:rsid w:val="007676D8"/>
    <w:rsid w:val="00767A7D"/>
    <w:rsid w:val="00767B7E"/>
    <w:rsid w:val="00767BE6"/>
    <w:rsid w:val="00775A39"/>
    <w:rsid w:val="00776900"/>
    <w:rsid w:val="007770C3"/>
    <w:rsid w:val="00780AAA"/>
    <w:rsid w:val="00781060"/>
    <w:rsid w:val="0078143E"/>
    <w:rsid w:val="0078201F"/>
    <w:rsid w:val="007820E1"/>
    <w:rsid w:val="00784D24"/>
    <w:rsid w:val="00784D4C"/>
    <w:rsid w:val="00784E42"/>
    <w:rsid w:val="00785FBA"/>
    <w:rsid w:val="00786E4A"/>
    <w:rsid w:val="007875EB"/>
    <w:rsid w:val="00787E51"/>
    <w:rsid w:val="00792C26"/>
    <w:rsid w:val="0079426B"/>
    <w:rsid w:val="00794D8C"/>
    <w:rsid w:val="00794F74"/>
    <w:rsid w:val="0079655C"/>
    <w:rsid w:val="007A0619"/>
    <w:rsid w:val="007A762F"/>
    <w:rsid w:val="007B0CA2"/>
    <w:rsid w:val="007B5C15"/>
    <w:rsid w:val="007B6032"/>
    <w:rsid w:val="007B6B9B"/>
    <w:rsid w:val="007C014E"/>
    <w:rsid w:val="007C0C20"/>
    <w:rsid w:val="007C0E0A"/>
    <w:rsid w:val="007C2008"/>
    <w:rsid w:val="007C26C9"/>
    <w:rsid w:val="007C57E7"/>
    <w:rsid w:val="007C6362"/>
    <w:rsid w:val="007C70B5"/>
    <w:rsid w:val="007C72D0"/>
    <w:rsid w:val="007D028D"/>
    <w:rsid w:val="007D0AE2"/>
    <w:rsid w:val="007D0C80"/>
    <w:rsid w:val="007D312A"/>
    <w:rsid w:val="007D3F19"/>
    <w:rsid w:val="007D40BF"/>
    <w:rsid w:val="007D598F"/>
    <w:rsid w:val="007D7F29"/>
    <w:rsid w:val="007E0391"/>
    <w:rsid w:val="007E2118"/>
    <w:rsid w:val="007E23B0"/>
    <w:rsid w:val="007E30F0"/>
    <w:rsid w:val="007E4E9E"/>
    <w:rsid w:val="007E4F63"/>
    <w:rsid w:val="007E5C1C"/>
    <w:rsid w:val="007E6821"/>
    <w:rsid w:val="007E6A33"/>
    <w:rsid w:val="007E6D1B"/>
    <w:rsid w:val="007F0CD6"/>
    <w:rsid w:val="007F0EAA"/>
    <w:rsid w:val="007F1991"/>
    <w:rsid w:val="007F1E4C"/>
    <w:rsid w:val="007F2C2F"/>
    <w:rsid w:val="007F2D6D"/>
    <w:rsid w:val="007F55FC"/>
    <w:rsid w:val="007F5665"/>
    <w:rsid w:val="007F57B1"/>
    <w:rsid w:val="007F5B1E"/>
    <w:rsid w:val="007F703A"/>
    <w:rsid w:val="007F772D"/>
    <w:rsid w:val="007F78DE"/>
    <w:rsid w:val="00800112"/>
    <w:rsid w:val="0080112E"/>
    <w:rsid w:val="008014B3"/>
    <w:rsid w:val="008031B0"/>
    <w:rsid w:val="008068DA"/>
    <w:rsid w:val="00806B6F"/>
    <w:rsid w:val="00807797"/>
    <w:rsid w:val="0081195D"/>
    <w:rsid w:val="00811C29"/>
    <w:rsid w:val="00812255"/>
    <w:rsid w:val="00813AEF"/>
    <w:rsid w:val="00815AF8"/>
    <w:rsid w:val="008169F8"/>
    <w:rsid w:val="00820AF4"/>
    <w:rsid w:val="008212F9"/>
    <w:rsid w:val="008244FA"/>
    <w:rsid w:val="008248EC"/>
    <w:rsid w:val="00824C90"/>
    <w:rsid w:val="00824CEE"/>
    <w:rsid w:val="00824FBA"/>
    <w:rsid w:val="008253BB"/>
    <w:rsid w:val="008273C2"/>
    <w:rsid w:val="00830A33"/>
    <w:rsid w:val="00830F24"/>
    <w:rsid w:val="0083234B"/>
    <w:rsid w:val="00833D7A"/>
    <w:rsid w:val="008347A0"/>
    <w:rsid w:val="00835B31"/>
    <w:rsid w:val="00836025"/>
    <w:rsid w:val="0083706E"/>
    <w:rsid w:val="00840550"/>
    <w:rsid w:val="008423A5"/>
    <w:rsid w:val="00843431"/>
    <w:rsid w:val="00845501"/>
    <w:rsid w:val="008503A5"/>
    <w:rsid w:val="00850625"/>
    <w:rsid w:val="008511F3"/>
    <w:rsid w:val="00851894"/>
    <w:rsid w:val="0085265B"/>
    <w:rsid w:val="00852C5C"/>
    <w:rsid w:val="00853718"/>
    <w:rsid w:val="00855221"/>
    <w:rsid w:val="00855AF5"/>
    <w:rsid w:val="00855E16"/>
    <w:rsid w:val="00857B79"/>
    <w:rsid w:val="00860645"/>
    <w:rsid w:val="00860C44"/>
    <w:rsid w:val="0086131A"/>
    <w:rsid w:val="00862A9D"/>
    <w:rsid w:val="00863483"/>
    <w:rsid w:val="00863CF0"/>
    <w:rsid w:val="00863D72"/>
    <w:rsid w:val="00865F20"/>
    <w:rsid w:val="00867695"/>
    <w:rsid w:val="00870000"/>
    <w:rsid w:val="00870C33"/>
    <w:rsid w:val="00871F71"/>
    <w:rsid w:val="008722FB"/>
    <w:rsid w:val="00872F95"/>
    <w:rsid w:val="00873D8F"/>
    <w:rsid w:val="0087464B"/>
    <w:rsid w:val="00875814"/>
    <w:rsid w:val="0088122F"/>
    <w:rsid w:val="00885AF4"/>
    <w:rsid w:val="00886435"/>
    <w:rsid w:val="008875FA"/>
    <w:rsid w:val="00887A58"/>
    <w:rsid w:val="008918AA"/>
    <w:rsid w:val="008918C9"/>
    <w:rsid w:val="008939CD"/>
    <w:rsid w:val="00893E7C"/>
    <w:rsid w:val="00895862"/>
    <w:rsid w:val="00896814"/>
    <w:rsid w:val="00897199"/>
    <w:rsid w:val="008A04BB"/>
    <w:rsid w:val="008A6293"/>
    <w:rsid w:val="008A6BC0"/>
    <w:rsid w:val="008A7CE3"/>
    <w:rsid w:val="008B045D"/>
    <w:rsid w:val="008B2B26"/>
    <w:rsid w:val="008B5614"/>
    <w:rsid w:val="008B6287"/>
    <w:rsid w:val="008B69A5"/>
    <w:rsid w:val="008B768C"/>
    <w:rsid w:val="008B7992"/>
    <w:rsid w:val="008C1D33"/>
    <w:rsid w:val="008C33D9"/>
    <w:rsid w:val="008C4DB1"/>
    <w:rsid w:val="008C4EAF"/>
    <w:rsid w:val="008C5176"/>
    <w:rsid w:val="008C7FD0"/>
    <w:rsid w:val="008D06D5"/>
    <w:rsid w:val="008D08E5"/>
    <w:rsid w:val="008D2C92"/>
    <w:rsid w:val="008D2DE2"/>
    <w:rsid w:val="008D55A6"/>
    <w:rsid w:val="008E0EF3"/>
    <w:rsid w:val="008E1DC6"/>
    <w:rsid w:val="008E1DE7"/>
    <w:rsid w:val="008E2847"/>
    <w:rsid w:val="008E380B"/>
    <w:rsid w:val="008E707C"/>
    <w:rsid w:val="008E7651"/>
    <w:rsid w:val="008F24AB"/>
    <w:rsid w:val="00900B08"/>
    <w:rsid w:val="00901E1C"/>
    <w:rsid w:val="00902155"/>
    <w:rsid w:val="00902BCF"/>
    <w:rsid w:val="00902FA3"/>
    <w:rsid w:val="009109D0"/>
    <w:rsid w:val="00910FAA"/>
    <w:rsid w:val="00912DEB"/>
    <w:rsid w:val="00913706"/>
    <w:rsid w:val="00913A29"/>
    <w:rsid w:val="00915BE4"/>
    <w:rsid w:val="009205F5"/>
    <w:rsid w:val="009215C3"/>
    <w:rsid w:val="00923564"/>
    <w:rsid w:val="0092392E"/>
    <w:rsid w:val="00923F58"/>
    <w:rsid w:val="00924FB0"/>
    <w:rsid w:val="00930109"/>
    <w:rsid w:val="00930E8F"/>
    <w:rsid w:val="009315F9"/>
    <w:rsid w:val="009337F3"/>
    <w:rsid w:val="009339C3"/>
    <w:rsid w:val="00934AB8"/>
    <w:rsid w:val="00935D57"/>
    <w:rsid w:val="00936283"/>
    <w:rsid w:val="00940B88"/>
    <w:rsid w:val="00940F73"/>
    <w:rsid w:val="0094526A"/>
    <w:rsid w:val="00945399"/>
    <w:rsid w:val="00945492"/>
    <w:rsid w:val="00945EEC"/>
    <w:rsid w:val="009461EE"/>
    <w:rsid w:val="00946945"/>
    <w:rsid w:val="00947929"/>
    <w:rsid w:val="00947BF1"/>
    <w:rsid w:val="009500E2"/>
    <w:rsid w:val="00951248"/>
    <w:rsid w:val="0095152F"/>
    <w:rsid w:val="009534A8"/>
    <w:rsid w:val="009540C0"/>
    <w:rsid w:val="00954C49"/>
    <w:rsid w:val="00955EAD"/>
    <w:rsid w:val="0095708C"/>
    <w:rsid w:val="00957098"/>
    <w:rsid w:val="00960F20"/>
    <w:rsid w:val="009620B2"/>
    <w:rsid w:val="00962131"/>
    <w:rsid w:val="00962556"/>
    <w:rsid w:val="00964305"/>
    <w:rsid w:val="0096477D"/>
    <w:rsid w:val="00964EBA"/>
    <w:rsid w:val="0097099F"/>
    <w:rsid w:val="009710DA"/>
    <w:rsid w:val="00971997"/>
    <w:rsid w:val="00971FFC"/>
    <w:rsid w:val="00972A49"/>
    <w:rsid w:val="00973726"/>
    <w:rsid w:val="00974188"/>
    <w:rsid w:val="0098033F"/>
    <w:rsid w:val="00985645"/>
    <w:rsid w:val="0098595E"/>
    <w:rsid w:val="00985C49"/>
    <w:rsid w:val="0098660A"/>
    <w:rsid w:val="009869AA"/>
    <w:rsid w:val="009931C3"/>
    <w:rsid w:val="00995CE3"/>
    <w:rsid w:val="009B2C43"/>
    <w:rsid w:val="009B4EAE"/>
    <w:rsid w:val="009B6C92"/>
    <w:rsid w:val="009B7573"/>
    <w:rsid w:val="009C0EF0"/>
    <w:rsid w:val="009C1B2D"/>
    <w:rsid w:val="009C22F4"/>
    <w:rsid w:val="009C2AE3"/>
    <w:rsid w:val="009C2E98"/>
    <w:rsid w:val="009C5896"/>
    <w:rsid w:val="009C6399"/>
    <w:rsid w:val="009D3447"/>
    <w:rsid w:val="009D3AA6"/>
    <w:rsid w:val="009D4711"/>
    <w:rsid w:val="009D5BA9"/>
    <w:rsid w:val="009D5EF4"/>
    <w:rsid w:val="009E0018"/>
    <w:rsid w:val="009E2320"/>
    <w:rsid w:val="009E576A"/>
    <w:rsid w:val="009E7FBF"/>
    <w:rsid w:val="009F1185"/>
    <w:rsid w:val="009F178D"/>
    <w:rsid w:val="009F18CD"/>
    <w:rsid w:val="009F2021"/>
    <w:rsid w:val="009F2A13"/>
    <w:rsid w:val="009F4A42"/>
    <w:rsid w:val="009F4D78"/>
    <w:rsid w:val="009F6A87"/>
    <w:rsid w:val="009F6B63"/>
    <w:rsid w:val="009F6F4A"/>
    <w:rsid w:val="00A02DD4"/>
    <w:rsid w:val="00A04EB0"/>
    <w:rsid w:val="00A05E7E"/>
    <w:rsid w:val="00A06741"/>
    <w:rsid w:val="00A06EF8"/>
    <w:rsid w:val="00A07DE7"/>
    <w:rsid w:val="00A07E24"/>
    <w:rsid w:val="00A1247B"/>
    <w:rsid w:val="00A13443"/>
    <w:rsid w:val="00A13CC1"/>
    <w:rsid w:val="00A15286"/>
    <w:rsid w:val="00A1571F"/>
    <w:rsid w:val="00A1637E"/>
    <w:rsid w:val="00A16684"/>
    <w:rsid w:val="00A16847"/>
    <w:rsid w:val="00A1745F"/>
    <w:rsid w:val="00A2301F"/>
    <w:rsid w:val="00A237D8"/>
    <w:rsid w:val="00A25634"/>
    <w:rsid w:val="00A268C4"/>
    <w:rsid w:val="00A27771"/>
    <w:rsid w:val="00A300FE"/>
    <w:rsid w:val="00A307CD"/>
    <w:rsid w:val="00A3233A"/>
    <w:rsid w:val="00A35068"/>
    <w:rsid w:val="00A3556D"/>
    <w:rsid w:val="00A35870"/>
    <w:rsid w:val="00A35FE0"/>
    <w:rsid w:val="00A40A00"/>
    <w:rsid w:val="00A4142F"/>
    <w:rsid w:val="00A41D4A"/>
    <w:rsid w:val="00A43522"/>
    <w:rsid w:val="00A4622C"/>
    <w:rsid w:val="00A462AA"/>
    <w:rsid w:val="00A46A63"/>
    <w:rsid w:val="00A47A0F"/>
    <w:rsid w:val="00A50F96"/>
    <w:rsid w:val="00A514F8"/>
    <w:rsid w:val="00A52260"/>
    <w:rsid w:val="00A53A03"/>
    <w:rsid w:val="00A53D20"/>
    <w:rsid w:val="00A54687"/>
    <w:rsid w:val="00A54CE0"/>
    <w:rsid w:val="00A55073"/>
    <w:rsid w:val="00A55447"/>
    <w:rsid w:val="00A55ED8"/>
    <w:rsid w:val="00A56DF2"/>
    <w:rsid w:val="00A56E1B"/>
    <w:rsid w:val="00A57F63"/>
    <w:rsid w:val="00A61738"/>
    <w:rsid w:val="00A62ECF"/>
    <w:rsid w:val="00A63814"/>
    <w:rsid w:val="00A64138"/>
    <w:rsid w:val="00A64421"/>
    <w:rsid w:val="00A659FC"/>
    <w:rsid w:val="00A65DE6"/>
    <w:rsid w:val="00A67AB5"/>
    <w:rsid w:val="00A70317"/>
    <w:rsid w:val="00A72FA8"/>
    <w:rsid w:val="00A76B3A"/>
    <w:rsid w:val="00A77CB7"/>
    <w:rsid w:val="00A804D8"/>
    <w:rsid w:val="00A85003"/>
    <w:rsid w:val="00A85A0C"/>
    <w:rsid w:val="00A91460"/>
    <w:rsid w:val="00A91760"/>
    <w:rsid w:val="00A93902"/>
    <w:rsid w:val="00A93B00"/>
    <w:rsid w:val="00A93C21"/>
    <w:rsid w:val="00A94004"/>
    <w:rsid w:val="00A95D33"/>
    <w:rsid w:val="00A96D42"/>
    <w:rsid w:val="00AA1212"/>
    <w:rsid w:val="00AA14EC"/>
    <w:rsid w:val="00AA2E83"/>
    <w:rsid w:val="00AA6693"/>
    <w:rsid w:val="00AA6D23"/>
    <w:rsid w:val="00AA7B07"/>
    <w:rsid w:val="00AB1A65"/>
    <w:rsid w:val="00AB26EC"/>
    <w:rsid w:val="00AB2A36"/>
    <w:rsid w:val="00AB5E60"/>
    <w:rsid w:val="00AB5E86"/>
    <w:rsid w:val="00AB6DD7"/>
    <w:rsid w:val="00AC20D9"/>
    <w:rsid w:val="00AC3237"/>
    <w:rsid w:val="00AC3A9E"/>
    <w:rsid w:val="00AC3C6A"/>
    <w:rsid w:val="00AC40DA"/>
    <w:rsid w:val="00AC6A20"/>
    <w:rsid w:val="00AD013F"/>
    <w:rsid w:val="00AD1561"/>
    <w:rsid w:val="00AD1E04"/>
    <w:rsid w:val="00AD4E89"/>
    <w:rsid w:val="00AD5090"/>
    <w:rsid w:val="00AD55F4"/>
    <w:rsid w:val="00AD5620"/>
    <w:rsid w:val="00AD654C"/>
    <w:rsid w:val="00AD712A"/>
    <w:rsid w:val="00AD7C1B"/>
    <w:rsid w:val="00AE16BA"/>
    <w:rsid w:val="00AE1B18"/>
    <w:rsid w:val="00AE1EBE"/>
    <w:rsid w:val="00AE3F47"/>
    <w:rsid w:val="00AE5217"/>
    <w:rsid w:val="00AE57E5"/>
    <w:rsid w:val="00AE5ACD"/>
    <w:rsid w:val="00AE7003"/>
    <w:rsid w:val="00AE78D4"/>
    <w:rsid w:val="00AF334F"/>
    <w:rsid w:val="00AF567D"/>
    <w:rsid w:val="00B03C9D"/>
    <w:rsid w:val="00B03D45"/>
    <w:rsid w:val="00B03DEF"/>
    <w:rsid w:val="00B04041"/>
    <w:rsid w:val="00B046DB"/>
    <w:rsid w:val="00B059FA"/>
    <w:rsid w:val="00B060AE"/>
    <w:rsid w:val="00B06EEB"/>
    <w:rsid w:val="00B07376"/>
    <w:rsid w:val="00B10406"/>
    <w:rsid w:val="00B10517"/>
    <w:rsid w:val="00B1323D"/>
    <w:rsid w:val="00B1364D"/>
    <w:rsid w:val="00B13D51"/>
    <w:rsid w:val="00B13F34"/>
    <w:rsid w:val="00B14E76"/>
    <w:rsid w:val="00B15718"/>
    <w:rsid w:val="00B15757"/>
    <w:rsid w:val="00B161B8"/>
    <w:rsid w:val="00B2048C"/>
    <w:rsid w:val="00B22224"/>
    <w:rsid w:val="00B22E19"/>
    <w:rsid w:val="00B268D9"/>
    <w:rsid w:val="00B30B06"/>
    <w:rsid w:val="00B310B9"/>
    <w:rsid w:val="00B3183E"/>
    <w:rsid w:val="00B330FA"/>
    <w:rsid w:val="00B35211"/>
    <w:rsid w:val="00B35F3F"/>
    <w:rsid w:val="00B36CBB"/>
    <w:rsid w:val="00B370EB"/>
    <w:rsid w:val="00B40532"/>
    <w:rsid w:val="00B425E0"/>
    <w:rsid w:val="00B440AA"/>
    <w:rsid w:val="00B44B70"/>
    <w:rsid w:val="00B47B8F"/>
    <w:rsid w:val="00B50563"/>
    <w:rsid w:val="00B507B7"/>
    <w:rsid w:val="00B51BBE"/>
    <w:rsid w:val="00B53703"/>
    <w:rsid w:val="00B53C56"/>
    <w:rsid w:val="00B53E4F"/>
    <w:rsid w:val="00B54341"/>
    <w:rsid w:val="00B545A6"/>
    <w:rsid w:val="00B5556B"/>
    <w:rsid w:val="00B60A7E"/>
    <w:rsid w:val="00B6427E"/>
    <w:rsid w:val="00B67CE3"/>
    <w:rsid w:val="00B706F1"/>
    <w:rsid w:val="00B725E6"/>
    <w:rsid w:val="00B736DE"/>
    <w:rsid w:val="00B74FE7"/>
    <w:rsid w:val="00B753E0"/>
    <w:rsid w:val="00B7569F"/>
    <w:rsid w:val="00B75C09"/>
    <w:rsid w:val="00B76674"/>
    <w:rsid w:val="00B77EA6"/>
    <w:rsid w:val="00B80439"/>
    <w:rsid w:val="00B80BAB"/>
    <w:rsid w:val="00B81598"/>
    <w:rsid w:val="00B82F7D"/>
    <w:rsid w:val="00B839DA"/>
    <w:rsid w:val="00B83EE2"/>
    <w:rsid w:val="00B841F1"/>
    <w:rsid w:val="00B8480B"/>
    <w:rsid w:val="00B91D3E"/>
    <w:rsid w:val="00B92400"/>
    <w:rsid w:val="00B93AA8"/>
    <w:rsid w:val="00B944D6"/>
    <w:rsid w:val="00B96CD2"/>
    <w:rsid w:val="00BA054C"/>
    <w:rsid w:val="00BA0777"/>
    <w:rsid w:val="00BA0AED"/>
    <w:rsid w:val="00BA22CD"/>
    <w:rsid w:val="00BA3028"/>
    <w:rsid w:val="00BA3356"/>
    <w:rsid w:val="00BA49E7"/>
    <w:rsid w:val="00BA5298"/>
    <w:rsid w:val="00BB1990"/>
    <w:rsid w:val="00BB2D7E"/>
    <w:rsid w:val="00BB4C52"/>
    <w:rsid w:val="00BB4DF0"/>
    <w:rsid w:val="00BC0AE4"/>
    <w:rsid w:val="00BC1202"/>
    <w:rsid w:val="00BC1A97"/>
    <w:rsid w:val="00BC2731"/>
    <w:rsid w:val="00BC289F"/>
    <w:rsid w:val="00BC5361"/>
    <w:rsid w:val="00BC5460"/>
    <w:rsid w:val="00BC6B50"/>
    <w:rsid w:val="00BD0E25"/>
    <w:rsid w:val="00BD2458"/>
    <w:rsid w:val="00BD5121"/>
    <w:rsid w:val="00BD6D67"/>
    <w:rsid w:val="00BD6E57"/>
    <w:rsid w:val="00BE01DE"/>
    <w:rsid w:val="00BE218A"/>
    <w:rsid w:val="00BE39F0"/>
    <w:rsid w:val="00BE5FB5"/>
    <w:rsid w:val="00BE7259"/>
    <w:rsid w:val="00BF060C"/>
    <w:rsid w:val="00BF2962"/>
    <w:rsid w:val="00BF2E85"/>
    <w:rsid w:val="00BF5BD6"/>
    <w:rsid w:val="00BF6316"/>
    <w:rsid w:val="00BF718F"/>
    <w:rsid w:val="00C01DBE"/>
    <w:rsid w:val="00C03E31"/>
    <w:rsid w:val="00C05BAF"/>
    <w:rsid w:val="00C05CAD"/>
    <w:rsid w:val="00C05F29"/>
    <w:rsid w:val="00C06A2B"/>
    <w:rsid w:val="00C11626"/>
    <w:rsid w:val="00C137AD"/>
    <w:rsid w:val="00C13B26"/>
    <w:rsid w:val="00C1480D"/>
    <w:rsid w:val="00C1658B"/>
    <w:rsid w:val="00C23BFD"/>
    <w:rsid w:val="00C24603"/>
    <w:rsid w:val="00C259D0"/>
    <w:rsid w:val="00C30983"/>
    <w:rsid w:val="00C30D73"/>
    <w:rsid w:val="00C313B9"/>
    <w:rsid w:val="00C31B41"/>
    <w:rsid w:val="00C33276"/>
    <w:rsid w:val="00C33E72"/>
    <w:rsid w:val="00C3423D"/>
    <w:rsid w:val="00C342CE"/>
    <w:rsid w:val="00C34C84"/>
    <w:rsid w:val="00C34EED"/>
    <w:rsid w:val="00C354B2"/>
    <w:rsid w:val="00C35554"/>
    <w:rsid w:val="00C36831"/>
    <w:rsid w:val="00C4133E"/>
    <w:rsid w:val="00C41611"/>
    <w:rsid w:val="00C41EB1"/>
    <w:rsid w:val="00C426CE"/>
    <w:rsid w:val="00C42709"/>
    <w:rsid w:val="00C516E5"/>
    <w:rsid w:val="00C5216D"/>
    <w:rsid w:val="00C533CC"/>
    <w:rsid w:val="00C54531"/>
    <w:rsid w:val="00C5751C"/>
    <w:rsid w:val="00C61BFC"/>
    <w:rsid w:val="00C62B85"/>
    <w:rsid w:val="00C634C6"/>
    <w:rsid w:val="00C63DE6"/>
    <w:rsid w:val="00C65438"/>
    <w:rsid w:val="00C65FA1"/>
    <w:rsid w:val="00C663B4"/>
    <w:rsid w:val="00C66789"/>
    <w:rsid w:val="00C677E0"/>
    <w:rsid w:val="00C71C3C"/>
    <w:rsid w:val="00C73C9E"/>
    <w:rsid w:val="00C77033"/>
    <w:rsid w:val="00C77575"/>
    <w:rsid w:val="00C77955"/>
    <w:rsid w:val="00C77D11"/>
    <w:rsid w:val="00C80BE1"/>
    <w:rsid w:val="00C80E5E"/>
    <w:rsid w:val="00C87773"/>
    <w:rsid w:val="00C91BEF"/>
    <w:rsid w:val="00C91CBB"/>
    <w:rsid w:val="00C94460"/>
    <w:rsid w:val="00C94755"/>
    <w:rsid w:val="00C9494C"/>
    <w:rsid w:val="00C976D8"/>
    <w:rsid w:val="00C9779E"/>
    <w:rsid w:val="00CA1D7E"/>
    <w:rsid w:val="00CA4889"/>
    <w:rsid w:val="00CA6417"/>
    <w:rsid w:val="00CA7A47"/>
    <w:rsid w:val="00CA7CBE"/>
    <w:rsid w:val="00CB2258"/>
    <w:rsid w:val="00CB37D6"/>
    <w:rsid w:val="00CB5AA7"/>
    <w:rsid w:val="00CC09B6"/>
    <w:rsid w:val="00CC2ECC"/>
    <w:rsid w:val="00CC42AE"/>
    <w:rsid w:val="00CC5828"/>
    <w:rsid w:val="00CC666F"/>
    <w:rsid w:val="00CD0159"/>
    <w:rsid w:val="00CD1E3F"/>
    <w:rsid w:val="00CD2CD4"/>
    <w:rsid w:val="00CD2F8E"/>
    <w:rsid w:val="00CD33CA"/>
    <w:rsid w:val="00CD41F7"/>
    <w:rsid w:val="00CD7039"/>
    <w:rsid w:val="00CE07D1"/>
    <w:rsid w:val="00CE10F5"/>
    <w:rsid w:val="00CE245D"/>
    <w:rsid w:val="00CE298B"/>
    <w:rsid w:val="00CE41E9"/>
    <w:rsid w:val="00CE4476"/>
    <w:rsid w:val="00CE44F6"/>
    <w:rsid w:val="00CE49DA"/>
    <w:rsid w:val="00CE6166"/>
    <w:rsid w:val="00CE7B61"/>
    <w:rsid w:val="00CF0C95"/>
    <w:rsid w:val="00CF303D"/>
    <w:rsid w:val="00CF32A8"/>
    <w:rsid w:val="00CF47D0"/>
    <w:rsid w:val="00CF537A"/>
    <w:rsid w:val="00CF5A38"/>
    <w:rsid w:val="00D00095"/>
    <w:rsid w:val="00D007A3"/>
    <w:rsid w:val="00D00CD9"/>
    <w:rsid w:val="00D01872"/>
    <w:rsid w:val="00D01D1C"/>
    <w:rsid w:val="00D03F76"/>
    <w:rsid w:val="00D07457"/>
    <w:rsid w:val="00D120DF"/>
    <w:rsid w:val="00D12260"/>
    <w:rsid w:val="00D14981"/>
    <w:rsid w:val="00D17582"/>
    <w:rsid w:val="00D20620"/>
    <w:rsid w:val="00D21AB8"/>
    <w:rsid w:val="00D21B96"/>
    <w:rsid w:val="00D21FCA"/>
    <w:rsid w:val="00D23CC1"/>
    <w:rsid w:val="00D253CD"/>
    <w:rsid w:val="00D26091"/>
    <w:rsid w:val="00D26765"/>
    <w:rsid w:val="00D30031"/>
    <w:rsid w:val="00D33950"/>
    <w:rsid w:val="00D34E7C"/>
    <w:rsid w:val="00D35489"/>
    <w:rsid w:val="00D41FB4"/>
    <w:rsid w:val="00D42D3C"/>
    <w:rsid w:val="00D43BB3"/>
    <w:rsid w:val="00D4531F"/>
    <w:rsid w:val="00D5056E"/>
    <w:rsid w:val="00D51276"/>
    <w:rsid w:val="00D577F9"/>
    <w:rsid w:val="00D6086D"/>
    <w:rsid w:val="00D60B63"/>
    <w:rsid w:val="00D6672E"/>
    <w:rsid w:val="00D66F3E"/>
    <w:rsid w:val="00D67949"/>
    <w:rsid w:val="00D70080"/>
    <w:rsid w:val="00D7035F"/>
    <w:rsid w:val="00D70D9E"/>
    <w:rsid w:val="00D7255A"/>
    <w:rsid w:val="00D729A5"/>
    <w:rsid w:val="00D7311E"/>
    <w:rsid w:val="00D74434"/>
    <w:rsid w:val="00D74948"/>
    <w:rsid w:val="00D75E52"/>
    <w:rsid w:val="00D769DB"/>
    <w:rsid w:val="00D8058B"/>
    <w:rsid w:val="00D811F1"/>
    <w:rsid w:val="00D81CF0"/>
    <w:rsid w:val="00D86259"/>
    <w:rsid w:val="00D87885"/>
    <w:rsid w:val="00D9128F"/>
    <w:rsid w:val="00D938FB"/>
    <w:rsid w:val="00D95A81"/>
    <w:rsid w:val="00DA2414"/>
    <w:rsid w:val="00DA2E7B"/>
    <w:rsid w:val="00DA376F"/>
    <w:rsid w:val="00DA4CF4"/>
    <w:rsid w:val="00DA517E"/>
    <w:rsid w:val="00DA64CE"/>
    <w:rsid w:val="00DA65AC"/>
    <w:rsid w:val="00DA73F4"/>
    <w:rsid w:val="00DB1913"/>
    <w:rsid w:val="00DB23A2"/>
    <w:rsid w:val="00DB31AE"/>
    <w:rsid w:val="00DB469B"/>
    <w:rsid w:val="00DB6217"/>
    <w:rsid w:val="00DB6D81"/>
    <w:rsid w:val="00DB7682"/>
    <w:rsid w:val="00DB774B"/>
    <w:rsid w:val="00DB7B27"/>
    <w:rsid w:val="00DB7ED3"/>
    <w:rsid w:val="00DC1D19"/>
    <w:rsid w:val="00DC29F0"/>
    <w:rsid w:val="00DC410D"/>
    <w:rsid w:val="00DC482F"/>
    <w:rsid w:val="00DC4E3B"/>
    <w:rsid w:val="00DC53AB"/>
    <w:rsid w:val="00DC68CA"/>
    <w:rsid w:val="00DC7CBA"/>
    <w:rsid w:val="00DD0F4D"/>
    <w:rsid w:val="00DD109B"/>
    <w:rsid w:val="00DD2D64"/>
    <w:rsid w:val="00DD73B7"/>
    <w:rsid w:val="00DE28E8"/>
    <w:rsid w:val="00DE57ED"/>
    <w:rsid w:val="00DE6D3D"/>
    <w:rsid w:val="00DF0369"/>
    <w:rsid w:val="00DF256A"/>
    <w:rsid w:val="00DF28BC"/>
    <w:rsid w:val="00DF2BBE"/>
    <w:rsid w:val="00DF34B9"/>
    <w:rsid w:val="00DF36DA"/>
    <w:rsid w:val="00DF4EE4"/>
    <w:rsid w:val="00DF69F2"/>
    <w:rsid w:val="00E00C0C"/>
    <w:rsid w:val="00E01053"/>
    <w:rsid w:val="00E032C4"/>
    <w:rsid w:val="00E03AB5"/>
    <w:rsid w:val="00E04FF6"/>
    <w:rsid w:val="00E07ACF"/>
    <w:rsid w:val="00E07C49"/>
    <w:rsid w:val="00E1142E"/>
    <w:rsid w:val="00E11EA9"/>
    <w:rsid w:val="00E13C23"/>
    <w:rsid w:val="00E17451"/>
    <w:rsid w:val="00E176E0"/>
    <w:rsid w:val="00E20F23"/>
    <w:rsid w:val="00E21189"/>
    <w:rsid w:val="00E22344"/>
    <w:rsid w:val="00E22D73"/>
    <w:rsid w:val="00E24A28"/>
    <w:rsid w:val="00E2598A"/>
    <w:rsid w:val="00E26D43"/>
    <w:rsid w:val="00E2719A"/>
    <w:rsid w:val="00E331A1"/>
    <w:rsid w:val="00E33202"/>
    <w:rsid w:val="00E336A9"/>
    <w:rsid w:val="00E339F9"/>
    <w:rsid w:val="00E34D61"/>
    <w:rsid w:val="00E352AD"/>
    <w:rsid w:val="00E35DF9"/>
    <w:rsid w:val="00E36162"/>
    <w:rsid w:val="00E4020E"/>
    <w:rsid w:val="00E41572"/>
    <w:rsid w:val="00E42E24"/>
    <w:rsid w:val="00E4326C"/>
    <w:rsid w:val="00E43716"/>
    <w:rsid w:val="00E43E83"/>
    <w:rsid w:val="00E4418C"/>
    <w:rsid w:val="00E442E7"/>
    <w:rsid w:val="00E47FEC"/>
    <w:rsid w:val="00E50624"/>
    <w:rsid w:val="00E50EC1"/>
    <w:rsid w:val="00E559C8"/>
    <w:rsid w:val="00E559F4"/>
    <w:rsid w:val="00E568DF"/>
    <w:rsid w:val="00E6091E"/>
    <w:rsid w:val="00E63E1C"/>
    <w:rsid w:val="00E64269"/>
    <w:rsid w:val="00E648BF"/>
    <w:rsid w:val="00E67B9B"/>
    <w:rsid w:val="00E70395"/>
    <w:rsid w:val="00E71182"/>
    <w:rsid w:val="00E7180C"/>
    <w:rsid w:val="00E71EE8"/>
    <w:rsid w:val="00E759C7"/>
    <w:rsid w:val="00E778AF"/>
    <w:rsid w:val="00E82267"/>
    <w:rsid w:val="00E82D19"/>
    <w:rsid w:val="00E8382C"/>
    <w:rsid w:val="00E84714"/>
    <w:rsid w:val="00E879E6"/>
    <w:rsid w:val="00E9375F"/>
    <w:rsid w:val="00E938AA"/>
    <w:rsid w:val="00E95293"/>
    <w:rsid w:val="00E95984"/>
    <w:rsid w:val="00E96D03"/>
    <w:rsid w:val="00EA010F"/>
    <w:rsid w:val="00EA039B"/>
    <w:rsid w:val="00EA2455"/>
    <w:rsid w:val="00EA262D"/>
    <w:rsid w:val="00EA4AA3"/>
    <w:rsid w:val="00EA4BCA"/>
    <w:rsid w:val="00EA545A"/>
    <w:rsid w:val="00EA5E4F"/>
    <w:rsid w:val="00EB2461"/>
    <w:rsid w:val="00EC1C2C"/>
    <w:rsid w:val="00EC25B6"/>
    <w:rsid w:val="00EC38BD"/>
    <w:rsid w:val="00EC3F04"/>
    <w:rsid w:val="00ED1B63"/>
    <w:rsid w:val="00ED29E6"/>
    <w:rsid w:val="00ED29EA"/>
    <w:rsid w:val="00ED360C"/>
    <w:rsid w:val="00ED3C1F"/>
    <w:rsid w:val="00ED4085"/>
    <w:rsid w:val="00ED420E"/>
    <w:rsid w:val="00ED6AD8"/>
    <w:rsid w:val="00ED71DF"/>
    <w:rsid w:val="00EE0963"/>
    <w:rsid w:val="00EE1FC9"/>
    <w:rsid w:val="00EE24E3"/>
    <w:rsid w:val="00EE2F57"/>
    <w:rsid w:val="00EE6332"/>
    <w:rsid w:val="00EF132A"/>
    <w:rsid w:val="00EF4C34"/>
    <w:rsid w:val="00EF5291"/>
    <w:rsid w:val="00EF64E8"/>
    <w:rsid w:val="00EF659B"/>
    <w:rsid w:val="00EF77C6"/>
    <w:rsid w:val="00EF7BDE"/>
    <w:rsid w:val="00EF7CA7"/>
    <w:rsid w:val="00F022B4"/>
    <w:rsid w:val="00F0292C"/>
    <w:rsid w:val="00F05438"/>
    <w:rsid w:val="00F0746A"/>
    <w:rsid w:val="00F110A1"/>
    <w:rsid w:val="00F113D8"/>
    <w:rsid w:val="00F118C3"/>
    <w:rsid w:val="00F1361C"/>
    <w:rsid w:val="00F14902"/>
    <w:rsid w:val="00F160C7"/>
    <w:rsid w:val="00F16FDE"/>
    <w:rsid w:val="00F20320"/>
    <w:rsid w:val="00F20532"/>
    <w:rsid w:val="00F21001"/>
    <w:rsid w:val="00F228F9"/>
    <w:rsid w:val="00F248A8"/>
    <w:rsid w:val="00F24E3F"/>
    <w:rsid w:val="00F26D60"/>
    <w:rsid w:val="00F30138"/>
    <w:rsid w:val="00F301B6"/>
    <w:rsid w:val="00F31EA1"/>
    <w:rsid w:val="00F3294D"/>
    <w:rsid w:val="00F354A9"/>
    <w:rsid w:val="00F36D8F"/>
    <w:rsid w:val="00F3744E"/>
    <w:rsid w:val="00F40698"/>
    <w:rsid w:val="00F406E9"/>
    <w:rsid w:val="00F417B1"/>
    <w:rsid w:val="00F460AB"/>
    <w:rsid w:val="00F50AC5"/>
    <w:rsid w:val="00F53E68"/>
    <w:rsid w:val="00F5454E"/>
    <w:rsid w:val="00F559FA"/>
    <w:rsid w:val="00F57903"/>
    <w:rsid w:val="00F602DF"/>
    <w:rsid w:val="00F6390A"/>
    <w:rsid w:val="00F6529E"/>
    <w:rsid w:val="00F6641D"/>
    <w:rsid w:val="00F75CC0"/>
    <w:rsid w:val="00F75CCC"/>
    <w:rsid w:val="00F75F9D"/>
    <w:rsid w:val="00F81FD9"/>
    <w:rsid w:val="00F82490"/>
    <w:rsid w:val="00F8281D"/>
    <w:rsid w:val="00F835D4"/>
    <w:rsid w:val="00F841AA"/>
    <w:rsid w:val="00F845B5"/>
    <w:rsid w:val="00F86932"/>
    <w:rsid w:val="00F875DB"/>
    <w:rsid w:val="00F87E73"/>
    <w:rsid w:val="00F905A4"/>
    <w:rsid w:val="00F92C70"/>
    <w:rsid w:val="00F93633"/>
    <w:rsid w:val="00F93DF5"/>
    <w:rsid w:val="00FA0947"/>
    <w:rsid w:val="00FA23E8"/>
    <w:rsid w:val="00FA2F5B"/>
    <w:rsid w:val="00FA4421"/>
    <w:rsid w:val="00FA4B00"/>
    <w:rsid w:val="00FA525F"/>
    <w:rsid w:val="00FA77AD"/>
    <w:rsid w:val="00FB0BBA"/>
    <w:rsid w:val="00FB1FF4"/>
    <w:rsid w:val="00FB55E6"/>
    <w:rsid w:val="00FC124C"/>
    <w:rsid w:val="00FC1E02"/>
    <w:rsid w:val="00FC3048"/>
    <w:rsid w:val="00FC4660"/>
    <w:rsid w:val="00FC46BC"/>
    <w:rsid w:val="00FC7DEF"/>
    <w:rsid w:val="00FD020D"/>
    <w:rsid w:val="00FD3016"/>
    <w:rsid w:val="00FD3828"/>
    <w:rsid w:val="00FD3CC1"/>
    <w:rsid w:val="00FD5BFE"/>
    <w:rsid w:val="00FE17BC"/>
    <w:rsid w:val="00FE2AD1"/>
    <w:rsid w:val="00FE4DB0"/>
    <w:rsid w:val="00FE5493"/>
    <w:rsid w:val="00FE625C"/>
    <w:rsid w:val="00FF1E02"/>
    <w:rsid w:val="00FF30B4"/>
    <w:rsid w:val="00FF66E8"/>
    <w:rsid w:val="014E73FB"/>
    <w:rsid w:val="01CF32DE"/>
    <w:rsid w:val="01D74DB7"/>
    <w:rsid w:val="01D86637"/>
    <w:rsid w:val="01F04616"/>
    <w:rsid w:val="03F359AA"/>
    <w:rsid w:val="0463543B"/>
    <w:rsid w:val="04A56E6E"/>
    <w:rsid w:val="051A6F96"/>
    <w:rsid w:val="06951176"/>
    <w:rsid w:val="07001BE1"/>
    <w:rsid w:val="07267DE7"/>
    <w:rsid w:val="089C4B49"/>
    <w:rsid w:val="09081517"/>
    <w:rsid w:val="091B747D"/>
    <w:rsid w:val="0A19737C"/>
    <w:rsid w:val="0B7218AA"/>
    <w:rsid w:val="0B99373B"/>
    <w:rsid w:val="0BA37CB5"/>
    <w:rsid w:val="0BCB2779"/>
    <w:rsid w:val="0D0429D6"/>
    <w:rsid w:val="0D093B48"/>
    <w:rsid w:val="0D0A0800"/>
    <w:rsid w:val="0D322E51"/>
    <w:rsid w:val="0D6C338E"/>
    <w:rsid w:val="0D815DD4"/>
    <w:rsid w:val="0DB37F58"/>
    <w:rsid w:val="0F5E6610"/>
    <w:rsid w:val="10C055FF"/>
    <w:rsid w:val="110F7602"/>
    <w:rsid w:val="11D56DF6"/>
    <w:rsid w:val="11ED6591"/>
    <w:rsid w:val="12AC38F3"/>
    <w:rsid w:val="13367661"/>
    <w:rsid w:val="169165E0"/>
    <w:rsid w:val="16BB723D"/>
    <w:rsid w:val="17BC7656"/>
    <w:rsid w:val="17DA5FC2"/>
    <w:rsid w:val="17EA348C"/>
    <w:rsid w:val="1840212F"/>
    <w:rsid w:val="184656CF"/>
    <w:rsid w:val="19943114"/>
    <w:rsid w:val="1AB026BC"/>
    <w:rsid w:val="1ABB32B6"/>
    <w:rsid w:val="1B995190"/>
    <w:rsid w:val="1BF70747"/>
    <w:rsid w:val="1C06153F"/>
    <w:rsid w:val="1C756A5A"/>
    <w:rsid w:val="1C986C96"/>
    <w:rsid w:val="1CC67594"/>
    <w:rsid w:val="1D7371C3"/>
    <w:rsid w:val="1DDC2BB3"/>
    <w:rsid w:val="1E34479D"/>
    <w:rsid w:val="1EF81F78"/>
    <w:rsid w:val="1F620905"/>
    <w:rsid w:val="201A6AB0"/>
    <w:rsid w:val="203B66A0"/>
    <w:rsid w:val="211A679A"/>
    <w:rsid w:val="21752AA9"/>
    <w:rsid w:val="23810484"/>
    <w:rsid w:val="23902475"/>
    <w:rsid w:val="240371BF"/>
    <w:rsid w:val="2435534E"/>
    <w:rsid w:val="24534F10"/>
    <w:rsid w:val="24DF6C66"/>
    <w:rsid w:val="253D03DB"/>
    <w:rsid w:val="25A20B86"/>
    <w:rsid w:val="25B1070F"/>
    <w:rsid w:val="25DD571A"/>
    <w:rsid w:val="260B578F"/>
    <w:rsid w:val="265C1D1F"/>
    <w:rsid w:val="26BB36DB"/>
    <w:rsid w:val="271C5A93"/>
    <w:rsid w:val="276F1834"/>
    <w:rsid w:val="27B459F9"/>
    <w:rsid w:val="27C51E91"/>
    <w:rsid w:val="28513369"/>
    <w:rsid w:val="28BF6D42"/>
    <w:rsid w:val="29FD04D3"/>
    <w:rsid w:val="2CAE1BBE"/>
    <w:rsid w:val="2CCF04B2"/>
    <w:rsid w:val="2E4C04E0"/>
    <w:rsid w:val="2ED55E49"/>
    <w:rsid w:val="2F803D16"/>
    <w:rsid w:val="31810DA9"/>
    <w:rsid w:val="31903F88"/>
    <w:rsid w:val="319F7F4E"/>
    <w:rsid w:val="320209E2"/>
    <w:rsid w:val="323A1C2F"/>
    <w:rsid w:val="329448A6"/>
    <w:rsid w:val="32F45598"/>
    <w:rsid w:val="35244754"/>
    <w:rsid w:val="364D41F6"/>
    <w:rsid w:val="36FD0156"/>
    <w:rsid w:val="38F8371D"/>
    <w:rsid w:val="39226F5F"/>
    <w:rsid w:val="39902098"/>
    <w:rsid w:val="3A3A0F35"/>
    <w:rsid w:val="3A4E1148"/>
    <w:rsid w:val="3C8D2F9D"/>
    <w:rsid w:val="3CE0510E"/>
    <w:rsid w:val="3D1927CA"/>
    <w:rsid w:val="3D1E4B3E"/>
    <w:rsid w:val="3D8344ED"/>
    <w:rsid w:val="3E03620E"/>
    <w:rsid w:val="3E343C22"/>
    <w:rsid w:val="3EF27713"/>
    <w:rsid w:val="3F512FA9"/>
    <w:rsid w:val="3FAC4683"/>
    <w:rsid w:val="3FEA5DFB"/>
    <w:rsid w:val="401C35B7"/>
    <w:rsid w:val="4119235A"/>
    <w:rsid w:val="41677310"/>
    <w:rsid w:val="422C2C46"/>
    <w:rsid w:val="4251506E"/>
    <w:rsid w:val="42E33BAB"/>
    <w:rsid w:val="43463028"/>
    <w:rsid w:val="43684120"/>
    <w:rsid w:val="444F07DA"/>
    <w:rsid w:val="44601E28"/>
    <w:rsid w:val="475E72DC"/>
    <w:rsid w:val="47F514AF"/>
    <w:rsid w:val="48391A2B"/>
    <w:rsid w:val="4839282C"/>
    <w:rsid w:val="48FD75BD"/>
    <w:rsid w:val="4A745623"/>
    <w:rsid w:val="4B4E65EF"/>
    <w:rsid w:val="4D135D42"/>
    <w:rsid w:val="4D846266"/>
    <w:rsid w:val="4D8D78A2"/>
    <w:rsid w:val="4DF123A8"/>
    <w:rsid w:val="4E832A53"/>
    <w:rsid w:val="4F6F7A34"/>
    <w:rsid w:val="4FD74194"/>
    <w:rsid w:val="4FDA49F5"/>
    <w:rsid w:val="50AE413E"/>
    <w:rsid w:val="51E1640E"/>
    <w:rsid w:val="51EE42CA"/>
    <w:rsid w:val="52302EF2"/>
    <w:rsid w:val="52ED6284"/>
    <w:rsid w:val="5322283B"/>
    <w:rsid w:val="532B0C13"/>
    <w:rsid w:val="533E0A2A"/>
    <w:rsid w:val="53BE2B80"/>
    <w:rsid w:val="541505F1"/>
    <w:rsid w:val="54992FD0"/>
    <w:rsid w:val="55872E29"/>
    <w:rsid w:val="56D0674C"/>
    <w:rsid w:val="58BA52C3"/>
    <w:rsid w:val="59E11CD3"/>
    <w:rsid w:val="5BE202EA"/>
    <w:rsid w:val="5C460E02"/>
    <w:rsid w:val="5C7B4ACD"/>
    <w:rsid w:val="5CFA7F1D"/>
    <w:rsid w:val="5E2506F8"/>
    <w:rsid w:val="5EA316D6"/>
    <w:rsid w:val="5F3018F7"/>
    <w:rsid w:val="5F3A07D2"/>
    <w:rsid w:val="5F593A88"/>
    <w:rsid w:val="60651EAC"/>
    <w:rsid w:val="60BB3927"/>
    <w:rsid w:val="62A42EE2"/>
    <w:rsid w:val="630D013F"/>
    <w:rsid w:val="63347FC4"/>
    <w:rsid w:val="63604CB9"/>
    <w:rsid w:val="64A36D0B"/>
    <w:rsid w:val="64C656C1"/>
    <w:rsid w:val="65DF63C9"/>
    <w:rsid w:val="662A7F2C"/>
    <w:rsid w:val="67F325A0"/>
    <w:rsid w:val="68DA2DB6"/>
    <w:rsid w:val="69725134"/>
    <w:rsid w:val="6B4666B6"/>
    <w:rsid w:val="6CC85DA9"/>
    <w:rsid w:val="6D8F2D6B"/>
    <w:rsid w:val="6DC31436"/>
    <w:rsid w:val="6ECB49CF"/>
    <w:rsid w:val="6ECB5A2B"/>
    <w:rsid w:val="6FC525E8"/>
    <w:rsid w:val="70202A42"/>
    <w:rsid w:val="710B6315"/>
    <w:rsid w:val="715E6CDC"/>
    <w:rsid w:val="72227D09"/>
    <w:rsid w:val="724A76E1"/>
    <w:rsid w:val="72E476B5"/>
    <w:rsid w:val="73BE3A62"/>
    <w:rsid w:val="746C7E4B"/>
    <w:rsid w:val="750E6C6B"/>
    <w:rsid w:val="751228D6"/>
    <w:rsid w:val="755E374E"/>
    <w:rsid w:val="76377F56"/>
    <w:rsid w:val="76426BCC"/>
    <w:rsid w:val="764B35A7"/>
    <w:rsid w:val="78A4106B"/>
    <w:rsid w:val="79975481"/>
    <w:rsid w:val="79F60BE5"/>
    <w:rsid w:val="7A1B4027"/>
    <w:rsid w:val="7A56633B"/>
    <w:rsid w:val="7A965738"/>
    <w:rsid w:val="7ABC1C9C"/>
    <w:rsid w:val="7B022DCE"/>
    <w:rsid w:val="7B272834"/>
    <w:rsid w:val="7B35666F"/>
    <w:rsid w:val="7B8F71DF"/>
    <w:rsid w:val="7CB2612E"/>
    <w:rsid w:val="7CC25607"/>
    <w:rsid w:val="7DE859ED"/>
    <w:rsid w:val="7E4C61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680"/>
    </w:pPr>
  </w:style>
  <w:style w:type="paragraph" w:styleId="6">
    <w:name w:val="annotation text"/>
    <w:basedOn w:val="1"/>
    <w:semiHidden/>
    <w:unhideWhenUsed/>
    <w:qFormat/>
    <w:uiPriority w:val="99"/>
    <w:pPr>
      <w:jc w:val="left"/>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0"/>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7"/>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收、支决算总计变动情况图</a:t>
            </a:r>
            <a:endParaRPr lang="en-US" sz="1100"/>
          </a:p>
        </c:rich>
      </c:tx>
      <c:layout/>
      <c:overlay val="0"/>
    </c:title>
    <c:autoTitleDeleted val="0"/>
    <c:plotArea>
      <c:layout/>
      <c:barChart>
        <c:barDir val="col"/>
        <c:grouping val="clustered"/>
        <c:varyColors val="0"/>
        <c:ser>
          <c:idx val="1"/>
          <c:order val="0"/>
          <c:tx>
            <c:strRef>
              <c:f>收入</c:f>
              <c:strCache>
                <c:ptCount val="1"/>
                <c:pt idx="0">
                  <c:v>收入</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1887.35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{"2021","2022"}</c:f>
              <c:numCache>
                <c:formatCode>General</c:formatCode>
                <c:ptCount val="2"/>
                <c:pt idx="0">
                  <c:v>2021</c:v>
                </c:pt>
                <c:pt idx="1">
                  <c:v>2022</c:v>
                </c:pt>
              </c:numCache>
            </c:numRef>
          </c:cat>
          <c:val>
            <c:numRef>
              <c:f>{2266.63,1661.26}</c:f>
              <c:numCache>
                <c:formatCode>General</c:formatCode>
                <c:ptCount val="2"/>
                <c:pt idx="0">
                  <c:v>2266.63</c:v>
                </c:pt>
                <c:pt idx="1">
                  <c:v>1661.26</c:v>
                </c:pt>
              </c:numCache>
            </c:numRef>
          </c:val>
        </c:ser>
        <c:ser>
          <c:idx val="2"/>
          <c:order val="1"/>
          <c:tx>
            <c:strRef>
              <c:f>支出</c:f>
              <c:strCache>
                <c:ptCount val="1"/>
                <c:pt idx="0">
                  <c:v>支出</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1887.35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{"2021","2022"}</c:f>
              <c:numCache>
                <c:formatCode>General</c:formatCode>
                <c:ptCount val="2"/>
                <c:pt idx="0">
                  <c:v>2021</c:v>
                </c:pt>
                <c:pt idx="1">
                  <c:v>2022</c:v>
                </c:pt>
              </c:numCache>
            </c:numRef>
          </c:cat>
          <c:val>
            <c:numRef>
              <c:f>{2266.63,1661.26}</c:f>
              <c:numCache>
                <c:formatCode>General</c:formatCode>
                <c:ptCount val="2"/>
                <c:pt idx="0">
                  <c:v>2266.63</c:v>
                </c:pt>
                <c:pt idx="1">
                  <c:v>1661.26</c:v>
                </c:pt>
              </c:numCache>
            </c:numRef>
          </c:val>
        </c:ser>
        <c:dLbls>
          <c:showLegendKey val="0"/>
          <c:showVal val="1"/>
          <c:showCatName val="0"/>
          <c:showSerName val="0"/>
          <c:showPercent val="0"/>
          <c:showBubbleSize val="0"/>
        </c:dLbls>
        <c:gapWidth val="150"/>
        <c:overlap val="-25"/>
        <c:axId val="261387392"/>
        <c:axId val="261388928"/>
      </c:barChart>
      <c:catAx>
        <c:axId val="261387392"/>
        <c:scaling>
          <c:orientation val="minMax"/>
        </c:scaling>
        <c:delete val="1"/>
        <c:axPos val="b"/>
        <c:numFmt formatCode="General" sourceLinked="0"/>
        <c:majorTickMark val="none"/>
        <c:minorTickMark val="none"/>
        <c:tickLblPos val="nextTo"/>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261388928"/>
        <c:crosses val="autoZero"/>
        <c:auto val="1"/>
        <c:lblAlgn val="ctr"/>
        <c:lblOffset val="100"/>
        <c:noMultiLvlLbl val="0"/>
      </c:catAx>
      <c:valAx>
        <c:axId val="26138892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3873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d49e66-b78c-4062-b4a6-66b8edd0eaf1}"/>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2"/>
              <c:layout>
                <c:manualLayout>
                  <c:x val="0.00838385292715038"/>
                  <c:y val="-0.042505533478935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24668018346663"/>
                  <c:y val="0.085450488737184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860113379890884"/>
                  <c:y val="0.029564385889755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497702517668913"/>
                  <c:y val="0.029776880577388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996615298533856"/>
                  <c:y val="0.077588185294770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国有资本经营预算财政拨款收入</c:v>
                </c:pt>
                <c:pt idx="2">
                  <c:v>年初结转和结余</c:v>
                </c:pt>
                <c:pt idx="3">
                  <c:v>政府性基金预算财政拨款收入</c:v>
                </c:pt>
                <c:pt idx="4">
                  <c:v>上级补助收入</c:v>
                </c:pt>
                <c:pt idx="5">
                  <c:v>事业收入</c:v>
                </c:pt>
                <c:pt idx="6">
                  <c:v>其他收入</c:v>
                </c:pt>
              </c:strCache>
            </c:strRef>
          </c:cat>
          <c:val>
            <c:numRef>
              <c:f>Sheet1!$B$2:$B$8</c:f>
              <c:numCache>
                <c:formatCode>General</c:formatCode>
                <c:ptCount val="7"/>
                <c:pt idx="0">
                  <c:v>1818.15</c:v>
                </c:pt>
                <c:pt idx="1">
                  <c:v>12</c:v>
                </c:pt>
                <c:pt idx="2">
                  <c:v>57.2</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1150fb-a7ca-4749-bcfe-4118f6a6f2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1748.53</c:v>
                </c:pt>
                <c:pt idx="1">
                  <c:v>138.82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f7c3e3f-fc7c-4821-8e38-d2cc8508830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a:t>
            </a:r>
          </a:p>
        </c:rich>
      </c:tx>
      <c:layout/>
      <c:overlay val="0"/>
      <c:spPr>
        <a:noFill/>
        <a:ln>
          <a:noFill/>
        </a:ln>
        <a:effectLst/>
      </c:spPr>
    </c:title>
    <c:autoTitleDeleted val="0"/>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1661.26</c:v>
                </c:pt>
                <c:pt idx="1" c:formatCode="#,##0.00">
                  <c:v>1887.35</c:v>
                </c:pt>
              </c:numCache>
            </c:numRef>
          </c:val>
        </c:ser>
        <c:dLbls>
          <c:showLegendKey val="0"/>
          <c:showVal val="1"/>
          <c:showCatName val="0"/>
          <c:showSerName val="0"/>
          <c:showPercent val="0"/>
          <c:showBubbleSize val="0"/>
        </c:dLbls>
        <c:gapWidth val="246"/>
        <c:overlap val="-28"/>
        <c:axId val="540908667"/>
        <c:axId val="109051431"/>
      </c:barChart>
      <c:catAx>
        <c:axId val="540908667"/>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09051431"/>
        <c:crosses val="autoZero"/>
        <c:auto val="1"/>
        <c:lblAlgn val="ctr"/>
        <c:lblOffset val="100"/>
        <c:noMultiLvlLbl val="0"/>
      </c:catAx>
      <c:valAx>
        <c:axId val="109051431"/>
        <c:scaling>
          <c:orientation val="minMax"/>
        </c:scaling>
        <c:delete val="0"/>
        <c:axPos val="l"/>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40908667"/>
        <c:crosses val="autoZero"/>
        <c:crossBetween val="between"/>
      </c:valAx>
      <c:spPr>
        <a:noFill/>
        <a:ln>
          <a:noFill/>
        </a:ln>
        <a:effectLst/>
      </c:spPr>
    </c:plotArea>
    <c:plotVisOnly val="1"/>
    <c:dispBlanksAs val="gap"/>
    <c:showDLblsOverMax val="0"/>
    <c:extLst>
      <c:ext uri="{0b15fc19-7d7d-44ad-8c2d-2c3a37ce22c3}">
        <chartProps xmlns="https://web.wps.cn/et/2018/main" chartId="{53ec5b1e-da0c-4966-a012-3d24c3357790}"/>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图表标题</a:t>
            </a:r>
          </a:p>
        </c:rich>
      </c:tx>
      <c:layout/>
      <c:overlay val="0"/>
      <c:spPr>
        <a:noFill/>
        <a:ln>
          <a:noFill/>
        </a:ln>
        <a:effectLst/>
      </c:spPr>
    </c:title>
    <c:autoTitleDeleted val="0"/>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1661.26</c:v>
                </c:pt>
                <c:pt idx="1" c:formatCode="#,##0.00">
                  <c:v>1887.35</c:v>
                </c:pt>
              </c:numCache>
            </c:numRef>
          </c:val>
        </c:ser>
        <c:dLbls>
          <c:showLegendKey val="0"/>
          <c:showVal val="1"/>
          <c:showCatName val="0"/>
          <c:showSerName val="0"/>
          <c:showPercent val="0"/>
          <c:showBubbleSize val="0"/>
        </c:dLbls>
        <c:gapWidth val="246"/>
        <c:overlap val="-28"/>
        <c:axId val="407444364"/>
        <c:axId val="982814633"/>
      </c:barChart>
      <c:catAx>
        <c:axId val="407444364"/>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82814633"/>
        <c:crosses val="autoZero"/>
        <c:auto val="1"/>
        <c:lblAlgn val="ctr"/>
        <c:lblOffset val="100"/>
        <c:noMultiLvlLbl val="0"/>
      </c:catAx>
      <c:valAx>
        <c:axId val="982814633"/>
        <c:scaling>
          <c:orientation val="minMax"/>
        </c:scaling>
        <c:delete val="0"/>
        <c:axPos val="l"/>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07444364"/>
        <c:crosses val="autoZero"/>
        <c:crossBetween val="between"/>
      </c:valAx>
      <c:spPr>
        <a:noFill/>
        <a:ln>
          <a:noFill/>
        </a:ln>
        <a:effectLst/>
      </c:spPr>
    </c:plotArea>
    <c:plotVisOnly val="1"/>
    <c:dispBlanksAs val="gap"/>
    <c:showDLblsOverMax val="0"/>
    <c:extLst>
      <c:ext uri="{0b15fc19-7d7d-44ad-8c2d-2c3a37ce22c3}">
        <chartProps xmlns="https://web.wps.cn/et/2018/main" chartId="{f5c5ae56-c799-4515-88f9-0bc773690a38}"/>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443035750397009"/>
                  <c:y val="-0.044968195339521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74357965849279"/>
                  <c:y val="0.0851381708697748"/>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944672626238222"/>
                      <c:h val="0.0913727156821079"/>
                    </c:manualLayout>
                  </c15:layout>
                </c:ext>
              </c:extLst>
            </c:dLbl>
            <c:dLbl>
              <c:idx val="2"/>
              <c:layout>
                <c:manualLayout>
                  <c:x val="-0.0446414005087146"/>
                  <c:y val="0.05433150438490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365025334310559"/>
                  <c:y val="-0.030956827574532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其他支出</c:v>
                </c:pt>
              </c:strCache>
            </c:strRef>
          </c:cat>
          <c:val>
            <c:numRef>
              <c:f>Sheet1!$B$2:$B$5</c:f>
              <c:numCache>
                <c:formatCode>#,##0.00</c:formatCode>
                <c:ptCount val="4"/>
                <c:pt idx="0">
                  <c:v>1460.39</c:v>
                </c:pt>
                <c:pt idx="1" c:formatCode="General">
                  <c:v>317.68</c:v>
                </c:pt>
                <c:pt idx="2" c:formatCode="General">
                  <c:v>65.28</c:v>
                </c:pt>
                <c:pt idx="3" c:formatCode="General">
                  <c:v>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c27dcde-99f1-463f-9a7a-dcc631c584d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三公经费</a:t>
            </a:r>
            <a:endParaRPr lang="en-US" sz="1100"/>
          </a:p>
        </c:rich>
      </c:tx>
      <c:layout/>
      <c:overlay val="0"/>
    </c:title>
    <c:autoTitleDeleted val="0"/>
    <c:plotArea>
      <c:layout/>
      <c:pieChart>
        <c:varyColors val="1"/>
        <c:ser>
          <c:idx val="1"/>
          <c:order val="0"/>
          <c:explosion val="0"/>
          <c:dPt>
            <c:idx val="0"/>
            <c:bubble3D val="0"/>
          </c:dPt>
          <c:dPt>
            <c:idx val="1"/>
            <c:bubble3D val="0"/>
          </c:dPt>
          <c:dPt>
            <c:idx val="2"/>
            <c:bubble3D val="0"/>
          </c:dPt>
          <c:dLbls>
            <c:dLbl>
              <c:idx val="2"/>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{"因公出国（境）费","公务用车购置及运行维护费","公务接待费"}</c:f>
              <c:strCache>
                <c:ptCount val="3"/>
                <c:pt idx="0">
                  <c:v>因公出国（境）费</c:v>
                </c:pt>
                <c:pt idx="1">
                  <c:v>公务用车购置及运行维护费</c:v>
                </c:pt>
                <c:pt idx="2">
                  <c:v>公务接待费</c:v>
                </c:pt>
              </c:strCache>
            </c:strRef>
          </c:cat>
          <c:val>
            <c:numRef>
              <c:f>{0,0,0.31}</c:f>
              <c:numCache>
                <c:formatCode>General</c:formatCode>
                <c:ptCount val="3"/>
                <c:pt idx="0">
                  <c:v>0</c:v>
                </c:pt>
                <c:pt idx="1">
                  <c:v>0</c:v>
                </c:pt>
                <c:pt idx="2">
                  <c:v>0.31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72f7026-858d-4ede-8caf-a24f63248de6}"/>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C5A5-8DE4-4565-B639-6D345C1D7E6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9622</Words>
  <Characters>11421</Characters>
  <Lines>47</Lines>
  <Paragraphs>13</Paragraphs>
  <TotalTime>3</TotalTime>
  <ScaleCrop>false</ScaleCrop>
  <LinksUpToDate>false</LinksUpToDate>
  <CharactersWithSpaces>11547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2023-08-18T07:28:00Z</dcterms:created>
  <dc:creator>pjf</dc:creator>
  <cp:lastModifiedBy>下一个转角，向左。。。</cp:lastModifiedBy>
  <cp:lastPrinted>2021-09-26T08:39:00Z</cp:lastPrinted>
  <dcterms:modified xsi:type="dcterms:W3CDTF">2024-10-25T02:14:35Z</dcterms:modified>
  <dc:title>四川省决算编制说明</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53EBF68BFEB646BE96B42B31162C2ED4_13</vt:lpwstr>
  </property>
</Properties>
</file>