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193"/>
      <w:bookmarkStart w:id="3" w:name="_Toc15378441"/>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77426"/>
      <w:bookmarkStart w:id="8" w:name="_Toc15396598"/>
      <w:bookmarkStart w:id="9" w:name="_Toc15378442"/>
      <w:bookmarkStart w:id="10" w:name="_Toc15377194"/>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计划生育药品器械管理站</w:t>
      </w:r>
      <w:r>
        <w:rPr>
          <w:rFonts w:hint="eastAsia" w:ascii="方正小标宋简体" w:hAnsi="方正小标宋简体" w:eastAsia="方正小标宋简体" w:cs="方正小标宋简体"/>
          <w:color w:val="auto"/>
          <w:sz w:val="72"/>
          <w:szCs w:val="72"/>
          <w:highlight w:val="none"/>
          <w:lang w:val="en-US"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仿宋" w:hAnsi="仿宋" w:eastAsia="仿宋" w:cs="Times New Roman"/>
          <w:color w:val="auto"/>
          <w:kern w:val="2"/>
          <w:sz w:val="28"/>
          <w:szCs w:val="28"/>
          <w:highlight w:val="none"/>
          <w:lang w:val="en-US" w:eastAsia="zh-CN" w:bidi="ar-SA"/>
        </w:rPr>
      </w:pPr>
      <w:r>
        <w:rPr>
          <w:rFonts w:ascii="方正小标宋简体" w:hAnsi="宋体" w:eastAsia="方正小标宋简体"/>
          <w:color w:val="auto"/>
          <w:sz w:val="36"/>
          <w:szCs w:val="36"/>
          <w:highlight w:val="none"/>
        </w:rPr>
        <w:br w:type="page"/>
      </w:r>
    </w:p>
    <w:p>
      <w:pPr>
        <w:widowControl/>
        <w:jc w:val="center"/>
        <w:rPr>
          <w:rFonts w:ascii="黑体" w:hAnsi="黑体" w:eastAsia="黑体" w:cstheme="minorBidi"/>
          <w:color w:val="auto"/>
          <w:sz w:val="28"/>
          <w:szCs w:val="28"/>
          <w:highlight w:val="none"/>
        </w:rPr>
      </w:pPr>
    </w:p>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widowControl w:val="0"/>
        <w:tabs>
          <w:tab w:val="right" w:leader="dot" w:pos="8296"/>
        </w:tabs>
        <w:spacing w:before="93"/>
        <w:jc w:val="center"/>
        <w:rPr>
          <w:rFonts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公开时间：2024年10月18日</w:t>
      </w:r>
    </w:p>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pPr>
        <w:keepNext w:val="0"/>
        <w:keepLines w:val="0"/>
        <w:pageBreakBefore w:val="0"/>
        <w:widowControl w:val="0"/>
        <w:tabs>
          <w:tab w:val="right" w:leader="dot" w:pos="8306"/>
        </w:tabs>
        <w:kinsoku/>
        <w:wordWrap/>
        <w:overflowPunct/>
        <w:topLinePunct w:val="0"/>
        <w:autoSpaceDE/>
        <w:autoSpaceDN/>
        <w:bidi w:val="0"/>
        <w:adjustRightInd/>
        <w:snapToGrid/>
        <w:spacing w:before="93"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_Toc13859 </w:instrText>
      </w:r>
      <w:r>
        <w:rPr>
          <w:rFonts w:hint="eastAsia" w:ascii="宋体" w:hAnsi="宋体" w:eastAsia="宋体" w:cs="宋体"/>
          <w:kern w:val="2"/>
          <w:sz w:val="24"/>
          <w:szCs w:val="24"/>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第一部分 单位</w:t>
      </w:r>
      <w:r>
        <w:rPr>
          <w:rFonts w:hint="eastAsia" w:ascii="仿宋_GB2312" w:hAnsi="仿宋_GB2312" w:eastAsia="仿宋_GB2312" w:cs="仿宋_GB2312"/>
          <w:bCs w:val="0"/>
          <w:kern w:val="2"/>
          <w:sz w:val="24"/>
          <w:szCs w:val="24"/>
          <w:highlight w:val="none"/>
          <w:lang w:val="en-US" w:eastAsia="zh-CN" w:bidi="ar-SA"/>
        </w:rPr>
        <w:t>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_Toc28917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lang w:val="en-US" w:eastAsia="zh-CN" w:bidi="ar-SA"/>
        </w:rPr>
        <w:t xml:space="preserve">一、 </w:t>
      </w:r>
      <w:r>
        <w:rPr>
          <w:rFonts w:hint="eastAsia" w:ascii="宋体" w:hAnsi="宋体" w:eastAsia="宋体" w:cs="宋体"/>
          <w:bCs w:val="0"/>
          <w:kern w:val="2"/>
          <w:sz w:val="24"/>
          <w:szCs w:val="24"/>
          <w:highlight w:val="none"/>
          <w:lang w:val="en-US" w:eastAsia="zh-CN" w:bidi="ar-SA"/>
        </w:rPr>
        <w:t>职能简介</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_Toc28917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_Toc25859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二、机构设置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_Toc25859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before="93"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_Toc31162 </w:instrText>
      </w:r>
      <w:r>
        <w:rPr>
          <w:rFonts w:hint="eastAsia" w:ascii="宋体" w:hAnsi="宋体" w:eastAsia="宋体" w:cs="宋体"/>
          <w:kern w:val="2"/>
          <w:sz w:val="24"/>
          <w:szCs w:val="24"/>
          <w:lang w:val="en-US" w:eastAsia="zh-CN" w:bidi="ar-SA"/>
        </w:rPr>
        <w:fldChar w:fldCharType="separate"/>
      </w:r>
      <w:r>
        <w:rPr>
          <w:rFonts w:hint="eastAsia" w:ascii="仿宋_GB2312" w:hAnsi="仿宋_GB2312" w:eastAsia="仿宋_GB2312" w:cs="仿宋_GB2312"/>
          <w:bCs/>
          <w:kern w:val="2"/>
          <w:sz w:val="24"/>
          <w:szCs w:val="24"/>
          <w:highlight w:val="none"/>
          <w:lang w:val="en-US" w:eastAsia="zh-CN" w:bidi="ar-SA"/>
        </w:rPr>
        <w:t>第二部分 2023年度单位决算情况说明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_Toc31162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_Toc3488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xml:space="preserve">一、 </w:t>
      </w:r>
      <w:r>
        <w:rPr>
          <w:rFonts w:hint="eastAsia" w:ascii="宋体" w:hAnsi="宋体" w:eastAsia="宋体" w:cs="宋体"/>
          <w:kern w:val="2"/>
          <w:sz w:val="24"/>
          <w:szCs w:val="24"/>
          <w:highlight w:val="none"/>
          <w:lang w:val="en-US" w:eastAsia="zh-CN" w:bidi="ar-SA"/>
        </w:rPr>
        <w:t>收入支出决算总体情况说明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_Toc3488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_Toc11707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xml:space="preserve">二、 </w:t>
      </w:r>
      <w:r>
        <w:rPr>
          <w:rFonts w:hint="eastAsia" w:ascii="宋体" w:hAnsi="宋体" w:eastAsia="宋体" w:cs="宋体"/>
          <w:kern w:val="2"/>
          <w:sz w:val="24"/>
          <w:szCs w:val="24"/>
          <w:highlight w:val="none"/>
          <w:lang w:val="en-US" w:eastAsia="zh-CN" w:bidi="ar-SA"/>
        </w:rPr>
        <w:t>收入决算情况说明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_Toc11707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_Toc15834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xml:space="preserve">三、 </w:t>
      </w:r>
      <w:r>
        <w:rPr>
          <w:rFonts w:hint="eastAsia" w:ascii="宋体" w:hAnsi="宋体" w:eastAsia="宋体" w:cs="宋体"/>
          <w:kern w:val="2"/>
          <w:sz w:val="24"/>
          <w:szCs w:val="24"/>
          <w:highlight w:val="none"/>
          <w:lang w:val="en-US" w:eastAsia="zh-CN" w:bidi="ar-SA"/>
        </w:rPr>
        <w:t>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_Toc3674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四、财政拨款收入支出决算总体情况说明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_Toc32249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五、一般公共预算财政拨款支出决算情况说明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_Toc21484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六、一般公共预算财政拨款基本支出决算情况说明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2</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_Toc9808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七、“三公”经费财政拨款支出决算情况说明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12</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_Toc10844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八、政府性基金预算支出决算情况说明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6</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_Toc1214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xml:space="preserve">九、 </w:t>
      </w:r>
      <w:r>
        <w:rPr>
          <w:rFonts w:hint="eastAsia" w:ascii="宋体" w:hAnsi="宋体" w:eastAsia="宋体" w:cs="宋体"/>
          <w:kern w:val="2"/>
          <w:sz w:val="24"/>
          <w:szCs w:val="24"/>
          <w:highlight w:val="none"/>
          <w:lang w:val="en-US" w:eastAsia="zh-CN" w:bidi="ar-SA"/>
        </w:rPr>
        <w:t>国有资本经营预算支出决算情况说明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6</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_Toc31091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xml:space="preserve">十、 </w:t>
      </w:r>
      <w:r>
        <w:rPr>
          <w:rFonts w:hint="eastAsia" w:ascii="宋体" w:hAnsi="宋体" w:eastAsia="宋体" w:cs="宋体"/>
          <w:kern w:val="2"/>
          <w:sz w:val="24"/>
          <w:szCs w:val="24"/>
          <w:highlight w:val="none"/>
          <w:lang w:val="en-US" w:eastAsia="zh-CN" w:bidi="ar-SA"/>
        </w:rPr>
        <w:t>其他重要事项的情况说明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6</w:t>
      </w:r>
    </w:p>
    <w:p>
      <w:pPr>
        <w:keepNext w:val="0"/>
        <w:keepLines w:val="0"/>
        <w:pageBreakBefore w:val="0"/>
        <w:widowControl w:val="0"/>
        <w:tabs>
          <w:tab w:val="right" w:leader="dot" w:pos="8306"/>
        </w:tabs>
        <w:kinsoku/>
        <w:wordWrap/>
        <w:overflowPunct/>
        <w:topLinePunct w:val="0"/>
        <w:autoSpaceDE/>
        <w:autoSpaceDN/>
        <w:bidi w:val="0"/>
        <w:adjustRightInd/>
        <w:snapToGrid/>
        <w:spacing w:before="93"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_Toc10613 </w:instrText>
      </w:r>
      <w:r>
        <w:rPr>
          <w:rFonts w:hint="eastAsia" w:ascii="宋体" w:hAnsi="宋体" w:eastAsia="宋体" w:cs="宋体"/>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 xml:space="preserve">第三部分 </w:t>
      </w:r>
      <w:r>
        <w:rPr>
          <w:rFonts w:hint="eastAsia" w:ascii="仿宋_GB2312" w:hAnsi="仿宋_GB2312" w:eastAsia="仿宋_GB2312" w:cs="仿宋_GB2312"/>
          <w:kern w:val="2"/>
          <w:sz w:val="24"/>
          <w:szCs w:val="24"/>
          <w:highlight w:val="none"/>
          <w:lang w:val="en-US" w:eastAsia="zh-CN" w:bidi="ar-SA"/>
        </w:rPr>
        <w:t>名词解释</w:t>
      </w:r>
      <w:r>
        <w:rPr>
          <w:rFonts w:hint="eastAsia" w:ascii="宋体" w:hAnsi="宋体" w:eastAsia="宋体" w:cs="宋体"/>
          <w:kern w:val="2"/>
          <w:sz w:val="24"/>
          <w:szCs w:val="24"/>
          <w:lang w:val="en-US" w:eastAsia="zh-CN" w:bidi="ar-SA"/>
        </w:rPr>
        <w:tab/>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6</w:t>
      </w:r>
    </w:p>
    <w:p>
      <w:pPr>
        <w:keepNext w:val="0"/>
        <w:keepLines w:val="0"/>
        <w:pageBreakBefore w:val="0"/>
        <w:widowControl w:val="0"/>
        <w:tabs>
          <w:tab w:val="right" w:leader="dot" w:pos="8306"/>
        </w:tabs>
        <w:kinsoku/>
        <w:wordWrap/>
        <w:overflowPunct/>
        <w:topLinePunct w:val="0"/>
        <w:autoSpaceDE/>
        <w:autoSpaceDN/>
        <w:bidi w:val="0"/>
        <w:adjustRightInd/>
        <w:snapToGrid/>
        <w:spacing w:before="93"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_Toc25087 </w:instrText>
      </w:r>
      <w:r>
        <w:rPr>
          <w:rFonts w:hint="eastAsia" w:ascii="宋体" w:hAnsi="宋体" w:eastAsia="宋体" w:cs="宋体"/>
          <w:kern w:val="2"/>
          <w:sz w:val="24"/>
          <w:szCs w:val="24"/>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第四部分 附件</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19</w:t>
      </w:r>
    </w:p>
    <w:p>
      <w:pPr>
        <w:keepNext w:val="0"/>
        <w:keepLines w:val="0"/>
        <w:pageBreakBefore w:val="0"/>
        <w:widowControl w:val="0"/>
        <w:tabs>
          <w:tab w:val="right" w:leader="dot" w:pos="8306"/>
        </w:tabs>
        <w:kinsoku/>
        <w:wordWrap/>
        <w:overflowPunct/>
        <w:topLinePunct w:val="0"/>
        <w:autoSpaceDE/>
        <w:autoSpaceDN/>
        <w:bidi w:val="0"/>
        <w:adjustRightInd/>
        <w:snapToGrid/>
        <w:spacing w:before="93"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_Toc31790 </w:instrText>
      </w:r>
      <w:r>
        <w:rPr>
          <w:rFonts w:hint="eastAsia" w:ascii="宋体" w:hAnsi="宋体" w:eastAsia="宋体" w:cs="宋体"/>
          <w:kern w:val="2"/>
          <w:sz w:val="24"/>
          <w:szCs w:val="24"/>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第五部分 附表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_Toc21540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一、收</w:t>
      </w:r>
      <w:r>
        <w:rPr>
          <w:rFonts w:hint="eastAsia" w:ascii="宋体" w:hAnsi="宋体" w:eastAsia="宋体" w:cs="宋体"/>
          <w:bCs w:val="0"/>
          <w:kern w:val="2"/>
          <w:sz w:val="24"/>
          <w:szCs w:val="24"/>
          <w:highlight w:val="none"/>
          <w:lang w:val="en-US" w:eastAsia="zh-CN" w:bidi="ar-SA"/>
        </w:rPr>
        <w:t>入支出决算总表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_Toc14740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二、收</w:t>
      </w:r>
      <w:r>
        <w:rPr>
          <w:rFonts w:hint="eastAsia" w:ascii="宋体" w:hAnsi="宋体" w:eastAsia="宋体" w:cs="宋体"/>
          <w:bCs w:val="0"/>
          <w:kern w:val="2"/>
          <w:sz w:val="24"/>
          <w:szCs w:val="24"/>
          <w:highlight w:val="none"/>
          <w:lang w:val="en-US" w:eastAsia="zh-CN" w:bidi="ar-SA"/>
        </w:rPr>
        <w:t>入决算表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_Toc26490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三、</w:t>
      </w:r>
      <w:r>
        <w:rPr>
          <w:rFonts w:hint="eastAsia" w:ascii="宋体" w:hAnsi="宋体" w:eastAsia="宋体" w:cs="宋体"/>
          <w:kern w:val="2"/>
          <w:sz w:val="24"/>
          <w:szCs w:val="24"/>
          <w:highlight w:val="none"/>
          <w:lang w:val="en-US" w:eastAsia="zh-CN" w:bidi="ar-SA"/>
        </w:rPr>
        <w:t>支</w:t>
      </w:r>
      <w:r>
        <w:rPr>
          <w:rFonts w:hint="eastAsia" w:ascii="宋体" w:hAnsi="宋体" w:eastAsia="宋体" w:cs="宋体"/>
          <w:bCs w:val="0"/>
          <w:kern w:val="2"/>
          <w:sz w:val="24"/>
          <w:szCs w:val="24"/>
          <w:highlight w:val="none"/>
          <w:lang w:val="en-US" w:eastAsia="zh-CN" w:bidi="ar-SA"/>
        </w:rPr>
        <w:t>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_Toc4249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四、</w:t>
      </w:r>
      <w:r>
        <w:rPr>
          <w:rFonts w:hint="eastAsia" w:ascii="宋体" w:hAnsi="宋体" w:eastAsia="宋体" w:cs="宋体"/>
          <w:kern w:val="2"/>
          <w:sz w:val="24"/>
          <w:szCs w:val="24"/>
          <w:highlight w:val="none"/>
          <w:lang w:val="en-US" w:eastAsia="zh-CN" w:bidi="ar-SA"/>
        </w:rPr>
        <w:t>财</w:t>
      </w:r>
      <w:r>
        <w:rPr>
          <w:rFonts w:hint="eastAsia" w:ascii="宋体" w:hAnsi="宋体" w:eastAsia="宋体" w:cs="宋体"/>
          <w:bCs w:val="0"/>
          <w:kern w:val="2"/>
          <w:sz w:val="24"/>
          <w:szCs w:val="24"/>
          <w:highlight w:val="none"/>
          <w:lang w:val="en-US" w:eastAsia="zh-CN" w:bidi="ar-SA"/>
        </w:rPr>
        <w:t>政拨款收入支出决算总表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_Toc21621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五、</w:t>
      </w:r>
      <w:r>
        <w:rPr>
          <w:rFonts w:hint="eastAsia" w:ascii="宋体" w:hAnsi="宋体" w:eastAsia="宋体" w:cs="宋体"/>
          <w:kern w:val="2"/>
          <w:sz w:val="24"/>
          <w:szCs w:val="24"/>
          <w:highlight w:val="none"/>
          <w:lang w:val="en-US" w:eastAsia="zh-CN" w:bidi="ar-SA"/>
        </w:rPr>
        <w:t>财</w:t>
      </w:r>
      <w:r>
        <w:rPr>
          <w:rFonts w:hint="eastAsia" w:ascii="宋体" w:hAnsi="宋体" w:eastAsia="宋体" w:cs="宋体"/>
          <w:bCs w:val="0"/>
          <w:kern w:val="2"/>
          <w:sz w:val="24"/>
          <w:szCs w:val="24"/>
          <w:highlight w:val="none"/>
          <w:lang w:val="en-US" w:eastAsia="zh-CN" w:bidi="ar-SA"/>
        </w:rPr>
        <w:t>政拨款支出决算明细表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_Toc1061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六、</w:t>
      </w:r>
      <w:r>
        <w:rPr>
          <w:rFonts w:hint="eastAsia" w:ascii="宋体" w:hAnsi="宋体" w:eastAsia="宋体" w:cs="宋体"/>
          <w:kern w:val="2"/>
          <w:sz w:val="24"/>
          <w:szCs w:val="24"/>
          <w:highlight w:val="none"/>
          <w:lang w:val="en-US" w:eastAsia="zh-CN" w:bidi="ar-SA"/>
        </w:rPr>
        <w:t>一</w:t>
      </w:r>
      <w:r>
        <w:rPr>
          <w:rFonts w:hint="eastAsia" w:ascii="宋体" w:hAnsi="宋体" w:eastAsia="宋体" w:cs="宋体"/>
          <w:bCs w:val="0"/>
          <w:kern w:val="2"/>
          <w:sz w:val="24"/>
          <w:szCs w:val="24"/>
          <w:highlight w:val="none"/>
          <w:lang w:val="en-US" w:eastAsia="zh-CN" w:bidi="ar-SA"/>
        </w:rPr>
        <w:t>般公共预算财政拨款支出决算表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_Toc6268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七、</w:t>
      </w:r>
      <w:r>
        <w:rPr>
          <w:rFonts w:hint="eastAsia" w:ascii="宋体" w:hAnsi="宋体" w:eastAsia="宋体" w:cs="宋体"/>
          <w:kern w:val="2"/>
          <w:sz w:val="24"/>
          <w:szCs w:val="24"/>
          <w:highlight w:val="none"/>
          <w:lang w:val="en-US" w:eastAsia="zh-CN" w:bidi="ar-SA"/>
        </w:rPr>
        <w:t>一</w:t>
      </w:r>
      <w:r>
        <w:rPr>
          <w:rFonts w:hint="eastAsia" w:ascii="宋体" w:hAnsi="宋体" w:eastAsia="宋体" w:cs="宋体"/>
          <w:bCs w:val="0"/>
          <w:kern w:val="2"/>
          <w:sz w:val="24"/>
          <w:szCs w:val="24"/>
          <w:highlight w:val="none"/>
          <w:lang w:val="en-US" w:eastAsia="zh-CN" w:bidi="ar-SA"/>
        </w:rPr>
        <w:t>般公共预算财政拨款支出决算明细表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_Toc29111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八、</w:t>
      </w:r>
      <w:r>
        <w:rPr>
          <w:rFonts w:hint="eastAsia" w:ascii="宋体" w:hAnsi="宋体" w:eastAsia="宋体" w:cs="宋体"/>
          <w:kern w:val="2"/>
          <w:sz w:val="24"/>
          <w:szCs w:val="24"/>
          <w:highlight w:val="none"/>
          <w:lang w:val="en-US" w:eastAsia="zh-CN" w:bidi="ar-SA"/>
        </w:rPr>
        <w:t>一</w:t>
      </w:r>
      <w:r>
        <w:rPr>
          <w:rFonts w:hint="eastAsia" w:ascii="宋体" w:hAnsi="宋体" w:eastAsia="宋体" w:cs="宋体"/>
          <w:bCs w:val="0"/>
          <w:kern w:val="2"/>
          <w:sz w:val="24"/>
          <w:szCs w:val="24"/>
          <w:highlight w:val="none"/>
          <w:lang w:val="en-US" w:eastAsia="zh-CN" w:bidi="ar-SA"/>
        </w:rPr>
        <w:t>般公共预算财政拨款基本支出决算表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_Toc25077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九、</w:t>
      </w:r>
      <w:r>
        <w:rPr>
          <w:rFonts w:hint="eastAsia" w:ascii="宋体" w:hAnsi="宋体" w:eastAsia="宋体" w:cs="宋体"/>
          <w:kern w:val="2"/>
          <w:sz w:val="24"/>
          <w:szCs w:val="24"/>
          <w:highlight w:val="none"/>
          <w:lang w:val="en-US" w:eastAsia="zh-CN" w:bidi="ar-SA"/>
        </w:rPr>
        <w:t>一</w:t>
      </w:r>
      <w:r>
        <w:rPr>
          <w:rFonts w:hint="eastAsia" w:ascii="宋体" w:hAnsi="宋体" w:eastAsia="宋体" w:cs="宋体"/>
          <w:bCs w:val="0"/>
          <w:kern w:val="2"/>
          <w:sz w:val="24"/>
          <w:szCs w:val="24"/>
          <w:highlight w:val="none"/>
          <w:lang w:val="en-US" w:eastAsia="zh-CN" w:bidi="ar-SA"/>
        </w:rPr>
        <w:t>般公共预算财政拨款项目支出决算表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_Toc8538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十、</w:t>
      </w:r>
      <w:r>
        <w:rPr>
          <w:rFonts w:hint="eastAsia" w:ascii="宋体" w:hAnsi="宋体" w:eastAsia="宋体" w:cs="宋体"/>
          <w:kern w:val="2"/>
          <w:sz w:val="24"/>
          <w:szCs w:val="24"/>
          <w:highlight w:val="none"/>
          <w:lang w:val="en-US" w:eastAsia="zh-CN" w:bidi="ar-SA"/>
        </w:rPr>
        <w:t>政</w:t>
      </w:r>
      <w:r>
        <w:rPr>
          <w:rFonts w:hint="eastAsia" w:ascii="宋体" w:hAnsi="宋体" w:eastAsia="宋体" w:cs="宋体"/>
          <w:bCs w:val="0"/>
          <w:kern w:val="2"/>
          <w:sz w:val="24"/>
          <w:szCs w:val="24"/>
          <w:highlight w:val="none"/>
          <w:lang w:val="en-US" w:eastAsia="zh-CN" w:bidi="ar-SA"/>
        </w:rPr>
        <w:t>府性基金预算财政拨款收入支出决算表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_Toc26365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十一、</w:t>
      </w:r>
      <w:r>
        <w:rPr>
          <w:rFonts w:hint="eastAsia" w:ascii="宋体" w:hAnsi="宋体" w:eastAsia="宋体" w:cs="宋体"/>
          <w:kern w:val="2"/>
          <w:sz w:val="24"/>
          <w:szCs w:val="24"/>
          <w:highlight w:val="none"/>
          <w:lang w:val="en-US" w:eastAsia="zh-CN" w:bidi="ar-SA"/>
        </w:rPr>
        <w:t>国</w:t>
      </w:r>
      <w:r>
        <w:rPr>
          <w:rFonts w:hint="eastAsia" w:ascii="宋体" w:hAnsi="宋体" w:eastAsia="宋体" w:cs="宋体"/>
          <w:bCs w:val="0"/>
          <w:kern w:val="2"/>
          <w:sz w:val="24"/>
          <w:szCs w:val="24"/>
          <w:highlight w:val="none"/>
          <w:lang w:val="en-US" w:eastAsia="zh-CN" w:bidi="ar-SA"/>
        </w:rPr>
        <w:t>有资本经营预算财政拨款收入支出决算表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_Toc11791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十二、国有资本经营预算财政拨款支出决算表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420" w:leftChars="200"/>
        <w:jc w:val="both"/>
        <w:textAlignment w:val="auto"/>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_Toc26267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highlight w:val="none"/>
          <w:lang w:val="en-US" w:eastAsia="zh-CN" w:bidi="ar-SA"/>
        </w:rPr>
        <w:t>十三、财政拨款“三公”经费支出决算表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0</w:t>
      </w:r>
    </w:p>
    <w:p>
      <w:pPr>
        <w:pStyle w:val="10"/>
        <w:jc w:val="both"/>
        <w:outlineLvl w:val="0"/>
        <w:rPr>
          <w:rFonts w:hint="eastAsia"/>
          <w:color w:val="auto"/>
          <w:sz w:val="24"/>
          <w:highlight w:val="none"/>
        </w:rPr>
      </w:pPr>
      <w:r>
        <w:rPr>
          <w:rFonts w:hint="eastAsia" w:ascii="仿宋_GB2312" w:hAnsi="仿宋_GB2312" w:eastAsia="仿宋_GB2312" w:cs="仿宋_GB2312"/>
          <w:szCs w:val="28"/>
        </w:rPr>
        <w:fldChar w:fldCharType="end"/>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jc w:val="both"/>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77197"/>
      <w:bookmarkStart w:id="15" w:name="_Toc15396600"/>
      <w:r>
        <w:rPr>
          <w:rStyle w:val="25"/>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1、宣传、贯彻、执行计划生育药具管理的方针政策；</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2、统计、编制、报送计划生育药具年度需求计划；</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3、执行计划生育药具调拨计划和承担存储与运输过程中的质量管理；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4、指导基层计划生育药具管理与服务工作；</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仿宋_GB2312" w:hAnsi="仿宋_GB2312" w:eastAsia="仿宋_GB2312"/>
          <w:sz w:val="32"/>
          <w:szCs w:val="32"/>
        </w:rPr>
        <w:t>5、对计划生育药具管理与服务人员进行培训。</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pStyle w:val="2"/>
        <w:pageBreakBefore w:val="0"/>
        <w:widowControl w:val="0"/>
        <w:numPr>
          <w:ilvl w:val="0"/>
          <w:numId w:val="0"/>
        </w:numPr>
        <w:kinsoku/>
        <w:wordWrap/>
        <w:overflowPunct/>
        <w:topLinePunct w:val="0"/>
        <w:autoSpaceDE/>
        <w:autoSpaceDN/>
        <w:bidi w:val="0"/>
        <w:adjustRightInd/>
        <w:snapToGrid/>
        <w:spacing w:beforeLines="0" w:line="520" w:lineRule="exact"/>
        <w:ind w:leftChars="0" w:firstLine="640" w:firstLineChars="200"/>
        <w:textAlignment w:val="auto"/>
        <w:rPr>
          <w:rFonts w:hint="eastAsia"/>
          <w:sz w:val="32"/>
          <w:szCs w:val="32"/>
          <w:lang w:val="en-US" w:eastAsia="zh-CN"/>
        </w:rPr>
      </w:pPr>
      <w:r>
        <w:rPr>
          <w:rFonts w:hint="eastAsia"/>
          <w:sz w:val="32"/>
          <w:szCs w:val="32"/>
          <w:lang w:val="en-US" w:eastAsia="zh-CN"/>
        </w:rPr>
        <w:t>大竹县计划生育药品器械管理站下属二级预算单位0个，其中行政单位0个，参照公务员法管理的事业单位0个，其他事业单位0个。</w:t>
      </w:r>
    </w:p>
    <w:p>
      <w:pPr>
        <w:pStyle w:val="2"/>
        <w:pageBreakBefore w:val="0"/>
        <w:widowControl w:val="0"/>
        <w:numPr>
          <w:ilvl w:val="0"/>
          <w:numId w:val="0"/>
        </w:numPr>
        <w:kinsoku/>
        <w:wordWrap/>
        <w:overflowPunct/>
        <w:topLinePunct w:val="0"/>
        <w:autoSpaceDE/>
        <w:autoSpaceDN/>
        <w:bidi w:val="0"/>
        <w:adjustRightInd/>
        <w:snapToGrid/>
        <w:spacing w:beforeLines="0" w:line="520" w:lineRule="exact"/>
        <w:ind w:leftChars="0" w:firstLine="640" w:firstLineChars="200"/>
        <w:textAlignment w:val="auto"/>
        <w:rPr>
          <w:rFonts w:ascii="仿宋" w:hAnsi="仿宋" w:eastAsia="仿宋"/>
          <w:color w:val="auto"/>
          <w:kern w:val="0"/>
          <w:sz w:val="32"/>
          <w:szCs w:val="32"/>
          <w:highlight w:val="none"/>
        </w:rPr>
      </w:pPr>
      <w:r>
        <w:rPr>
          <w:rFonts w:hint="eastAsia"/>
          <w:sz w:val="32"/>
          <w:szCs w:val="32"/>
          <w:lang w:val="en-US" w:eastAsia="zh-CN"/>
        </w:rPr>
        <w:t>纳入大竹县计划生育药品器械管理站2023年度部门决算编制范围的二级预算单位包括：无。</w:t>
      </w:r>
    </w:p>
    <w:p>
      <w:pPr>
        <w:spacing w:line="520" w:lineRule="exact"/>
        <w:rPr>
          <w:rFonts w:hint="eastAsia" w:ascii="仿宋" w:hAnsi="仿宋" w:eastAsia="仿宋"/>
          <w:sz w:val="32"/>
          <w:szCs w:val="32"/>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入总计108.32万元，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增加6.16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增加6.03%；支出总计增加6.16万元，增加6.03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工资调标和发放机维修经费增加</w:t>
      </w:r>
      <w:r>
        <w:rPr>
          <w:rFonts w:hint="eastAsia" w:ascii="仿宋_GB2312" w:hAnsi="仿宋" w:eastAsia="仿宋_GB2312"/>
          <w:sz w:val="32"/>
          <w:szCs w:val="32"/>
          <w:lang w:val="en-US" w:eastAsia="zh-CN"/>
        </w:rPr>
        <w:t>，</w:t>
      </w:r>
      <w:r>
        <w:rPr>
          <w:rFonts w:hint="eastAsia" w:ascii="仿宋_GB2312" w:hAnsi="仿宋" w:eastAsia="仿宋_GB2312"/>
          <w:sz w:val="32"/>
          <w:szCs w:val="32"/>
        </w:rPr>
        <w:t>本单位无其他任何收入。</w:t>
      </w:r>
    </w:p>
    <w:p>
      <w:pPr>
        <w:pStyle w:val="2"/>
        <w:rPr>
          <w:rFonts w:hint="default"/>
          <w:lang w:val="en-US" w:eastAsia="zh-CN"/>
        </w:rPr>
      </w:pPr>
      <w:r>
        <w:rPr>
          <w:rFonts w:hint="default"/>
          <w:lang w:val="en-US" w:eastAsia="zh-CN"/>
        </w:rPr>
        <w:drawing>
          <wp:inline distT="0" distB="0" distL="114300" distR="114300">
            <wp:extent cx="3829050" cy="4143375"/>
            <wp:effectExtent l="0" t="0" r="0" b="9525"/>
            <wp:docPr id="8" name="图片 8" descr="1ed30e4fc-deeb-41f1-b90a-c74d31c3b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ed30e4fc-deeb-41f1-b90a-c74d31c3b750"/>
                    <pic:cNvPicPr>
                      <a:picLocks noChangeAspect="1"/>
                    </pic:cNvPicPr>
                  </pic:nvPicPr>
                  <pic:blipFill>
                    <a:blip r:embed="rId6"/>
                    <a:stretch>
                      <a:fillRect/>
                    </a:stretch>
                  </pic:blipFill>
                  <pic:spPr>
                    <a:xfrm>
                      <a:off x="0" y="0"/>
                      <a:ext cx="3829050" cy="4143375"/>
                    </a:xfrm>
                    <a:prstGeom prst="rect">
                      <a:avLst/>
                    </a:prstGeom>
                  </pic:spPr>
                </pic:pic>
              </a:graphicData>
            </a:graphic>
          </wp:inline>
        </w:drawing>
      </w:r>
      <w:bookmarkStart w:id="67" w:name="_GoBack"/>
      <w:bookmarkEnd w:id="67"/>
    </w:p>
    <w:p>
      <w:pPr>
        <w:pStyle w:val="2"/>
        <w:rPr>
          <w:rFonts w:hint="default"/>
          <w:lang w:val="en-US"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；经营收入万</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default" w:eastAsia="仿宋"/>
          <w:lang w:val="en-US" w:eastAsia="zh-CN"/>
        </w:rPr>
      </w:pP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19525" cy="3295650"/>
            <wp:effectExtent l="0" t="0" r="9525" b="0"/>
            <wp:docPr id="9" name="图片 9" descr="2de5d1a5b-9b20-414e-a9ae-0e0f8134c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de5d1a5b-9b20-414e-a9ae-0e0f8134c809"/>
                    <pic:cNvPicPr>
                      <a:picLocks noChangeAspect="1"/>
                    </pic:cNvPicPr>
                  </pic:nvPicPr>
                  <pic:blipFill>
                    <a:blip r:embed="rId7"/>
                    <a:stretch>
                      <a:fillRect/>
                    </a:stretch>
                  </pic:blipFill>
                  <pic:spPr>
                    <a:xfrm>
                      <a:off x="0" y="0"/>
                      <a:ext cx="3819525" cy="3295650"/>
                    </a:xfrm>
                    <a:prstGeom prst="rect">
                      <a:avLst/>
                    </a:prstGeom>
                  </pic:spPr>
                </pic:pic>
              </a:graphicData>
            </a:graphic>
          </wp:inline>
        </w:drawing>
      </w:r>
    </w:p>
    <w:p>
      <w:pPr>
        <w:pStyle w:val="2"/>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rPr>
      </w:pPr>
    </w:p>
    <w:p>
      <w:pPr>
        <w:spacing w:line="600" w:lineRule="exact"/>
        <w:ind w:firstLine="640" w:firstLineChars="200"/>
        <w:outlineLvl w:val="1"/>
        <w:rPr>
          <w:rFonts w:hint="default" w:eastAsia="仿宋"/>
          <w:lang w:val="en-US" w:eastAsia="zh-CN"/>
        </w:rPr>
      </w:pP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color w:val="auto"/>
          <w:sz w:val="32"/>
          <w:szCs w:val="32"/>
          <w:highlight w:val="none"/>
          <w:shd w:val="pct10" w:color="auto" w:fill="FFFFFF"/>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pStyle w:val="2"/>
        <w:rPr>
          <w:rFonts w:ascii="仿宋" w:hAnsi="仿宋" w:eastAsia="仿宋"/>
          <w:color w:val="auto"/>
          <w:sz w:val="32"/>
          <w:szCs w:val="32"/>
          <w:highlight w:val="none"/>
          <w:shd w:val="pct10" w:color="auto" w:fill="FFFFFF"/>
        </w:rPr>
      </w:pPr>
    </w:p>
    <w:p>
      <w:pPr>
        <w:pStyle w:val="2"/>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inline distT="0" distB="0" distL="114300" distR="114300">
            <wp:extent cx="3086100" cy="3381375"/>
            <wp:effectExtent l="0" t="0" r="0" b="9525"/>
            <wp:docPr id="10" name="图片 10" descr="3a9395599-631f-4343-a81b-5da53a05e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a9395599-631f-4343-a81b-5da53a05ee47"/>
                    <pic:cNvPicPr>
                      <a:picLocks noChangeAspect="1"/>
                    </pic:cNvPicPr>
                  </pic:nvPicPr>
                  <pic:blipFill>
                    <a:blip r:embed="rId8"/>
                    <a:stretch>
                      <a:fillRect/>
                    </a:stretch>
                  </pic:blipFill>
                  <pic:spPr>
                    <a:xfrm>
                      <a:off x="0" y="0"/>
                      <a:ext cx="3086100" cy="3381375"/>
                    </a:xfrm>
                    <a:prstGeom prst="rect">
                      <a:avLst/>
                    </a:prstGeom>
                  </pic:spPr>
                </pic:pic>
              </a:graphicData>
            </a:graphic>
          </wp:inline>
        </w:drawing>
      </w:r>
    </w:p>
    <w:p>
      <w:pPr>
        <w:pStyle w:val="2"/>
        <w:rPr>
          <w:rFonts w:ascii="仿宋" w:hAnsi="仿宋" w:eastAsia="仿宋"/>
          <w:color w:val="auto"/>
          <w:sz w:val="32"/>
          <w:szCs w:val="32"/>
          <w:highlight w:val="none"/>
          <w:shd w:val="pct10" w:color="auto" w:fill="FFFFFF"/>
        </w:rPr>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Fonts w:hint="eastAsia" w:ascii="仿宋" w:hAnsi="仿宋" w:eastAsia="仿宋"/>
          <w:color w:val="auto"/>
          <w:sz w:val="32"/>
          <w:szCs w:val="32"/>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pP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入108.32万元，支出108.32万元。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增加6.16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增加6.03%；支出总计增加6.16万元，增加6.03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工资调标和发放机维修经费增加</w:t>
      </w:r>
      <w:r>
        <w:rPr>
          <w:rFonts w:hint="eastAsia" w:ascii="仿宋_GB2312" w:hAnsi="仿宋" w:eastAsia="仿宋_GB2312"/>
          <w:sz w:val="32"/>
          <w:szCs w:val="32"/>
          <w:lang w:val="en-US" w:eastAsia="zh-CN"/>
        </w:rPr>
        <w:t>，</w:t>
      </w:r>
      <w:r>
        <w:rPr>
          <w:rFonts w:hint="eastAsia" w:ascii="仿宋_GB2312" w:hAnsi="仿宋" w:eastAsia="仿宋_GB2312"/>
          <w:sz w:val="32"/>
          <w:szCs w:val="32"/>
        </w:rPr>
        <w:t>本单位无其他任何收入。</w:t>
      </w:r>
    </w:p>
    <w:p>
      <w:pPr>
        <w:pStyle w:val="2"/>
        <w:rPr>
          <w:rFonts w:hint="default" w:eastAsia="仿宋"/>
          <w:lang w:val="en-US" w:eastAsia="zh-CN"/>
        </w:rPr>
      </w:pP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124200" cy="3781425"/>
            <wp:effectExtent l="0" t="0" r="0" b="9525"/>
            <wp:docPr id="15" name="图片 15" descr="417d7e490-5bd0-41e7-84d2-eb26b365a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17d7e490-5bd0-41e7-84d2-eb26b365afbf"/>
                    <pic:cNvPicPr>
                      <a:picLocks noChangeAspect="1"/>
                    </pic:cNvPicPr>
                  </pic:nvPicPr>
                  <pic:blipFill>
                    <a:blip r:embed="rId9"/>
                    <a:stretch>
                      <a:fillRect/>
                    </a:stretch>
                  </pic:blipFill>
                  <pic:spPr>
                    <a:xfrm>
                      <a:off x="0" y="0"/>
                      <a:ext cx="3124200" cy="378142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default" w:eastAsia="仿宋"/>
          <w:lang w:val="en-US" w:eastAsia="zh-CN"/>
        </w:rPr>
      </w:pP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年相比，一般公共预算财政拨款支</w:t>
      </w:r>
      <w:r>
        <w:rPr>
          <w:rFonts w:hint="eastAsia" w:ascii="仿宋" w:hAnsi="仿宋" w:eastAsia="仿宋"/>
          <w:color w:val="auto"/>
          <w:sz w:val="32"/>
          <w:szCs w:val="32"/>
          <w:highlight w:val="none"/>
          <w:lang w:val="en-US" w:eastAsia="zh-CN"/>
        </w:rPr>
        <w:t>出增加6.16万元，增加6.03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工资调标和发放机维修费增加</w:t>
      </w:r>
      <w:r>
        <w:rPr>
          <w:rFonts w:hint="eastAsia" w:ascii="仿宋_GB2312" w:hAnsi="仿宋" w:eastAsia="仿宋_GB2312"/>
          <w:sz w:val="32"/>
          <w:szCs w:val="32"/>
          <w:lang w:val="en-US" w:eastAsia="zh-CN"/>
        </w:rPr>
        <w:t>，</w:t>
      </w:r>
      <w:r>
        <w:rPr>
          <w:rFonts w:hint="eastAsia" w:ascii="仿宋_GB2312" w:hAnsi="仿宋" w:eastAsia="仿宋_GB2312"/>
          <w:sz w:val="32"/>
          <w:szCs w:val="32"/>
        </w:rPr>
        <w:t>本单位无其他任何收</w:t>
      </w:r>
      <w:r>
        <w:rPr>
          <w:rFonts w:hint="eastAsia" w:ascii="仿宋_GB2312" w:hAnsi="仿宋" w:eastAsia="仿宋_GB2312"/>
          <w:sz w:val="32"/>
          <w:szCs w:val="32"/>
          <w:lang w:val="en-US" w:eastAsia="zh-CN"/>
        </w:rPr>
        <w:t>入。</w:t>
      </w:r>
    </w:p>
    <w:p>
      <w:pPr>
        <w:pStyle w:val="2"/>
        <w:rPr>
          <w:rFonts w:hint="default" w:eastAsia="仿宋"/>
          <w:lang w:val="en-US" w:eastAsia="zh-CN"/>
        </w:rPr>
      </w:pPr>
    </w:p>
    <w:p>
      <w:pPr>
        <w:pStyle w:val="2"/>
        <w:rPr>
          <w:rFonts w:hint="default" w:eastAsia="仿宋"/>
          <w:lang w:val="en-US" w:eastAsia="zh-CN"/>
        </w:rPr>
      </w:pPr>
      <w:r>
        <w:rPr>
          <w:rFonts w:hint="default" w:eastAsia="仿宋"/>
          <w:lang w:val="en-US" w:eastAsia="zh-CN"/>
        </w:rPr>
        <w:drawing>
          <wp:inline distT="0" distB="0" distL="114300" distR="114300">
            <wp:extent cx="3238500" cy="3619500"/>
            <wp:effectExtent l="0" t="0" r="0" b="0"/>
            <wp:docPr id="12" name="图片 12" descr="595580c77-6d81-40f6-b13f-44784e03c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95580c77-6d81-40f6-b13f-44784e03c21a"/>
                    <pic:cNvPicPr>
                      <a:picLocks noChangeAspect="1"/>
                    </pic:cNvPicPr>
                  </pic:nvPicPr>
                  <pic:blipFill>
                    <a:blip r:embed="rId10"/>
                    <a:stretch>
                      <a:fillRect/>
                    </a:stretch>
                  </pic:blipFill>
                  <pic:spPr>
                    <a:xfrm>
                      <a:off x="0" y="0"/>
                      <a:ext cx="3238500" cy="3619500"/>
                    </a:xfrm>
                    <a:prstGeom prst="rect">
                      <a:avLst/>
                    </a:prstGeom>
                  </pic:spPr>
                </pic:pic>
              </a:graphicData>
            </a:graphic>
          </wp:inline>
        </w:drawing>
      </w:r>
    </w:p>
    <w:p>
      <w:pPr>
        <w:pStyle w:val="2"/>
        <w:rPr>
          <w:rFonts w:hint="default" w:eastAsia="仿宋"/>
          <w:lang w:val="en-US"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eastAsia="仿宋"/>
          <w:lang w:val="en-US" w:eastAsia="zh-CN"/>
        </w:rPr>
      </w:pP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b/>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14.71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86.57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79.92</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7.04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pStyle w:val="2"/>
        <w:rPr>
          <w:rFonts w:ascii="仿宋" w:hAnsi="仿宋" w:eastAsia="仿宋"/>
          <w:color w:val="auto"/>
          <w:sz w:val="32"/>
          <w:szCs w:val="32"/>
          <w:highlight w:val="none"/>
        </w:rPr>
      </w:pP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590925" cy="3781425"/>
            <wp:effectExtent l="0" t="0" r="9525" b="9525"/>
            <wp:docPr id="13" name="图片 13" descr="6016eb4e5-6653-4d61-add7-42e372f8b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016eb4e5-6653-4d61-add7-42e372f8bb03"/>
                    <pic:cNvPicPr>
                      <a:picLocks noChangeAspect="1"/>
                    </pic:cNvPicPr>
                  </pic:nvPicPr>
                  <pic:blipFill>
                    <a:blip r:embed="rId11"/>
                    <a:stretch>
                      <a:fillRect/>
                    </a:stretch>
                  </pic:blipFill>
                  <pic:spPr>
                    <a:xfrm>
                      <a:off x="0" y="0"/>
                      <a:ext cx="3590925" cy="3781425"/>
                    </a:xfrm>
                    <a:prstGeom prst="rect">
                      <a:avLst/>
                    </a:prstGeom>
                  </pic:spPr>
                </pic:pic>
              </a:graphicData>
            </a:graphic>
          </wp:inline>
        </w:drawing>
      </w:r>
    </w:p>
    <w:p>
      <w:pPr>
        <w:pStyle w:val="2"/>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108.32万元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教育（类）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3.</w:t>
      </w:r>
      <w:r>
        <w:rPr>
          <w:rStyle w:val="14"/>
          <w:rFonts w:hint="eastAsia" w:ascii="仿宋" w:hAnsi="仿宋" w:eastAsia="仿宋"/>
          <w:bCs/>
          <w:color w:val="auto"/>
          <w:sz w:val="32"/>
          <w:szCs w:val="32"/>
          <w:highlight w:val="none"/>
        </w:rPr>
        <w:t>科学技术（类）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Style w:val="14"/>
          <w:rFonts w:hint="eastAsia" w:ascii="仿宋" w:hAnsi="仿宋" w:eastAsia="仿宋"/>
          <w:bCs/>
          <w:color w:val="auto"/>
          <w:sz w:val="32"/>
          <w:szCs w:val="32"/>
          <w:highlight w:val="none"/>
        </w:rPr>
        <w:t>文化旅游体育与传媒（类）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5.</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机关事业单位基本养老保险缴费和其他行政事业单位养老</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14.71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与</w:t>
      </w:r>
      <w:r>
        <w:rPr>
          <w:rStyle w:val="14"/>
          <w:rFonts w:hint="eastAsia" w:ascii="仿宋" w:hAnsi="仿宋" w:eastAsia="仿宋"/>
          <w:b w:val="0"/>
          <w:bCs/>
          <w:color w:val="auto"/>
          <w:sz w:val="32"/>
          <w:szCs w:val="32"/>
          <w:highlight w:val="none"/>
        </w:rPr>
        <w:t>预算数</w:t>
      </w:r>
      <w:r>
        <w:rPr>
          <w:rStyle w:val="14"/>
          <w:rFonts w:hint="eastAsia" w:ascii="仿宋" w:hAnsi="仿宋" w:eastAsia="仿宋"/>
          <w:b w:val="0"/>
          <w:bCs/>
          <w:color w:val="auto"/>
          <w:sz w:val="32"/>
          <w:szCs w:val="32"/>
          <w:highlight w:val="none"/>
          <w:lang w:val="en-US" w:eastAsia="zh-CN"/>
        </w:rPr>
        <w:t>持平。</w:t>
      </w:r>
    </w:p>
    <w:p>
      <w:pPr>
        <w:spacing w:line="600" w:lineRule="exact"/>
        <w:ind w:firstLine="643" w:firstLineChars="200"/>
        <w:rPr>
          <w:rStyle w:val="14"/>
          <w:rFonts w:ascii="仿宋" w:hAnsi="仿宋" w:eastAsia="仿宋"/>
          <w:b w:val="0"/>
          <w:bCs w:val="0"/>
          <w:color w:val="auto"/>
          <w:sz w:val="32"/>
          <w:szCs w:val="32"/>
        </w:rPr>
      </w:pPr>
      <w:r>
        <w:rPr>
          <w:rStyle w:val="14"/>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计划生育事务</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其他计划生育事务</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86.57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与</w:t>
      </w:r>
      <w:r>
        <w:rPr>
          <w:rStyle w:val="14"/>
          <w:rFonts w:hint="eastAsia" w:ascii="仿宋" w:hAnsi="仿宋" w:eastAsia="仿宋"/>
          <w:b w:val="0"/>
          <w:bCs/>
          <w:color w:val="auto"/>
          <w:sz w:val="32"/>
          <w:szCs w:val="32"/>
          <w:highlight w:val="none"/>
        </w:rPr>
        <w:t>预算数</w:t>
      </w:r>
      <w:r>
        <w:rPr>
          <w:rStyle w:val="14"/>
          <w:rFonts w:hint="eastAsia" w:ascii="仿宋" w:hAnsi="仿宋" w:eastAsia="仿宋"/>
          <w:b w:val="0"/>
          <w:bCs/>
          <w:color w:val="auto"/>
          <w:sz w:val="32"/>
          <w:szCs w:val="32"/>
          <w:highlight w:val="none"/>
          <w:lang w:val="en-US" w:eastAsia="zh-CN"/>
        </w:rPr>
        <w:t>持平。</w:t>
      </w:r>
    </w:p>
    <w:p>
      <w:pPr>
        <w:spacing w:line="600" w:lineRule="exact"/>
        <w:ind w:firstLine="640" w:firstLineChars="200"/>
        <w:rPr>
          <w:rFonts w:hint="default"/>
          <w:lang w:val="en-US"/>
        </w:rPr>
      </w:pPr>
      <w:r>
        <w:rPr>
          <w:rStyle w:val="14"/>
          <w:rFonts w:hint="eastAsia" w:ascii="仿宋" w:hAnsi="仿宋" w:eastAsia="仿宋"/>
          <w:b w:val="0"/>
          <w:bCs w:val="0"/>
          <w:color w:val="auto"/>
          <w:sz w:val="32"/>
          <w:szCs w:val="40"/>
          <w:lang w:val="en-US" w:eastAsia="zh-CN"/>
        </w:rPr>
        <w:t>7</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w:t>
      </w:r>
      <w:r>
        <w:rPr>
          <w:rStyle w:val="14"/>
          <w:rFonts w:hint="eastAsia" w:ascii="仿宋" w:hAnsi="仿宋" w:eastAsia="仿宋"/>
          <w:b w:val="0"/>
          <w:bCs w:val="0"/>
          <w:color w:val="auto"/>
          <w:sz w:val="32"/>
          <w:szCs w:val="40"/>
          <w:lang w:val="en-US" w:eastAsia="zh-CN"/>
        </w:rPr>
        <w:t>类</w:t>
      </w:r>
      <w:r>
        <w:rPr>
          <w:rStyle w:val="14"/>
          <w:rFonts w:hint="eastAsia" w:ascii="仿宋" w:hAnsi="仿宋" w:eastAsia="仿宋"/>
          <w:b w:val="0"/>
          <w:bCs w:val="0"/>
          <w:color w:val="auto"/>
          <w:sz w:val="32"/>
          <w:szCs w:val="40"/>
        </w:rPr>
        <w:t>）住房改革支出（</w:t>
      </w:r>
      <w:r>
        <w:rPr>
          <w:rStyle w:val="14"/>
          <w:rFonts w:hint="eastAsia" w:ascii="仿宋" w:hAnsi="仿宋" w:eastAsia="仿宋"/>
          <w:b w:val="0"/>
          <w:bCs w:val="0"/>
          <w:color w:val="auto"/>
          <w:sz w:val="32"/>
          <w:szCs w:val="40"/>
          <w:lang w:val="en-US" w:eastAsia="zh-CN"/>
        </w:rPr>
        <w:t>款</w:t>
      </w:r>
      <w:r>
        <w:rPr>
          <w:rStyle w:val="14"/>
          <w:rFonts w:hint="eastAsia" w:ascii="仿宋" w:hAnsi="仿宋" w:eastAsia="仿宋"/>
          <w:b w:val="0"/>
          <w:bCs w:val="0"/>
          <w:color w:val="auto"/>
          <w:sz w:val="32"/>
          <w:szCs w:val="40"/>
        </w:rPr>
        <w:t>）住房公积金（</w:t>
      </w:r>
      <w:r>
        <w:rPr>
          <w:rStyle w:val="14"/>
          <w:rFonts w:hint="eastAsia" w:ascii="仿宋" w:hAnsi="仿宋" w:eastAsia="仿宋"/>
          <w:b w:val="0"/>
          <w:bCs w:val="0"/>
          <w:color w:val="auto"/>
          <w:sz w:val="32"/>
          <w:szCs w:val="40"/>
          <w:lang w:val="en-US" w:eastAsia="zh-CN"/>
        </w:rPr>
        <w:t>项</w:t>
      </w:r>
      <w:r>
        <w:rPr>
          <w:rStyle w:val="14"/>
          <w:rFonts w:hint="eastAsia" w:ascii="仿宋" w:hAnsi="仿宋" w:eastAsia="仿宋"/>
          <w:b w:val="0"/>
          <w:bCs w:val="0"/>
          <w:color w:val="auto"/>
          <w:sz w:val="32"/>
          <w:szCs w:val="40"/>
        </w:rPr>
        <w:t>）:</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7.04</w:t>
      </w:r>
      <w:r>
        <w:rPr>
          <w:rFonts w:hint="eastAsia" w:ascii="仿宋" w:hAnsi="仿宋" w:eastAsia="仿宋"/>
          <w:b w:val="0"/>
          <w:bCs w:val="0"/>
          <w:color w:val="auto"/>
          <w:sz w:val="32"/>
          <w:szCs w:val="32"/>
        </w:rPr>
        <w:t>万元，完成预算100%</w:t>
      </w:r>
      <w:r>
        <w:rPr>
          <w:rFonts w:hint="eastAsia" w:ascii="仿宋" w:hAnsi="仿宋" w:eastAsia="仿宋"/>
          <w:b w:val="0"/>
          <w:bCs w:val="0"/>
          <w:color w:val="auto"/>
          <w:sz w:val="32"/>
          <w:szCs w:val="32"/>
          <w:lang w:eastAsia="zh-CN"/>
        </w:rPr>
        <w:t>，</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与</w:t>
      </w:r>
      <w:r>
        <w:rPr>
          <w:rStyle w:val="14"/>
          <w:rFonts w:hint="eastAsia" w:ascii="仿宋" w:hAnsi="仿宋" w:eastAsia="仿宋"/>
          <w:b w:val="0"/>
          <w:bCs/>
          <w:color w:val="auto"/>
          <w:sz w:val="32"/>
          <w:szCs w:val="32"/>
          <w:highlight w:val="none"/>
        </w:rPr>
        <w:t>预算数</w:t>
      </w:r>
      <w:r>
        <w:rPr>
          <w:rStyle w:val="14"/>
          <w:rFonts w:hint="eastAsia" w:ascii="仿宋" w:hAnsi="仿宋" w:eastAsia="仿宋"/>
          <w:b w:val="0"/>
          <w:bCs/>
          <w:color w:val="auto"/>
          <w:sz w:val="32"/>
          <w:szCs w:val="32"/>
          <w:highlight w:val="none"/>
          <w:lang w:val="en-US" w:eastAsia="zh-CN"/>
        </w:rPr>
        <w:t>持平。</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108.32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93.67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14.65</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 w:hAnsi="仿宋" w:eastAsia="仿宋"/>
          <w:color w:val="auto"/>
          <w:sz w:val="32"/>
          <w:szCs w:val="32"/>
          <w:highlight w:val="none"/>
          <w:lang w:val="en-US" w:eastAsia="zh-CN"/>
        </w:rPr>
        <w:t xml:space="preserve">                         </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default" w:eastAsia="仿宋"/>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0.70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增加0.35万元，增长100%，</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接待次数和人数增加</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552825" cy="4200525"/>
            <wp:effectExtent l="0" t="0" r="9525" b="9525"/>
            <wp:docPr id="16" name="图片 16" descr="7e8ccedab-a829-486e-83d7-059f85736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e8ccedab-a829-486e-83d7-059f85736abe"/>
                    <pic:cNvPicPr>
                      <a:picLocks noChangeAspect="1"/>
                    </pic:cNvPicPr>
                  </pic:nvPicPr>
                  <pic:blipFill>
                    <a:blip r:embed="rId12"/>
                    <a:stretch>
                      <a:fillRect/>
                    </a:stretch>
                  </pic:blipFill>
                  <pic:spPr>
                    <a:xfrm>
                      <a:off x="0" y="0"/>
                      <a:ext cx="3552825" cy="4200525"/>
                    </a:xfrm>
                    <a:prstGeom prst="rect">
                      <a:avLst/>
                    </a:prstGeom>
                  </pic:spPr>
                </pic:pic>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0"/>
        <w:rPr>
          <w:rFonts w:hint="default" w:eastAsia="仿宋"/>
          <w:lang w:val="en-US"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0.7</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增加</w:t>
      </w:r>
      <w:r>
        <w:rPr>
          <w:rFonts w:hint="eastAsia" w:ascii="仿宋" w:hAnsi="仿宋" w:eastAsia="仿宋"/>
          <w:color w:val="auto"/>
          <w:sz w:val="32"/>
          <w:szCs w:val="32"/>
          <w:highlight w:val="none"/>
          <w:lang w:val="en-US" w:eastAsia="zh-CN"/>
        </w:rPr>
        <w:t>0.35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增长10</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接待次数和人数增加</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0.7</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142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0.70</w:t>
      </w:r>
      <w:r>
        <w:rPr>
          <w:rFonts w:hint="eastAsia" w:ascii="仿宋_GB2312" w:eastAsia="仿宋_GB2312"/>
          <w:color w:val="auto"/>
          <w:sz w:val="32"/>
          <w:szCs w:val="32"/>
          <w:highlight w:val="none"/>
        </w:rPr>
        <w:t>万元，具体内容包括：</w:t>
      </w:r>
      <w:r>
        <w:rPr>
          <w:rFonts w:hint="eastAsia" w:ascii="仿宋_GB2312" w:eastAsia="仿宋_GB2312"/>
          <w:color w:val="000000"/>
          <w:sz w:val="32"/>
          <w:szCs w:val="32"/>
          <w:lang w:eastAsia="zh-CN"/>
        </w:rPr>
        <w:t>公务</w:t>
      </w:r>
      <w:r>
        <w:rPr>
          <w:rFonts w:hint="eastAsia" w:ascii="仿宋_GB2312" w:eastAsia="仿宋_GB2312"/>
          <w:color w:val="000000"/>
          <w:sz w:val="32"/>
          <w:szCs w:val="32"/>
        </w:rPr>
        <w:t>用餐费</w:t>
      </w:r>
      <w:r>
        <w:rPr>
          <w:rFonts w:hint="eastAsia" w:ascii="仿宋_GB2312" w:eastAsia="仿宋_GB2312"/>
          <w:color w:val="000000"/>
          <w:sz w:val="32"/>
          <w:szCs w:val="32"/>
          <w:lang w:val="en-US" w:eastAsia="zh-CN"/>
        </w:rPr>
        <w:t>0.70万元</w:t>
      </w:r>
      <w:r>
        <w:rPr>
          <w:rFonts w:hint="eastAsia" w:ascii="仿宋_GB2312" w:eastAsia="仿宋_GB2312"/>
          <w:color w:val="000000"/>
          <w:sz w:val="32"/>
          <w:szCs w:val="32"/>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机关运行经费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大竹县计划生育药品器械管理站</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大竹县计划生育药品器械管理站</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项目名称</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年部门整体支出开展绩效自评，从评价情况来看</w:t>
      </w:r>
      <w:r>
        <w:rPr>
          <w:rFonts w:hint="eastAsia" w:ascii="仿宋" w:hAnsi="仿宋" w:eastAsia="仿宋" w:cs="仿宋"/>
          <w:color w:val="auto"/>
          <w:sz w:val="32"/>
          <w:szCs w:val="32"/>
        </w:rPr>
        <w:t>本单位科学合理设定绩效指标，既便于考核评估，又具有可操作性</w:t>
      </w:r>
      <w:r>
        <w:rPr>
          <w:rFonts w:hint="eastAsia" w:ascii="仿宋" w:hAnsi="仿宋" w:eastAsia="仿宋" w:cs="仿宋"/>
          <w:color w:val="auto"/>
          <w:sz w:val="32"/>
          <w:szCs w:val="32"/>
          <w:lang w:eastAsia="zh-CN"/>
        </w:rPr>
        <w:t>，严格按照部门绩效目标制定，预算编制准确执行，实行支出控制，执行预算动态调整，执行进度合理适中，完成全年目标任务，无违规记录。</w:t>
      </w:r>
      <w:r>
        <w:rPr>
          <w:rFonts w:hint="eastAsia" w:ascii="仿宋" w:hAnsi="仿宋" w:eastAsia="仿宋" w:cs="仿宋"/>
          <w:color w:val="auto"/>
          <w:sz w:val="32"/>
          <w:szCs w:val="32"/>
        </w:rPr>
        <w:t>在年度工作目标管理上，推行了</w:t>
      </w:r>
      <w:r>
        <w:rPr>
          <w:rFonts w:hint="eastAsia" w:ascii="仿宋" w:hAnsi="仿宋" w:eastAsia="仿宋" w:cs="仿宋"/>
          <w:color w:val="auto"/>
          <w:sz w:val="32"/>
          <w:szCs w:val="32"/>
          <w:lang w:eastAsia="zh-CN"/>
        </w:rPr>
        <w:t>责任</w:t>
      </w:r>
      <w:r>
        <w:rPr>
          <w:rFonts w:hint="eastAsia" w:ascii="仿宋" w:hAnsi="仿宋" w:eastAsia="仿宋" w:cs="仿宋"/>
          <w:color w:val="auto"/>
          <w:sz w:val="32"/>
          <w:szCs w:val="32"/>
        </w:rPr>
        <w:t>精准管理，</w:t>
      </w:r>
      <w:r>
        <w:rPr>
          <w:rFonts w:hint="eastAsia" w:ascii="仿宋" w:hAnsi="仿宋" w:eastAsia="仿宋" w:cs="仿宋"/>
          <w:color w:val="auto"/>
          <w:sz w:val="32"/>
          <w:szCs w:val="32"/>
          <w:lang w:eastAsia="zh-CN"/>
        </w:rPr>
        <w:t>制定责任清单，</w:t>
      </w:r>
      <w:r>
        <w:rPr>
          <w:rFonts w:hint="eastAsia" w:ascii="仿宋" w:hAnsi="仿宋" w:eastAsia="仿宋" w:cs="仿宋"/>
          <w:color w:val="auto"/>
          <w:sz w:val="32"/>
          <w:szCs w:val="32"/>
        </w:rPr>
        <w:t>形成层层抓落实、人人担责任的绩效格局</w:t>
      </w:r>
      <w:r>
        <w:rPr>
          <w:rFonts w:hint="eastAsia" w:ascii="仿宋" w:hAnsi="仿宋" w:eastAsia="仿宋" w:cs="仿宋"/>
          <w:color w:val="auto"/>
          <w:sz w:val="32"/>
          <w:szCs w:val="32"/>
          <w:lang w:eastAsia="zh-CN"/>
        </w:rPr>
        <w:t>。</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val="en-US" w:eastAsia="zh-CN"/>
        </w:rPr>
        <w:t>对整体</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做出</w:t>
      </w:r>
      <w:r>
        <w:rPr>
          <w:rFonts w:hint="eastAsia" w:ascii="仿宋_GB2312" w:hAnsi="仿宋_GB2312" w:eastAsia="仿宋_GB2312" w:cs="仿宋_GB2312"/>
          <w:sz w:val="32"/>
          <w:szCs w:val="32"/>
        </w:rPr>
        <w:t>绩效评价。</w:t>
      </w:r>
    </w:p>
    <w:p>
      <w:pPr>
        <w:pStyle w:val="2"/>
        <w:ind w:firstLine="640" w:firstLineChars="200"/>
        <w:rPr>
          <w:rFonts w:hint="eastAsia" w:ascii="仿宋_GB2312" w:hAnsi="仿宋_GB2312" w:eastAsia="仿宋_GB2312" w:cs="仿宋_GB2312"/>
          <w:color w:val="auto"/>
          <w:sz w:val="32"/>
          <w:szCs w:val="32"/>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w:t>
      </w:r>
      <w:r>
        <w:rPr>
          <w:rFonts w:hint="eastAsia" w:ascii="仿宋_GB2312" w:eastAsia="仿宋_GB2312"/>
          <w:color w:val="auto"/>
          <w:sz w:val="32"/>
          <w:szCs w:val="32"/>
          <w:highlight w:val="none"/>
          <w:lang w:eastAsia="zh-CN"/>
        </w:rPr>
        <w:t>旅游</w:t>
      </w:r>
      <w:r>
        <w:rPr>
          <w:rFonts w:hint="eastAsia" w:ascii="仿宋_GB2312" w:eastAsia="仿宋_GB2312"/>
          <w:color w:val="auto"/>
          <w:sz w:val="32"/>
          <w:szCs w:val="32"/>
          <w:highlight w:val="none"/>
        </w:rPr>
        <w:t>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rPr>
        <w:t>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lang w:eastAsia="zh-CN"/>
        </w:rPr>
        <w:t>自然资源</w:t>
      </w:r>
      <w:r>
        <w:rPr>
          <w:rFonts w:hint="eastAsia" w:ascii="仿宋_GB2312" w:eastAsia="仿宋_GB2312"/>
          <w:color w:val="auto"/>
          <w:sz w:val="32"/>
          <w:szCs w:val="32"/>
          <w:highlight w:val="none"/>
        </w:rPr>
        <w:t>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2"/>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default"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r>
        <w:rPr>
          <w:rFonts w:hint="eastAsia" w:ascii="宋体" w:hAnsi="宋体" w:cs="宋体"/>
          <w:color w:val="auto"/>
          <w:kern w:val="0"/>
          <w:sz w:val="32"/>
          <w:szCs w:val="32"/>
          <w:highlight w:val="none"/>
          <w:lang w:val="en-US" w:eastAsia="zh-CN" w:bidi="ar-SA"/>
        </w:rPr>
        <w:t>无</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spacing w:line="600" w:lineRule="exact"/>
        <w:ind w:firstLine="640" w:firstLineChars="200"/>
        <w:jc w:val="left"/>
        <w:outlineLvl w:val="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（备注：按照绩效自评工作安排，各单位可在预算管理一体化系统—综合报表查询—预算绩效报表模块中下载本单位“部门预算项目支出绩效自评表（2023年度）”，该表格应作为附件予以公开。）</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mE5ZWNlYjRlM2U5ZDljNjIyODNkMmE1OGViOG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4A730F2"/>
    <w:rsid w:val="04AD4546"/>
    <w:rsid w:val="04EE4C4E"/>
    <w:rsid w:val="05363308"/>
    <w:rsid w:val="053A62B5"/>
    <w:rsid w:val="05773A6A"/>
    <w:rsid w:val="06D84BEE"/>
    <w:rsid w:val="070D4C36"/>
    <w:rsid w:val="073C3409"/>
    <w:rsid w:val="07ED49DB"/>
    <w:rsid w:val="08123F0E"/>
    <w:rsid w:val="08597DA5"/>
    <w:rsid w:val="08AC7630"/>
    <w:rsid w:val="091D1FB6"/>
    <w:rsid w:val="09212671"/>
    <w:rsid w:val="09266311"/>
    <w:rsid w:val="0932487E"/>
    <w:rsid w:val="0A2032A3"/>
    <w:rsid w:val="0AC14987"/>
    <w:rsid w:val="0B5C089F"/>
    <w:rsid w:val="0B8A37D8"/>
    <w:rsid w:val="0BC940A2"/>
    <w:rsid w:val="0D231443"/>
    <w:rsid w:val="0D2A3ABE"/>
    <w:rsid w:val="0E3C22B3"/>
    <w:rsid w:val="0F694D72"/>
    <w:rsid w:val="0F7323B9"/>
    <w:rsid w:val="105D7885"/>
    <w:rsid w:val="10C055FF"/>
    <w:rsid w:val="11240E99"/>
    <w:rsid w:val="118107EC"/>
    <w:rsid w:val="118434C6"/>
    <w:rsid w:val="11DD6519"/>
    <w:rsid w:val="13336D21"/>
    <w:rsid w:val="13454DD9"/>
    <w:rsid w:val="13D12EE6"/>
    <w:rsid w:val="146D54C1"/>
    <w:rsid w:val="15BC27A5"/>
    <w:rsid w:val="16256A21"/>
    <w:rsid w:val="16BB723D"/>
    <w:rsid w:val="18015F3F"/>
    <w:rsid w:val="180571B7"/>
    <w:rsid w:val="191D0E90"/>
    <w:rsid w:val="19D04B08"/>
    <w:rsid w:val="1A5342C7"/>
    <w:rsid w:val="1BE8440E"/>
    <w:rsid w:val="1D155CEE"/>
    <w:rsid w:val="1E482B42"/>
    <w:rsid w:val="1E837308"/>
    <w:rsid w:val="1F6506A1"/>
    <w:rsid w:val="20F57F95"/>
    <w:rsid w:val="21627873"/>
    <w:rsid w:val="240371BF"/>
    <w:rsid w:val="24521E21"/>
    <w:rsid w:val="249C536B"/>
    <w:rsid w:val="25711CC6"/>
    <w:rsid w:val="25C741E6"/>
    <w:rsid w:val="27732163"/>
    <w:rsid w:val="27842671"/>
    <w:rsid w:val="27962F8B"/>
    <w:rsid w:val="280D0BFE"/>
    <w:rsid w:val="28CC03F4"/>
    <w:rsid w:val="29933E69"/>
    <w:rsid w:val="29FD04D3"/>
    <w:rsid w:val="2A6C07B2"/>
    <w:rsid w:val="2A716BE8"/>
    <w:rsid w:val="2ABE7A3E"/>
    <w:rsid w:val="2AFB2FC8"/>
    <w:rsid w:val="2B1F083B"/>
    <w:rsid w:val="2BCC02E3"/>
    <w:rsid w:val="2CA234A8"/>
    <w:rsid w:val="2DBC2BE0"/>
    <w:rsid w:val="2EFA178C"/>
    <w:rsid w:val="2FC270D3"/>
    <w:rsid w:val="30256DDF"/>
    <w:rsid w:val="30544CDB"/>
    <w:rsid w:val="30B46D73"/>
    <w:rsid w:val="30F10B66"/>
    <w:rsid w:val="319F7F4E"/>
    <w:rsid w:val="31D45826"/>
    <w:rsid w:val="32D14EE0"/>
    <w:rsid w:val="331F3119"/>
    <w:rsid w:val="35233FAB"/>
    <w:rsid w:val="383D272C"/>
    <w:rsid w:val="39503CEC"/>
    <w:rsid w:val="397D6F00"/>
    <w:rsid w:val="39AE70AB"/>
    <w:rsid w:val="3B11119F"/>
    <w:rsid w:val="3B731FB1"/>
    <w:rsid w:val="3C0C0783"/>
    <w:rsid w:val="3C502C92"/>
    <w:rsid w:val="3F0B5D27"/>
    <w:rsid w:val="3F9F3A96"/>
    <w:rsid w:val="40F4181A"/>
    <w:rsid w:val="440C0943"/>
    <w:rsid w:val="44234B5B"/>
    <w:rsid w:val="446E5230"/>
    <w:rsid w:val="453164A1"/>
    <w:rsid w:val="45E85CE9"/>
    <w:rsid w:val="46B80BAA"/>
    <w:rsid w:val="47A3618B"/>
    <w:rsid w:val="481D611E"/>
    <w:rsid w:val="48BF60AB"/>
    <w:rsid w:val="48C02A31"/>
    <w:rsid w:val="493C27E9"/>
    <w:rsid w:val="496F39ED"/>
    <w:rsid w:val="49FF41D3"/>
    <w:rsid w:val="4AA57A06"/>
    <w:rsid w:val="4BE068DB"/>
    <w:rsid w:val="4BF6002B"/>
    <w:rsid w:val="4D6853C6"/>
    <w:rsid w:val="4E717099"/>
    <w:rsid w:val="4ECE2238"/>
    <w:rsid w:val="514646BB"/>
    <w:rsid w:val="5162039D"/>
    <w:rsid w:val="51DB4B86"/>
    <w:rsid w:val="534556B9"/>
    <w:rsid w:val="53635A2E"/>
    <w:rsid w:val="548B2110"/>
    <w:rsid w:val="55333C3E"/>
    <w:rsid w:val="55CB6D7E"/>
    <w:rsid w:val="568A4630"/>
    <w:rsid w:val="581D04CB"/>
    <w:rsid w:val="597A0899"/>
    <w:rsid w:val="59D44B91"/>
    <w:rsid w:val="5B225F37"/>
    <w:rsid w:val="5D1A5802"/>
    <w:rsid w:val="5DF16851"/>
    <w:rsid w:val="61387088"/>
    <w:rsid w:val="645C47A0"/>
    <w:rsid w:val="647D7D7A"/>
    <w:rsid w:val="64CA39A1"/>
    <w:rsid w:val="64DA02B4"/>
    <w:rsid w:val="6642531D"/>
    <w:rsid w:val="664774AE"/>
    <w:rsid w:val="66B00054"/>
    <w:rsid w:val="67342DE9"/>
    <w:rsid w:val="67484062"/>
    <w:rsid w:val="68066A52"/>
    <w:rsid w:val="68A00280"/>
    <w:rsid w:val="68E84651"/>
    <w:rsid w:val="69085BD7"/>
    <w:rsid w:val="69630ADE"/>
    <w:rsid w:val="69E91508"/>
    <w:rsid w:val="6A6F66C6"/>
    <w:rsid w:val="6C256AA0"/>
    <w:rsid w:val="6C4A05C8"/>
    <w:rsid w:val="6D3452B1"/>
    <w:rsid w:val="6D3B1A89"/>
    <w:rsid w:val="6EAD34A8"/>
    <w:rsid w:val="6FC113E8"/>
    <w:rsid w:val="707E239E"/>
    <w:rsid w:val="712C080A"/>
    <w:rsid w:val="71966832"/>
    <w:rsid w:val="71BF4EC2"/>
    <w:rsid w:val="724B5B5F"/>
    <w:rsid w:val="72734D90"/>
    <w:rsid w:val="73E9556C"/>
    <w:rsid w:val="7412278C"/>
    <w:rsid w:val="7464696C"/>
    <w:rsid w:val="746E7BA5"/>
    <w:rsid w:val="75C9022F"/>
    <w:rsid w:val="766D2BB3"/>
    <w:rsid w:val="769B5CE4"/>
    <w:rsid w:val="77B66E11"/>
    <w:rsid w:val="77E331BD"/>
    <w:rsid w:val="787E2DEA"/>
    <w:rsid w:val="79E7B28D"/>
    <w:rsid w:val="7AFF1D12"/>
    <w:rsid w:val="7B4E28D9"/>
    <w:rsid w:val="7CFB7F22"/>
    <w:rsid w:val="7CFD215E"/>
    <w:rsid w:val="7D140EB0"/>
    <w:rsid w:val="7DCC1FC9"/>
    <w:rsid w:val="7F7F30F3"/>
    <w:rsid w:val="7F994EE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5359</Words>
  <Characters>5762</Characters>
  <Lines>61</Lines>
  <Paragraphs>17</Paragraphs>
  <TotalTime>0</TotalTime>
  <ScaleCrop>false</ScaleCrop>
  <LinksUpToDate>false</LinksUpToDate>
  <CharactersWithSpaces>5790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2024-10-23T01:18:59Z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7D829949017C4ED7AEA7194580D20073_12</vt:lpwstr>
  </property>
</Properties>
</file>