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77425"/>
      <w:bookmarkStart w:id="3" w:name="_Toc15396597"/>
      <w:bookmarkStart w:id="4" w:name="_Toc15396475"/>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426"/>
      <w:bookmarkStart w:id="8" w:name="_Toc15377194"/>
      <w:bookmarkStart w:id="9" w:name="_Toc15396598"/>
      <w:bookmarkStart w:id="10" w:name="_Toc15396476"/>
      <w:r>
        <w:rPr>
          <w:rFonts w:hint="eastAsia" w:ascii="方正小标宋简体" w:hAnsi="方正小标宋简体" w:eastAsia="方正小标宋简体" w:cs="方正小标宋简体"/>
          <w:color w:val="auto"/>
          <w:sz w:val="72"/>
          <w:szCs w:val="72"/>
          <w:highlight w:val="none"/>
          <w:lang w:eastAsia="zh-CN"/>
        </w:rPr>
        <w:t>大竹县</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木材检查站单位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一、职能</w:t>
      </w:r>
      <w:r>
        <w:rPr>
          <w:rFonts w:hint="eastAsia"/>
          <w:color w:val="auto"/>
          <w:sz w:val="24"/>
          <w:highlight w:val="none"/>
          <w:lang w:eastAsia="zh-CN"/>
        </w:rPr>
        <w:t>简介</w:t>
      </w:r>
    </w:p>
    <w:p>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FF0000"/>
          <w:highlight w:val="none"/>
          <w:lang w:eastAsia="zh-CN"/>
        </w:rPr>
      </w:pPr>
      <w:bookmarkStart w:id="14" w:name="_Toc15377197"/>
      <w:bookmarkStart w:id="15" w:name="_Toc15396600"/>
      <w:r>
        <w:rPr>
          <w:rStyle w:val="25"/>
          <w:rFonts w:hint="eastAsia" w:ascii="黑体" w:hAnsi="黑体" w:eastAsia="黑体"/>
          <w:b w:val="0"/>
          <w:bCs w:val="0"/>
          <w:color w:val="FF0000"/>
          <w:highlight w:val="none"/>
        </w:rPr>
        <w:t>职能</w:t>
      </w:r>
      <w:r>
        <w:rPr>
          <w:rStyle w:val="25"/>
          <w:rFonts w:hint="eastAsia" w:ascii="黑体" w:hAnsi="黑体" w:eastAsia="黑体"/>
          <w:b w:val="0"/>
          <w:bCs w:val="0"/>
          <w:color w:val="FF0000"/>
          <w:highlight w:val="none"/>
          <w:lang w:eastAsia="zh-CN"/>
        </w:rPr>
        <w:t>简介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sz w:val="24"/>
          <w:szCs w:val="32"/>
        </w:rPr>
      </w:pPr>
      <w:r>
        <w:rPr>
          <w:rFonts w:hint="eastAsia" w:ascii="仿宋_GB2312" w:hAnsi="Calibri" w:eastAsia="仿宋_GB2312" w:cs="Calibri"/>
          <w:color w:val="000000"/>
          <w:kern w:val="0"/>
          <w:sz w:val="32"/>
          <w:szCs w:val="32"/>
        </w:rPr>
        <w:t>主要职能。</w:t>
      </w:r>
      <w:r>
        <w:rPr>
          <w:rFonts w:hint="eastAsia" w:ascii="仿宋_GB2312" w:hAnsi="Calibri" w:eastAsia="仿宋_GB2312" w:cs="Calibri"/>
          <w:color w:val="000000"/>
          <w:kern w:val="0"/>
          <w:sz w:val="32"/>
          <w:szCs w:val="32"/>
          <w:lang w:eastAsia="zh-CN"/>
        </w:rPr>
        <w:t>宣传《中华人民共和国森林法》等林业法律、法规和政策；负责木材、竹材、活立木、林副林化产品运输的检查、监督，依法查验木材运输证件；制止违法运输木材、种苗、野生动物等的行为，对违反运输木材、种苗、野生动物等予以暂扣等职能。</w:t>
      </w:r>
    </w:p>
    <w:p>
      <w:pPr>
        <w:pStyle w:val="4"/>
        <w:numPr>
          <w:ilvl w:val="0"/>
          <w:numId w:val="0"/>
        </w:numPr>
        <w:rPr>
          <w:rFonts w:hint="eastAsia" w:ascii="黑体" w:hAnsi="黑体" w:eastAsia="黑体"/>
          <w:b w:val="0"/>
          <w:color w:val="FF0000"/>
          <w:highlight w:val="none"/>
        </w:rPr>
      </w:pPr>
      <w:r>
        <w:rPr>
          <w:rFonts w:hint="eastAsia" w:ascii="黑体" w:hAnsi="黑体" w:eastAsia="黑体"/>
          <w:b w:val="0"/>
          <w:color w:val="FF0000"/>
          <w:highlight w:val="none"/>
          <w:lang w:val="en-US" w:eastAsia="zh-CN"/>
        </w:rPr>
        <w:t>二、2021年重点</w:t>
      </w:r>
      <w:r>
        <w:rPr>
          <w:rFonts w:hint="eastAsia" w:ascii="黑体" w:hAnsi="黑体" w:eastAsia="黑体"/>
          <w:b w:val="0"/>
          <w:color w:val="FF0000"/>
          <w:highlight w:val="none"/>
        </w:rPr>
        <w:t>工作</w:t>
      </w:r>
      <w:bookmarkEnd w:id="14"/>
      <w:bookmarkEnd w:id="15"/>
      <w:r>
        <w:rPr>
          <w:rFonts w:hint="eastAsia" w:ascii="黑体" w:hAnsi="黑体" w:eastAsia="黑体"/>
          <w:b w:val="0"/>
          <w:color w:val="FF0000"/>
          <w:highlight w:val="none"/>
          <w:lang w:eastAsia="zh-CN"/>
        </w:rPr>
        <w:t>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Calibri" w:eastAsia="仿宋_GB2312" w:cs="Calibri"/>
          <w:color w:val="000000"/>
          <w:kern w:val="0"/>
          <w:sz w:val="32"/>
          <w:szCs w:val="32"/>
          <w:lang w:eastAsia="zh-CN"/>
        </w:rPr>
      </w:pPr>
      <w:r>
        <w:rPr>
          <w:rFonts w:hint="eastAsia" w:ascii="仿宋_GB2312" w:hAnsi="Calibri" w:eastAsia="仿宋_GB2312" w:cs="Calibri"/>
          <w:color w:val="000000"/>
          <w:kern w:val="0"/>
          <w:sz w:val="32"/>
          <w:szCs w:val="32"/>
          <w:lang w:eastAsia="zh-CN"/>
        </w:rPr>
        <w:t>在县委县政府及上级主管部门的领导下，认真有效地开展工作，完成了木材运输检查以及松材线虫防治等各项工作任务。</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FF0000"/>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250.24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9.08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年初结转结余与往年比较，大幅减少。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FF0000"/>
          <w:sz w:val="32"/>
          <w:szCs w:val="32"/>
          <w:highlight w:val="none"/>
          <w:lang w:eastAsia="zh-CN"/>
        </w:rPr>
      </w:pPr>
      <w:r>
        <w:rPr>
          <w:rFonts w:hint="eastAsia" w:ascii="仿宋" w:hAnsi="仿宋" w:eastAsia="仿宋"/>
          <w:color w:val="FF0000"/>
          <w:sz w:val="32"/>
          <w:szCs w:val="32"/>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FF0000"/>
          <w:sz w:val="32"/>
          <w:szCs w:val="32"/>
          <w:highlight w:val="none"/>
        </w:rPr>
        <w:t>（图</w:t>
      </w:r>
      <w:r>
        <w:rPr>
          <w:rFonts w:ascii="仿宋" w:hAnsi="仿宋" w:eastAsia="仿宋"/>
          <w:color w:val="FF0000"/>
          <w:sz w:val="32"/>
          <w:szCs w:val="32"/>
          <w:highlight w:val="none"/>
        </w:rPr>
        <w:t>1</w:t>
      </w:r>
      <w:r>
        <w:rPr>
          <w:rFonts w:hint="eastAsia" w:ascii="仿宋" w:hAnsi="仿宋" w:eastAsia="仿宋"/>
          <w:color w:val="FF0000"/>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125.12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125.06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；年初结转和结余</w:t>
      </w:r>
      <w:r>
        <w:rPr>
          <w:rFonts w:hint="eastAsia" w:ascii="仿宋" w:hAnsi="仿宋" w:eastAsia="仿宋"/>
          <w:color w:val="auto"/>
          <w:sz w:val="32"/>
          <w:szCs w:val="32"/>
          <w:highlight w:val="none"/>
          <w:lang w:val="en-US" w:eastAsia="zh-CN"/>
        </w:rPr>
        <w:t>0.06万元，占0.05%。</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FF0000"/>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125.12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125.12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FF0000"/>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250.24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年相比，财政拨款收、支总计减少</w:t>
      </w:r>
      <w:r>
        <w:rPr>
          <w:rFonts w:hint="eastAsia" w:ascii="仿宋" w:hAnsi="仿宋" w:eastAsia="仿宋"/>
          <w:color w:val="auto"/>
          <w:sz w:val="32"/>
          <w:szCs w:val="32"/>
          <w:highlight w:val="none"/>
          <w:lang w:val="en-US" w:eastAsia="zh-CN"/>
        </w:rPr>
        <w:t>9.08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年初结转结余与往年比较，大幅减少。</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olor w:val="auto"/>
          <w:sz w:val="32"/>
          <w:szCs w:val="32"/>
          <w:highlight w:val="none"/>
        </w:rPr>
      </w:pPr>
      <w:r>
        <w:rPr>
          <w:rFonts w:hint="eastAsia" w:ascii="仿宋" w:hAnsi="仿宋" w:eastAsia="仿宋"/>
          <w:color w:val="FF0000"/>
          <w:sz w:val="32"/>
          <w:szCs w:val="32"/>
          <w:highlight w:val="none"/>
          <w:lang w:eastAsia="zh-CN"/>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FF0000"/>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125.12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4.48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3.46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年初结转和结余减少。</w:t>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FF0000"/>
          <w:sz w:val="32"/>
          <w:szCs w:val="32"/>
          <w:highlight w:val="none"/>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FF0000"/>
          <w:sz w:val="32"/>
          <w:szCs w:val="32"/>
          <w:highlight w:val="none"/>
          <w:lang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125.12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农林水支出</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213</w:t>
      </w:r>
      <w:r>
        <w:rPr>
          <w:rFonts w:hint="eastAsia" w:ascii="仿宋" w:hAnsi="仿宋" w:eastAsia="仿宋"/>
          <w:b/>
          <w:color w:val="auto"/>
          <w:sz w:val="32"/>
          <w:szCs w:val="32"/>
          <w:highlight w:val="none"/>
        </w:rPr>
        <w:t>）</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99.15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color w:val="auto"/>
          <w:sz w:val="32"/>
          <w:szCs w:val="32"/>
          <w:highlight w:val="none"/>
          <w:lang w:val="en-US" w:eastAsia="zh-CN"/>
        </w:rPr>
        <w:t>208</w:t>
      </w:r>
      <w:r>
        <w:rPr>
          <w:rFonts w:hint="eastAsia" w:ascii="仿宋" w:hAnsi="仿宋" w:eastAsia="仿宋"/>
          <w:b/>
          <w:color w:val="auto"/>
          <w:sz w:val="32"/>
          <w:szCs w:val="32"/>
          <w:highlight w:val="none"/>
        </w:rPr>
        <w:t>）</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210</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221</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FF0000"/>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125.12</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lang w:eastAsia="zh-CN"/>
        </w:rPr>
        <w:t>农林水支出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213</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林业和草原</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事业机构</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04</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84.09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84.81</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2.</w:t>
      </w:r>
      <w:r>
        <w:rPr>
          <w:rStyle w:val="14"/>
          <w:rFonts w:hint="eastAsia" w:ascii="仿宋" w:hAnsi="仿宋" w:eastAsia="仿宋"/>
          <w:bCs/>
          <w:color w:val="auto"/>
          <w:sz w:val="32"/>
          <w:szCs w:val="32"/>
          <w:highlight w:val="none"/>
          <w:lang w:eastAsia="zh-CN"/>
        </w:rPr>
        <w:t>农林水支出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213</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林业和草原</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其他林业和草原支出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15.13</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3.</w:t>
      </w:r>
      <w:r>
        <w:rPr>
          <w:rStyle w:val="14"/>
          <w:rFonts w:hint="eastAsia" w:ascii="仿宋" w:hAnsi="仿宋" w:eastAsia="仿宋"/>
          <w:bCs/>
          <w:color w:val="auto"/>
          <w:sz w:val="32"/>
          <w:szCs w:val="32"/>
          <w:highlight w:val="none"/>
          <w:lang w:eastAsia="zh-CN"/>
        </w:rPr>
        <w:t>农林水支出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213</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其他农林水支出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其他农林水支出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0.06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0.06</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w:t>
      </w:r>
      <w:r>
        <w:rPr>
          <w:rStyle w:val="14"/>
          <w:rFonts w:hint="eastAsia" w:ascii="仿宋" w:hAnsi="仿宋" w:eastAsia="仿宋"/>
          <w:b w:val="0"/>
          <w:bCs/>
          <w:color w:val="auto"/>
          <w:sz w:val="32"/>
          <w:szCs w:val="32"/>
          <w:highlight w:val="none"/>
          <w:lang w:eastAsia="zh-CN"/>
        </w:rPr>
        <w:t>大</w:t>
      </w:r>
      <w:r>
        <w:rPr>
          <w:rStyle w:val="14"/>
          <w:rFonts w:hint="eastAsia" w:ascii="仿宋" w:hAnsi="仿宋" w:eastAsia="仿宋"/>
          <w:b w:val="0"/>
          <w:bCs/>
          <w:color w:val="auto"/>
          <w:sz w:val="32"/>
          <w:szCs w:val="32"/>
          <w:highlight w:val="none"/>
        </w:rPr>
        <w:t>于预算数的主要原因是</w:t>
      </w:r>
      <w:r>
        <w:rPr>
          <w:rStyle w:val="14"/>
          <w:rFonts w:hint="eastAsia" w:ascii="仿宋" w:hAnsi="仿宋" w:eastAsia="仿宋"/>
          <w:b w:val="0"/>
          <w:bCs/>
          <w:color w:val="auto"/>
          <w:sz w:val="32"/>
          <w:szCs w:val="32"/>
          <w:highlight w:val="none"/>
          <w:lang w:eastAsia="zh-CN"/>
        </w:rPr>
        <w:t>年初结转和结余形成的</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4.</w:t>
      </w:r>
      <w:r>
        <w:rPr>
          <w:rStyle w:val="14"/>
          <w:rFonts w:hint="eastAsia" w:ascii="仿宋" w:hAnsi="仿宋" w:eastAsia="仿宋"/>
          <w:bCs/>
          <w:color w:val="auto"/>
          <w:sz w:val="32"/>
          <w:szCs w:val="32"/>
          <w:highlight w:val="none"/>
          <w:lang w:eastAsia="zh-CN"/>
        </w:rPr>
        <w:t>住房保障</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221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住房改革支出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住房公积金</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6.36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ascii="仿宋" w:hAnsi="仿宋" w:eastAsia="仿宋"/>
          <w:bCs/>
          <w:color w:val="auto"/>
          <w:sz w:val="32"/>
          <w:szCs w:val="32"/>
          <w:highlight w:val="none"/>
        </w:rPr>
        <w:t>5.</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  机关事业单位基本养老保险缴费支出（</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8.48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54.05</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 其他行政事业单位养老支出</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lang w:eastAsia="zh-CN"/>
        </w:rPr>
        <w:t>）：支出决算为</w:t>
      </w:r>
      <w:r>
        <w:rPr>
          <w:rStyle w:val="14"/>
          <w:rFonts w:hint="eastAsia" w:ascii="仿宋" w:hAnsi="仿宋" w:eastAsia="仿宋"/>
          <w:b w:val="0"/>
          <w:bCs/>
          <w:color w:val="auto"/>
          <w:sz w:val="32"/>
          <w:szCs w:val="32"/>
          <w:highlight w:val="none"/>
          <w:lang w:val="en-US" w:eastAsia="zh-CN"/>
        </w:rPr>
        <w:t>7.21万元，完成预算45.95%，决算数等于预算数</w:t>
      </w:r>
    </w:p>
    <w:p>
      <w:pPr>
        <w:spacing w:line="600" w:lineRule="exact"/>
        <w:ind w:firstLine="643" w:firstLineChars="200"/>
        <w:rPr>
          <w:rFonts w:ascii="仿宋" w:hAnsi="仿宋" w:eastAsia="仿宋"/>
          <w:color w:val="auto"/>
          <w:sz w:val="32"/>
          <w:szCs w:val="32"/>
          <w:highlight w:val="none"/>
        </w:rPr>
      </w:pPr>
      <w:r>
        <w:rPr>
          <w:rStyle w:val="14"/>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210</w:t>
      </w:r>
      <w:r>
        <w:rPr>
          <w:rStyle w:val="14"/>
          <w:rFonts w:hint="eastAsia" w:ascii="仿宋" w:hAnsi="仿宋" w:eastAsia="仿宋"/>
          <w:bCs/>
          <w:color w:val="auto"/>
          <w:sz w:val="32"/>
          <w:szCs w:val="32"/>
          <w:highlight w:val="none"/>
        </w:rPr>
        <w:t>）行政事业单位医疗（</w:t>
      </w:r>
      <w:r>
        <w:rPr>
          <w:rStyle w:val="14"/>
          <w:rFonts w:hint="eastAsia" w:ascii="仿宋" w:hAnsi="仿宋" w:eastAsia="仿宋"/>
          <w:bCs/>
          <w:color w:val="auto"/>
          <w:sz w:val="32"/>
          <w:szCs w:val="32"/>
          <w:highlight w:val="none"/>
          <w:lang w:val="en-US" w:eastAsia="zh-CN"/>
        </w:rPr>
        <w:t>11</w:t>
      </w:r>
      <w:r>
        <w:rPr>
          <w:rStyle w:val="14"/>
          <w:rFonts w:hint="eastAsia" w:ascii="仿宋" w:hAnsi="仿宋" w:eastAsia="仿宋"/>
          <w:bCs/>
          <w:color w:val="auto"/>
          <w:sz w:val="32"/>
          <w:szCs w:val="32"/>
          <w:highlight w:val="none"/>
        </w:rPr>
        <w:t>）事业单位医疗（</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3.93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至项级。上述“预算”口径为调整预算数。增减变动原因为决算数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和调整预算数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125.12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人员经费</w:t>
      </w:r>
      <w:r>
        <w:rPr>
          <w:rFonts w:hint="eastAsia" w:ascii="仿宋" w:hAnsi="仿宋" w:eastAsia="仿宋"/>
          <w:color w:val="auto"/>
          <w:sz w:val="32"/>
          <w:szCs w:val="32"/>
          <w:highlight w:val="none"/>
          <w:lang w:val="en-US" w:eastAsia="zh-CN"/>
        </w:rPr>
        <w:t>93.36</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31.76</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FF0000"/>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FF0000"/>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3.20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（注：上述“预算”口径为调整预算数，包括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93.75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w:t>
      </w:r>
      <w:r>
        <w:rPr>
          <w:rFonts w:hint="eastAsia" w:ascii="仿宋" w:hAnsi="仿宋" w:eastAsia="仿宋"/>
          <w:color w:val="auto"/>
          <w:sz w:val="32"/>
          <w:szCs w:val="32"/>
          <w:highlight w:val="none"/>
          <w:lang w:eastAsia="zh-CN"/>
        </w:rPr>
        <w:t>算</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bookmarkStart w:id="67" w:name="_GoBack"/>
      <w:r>
        <w:rPr>
          <w:rFonts w:hint="eastAsia" w:eastAsia="仿宋_GB2312"/>
          <w:lang w:eastAsia="zh-CN"/>
        </w:rPr>
        <w:drawing>
          <wp:inline distT="0" distB="0" distL="114300" distR="114300">
            <wp:extent cx="5080000" cy="3810000"/>
            <wp:effectExtent l="4445" t="4445" r="20955" b="146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67"/>
    </w:p>
    <w:p>
      <w:pPr>
        <w:spacing w:line="600" w:lineRule="exact"/>
        <w:ind w:firstLine="640"/>
        <w:rPr>
          <w:rFonts w:ascii="仿宋" w:hAnsi="仿宋" w:eastAsia="仿宋"/>
          <w:color w:val="FF0000"/>
          <w:sz w:val="32"/>
          <w:szCs w:val="32"/>
          <w:highlight w:val="none"/>
        </w:rPr>
      </w:pPr>
      <w:r>
        <w:rPr>
          <w:rFonts w:hint="eastAsia" w:ascii="仿宋" w:hAnsi="仿宋" w:eastAsia="仿宋"/>
          <w:color w:val="FF0000"/>
          <w:sz w:val="32"/>
          <w:szCs w:val="32"/>
          <w:highlight w:val="none"/>
        </w:rPr>
        <w:t>（图7：“三公”经费财政拨款支出结构）（饼状图）</w:t>
      </w:r>
    </w:p>
    <w:p>
      <w:pPr>
        <w:spacing w:line="600" w:lineRule="exact"/>
        <w:ind w:firstLine="640"/>
        <w:rPr>
          <w:rFonts w:hint="eastAsia" w:ascii="仿宋_GB2312" w:eastAsia="仿宋_GB2312"/>
          <w:b/>
          <w:color w:val="FF0000"/>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FF0000"/>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FF0000"/>
          <w:sz w:val="32"/>
          <w:szCs w:val="32"/>
          <w:highlight w:val="none"/>
          <w:lang w:eastAsia="zh-CN"/>
        </w:rPr>
        <w:t>（无相关数据不能删除）</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开支内容包括：…（团组名称、出访地点、取得成效）等。</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ascii="仿宋_GB2312" w:eastAsia="仿宋_GB2312"/>
          <w:b/>
          <w:color w:val="FF0000"/>
          <w:sz w:val="32"/>
          <w:szCs w:val="32"/>
          <w:highlight w:val="none"/>
        </w:rPr>
        <w:t>.</w:t>
      </w:r>
      <w:r>
        <w:rPr>
          <w:rFonts w:hint="eastAsia" w:ascii="仿宋_GB2312" w:eastAsia="仿宋_GB2312"/>
          <w:b/>
          <w:color w:val="FF0000"/>
          <w:sz w:val="32"/>
          <w:szCs w:val="32"/>
          <w:highlight w:val="none"/>
        </w:rPr>
        <w:t>公务用车购置及运行维护费支出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相比没有变化</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木材运输检查保障监督工作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FF0000"/>
          <w:sz w:val="32"/>
          <w:szCs w:val="32"/>
          <w:highlight w:val="none"/>
        </w:rPr>
        <w:t>公务接待费支出</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接待人员增加</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内宾接待</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Fonts w:ascii="黑体" w:eastAsia="黑体"/>
          <w:color w:val="auto"/>
          <w:sz w:val="32"/>
          <w:szCs w:val="32"/>
          <w:highlight w:val="none"/>
        </w:rPr>
      </w:pPr>
      <w:bookmarkStart w:id="40" w:name="_Toc15377218"/>
      <w:bookmarkStart w:id="41" w:name="_Toc15396610"/>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5"/>
          <w:rFonts w:ascii="黑体" w:hAnsi="黑体" w:eastAsia="黑体"/>
          <w:b w:val="0"/>
          <w:color w:val="auto"/>
          <w:highlight w:val="none"/>
        </w:rPr>
      </w:pPr>
      <w:bookmarkStart w:id="42" w:name="_Toc15377219"/>
      <w:bookmarkStart w:id="43" w:name="_Toc15396611"/>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44" w:name="_Toc15396612"/>
      <w:bookmarkStart w:id="45" w:name="_Toc15377221"/>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FF0000"/>
          <w:sz w:val="32"/>
          <w:szCs w:val="32"/>
          <w:highlight w:val="none"/>
        </w:rPr>
      </w:pPr>
      <w:bookmarkStart w:id="46" w:name="_Toc15377222"/>
      <w:r>
        <w:rPr>
          <w:rFonts w:hint="eastAsia" w:ascii="仿宋" w:hAnsi="仿宋" w:eastAsia="仿宋"/>
          <w:b/>
          <w:color w:val="auto"/>
          <w:sz w:val="32"/>
          <w:szCs w:val="32"/>
          <w:highlight w:val="none"/>
        </w:rPr>
        <w:t>（一）</w:t>
      </w:r>
      <w:r>
        <w:rPr>
          <w:rFonts w:hint="eastAsia" w:ascii="仿宋" w:hAnsi="仿宋" w:eastAsia="仿宋"/>
          <w:b/>
          <w:color w:val="FF0000"/>
          <w:sz w:val="32"/>
          <w:szCs w:val="32"/>
          <w:highlight w:val="none"/>
        </w:rPr>
        <w:t>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年，我单位执行的是事业单位会计制度，无机关运行经费支出。</w:t>
      </w:r>
    </w:p>
    <w:p>
      <w:pPr>
        <w:spacing w:line="600" w:lineRule="exact"/>
        <w:ind w:firstLine="643" w:firstLineChars="200"/>
        <w:rPr>
          <w:rFonts w:ascii="仿宋" w:hAnsi="仿宋" w:eastAsia="仿宋"/>
          <w:b/>
          <w:color w:val="FF0000"/>
          <w:sz w:val="32"/>
          <w:szCs w:val="32"/>
          <w:highlight w:val="none"/>
        </w:rPr>
      </w:pPr>
      <w:r>
        <w:rPr>
          <w:rFonts w:hint="eastAsia" w:ascii="仿宋" w:hAnsi="仿宋" w:eastAsia="仿宋"/>
          <w:b/>
          <w:color w:val="FF0000"/>
          <w:sz w:val="32"/>
          <w:szCs w:val="32"/>
          <w:highlight w:val="none"/>
        </w:rPr>
        <w:t>（注：数据来源于财决附</w:t>
      </w:r>
      <w:r>
        <w:rPr>
          <w:rFonts w:ascii="仿宋" w:hAnsi="仿宋" w:eastAsia="仿宋"/>
          <w:b/>
          <w:color w:val="FF0000"/>
          <w:sz w:val="32"/>
          <w:szCs w:val="32"/>
          <w:highlight w:val="none"/>
        </w:rPr>
        <w:t>03</w:t>
      </w:r>
      <w:r>
        <w:rPr>
          <w:rFonts w:hint="eastAsia" w:ascii="仿宋" w:hAnsi="仿宋" w:eastAsia="仿宋"/>
          <w:b/>
          <w:color w:val="FF0000"/>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FF0000"/>
          <w:sz w:val="32"/>
          <w:szCs w:val="32"/>
          <w:highlight w:val="none"/>
        </w:rPr>
      </w:pPr>
      <w:bookmarkStart w:id="47" w:name="_Toc15377223"/>
      <w:r>
        <w:rPr>
          <w:rFonts w:hint="eastAsia" w:ascii="仿宋" w:hAnsi="仿宋" w:eastAsia="仿宋"/>
          <w:b/>
          <w:color w:val="auto"/>
          <w:sz w:val="32"/>
          <w:szCs w:val="32"/>
          <w:highlight w:val="none"/>
        </w:rPr>
        <w:t>（二）</w:t>
      </w:r>
      <w:r>
        <w:rPr>
          <w:rFonts w:hint="eastAsia" w:ascii="仿宋" w:hAnsi="仿宋" w:eastAsia="仿宋"/>
          <w:b/>
          <w:color w:val="FF0000"/>
          <w:sz w:val="32"/>
          <w:szCs w:val="32"/>
          <w:highlight w:val="none"/>
        </w:rPr>
        <w:t>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3" w:firstLineChars="200"/>
        <w:rPr>
          <w:rFonts w:ascii="仿宋" w:hAnsi="仿宋" w:eastAsia="仿宋"/>
          <w:b/>
          <w:color w:val="FF0000"/>
          <w:sz w:val="32"/>
          <w:szCs w:val="32"/>
          <w:highlight w:val="none"/>
        </w:rPr>
      </w:pPr>
      <w:r>
        <w:rPr>
          <w:rFonts w:hint="eastAsia" w:ascii="仿宋" w:hAnsi="仿宋" w:eastAsia="仿宋"/>
          <w:b/>
          <w:color w:val="FF0000"/>
          <w:sz w:val="32"/>
          <w:szCs w:val="32"/>
          <w:highlight w:val="none"/>
        </w:rPr>
        <w:t>（注：数据来源于财决附</w:t>
      </w:r>
      <w:r>
        <w:rPr>
          <w:rFonts w:ascii="仿宋" w:hAnsi="仿宋" w:eastAsia="仿宋"/>
          <w:b/>
          <w:color w:val="FF0000"/>
          <w:sz w:val="32"/>
          <w:szCs w:val="32"/>
          <w:highlight w:val="none"/>
        </w:rPr>
        <w:t>03</w:t>
      </w:r>
      <w:r>
        <w:rPr>
          <w:rFonts w:hint="eastAsia" w:ascii="仿宋" w:hAnsi="仿宋" w:eastAsia="仿宋"/>
          <w:b/>
          <w:color w:val="FF0000"/>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w:t>
      </w:r>
      <w:r>
        <w:rPr>
          <w:rFonts w:hint="eastAsia" w:ascii="仿宋" w:hAnsi="仿宋" w:eastAsia="仿宋"/>
          <w:b/>
          <w:color w:val="FF0000"/>
          <w:sz w:val="32"/>
          <w:szCs w:val="32"/>
          <w:highlight w:val="none"/>
        </w:rPr>
        <w:t>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，大竹县木材检查站</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辆……其他用车主要是用于</w:t>
      </w:r>
      <w:r>
        <w:rPr>
          <w:rFonts w:hint="eastAsia" w:ascii="仿宋_GB2312" w:eastAsia="仿宋_GB2312"/>
          <w:color w:val="auto"/>
          <w:sz w:val="32"/>
          <w:szCs w:val="32"/>
          <w:highlight w:val="none"/>
          <w:lang w:eastAsia="zh-CN"/>
        </w:rPr>
        <w:t>执勤保障。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rPr>
          <w:rFonts w:ascii="仿宋" w:hAnsi="仿宋" w:eastAsia="仿宋"/>
          <w:b/>
          <w:color w:val="FF0000"/>
          <w:sz w:val="32"/>
          <w:szCs w:val="32"/>
          <w:highlight w:val="none"/>
        </w:rPr>
      </w:pPr>
      <w:r>
        <w:rPr>
          <w:rFonts w:hint="eastAsia" w:ascii="仿宋" w:hAnsi="仿宋" w:eastAsia="仿宋"/>
          <w:b/>
          <w:color w:val="FF0000"/>
          <w:sz w:val="32"/>
          <w:szCs w:val="32"/>
          <w:highlight w:val="none"/>
        </w:rPr>
        <w:t>（注：数据来源</w:t>
      </w:r>
      <w:r>
        <w:rPr>
          <w:rFonts w:hint="eastAsia" w:ascii="仿宋" w:hAnsi="仿宋" w:eastAsia="仿宋"/>
          <w:b/>
          <w:color w:val="FF0000"/>
          <w:sz w:val="32"/>
          <w:szCs w:val="32"/>
          <w:highlight w:val="none"/>
          <w:lang w:eastAsia="zh-CN"/>
        </w:rPr>
        <w:t>于</w:t>
      </w:r>
      <w:r>
        <w:rPr>
          <w:rFonts w:hint="eastAsia" w:ascii="仿宋" w:hAnsi="仿宋" w:eastAsia="仿宋"/>
          <w:b/>
          <w:color w:val="FF0000"/>
          <w:sz w:val="32"/>
          <w:szCs w:val="32"/>
          <w:highlight w:val="none"/>
        </w:rPr>
        <w:t>财决附</w:t>
      </w:r>
      <w:r>
        <w:rPr>
          <w:rFonts w:ascii="仿宋" w:hAnsi="仿宋" w:eastAsia="仿宋"/>
          <w:b/>
          <w:color w:val="FF0000"/>
          <w:sz w:val="32"/>
          <w:szCs w:val="32"/>
          <w:highlight w:val="none"/>
        </w:rPr>
        <w:t>03</w:t>
      </w:r>
      <w:r>
        <w:rPr>
          <w:rFonts w:hint="eastAsia" w:ascii="仿宋" w:hAnsi="仿宋" w:eastAsia="仿宋"/>
          <w:b/>
          <w:color w:val="FF0000"/>
          <w:sz w:val="32"/>
          <w:szCs w:val="32"/>
          <w:highlight w:val="none"/>
        </w:rPr>
        <w:t>表，按</w:t>
      </w:r>
      <w:r>
        <w:rPr>
          <w:rFonts w:hint="eastAsia" w:ascii="仿宋" w:hAnsi="仿宋" w:eastAsia="仿宋"/>
          <w:b/>
          <w:color w:val="FF0000"/>
          <w:sz w:val="32"/>
          <w:szCs w:val="32"/>
          <w:highlight w:val="none"/>
          <w:lang w:eastAsia="zh-CN"/>
        </w:rPr>
        <w:t>单位</w:t>
      </w:r>
      <w:r>
        <w:rPr>
          <w:rFonts w:hint="eastAsia" w:ascii="仿宋" w:hAnsi="仿宋" w:eastAsia="仿宋"/>
          <w:b/>
          <w:color w:val="FF0000"/>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eastAsia" w:ascii="仿宋" w:hAnsi="仿宋" w:eastAsia="仿宋"/>
          <w:b/>
          <w:color w:val="FF0000"/>
          <w:sz w:val="32"/>
          <w:szCs w:val="32"/>
          <w:highlight w:val="none"/>
          <w:lang w:eastAsia="zh-CN"/>
        </w:rPr>
      </w:pPr>
      <w:r>
        <w:rPr>
          <w:rFonts w:hint="eastAsia" w:ascii="仿宋" w:hAnsi="仿宋" w:eastAsia="仿宋"/>
          <w:b/>
          <w:color w:val="auto"/>
          <w:sz w:val="32"/>
          <w:szCs w:val="32"/>
          <w:highlight w:val="none"/>
        </w:rPr>
        <w:t>（四）</w:t>
      </w:r>
      <w:r>
        <w:rPr>
          <w:rFonts w:hint="eastAsia" w:ascii="仿宋" w:hAnsi="仿宋" w:eastAsia="仿宋"/>
          <w:b/>
          <w:color w:val="FF0000"/>
          <w:sz w:val="32"/>
          <w:szCs w:val="32"/>
          <w:highlight w:val="none"/>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0个项目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年部门整体支出开展绩效自评，从评价情况来看保障了木材合法运输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个项目支出绩效评价，从评价情况来看有效保护生态林业建设</w:t>
      </w:r>
      <w:r>
        <w:rPr>
          <w:rFonts w:hint="eastAsia" w:ascii="仿宋_GB2312" w:hAnsi="仿宋_GB2312" w:eastAsia="仿宋_GB2312" w:cs="仿宋_GB2312"/>
          <w:sz w:val="32"/>
          <w:szCs w:val="32"/>
          <w:lang w:eastAsia="zh-CN"/>
        </w:rPr>
        <w:t>。</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numPr>
          <w:ilvl w:val="0"/>
          <w:numId w:val="0"/>
        </w:numPr>
        <w:spacing w:line="580" w:lineRule="exact"/>
        <w:rPr>
          <w:rFonts w:hint="eastAsia" w:ascii="仿宋_GB2312" w:hAnsi="仿宋_GB2312" w:eastAsia="仿宋_GB2312" w:cs="仿宋_GB2312"/>
          <w:sz w:val="32"/>
          <w:szCs w:val="32"/>
        </w:rPr>
      </w:pPr>
    </w:p>
    <w:p>
      <w:pPr>
        <w:numPr>
          <w:ilvl w:val="0"/>
          <w:numId w:val="0"/>
        </w:num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（1）无项目绩效目标完成情况综述。项目全年预算数0万元，执行数为0万元，完成预算的0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（2）无项目绩效目标完成情况综述。项目全年预算数0万元，执行数为</w:t>
      </w:r>
      <w:r>
        <w:rPr>
          <w:rFonts w:ascii="仿宋_GB2312" w:hAnsi="仿宋_GB2312" w:eastAsia="仿宋_GB2312" w:cs="仿宋_GB2312"/>
          <w:sz w:val="32"/>
          <w:szCs w:val="32"/>
        </w:rPr>
        <w:t>XXX</w:t>
      </w:r>
      <w:r>
        <w:rPr>
          <w:rFonts w:hint="eastAsia" w:ascii="仿宋_GB2312" w:hAnsi="仿宋_GB2312" w:eastAsia="仿宋_GB2312" w:cs="仿宋_GB2312"/>
          <w:sz w:val="32"/>
          <w:szCs w:val="32"/>
        </w:rPr>
        <w:t>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按照项目总体目标简要描述项目成效），发现的主要问题：0。</w:t>
      </w:r>
    </w:p>
    <w:p>
      <w:pPr>
        <w:spacing w:line="580" w:lineRule="exact"/>
        <w:ind w:firstLine="640" w:firstLineChars="200"/>
        <w:rPr>
          <w:rFonts w:hint="eastAsia"/>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）无项目绩效目标完成情况综述。项目全年预算数0万元，执行数为0万元，完成预算的0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按照项目总体目标简要描述项目成效），发现的主要问题：0。</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0个项目</w:t>
      </w:r>
      <w:r>
        <w:rPr>
          <w:rFonts w:hint="eastAsia" w:ascii="仿宋_GB2312" w:hAnsi="仿宋_GB2312" w:eastAsia="仿宋_GB2312" w:cs="仿宋_GB2312"/>
          <w:color w:val="auto"/>
          <w:sz w:val="32"/>
          <w:szCs w:val="32"/>
          <w:highlight w:val="none"/>
        </w:rPr>
        <w:t>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r>
        <w:rPr>
          <w:rFonts w:hint="eastAsia" w:ascii="仿宋" w:hAnsi="仿宋" w:eastAsia="仿宋"/>
          <w:b/>
          <w:bCs w:val="0"/>
          <w:color w:val="auto"/>
          <w:sz w:val="32"/>
          <w:szCs w:val="32"/>
          <w:highlight w:val="none"/>
        </w:rPr>
        <w:t>（注：</w:t>
      </w:r>
      <w:r>
        <w:rPr>
          <w:rFonts w:hint="eastAsia" w:ascii="仿宋" w:hAnsi="仿宋" w:eastAsia="仿宋"/>
          <w:b/>
          <w:bCs w:val="0"/>
          <w:color w:val="auto"/>
          <w:sz w:val="32"/>
          <w:szCs w:val="32"/>
          <w:highlight w:val="none"/>
          <w:lang w:eastAsia="zh-CN"/>
        </w:rPr>
        <w:t>单位</w:t>
      </w:r>
      <w:r>
        <w:rPr>
          <w:rFonts w:hint="eastAsia" w:ascii="仿宋_GB2312" w:hAnsi="仿宋_GB2312" w:eastAsia="仿宋_GB2312" w:cs="仿宋_GB2312"/>
          <w:b/>
          <w:bCs w:val="0"/>
          <w:color w:val="auto"/>
          <w:sz w:val="32"/>
          <w:szCs w:val="32"/>
          <w:highlight w:val="none"/>
          <w:lang w:val="en-US" w:eastAsia="zh-CN"/>
        </w:rPr>
        <w:t>2021年特定目标类部门预算项目绩效目标自评表为本部门2021年部门整体支出绩效评价报告中涉及本单位的附表</w:t>
      </w:r>
      <w:r>
        <w:rPr>
          <w:rFonts w:hint="eastAsia" w:ascii="仿宋" w:hAnsi="仿宋" w:eastAsia="仿宋"/>
          <w:b/>
          <w:bCs w:val="0"/>
          <w:color w:val="auto"/>
          <w:sz w:val="32"/>
          <w:szCs w:val="32"/>
          <w:highlight w:val="none"/>
        </w:rPr>
        <w:t>）</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4"/>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文化体育与传媒（类）…（款）…（项）：指……。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rPr>
        <w:t>医疗卫生与计划生育（类）…（款）…（项）：指……。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资源勘探信息等（类）…（款）…（项）：指……。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rPr>
        <w:t>国土海洋气象等（类）…（款）…（项）：指……。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pPr>
        <w:pStyle w:val="22"/>
        <w:spacing w:line="560" w:lineRule="exact"/>
        <w:ind w:firstLine="640" w:firstLineChars="200"/>
        <w:rPr>
          <w:rFonts w:ascii="仿宋_GB2312" w:eastAsia="仿宋_GB2312" w:cs="黑体"/>
          <w:color w:val="auto"/>
          <w:sz w:val="32"/>
          <w:szCs w:val="32"/>
          <w:highlight w:val="none"/>
        </w:rPr>
      </w:pPr>
    </w:p>
    <w:p>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pPr>
        <w:spacing w:line="600" w:lineRule="exact"/>
        <w:jc w:val="center"/>
        <w:outlineLvl w:val="0"/>
        <w:rPr>
          <w:rStyle w:val="24"/>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bl>
    <w:p>
      <w:pPr>
        <w:spacing w:line="600" w:lineRule="exact"/>
        <w:jc w:val="center"/>
        <w:outlineLvl w:val="0"/>
        <w:rPr>
          <w:rFonts w:hint="eastAsia" w:ascii="黑体" w:hAnsi="黑体" w:eastAsia="黑体"/>
          <w:color w:val="auto"/>
          <w:sz w:val="44"/>
          <w:szCs w:val="44"/>
          <w:highlight w:val="none"/>
        </w:rPr>
      </w:pPr>
    </w:p>
    <w:p>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lang w:val="en-US" w:eastAsia="zh-CN"/>
        </w:rPr>
        <w:t>（注：有两个及以上100万元以上（含）特定目标类部门预算项目的，需分别开展绩效目标自评并填写附表）</w:t>
      </w: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大竹县木材检查站</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21</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2"/>
        <w:keepNext w:val="0"/>
        <w:keepLines w:val="0"/>
        <w:pageBreakBefore w:val="0"/>
        <w:widowControl w:val="0"/>
        <w:kinsoku/>
        <w:wordWrap/>
        <w:overflowPunct/>
        <w:topLinePunct w:val="0"/>
        <w:autoSpaceDE/>
        <w:autoSpaceDN/>
        <w:bidi w:val="0"/>
        <w:adjustRightInd/>
        <w:snapToGrid/>
        <w:spacing w:beforeLines="0" w:line="578" w:lineRule="exact"/>
        <w:ind w:firstLine="640" w:firstLineChars="200"/>
        <w:textAlignment w:val="auto"/>
        <w:rPr>
          <w:lang w:val="zh-CN"/>
        </w:rPr>
      </w:pPr>
      <w:r>
        <w:rPr>
          <w:rFonts w:ascii="仿宋_GB2312" w:hAnsi="宋体" w:eastAsia="仿宋_GB2312" w:cs="宋体"/>
          <w:color w:val="000000"/>
          <w:kern w:val="0"/>
          <w:sz w:val="32"/>
          <w:szCs w:val="32"/>
          <w:shd w:val="clear" w:color="auto" w:fill="FFFFFF"/>
          <w:lang w:val="zh-CN"/>
        </w:rPr>
        <w:t>大竹县木材检查站是全额拨款一级预算事业单位，执行事业单位会计，制度隶属于大竹县自然资源局。</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8" w:lineRule="exact"/>
        <w:ind w:firstLine="640" w:firstLineChars="200"/>
        <w:textAlignment w:val="auto"/>
        <w:rPr>
          <w:lang w:val="zh-CN"/>
        </w:rPr>
      </w:pPr>
      <w:r>
        <w:rPr>
          <w:rFonts w:ascii="仿宋_GB2312" w:hAnsi="宋体" w:eastAsia="仿宋_GB2312" w:cs="宋体"/>
          <w:color w:val="000000"/>
          <w:kern w:val="0"/>
          <w:sz w:val="32"/>
          <w:szCs w:val="32"/>
          <w:shd w:val="clear" w:color="auto" w:fill="FFFFFF"/>
          <w:lang w:val="zh-CN"/>
        </w:rPr>
        <w:t>为保护森林资料提供木材运输检查保障。公路木材运输监督检查。采取和建立以固定检查为主，流动巡查为辅的木材运输检查新机制。</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keepNext w:val="0"/>
        <w:keepLines w:val="0"/>
        <w:pageBreakBefore w:val="0"/>
        <w:widowControl/>
        <w:kinsoku/>
        <w:wordWrap/>
        <w:overflowPunct/>
        <w:topLinePunct w:val="0"/>
        <w:autoSpaceDE/>
        <w:autoSpaceDN/>
        <w:bidi w:val="0"/>
        <w:adjustRightInd w:val="0"/>
        <w:snapToGrid w:val="0"/>
        <w:spacing w:line="578" w:lineRule="exact"/>
        <w:ind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ascii="仿宋_GB2312" w:hAnsi="宋体" w:eastAsia="仿宋_GB2312" w:cs="宋体"/>
          <w:color w:val="000000"/>
          <w:kern w:val="0"/>
          <w:sz w:val="32"/>
          <w:szCs w:val="32"/>
          <w:shd w:val="clear" w:color="auto" w:fill="FFFFFF"/>
          <w:lang w:val="zh-CN"/>
        </w:rPr>
        <w:t>大竹县木材检查站定编10人。20</w:t>
      </w:r>
      <w:r>
        <w:rPr>
          <w:rFonts w:hint="eastAsia" w:ascii="仿宋_GB2312" w:hAnsi="宋体" w:eastAsia="仿宋_GB2312" w:cs="宋体"/>
          <w:color w:val="000000"/>
          <w:kern w:val="0"/>
          <w:sz w:val="32"/>
          <w:szCs w:val="32"/>
          <w:shd w:val="clear" w:color="auto" w:fill="FFFFFF"/>
          <w:lang w:val="zh-CN"/>
        </w:rPr>
        <w:t>20</w:t>
      </w:r>
      <w:r>
        <w:rPr>
          <w:rFonts w:ascii="仿宋_GB2312" w:hAnsi="宋体" w:eastAsia="仿宋_GB2312" w:cs="宋体"/>
          <w:color w:val="000000"/>
          <w:kern w:val="0"/>
          <w:sz w:val="32"/>
          <w:szCs w:val="32"/>
          <w:shd w:val="clear" w:color="auto" w:fill="FFFFFF"/>
          <w:lang w:val="zh-CN"/>
        </w:rPr>
        <w:t>年实有在职人员</w:t>
      </w:r>
      <w:r>
        <w:rPr>
          <w:rFonts w:hint="eastAsia" w:ascii="仿宋_GB2312" w:hAnsi="宋体" w:eastAsia="仿宋_GB2312" w:cs="宋体"/>
          <w:color w:val="000000"/>
          <w:kern w:val="0"/>
          <w:sz w:val="32"/>
          <w:szCs w:val="32"/>
          <w:shd w:val="clear" w:color="auto" w:fill="FFFFFF"/>
          <w:lang w:val="en-US" w:eastAsia="zh-CN"/>
        </w:rPr>
        <w:t>9</w:t>
      </w:r>
    </w:p>
    <w:p>
      <w:pPr>
        <w:pStyle w:val="2"/>
        <w:keepNext w:val="0"/>
        <w:keepLines w:val="0"/>
        <w:pageBreakBefore w:val="0"/>
        <w:numPr>
          <w:ilvl w:val="0"/>
          <w:numId w:val="0"/>
        </w:numPr>
        <w:kinsoku/>
        <w:wordWrap/>
        <w:overflowPunct/>
        <w:topLinePunct w:val="0"/>
        <w:autoSpaceDE/>
        <w:autoSpaceDN/>
        <w:bidi w:val="0"/>
        <w:spacing w:beforeLines="0" w:line="578" w:lineRule="exact"/>
        <w:textAlignment w:val="auto"/>
        <w:rPr>
          <w:lang w:val="zh-CN"/>
        </w:rPr>
      </w:pPr>
      <w:r>
        <w:rPr>
          <w:rFonts w:ascii="仿宋_GB2312" w:hAnsi="宋体" w:eastAsia="仿宋_GB2312" w:cs="宋体"/>
          <w:color w:val="000000"/>
          <w:kern w:val="0"/>
          <w:sz w:val="32"/>
          <w:szCs w:val="32"/>
          <w:shd w:val="clear" w:color="auto" w:fill="FFFFFF"/>
          <w:lang w:val="zh-CN"/>
        </w:rPr>
        <w:t>人，退休人员3人。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lang w:val="zh-CN"/>
        </w:rPr>
      </w:pPr>
      <w:r>
        <w:rPr>
          <w:rFonts w:ascii="仿宋_GB2312" w:hAnsi="宋体" w:eastAsia="仿宋_GB2312" w:cs="宋体"/>
          <w:color w:val="000000"/>
          <w:kern w:val="0"/>
          <w:sz w:val="32"/>
          <w:szCs w:val="32"/>
          <w:shd w:val="clear" w:color="auto" w:fill="FFFFFF"/>
          <w:lang w:val="zh-CN"/>
        </w:rPr>
        <w:t>大竹县木材检查站20</w:t>
      </w:r>
      <w:r>
        <w:rPr>
          <w:rFonts w:hint="eastAsia"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en-US" w:eastAsia="zh-CN"/>
        </w:rPr>
        <w:t>1</w:t>
      </w:r>
      <w:r>
        <w:rPr>
          <w:rFonts w:ascii="仿宋_GB2312" w:hAnsi="宋体" w:eastAsia="仿宋_GB2312" w:cs="宋体"/>
          <w:color w:val="000000"/>
          <w:kern w:val="0"/>
          <w:sz w:val="32"/>
          <w:szCs w:val="32"/>
          <w:shd w:val="clear" w:color="auto" w:fill="FFFFFF"/>
          <w:lang w:val="zh-CN"/>
        </w:rPr>
        <w:t>年财政预算</w:t>
      </w:r>
      <w:r>
        <w:rPr>
          <w:rFonts w:hint="eastAsia" w:ascii="仿宋_GB2312" w:hAnsi="宋体" w:eastAsia="仿宋_GB2312" w:cs="宋体"/>
          <w:color w:val="000000"/>
          <w:kern w:val="0"/>
          <w:sz w:val="32"/>
          <w:szCs w:val="32"/>
          <w:shd w:val="clear" w:color="auto" w:fill="FFFFFF"/>
          <w:lang w:val="zh-CN"/>
        </w:rPr>
        <w:t>拨款收入</w:t>
      </w:r>
      <w:r>
        <w:rPr>
          <w:rFonts w:ascii="仿宋_GB2312" w:hAnsi="宋体" w:eastAsia="仿宋_GB2312" w:cs="宋体"/>
          <w:color w:val="000000"/>
          <w:kern w:val="0"/>
          <w:sz w:val="32"/>
          <w:szCs w:val="32"/>
          <w:shd w:val="clear" w:color="auto" w:fill="FFFFFF"/>
          <w:lang w:val="zh-CN"/>
        </w:rPr>
        <w:t>为</w:t>
      </w:r>
      <w:r>
        <w:rPr>
          <w:rFonts w:hint="eastAsia" w:ascii="仿宋_GB2312" w:hAnsi="宋体" w:eastAsia="仿宋_GB2312" w:cs="宋体"/>
          <w:color w:val="000000"/>
          <w:kern w:val="0"/>
          <w:sz w:val="32"/>
          <w:szCs w:val="32"/>
          <w:shd w:val="clear" w:color="auto" w:fill="FFFFFF"/>
          <w:lang w:val="zh-CN"/>
        </w:rPr>
        <w:t>12</w:t>
      </w:r>
      <w:r>
        <w:rPr>
          <w:rFonts w:hint="eastAsia" w:ascii="仿宋_GB2312" w:hAnsi="宋体" w:eastAsia="仿宋_GB2312" w:cs="宋体"/>
          <w:color w:val="000000"/>
          <w:kern w:val="0"/>
          <w:sz w:val="32"/>
          <w:szCs w:val="32"/>
          <w:shd w:val="clear" w:color="auto" w:fill="FFFFFF"/>
          <w:lang w:val="en-US" w:eastAsia="zh-CN"/>
        </w:rPr>
        <w:t>5.12</w:t>
      </w:r>
      <w:r>
        <w:rPr>
          <w:rFonts w:ascii="仿宋_GB2312" w:hAnsi="宋体" w:eastAsia="仿宋_GB2312" w:cs="宋体"/>
          <w:color w:val="000000"/>
          <w:kern w:val="0"/>
          <w:sz w:val="32"/>
          <w:szCs w:val="32"/>
          <w:shd w:val="clear" w:color="auto" w:fill="FFFFFF"/>
          <w:lang w:val="zh-CN"/>
        </w:rPr>
        <w:t>万元，其中</w:t>
      </w:r>
      <w:r>
        <w:rPr>
          <w:rFonts w:hint="eastAsia" w:ascii="仿宋_GB2312" w:hAnsi="宋体" w:eastAsia="仿宋_GB2312" w:cs="宋体"/>
          <w:color w:val="000000"/>
          <w:kern w:val="0"/>
          <w:sz w:val="32"/>
          <w:szCs w:val="32"/>
          <w:shd w:val="clear" w:color="auto" w:fill="FFFFFF"/>
          <w:lang w:val="zh-CN"/>
        </w:rPr>
        <w:t>农林水支出</w:t>
      </w:r>
      <w:r>
        <w:rPr>
          <w:rFonts w:hint="eastAsia" w:ascii="仿宋_GB2312" w:hAnsi="宋体" w:eastAsia="仿宋_GB2312" w:cs="宋体"/>
          <w:color w:val="000000"/>
          <w:kern w:val="0"/>
          <w:sz w:val="32"/>
          <w:szCs w:val="32"/>
          <w:shd w:val="clear" w:color="auto" w:fill="FFFFFF"/>
          <w:lang w:val="en-US" w:eastAsia="zh-CN"/>
        </w:rPr>
        <w:t>99.09</w:t>
      </w:r>
      <w:r>
        <w:rPr>
          <w:rFonts w:ascii="仿宋_GB2312" w:hAnsi="宋体" w:eastAsia="仿宋_GB2312" w:cs="宋体"/>
          <w:color w:val="000000"/>
          <w:kern w:val="0"/>
          <w:sz w:val="32"/>
          <w:szCs w:val="32"/>
          <w:shd w:val="clear" w:color="auto" w:fill="FFFFFF"/>
          <w:lang w:val="zh-CN"/>
        </w:rPr>
        <w:t>元，社会保障和就业支出</w:t>
      </w:r>
      <w:r>
        <w:rPr>
          <w:rFonts w:hint="eastAsia" w:ascii="仿宋_GB2312" w:hAnsi="宋体" w:eastAsia="仿宋_GB2312" w:cs="宋体"/>
          <w:color w:val="000000"/>
          <w:kern w:val="0"/>
          <w:sz w:val="32"/>
          <w:szCs w:val="32"/>
          <w:shd w:val="clear" w:color="auto" w:fill="FFFFFF"/>
          <w:lang w:val="en-US" w:eastAsia="zh-CN"/>
        </w:rPr>
        <w:t>15.69</w:t>
      </w:r>
      <w:r>
        <w:rPr>
          <w:rFonts w:ascii="仿宋_GB2312" w:hAnsi="宋体" w:eastAsia="仿宋_GB2312" w:cs="宋体"/>
          <w:color w:val="000000"/>
          <w:kern w:val="0"/>
          <w:sz w:val="32"/>
          <w:szCs w:val="32"/>
          <w:shd w:val="clear" w:color="auto" w:fill="FFFFFF"/>
          <w:lang w:val="zh-CN"/>
        </w:rPr>
        <w:t>万元，住房公积金</w:t>
      </w:r>
      <w:r>
        <w:rPr>
          <w:rFonts w:hint="eastAsia" w:ascii="仿宋_GB2312" w:hAnsi="宋体" w:eastAsia="仿宋_GB2312" w:cs="宋体"/>
          <w:color w:val="000000"/>
          <w:kern w:val="0"/>
          <w:sz w:val="32"/>
          <w:szCs w:val="32"/>
          <w:shd w:val="clear" w:color="auto" w:fill="FFFFFF"/>
          <w:lang w:val="zh-CN"/>
        </w:rPr>
        <w:t>6.</w:t>
      </w:r>
      <w:r>
        <w:rPr>
          <w:rFonts w:hint="eastAsia" w:ascii="仿宋_GB2312" w:hAnsi="宋体" w:eastAsia="仿宋_GB2312" w:cs="宋体"/>
          <w:color w:val="000000"/>
          <w:kern w:val="0"/>
          <w:sz w:val="32"/>
          <w:szCs w:val="32"/>
          <w:shd w:val="clear" w:color="auto" w:fill="FFFFFF"/>
          <w:lang w:val="en-US" w:eastAsia="zh-CN"/>
        </w:rPr>
        <w:t>36</w:t>
      </w:r>
      <w:r>
        <w:rPr>
          <w:rFonts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rPr>
        <w:t>卫生健康支出3.</w:t>
      </w:r>
      <w:r>
        <w:rPr>
          <w:rFonts w:hint="eastAsia" w:ascii="仿宋_GB2312" w:hAnsi="宋体" w:eastAsia="仿宋_GB2312" w:cs="宋体"/>
          <w:color w:val="000000"/>
          <w:kern w:val="0"/>
          <w:sz w:val="32"/>
          <w:szCs w:val="32"/>
          <w:shd w:val="clear" w:color="auto" w:fill="FFFFFF"/>
          <w:lang w:val="en-US" w:eastAsia="zh-CN"/>
        </w:rPr>
        <w:t>93</w:t>
      </w:r>
      <w:r>
        <w:rPr>
          <w:rFonts w:hint="eastAsia" w:ascii="仿宋_GB2312" w:hAnsi="宋体" w:eastAsia="仿宋_GB2312" w:cs="宋体"/>
          <w:color w:val="000000"/>
          <w:kern w:val="0"/>
          <w:sz w:val="32"/>
          <w:szCs w:val="32"/>
          <w:shd w:val="clear" w:color="auto" w:fill="FFFFFF"/>
          <w:lang w:val="zh-CN"/>
        </w:rPr>
        <w:t>万元，年初结转结余</w:t>
      </w:r>
      <w:r>
        <w:rPr>
          <w:rFonts w:hint="eastAsia" w:ascii="仿宋_GB2312" w:hAnsi="宋体" w:eastAsia="仿宋_GB2312" w:cs="宋体"/>
          <w:color w:val="000000"/>
          <w:kern w:val="0"/>
          <w:sz w:val="32"/>
          <w:szCs w:val="32"/>
          <w:shd w:val="clear" w:color="auto" w:fill="FFFFFF"/>
          <w:lang w:val="en-US" w:eastAsia="zh-CN"/>
        </w:rPr>
        <w:t>0.06万元。</w:t>
      </w:r>
      <w:r>
        <w:rPr>
          <w:rFonts w:ascii="仿宋_GB2312" w:hAnsi="宋体" w:eastAsia="仿宋_GB2312" w:cs="宋体"/>
          <w:color w:val="000000"/>
          <w:kern w:val="0"/>
          <w:sz w:val="32"/>
          <w:szCs w:val="32"/>
          <w:shd w:val="clear" w:color="auto" w:fill="FFFFFF"/>
          <w:lang w:val="zh-CN"/>
        </w:rPr>
        <w:t xml:space="preserve"> </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8" w:lineRule="exact"/>
        <w:ind w:firstLine="640" w:firstLineChars="200"/>
        <w:textAlignment w:val="auto"/>
        <w:rPr>
          <w:lang w:val="zh-CN"/>
        </w:rPr>
      </w:pPr>
      <w:r>
        <w:rPr>
          <w:rFonts w:ascii="仿宋_GB2312" w:hAnsi="宋体" w:eastAsia="仿宋_GB2312" w:cs="宋体"/>
          <w:color w:val="000000"/>
          <w:kern w:val="0"/>
          <w:sz w:val="32"/>
          <w:szCs w:val="32"/>
          <w:shd w:val="clear" w:color="auto" w:fill="FFFFFF"/>
          <w:lang w:val="zh-CN"/>
        </w:rPr>
        <w:t>大竹县木材检查站20</w:t>
      </w:r>
      <w:r>
        <w:rPr>
          <w:rFonts w:hint="eastAsia" w:ascii="仿宋_GB2312" w:hAnsi="宋体" w:eastAsia="仿宋_GB2312" w:cs="宋体"/>
          <w:color w:val="000000"/>
          <w:kern w:val="0"/>
          <w:sz w:val="32"/>
          <w:szCs w:val="32"/>
          <w:shd w:val="clear" w:color="auto" w:fill="FFFFFF"/>
          <w:lang w:val="zh-CN"/>
        </w:rPr>
        <w:t>2</w:t>
      </w:r>
      <w:r>
        <w:rPr>
          <w:rFonts w:hint="eastAsia" w:hAnsi="宋体" w:cs="宋体"/>
          <w:color w:val="000000"/>
          <w:kern w:val="0"/>
          <w:sz w:val="32"/>
          <w:szCs w:val="32"/>
          <w:shd w:val="clear" w:color="auto" w:fill="FFFFFF"/>
          <w:lang w:val="en-US" w:eastAsia="zh-CN"/>
        </w:rPr>
        <w:t>1</w:t>
      </w:r>
      <w:r>
        <w:rPr>
          <w:rFonts w:ascii="仿宋_GB2312" w:hAnsi="宋体" w:eastAsia="仿宋_GB2312" w:cs="宋体"/>
          <w:color w:val="000000"/>
          <w:kern w:val="0"/>
          <w:sz w:val="32"/>
          <w:szCs w:val="32"/>
          <w:shd w:val="clear" w:color="auto" w:fill="FFFFFF"/>
          <w:lang w:val="zh-CN"/>
        </w:rPr>
        <w:t>年财政预算</w:t>
      </w:r>
      <w:r>
        <w:rPr>
          <w:rFonts w:hint="eastAsia" w:hAnsi="宋体" w:cs="宋体"/>
          <w:color w:val="000000"/>
          <w:kern w:val="0"/>
          <w:sz w:val="32"/>
          <w:szCs w:val="32"/>
          <w:shd w:val="clear" w:color="auto" w:fill="FFFFFF"/>
          <w:lang w:val="zh-CN"/>
        </w:rPr>
        <w:t>拨款支出</w:t>
      </w:r>
      <w:r>
        <w:rPr>
          <w:rFonts w:ascii="仿宋_GB2312" w:hAnsi="宋体" w:eastAsia="仿宋_GB2312" w:cs="宋体"/>
          <w:color w:val="000000"/>
          <w:kern w:val="0"/>
          <w:sz w:val="32"/>
          <w:szCs w:val="32"/>
          <w:shd w:val="clear" w:color="auto" w:fill="FFFFFF"/>
          <w:lang w:val="zh-CN"/>
        </w:rPr>
        <w:t>为</w:t>
      </w:r>
      <w:r>
        <w:rPr>
          <w:rFonts w:hint="eastAsia" w:hAnsi="宋体" w:cs="宋体"/>
          <w:color w:val="000000"/>
          <w:kern w:val="0"/>
          <w:sz w:val="32"/>
          <w:szCs w:val="32"/>
          <w:shd w:val="clear" w:color="auto" w:fill="FFFFFF"/>
          <w:lang w:val="en-US" w:eastAsia="zh-CN"/>
        </w:rPr>
        <w:t>125.12</w:t>
      </w:r>
      <w:r>
        <w:rPr>
          <w:rFonts w:ascii="仿宋_GB2312" w:hAnsi="宋体" w:eastAsia="仿宋_GB2312" w:cs="宋体"/>
          <w:color w:val="000000"/>
          <w:kern w:val="0"/>
          <w:sz w:val="32"/>
          <w:szCs w:val="32"/>
          <w:shd w:val="clear" w:color="auto" w:fill="FFFFFF"/>
          <w:lang w:val="zh-CN"/>
        </w:rPr>
        <w:t>万元，其中其中</w:t>
      </w:r>
      <w:r>
        <w:rPr>
          <w:rFonts w:hint="eastAsia" w:ascii="仿宋_GB2312" w:hAnsi="宋体" w:eastAsia="仿宋_GB2312" w:cs="宋体"/>
          <w:color w:val="000000"/>
          <w:kern w:val="0"/>
          <w:sz w:val="32"/>
          <w:szCs w:val="32"/>
          <w:shd w:val="clear" w:color="auto" w:fill="FFFFFF"/>
          <w:lang w:val="zh-CN"/>
        </w:rPr>
        <w:t>农林水支出</w:t>
      </w:r>
      <w:r>
        <w:rPr>
          <w:rFonts w:hint="eastAsia" w:ascii="仿宋_GB2312" w:hAnsi="宋体" w:eastAsia="仿宋_GB2312" w:cs="宋体"/>
          <w:color w:val="000000"/>
          <w:kern w:val="0"/>
          <w:sz w:val="32"/>
          <w:szCs w:val="32"/>
          <w:shd w:val="clear" w:color="auto" w:fill="FFFFFF"/>
          <w:lang w:val="en-US" w:eastAsia="zh-CN"/>
        </w:rPr>
        <w:t>99.</w:t>
      </w:r>
      <w:r>
        <w:rPr>
          <w:rFonts w:hint="eastAsia" w:hAnsi="宋体" w:cs="宋体"/>
          <w:color w:val="000000"/>
          <w:kern w:val="0"/>
          <w:sz w:val="32"/>
          <w:szCs w:val="32"/>
          <w:shd w:val="clear" w:color="auto" w:fill="FFFFFF"/>
          <w:lang w:val="en-US" w:eastAsia="zh-CN"/>
        </w:rPr>
        <w:t>15万</w:t>
      </w:r>
      <w:r>
        <w:rPr>
          <w:rFonts w:ascii="仿宋_GB2312" w:hAnsi="宋体" w:eastAsia="仿宋_GB2312" w:cs="宋体"/>
          <w:color w:val="000000"/>
          <w:kern w:val="0"/>
          <w:sz w:val="32"/>
          <w:szCs w:val="32"/>
          <w:shd w:val="clear" w:color="auto" w:fill="FFFFFF"/>
          <w:lang w:val="zh-CN"/>
        </w:rPr>
        <w:t>元，社会保障和就业支出</w:t>
      </w:r>
      <w:r>
        <w:rPr>
          <w:rFonts w:hint="eastAsia" w:ascii="仿宋_GB2312" w:hAnsi="宋体" w:eastAsia="仿宋_GB2312" w:cs="宋体"/>
          <w:color w:val="000000"/>
          <w:kern w:val="0"/>
          <w:sz w:val="32"/>
          <w:szCs w:val="32"/>
          <w:shd w:val="clear" w:color="auto" w:fill="FFFFFF"/>
          <w:lang w:val="en-US" w:eastAsia="zh-CN"/>
        </w:rPr>
        <w:t>15.69</w:t>
      </w:r>
      <w:r>
        <w:rPr>
          <w:rFonts w:ascii="仿宋_GB2312" w:hAnsi="宋体" w:eastAsia="仿宋_GB2312" w:cs="宋体"/>
          <w:color w:val="000000"/>
          <w:kern w:val="0"/>
          <w:sz w:val="32"/>
          <w:szCs w:val="32"/>
          <w:shd w:val="clear" w:color="auto" w:fill="FFFFFF"/>
          <w:lang w:val="zh-CN"/>
        </w:rPr>
        <w:t>万元，住房公积金</w:t>
      </w:r>
      <w:r>
        <w:rPr>
          <w:rFonts w:hint="eastAsia" w:ascii="仿宋_GB2312" w:hAnsi="宋体" w:eastAsia="仿宋_GB2312" w:cs="宋体"/>
          <w:color w:val="000000"/>
          <w:kern w:val="0"/>
          <w:sz w:val="32"/>
          <w:szCs w:val="32"/>
          <w:shd w:val="clear" w:color="auto" w:fill="FFFFFF"/>
          <w:lang w:val="zh-CN"/>
        </w:rPr>
        <w:t>6.</w:t>
      </w:r>
      <w:r>
        <w:rPr>
          <w:rFonts w:hint="eastAsia" w:ascii="仿宋_GB2312" w:hAnsi="宋体" w:eastAsia="仿宋_GB2312" w:cs="宋体"/>
          <w:color w:val="000000"/>
          <w:kern w:val="0"/>
          <w:sz w:val="32"/>
          <w:szCs w:val="32"/>
          <w:shd w:val="clear" w:color="auto" w:fill="FFFFFF"/>
          <w:lang w:val="en-US" w:eastAsia="zh-CN"/>
        </w:rPr>
        <w:t>36</w:t>
      </w:r>
      <w:r>
        <w:rPr>
          <w:rFonts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rPr>
        <w:t>卫生健康支出3.</w:t>
      </w:r>
      <w:r>
        <w:rPr>
          <w:rFonts w:hint="eastAsia" w:ascii="仿宋_GB2312" w:hAnsi="宋体" w:eastAsia="仿宋_GB2312" w:cs="宋体"/>
          <w:color w:val="000000"/>
          <w:kern w:val="0"/>
          <w:sz w:val="32"/>
          <w:szCs w:val="32"/>
          <w:shd w:val="clear" w:color="auto" w:fill="FFFFFF"/>
          <w:lang w:val="en-US" w:eastAsia="zh-CN"/>
        </w:rPr>
        <w:t>93</w:t>
      </w:r>
      <w:r>
        <w:rPr>
          <w:rFonts w:hint="eastAsia" w:ascii="仿宋_GB2312" w:hAnsi="宋体" w:eastAsia="仿宋_GB2312" w:cs="宋体"/>
          <w:color w:val="000000"/>
          <w:kern w:val="0"/>
          <w:sz w:val="32"/>
          <w:szCs w:val="32"/>
          <w:shd w:val="clear" w:color="auto" w:fill="FFFFFF"/>
          <w:lang w:val="zh-CN"/>
        </w:rPr>
        <w:t>万元</w:t>
      </w:r>
      <w:r>
        <w:rPr>
          <w:rFonts w:hint="eastAsia" w:hAnsi="宋体"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大竹县木材检查站按照县财政预算编制通知和有关要求，按时完成基础数据和项目数据报送工作。实现了绩效目标管理与部门预算编制一同申报、一同审核、一同批复。全年无违规记录</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大竹县木材检查站绩效自评按时公开，并按照自评结果整改绩效支出情况，规范部门整体预算绩效支出。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Style w:val="2"/>
        <w:keepNext w:val="0"/>
        <w:keepLines w:val="0"/>
        <w:pageBreakBefore w:val="0"/>
        <w:widowControl w:val="0"/>
        <w:kinsoku/>
        <w:wordWrap/>
        <w:overflowPunct/>
        <w:topLinePunct w:val="0"/>
        <w:autoSpaceDE/>
        <w:autoSpaceDN/>
        <w:bidi w:val="0"/>
        <w:adjustRightInd/>
        <w:snapToGrid/>
        <w:spacing w:beforeLines="0" w:line="578" w:lineRule="exact"/>
        <w:ind w:firstLine="600" w:firstLineChars="200"/>
        <w:textAlignment w:val="auto"/>
        <w:rPr>
          <w:lang w:val="zh-CN"/>
        </w:rPr>
      </w:pPr>
      <w:r>
        <w:rPr>
          <w:rFonts w:hint="eastAsia"/>
          <w:lang w:val="zh-CN"/>
        </w:rPr>
        <w:t>绩效支出合理，符合实际情况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8" w:lineRule="exact"/>
        <w:ind w:leftChars="0" w:firstLine="600" w:firstLineChars="200"/>
        <w:textAlignment w:val="auto"/>
        <w:rPr>
          <w:lang w:val="zh-CN"/>
        </w:rPr>
      </w:pPr>
      <w:r>
        <w:rPr>
          <w:rFonts w:hint="eastAsia"/>
          <w:lang w:val="zh-CN"/>
        </w:rPr>
        <w:t>财政收紧，资金审核较为滞后，绩效支出进度较慢</w:t>
      </w:r>
    </w:p>
    <w:p>
      <w:pPr>
        <w:widowControl/>
        <w:numPr>
          <w:ilvl w:val="0"/>
          <w:numId w:val="7"/>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8" w:lineRule="exact"/>
        <w:ind w:leftChars="0" w:firstLine="600" w:firstLineChars="200"/>
        <w:textAlignment w:val="auto"/>
        <w:rPr>
          <w:lang w:val="zh-CN"/>
        </w:rPr>
      </w:pPr>
      <w:r>
        <w:rPr>
          <w:rFonts w:hint="eastAsia"/>
          <w:lang w:val="zh-CN"/>
        </w:rPr>
        <w:t>合理安排支出，提前申报财政资金</w:t>
      </w:r>
    </w:p>
    <w:p>
      <w:pPr>
        <w:spacing w:line="580" w:lineRule="exact"/>
        <w:rPr>
          <w:rFonts w:ascii="仿宋_GB2312" w:hAnsi="仿宋_GB2312" w:eastAsia="仿宋_GB2312" w:cs="仿宋_GB2312"/>
          <w:sz w:val="32"/>
          <w:szCs w:val="32"/>
        </w:rPr>
      </w:pPr>
    </w:p>
    <w:p>
      <w:pPr>
        <w:spacing w:line="580" w:lineRule="exac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XXX</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65"/>
    </w:p>
    <w:p>
      <w:pPr>
        <w:pStyle w:val="4"/>
        <w:rPr>
          <w:rStyle w:val="25"/>
          <w:rFonts w:hint="eastAsia" w:ascii="仿宋" w:hAnsi="仿宋" w:eastAsia="仿宋"/>
          <w:b w:val="0"/>
          <w:bCs w:val="0"/>
          <w:color w:val="auto"/>
          <w:highlight w:val="none"/>
        </w:rPr>
      </w:pPr>
      <w:bookmarkStart w:id="66"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502E"/>
    <w:multiLevelType w:val="singleLevel"/>
    <w:tmpl w:val="842A502E"/>
    <w:lvl w:ilvl="0" w:tentative="0">
      <w:start w:val="2"/>
      <w:numFmt w:val="chineseCounting"/>
      <w:suff w:val="nothing"/>
      <w:lvlText w:val="（%1）"/>
      <w:lvlJc w:val="left"/>
      <w:rPr>
        <w:rFonts w:hint="eastAsia"/>
      </w:rPr>
    </w:lvl>
  </w:abstractNum>
  <w:abstractNum w:abstractNumId="1">
    <w:nsid w:val="C3FB985A"/>
    <w:multiLevelType w:val="singleLevel"/>
    <w:tmpl w:val="C3FB985A"/>
    <w:lvl w:ilvl="0" w:tentative="0">
      <w:start w:val="1"/>
      <w:numFmt w:val="decimal"/>
      <w:lvlText w:val="%1."/>
      <w:lvlJc w:val="left"/>
      <w:pPr>
        <w:tabs>
          <w:tab w:val="left" w:pos="312"/>
        </w:tabs>
      </w:pPr>
    </w:lvl>
  </w:abstractNum>
  <w:abstractNum w:abstractNumId="2">
    <w:nsid w:val="C8A40958"/>
    <w:multiLevelType w:val="singleLevel"/>
    <w:tmpl w:val="C8A40958"/>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514AA3F"/>
    <w:multiLevelType w:val="singleLevel"/>
    <w:tmpl w:val="5514AA3F"/>
    <w:lvl w:ilvl="0" w:tentative="0">
      <w:start w:val="1"/>
      <w:numFmt w:val="chineseCounting"/>
      <w:suff w:val="nothing"/>
      <w:lvlText w:val="%1、"/>
      <w:lvlJc w:val="left"/>
      <w:rPr>
        <w:rFonts w:hint="eastAsia"/>
      </w:r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MTAyMzNkMTg4ZmI3NmYyMDdlZDQ4NWEyOWRjN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695021"/>
    <w:rsid w:val="088363FA"/>
    <w:rsid w:val="0A2032A3"/>
    <w:rsid w:val="0B8A37D8"/>
    <w:rsid w:val="10C055FF"/>
    <w:rsid w:val="118107EC"/>
    <w:rsid w:val="11DD6519"/>
    <w:rsid w:val="16BB723D"/>
    <w:rsid w:val="171A3A86"/>
    <w:rsid w:val="18015F3F"/>
    <w:rsid w:val="1BE8440E"/>
    <w:rsid w:val="1D155CEE"/>
    <w:rsid w:val="20F57F95"/>
    <w:rsid w:val="240371BF"/>
    <w:rsid w:val="25C741E6"/>
    <w:rsid w:val="27842671"/>
    <w:rsid w:val="27D91236"/>
    <w:rsid w:val="29FD04D3"/>
    <w:rsid w:val="2ABE7A3E"/>
    <w:rsid w:val="2EFA178C"/>
    <w:rsid w:val="30B46D73"/>
    <w:rsid w:val="319F7F4E"/>
    <w:rsid w:val="33C053A2"/>
    <w:rsid w:val="34605F4D"/>
    <w:rsid w:val="37F46CBC"/>
    <w:rsid w:val="39AE70AB"/>
    <w:rsid w:val="3C0C0783"/>
    <w:rsid w:val="3D8C6934"/>
    <w:rsid w:val="3E107970"/>
    <w:rsid w:val="3F5C7D12"/>
    <w:rsid w:val="3F9F3A96"/>
    <w:rsid w:val="48F43887"/>
    <w:rsid w:val="493C27E9"/>
    <w:rsid w:val="496F39ED"/>
    <w:rsid w:val="49FF41D3"/>
    <w:rsid w:val="4B9F4FA6"/>
    <w:rsid w:val="4BE068DB"/>
    <w:rsid w:val="4BF6002B"/>
    <w:rsid w:val="4ECE2238"/>
    <w:rsid w:val="50380E45"/>
    <w:rsid w:val="51DB4B86"/>
    <w:rsid w:val="53AC6D95"/>
    <w:rsid w:val="55333C3E"/>
    <w:rsid w:val="55501DDF"/>
    <w:rsid w:val="5DE62663"/>
    <w:rsid w:val="5FAC19D9"/>
    <w:rsid w:val="63BB02E7"/>
    <w:rsid w:val="64CA39A1"/>
    <w:rsid w:val="65425D45"/>
    <w:rsid w:val="69465E24"/>
    <w:rsid w:val="69E403F2"/>
    <w:rsid w:val="6C4A05C8"/>
    <w:rsid w:val="6CFA60B2"/>
    <w:rsid w:val="72734D90"/>
    <w:rsid w:val="79E7B28D"/>
    <w:rsid w:val="7A21770D"/>
    <w:rsid w:val="7EC96F8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2020年收支决算总计变动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c:v>
                </c:pt>
              </c:strCache>
            </c:strRef>
          </c:cat>
          <c:val>
            <c:numRef>
              <c:f>Sheet1!$B$2</c:f>
              <c:numCache>
                <c:formatCode>General</c:formatCode>
                <c:ptCount val="1"/>
                <c:pt idx="0">
                  <c:v>259.32</c:v>
                </c:pt>
              </c:numCache>
            </c:numRef>
          </c:val>
        </c:ser>
        <c:ser>
          <c:idx val="1"/>
          <c:order val="1"/>
          <c:tx>
            <c:strRef>
              <c:f>Sheet1!$C$1</c:f>
              <c:strCache>
                <c:ptCount val="1"/>
                <c:pt idx="0">
                  <c:v>2021年收支决算总计变动</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c:v>
                </c:pt>
              </c:strCache>
            </c:strRef>
          </c:cat>
          <c:val>
            <c:numRef>
              <c:f>Sheet1!$C$2</c:f>
              <c:numCache>
                <c:formatCode>General</c:formatCode>
                <c:ptCount val="1"/>
                <c:pt idx="0">
                  <c:v>250.24</c:v>
                </c:pt>
              </c:numCache>
            </c:numRef>
          </c:val>
        </c:ser>
        <c:dLbls>
          <c:showLegendKey val="0"/>
          <c:showVal val="1"/>
          <c:showCatName val="0"/>
          <c:showSerName val="0"/>
          <c:showPercent val="0"/>
          <c:showBubbleSize val="0"/>
        </c:dLbls>
        <c:gapWidth val="219"/>
        <c:overlap val="-27"/>
        <c:axId val="496749657"/>
        <c:axId val="438820447"/>
      </c:barChart>
      <c:catAx>
        <c:axId val="4967496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820447"/>
        <c:crosses val="autoZero"/>
        <c:auto val="1"/>
        <c:lblAlgn val="ctr"/>
        <c:lblOffset val="100"/>
        <c:noMultiLvlLbl val="0"/>
      </c:catAx>
      <c:valAx>
        <c:axId val="438820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67496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年收入决算结构图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额度</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年初结转和结余</c:v>
                </c:pt>
              </c:strCache>
            </c:strRef>
          </c:cat>
          <c:val>
            <c:numRef>
              <c:f>Sheet1!$B$2:$B$3</c:f>
              <c:numCache>
                <c:formatCode>General</c:formatCode>
                <c:ptCount val="2"/>
                <c:pt idx="0">
                  <c:v>125.06</c:v>
                </c:pt>
                <c:pt idx="1">
                  <c:v>0.06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r>
              <a:rPr lang="en-US" altLang="zh-CN"/>
              <a:t> </a:t>
            </a:r>
            <a:endParaRPr lang="en-US" altLang="zh-CN"/>
          </a:p>
        </c:rich>
      </c:tx>
      <c:layout>
        <c:manualLayout>
          <c:xMode val="edge"/>
          <c:yMode val="edge"/>
          <c:x val="0.382375"/>
          <c:y val="0.01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125.12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2020年收支决算总计变动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c:v>
                </c:pt>
              </c:strCache>
            </c:strRef>
          </c:cat>
          <c:val>
            <c:numRef>
              <c:f>Sheet1!$B$2</c:f>
              <c:numCache>
                <c:formatCode>General</c:formatCode>
                <c:ptCount val="1"/>
                <c:pt idx="0">
                  <c:v>259.32</c:v>
                </c:pt>
              </c:numCache>
            </c:numRef>
          </c:val>
        </c:ser>
        <c:ser>
          <c:idx val="1"/>
          <c:order val="1"/>
          <c:tx>
            <c:strRef>
              <c:f>Sheet1!$C$1</c:f>
              <c:strCache>
                <c:ptCount val="1"/>
                <c:pt idx="0">
                  <c:v>2021年收支决算总计变动</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c:v>
                </c:pt>
              </c:strCache>
            </c:strRef>
          </c:cat>
          <c:val>
            <c:numRef>
              <c:f>Sheet1!$C$2</c:f>
              <c:numCache>
                <c:formatCode>General</c:formatCode>
                <c:ptCount val="1"/>
                <c:pt idx="0">
                  <c:v>250.24</c:v>
                </c:pt>
              </c:numCache>
            </c:numRef>
          </c:val>
        </c:ser>
        <c:dLbls>
          <c:showLegendKey val="0"/>
          <c:showVal val="1"/>
          <c:showCatName val="0"/>
          <c:showSerName val="0"/>
          <c:showPercent val="0"/>
          <c:showBubbleSize val="0"/>
        </c:dLbls>
        <c:gapWidth val="219"/>
        <c:overlap val="-27"/>
        <c:axId val="496749657"/>
        <c:axId val="438820447"/>
      </c:barChart>
      <c:catAx>
        <c:axId val="4967496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820447"/>
        <c:crosses val="autoZero"/>
        <c:auto val="1"/>
        <c:lblAlgn val="ctr"/>
        <c:lblOffset val="100"/>
        <c:noMultiLvlLbl val="0"/>
      </c:catAx>
      <c:valAx>
        <c:axId val="438820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67496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2020年支出决算变动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支出决算变动情况</c:v>
                </c:pt>
              </c:strCache>
            </c:strRef>
          </c:cat>
          <c:val>
            <c:numRef>
              <c:f>Sheet1!$B$2</c:f>
              <c:numCache>
                <c:formatCode>General</c:formatCode>
                <c:ptCount val="1"/>
                <c:pt idx="0">
                  <c:v>129.66</c:v>
                </c:pt>
              </c:numCache>
            </c:numRef>
          </c:val>
        </c:ser>
        <c:ser>
          <c:idx val="1"/>
          <c:order val="1"/>
          <c:tx>
            <c:strRef>
              <c:f>Sheet1!$C$1</c:f>
              <c:strCache>
                <c:ptCount val="1"/>
                <c:pt idx="0">
                  <c:v>2021年支出决算变动</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支出决算变动情况</c:v>
                </c:pt>
              </c:strCache>
            </c:strRef>
          </c:cat>
          <c:val>
            <c:numRef>
              <c:f>Sheet1!$C$2</c:f>
              <c:numCache>
                <c:formatCode>General</c:formatCode>
                <c:ptCount val="1"/>
                <c:pt idx="0">
                  <c:v>125.12</c:v>
                </c:pt>
              </c:numCache>
            </c:numRef>
          </c:val>
        </c:ser>
        <c:dLbls>
          <c:showLegendKey val="0"/>
          <c:showVal val="1"/>
          <c:showCatName val="0"/>
          <c:showSerName val="0"/>
          <c:showPercent val="0"/>
          <c:showBubbleSize val="0"/>
        </c:dLbls>
        <c:gapWidth val="219"/>
        <c:overlap val="-27"/>
        <c:axId val="496749657"/>
        <c:axId val="438820447"/>
      </c:barChart>
      <c:catAx>
        <c:axId val="4967496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820447"/>
        <c:crosses val="autoZero"/>
        <c:auto val="1"/>
        <c:lblAlgn val="ctr"/>
        <c:lblOffset val="100"/>
        <c:noMultiLvlLbl val="0"/>
      </c:catAx>
      <c:valAx>
        <c:axId val="438820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67496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a:t>
            </a:r>
            <a:r>
              <a:rPr lang="en-US" altLang="zh-CN"/>
              <a:t> </a:t>
            </a:r>
            <a:r>
              <a:rPr altLang="en-US"/>
              <a:t>预算财政拨款支出决算结构图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农林水支出</c:v>
                </c:pt>
                <c:pt idx="1">
                  <c:v>社会保障和就业</c:v>
                </c:pt>
                <c:pt idx="2">
                  <c:v>卫生健康支出</c:v>
                </c:pt>
                <c:pt idx="3">
                  <c:v>住房保障</c:v>
                </c:pt>
              </c:strCache>
            </c:strRef>
          </c:cat>
          <c:val>
            <c:numRef>
              <c:f>Sheet1!$B$2:$B$5</c:f>
              <c:numCache>
                <c:formatCode>General</c:formatCode>
                <c:ptCount val="4"/>
                <c:pt idx="0">
                  <c:v>99.15</c:v>
                </c:pt>
                <c:pt idx="1">
                  <c:v>15.69</c:v>
                </c:pt>
                <c:pt idx="2">
                  <c:v>3.93</c:v>
                </c:pt>
                <c:pt idx="3">
                  <c:v>6.36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3</c:v>
                </c:pt>
                <c:pt idx="1">
                  <c:v>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8091</Words>
  <Characters>8626</Characters>
  <Lines>61</Lines>
  <Paragraphs>17</Paragraphs>
  <TotalTime>3</TotalTime>
  <ScaleCrop>false</ScaleCrop>
  <LinksUpToDate>false</LinksUpToDate>
  <CharactersWithSpaces>8704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WPS_1650940955</cp:lastModifiedBy>
  <cp:lastPrinted>2022-08-06T02:23:00Z</cp:lastPrinted>
  <dcterms:modified xsi:type="dcterms:W3CDTF">2022-08-31T01:56:51Z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4B00E019B202493980DDAB91816AF43A</vt:lpwstr>
  </property>
</Properties>
</file>