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9C6">
      <w:pPr>
        <w:spacing w:line="600" w:lineRule="exact"/>
        <w:jc w:val="center"/>
        <w:outlineLvl w:val="0"/>
        <w:rPr>
          <w:rFonts w:ascii="方正小标宋简体" w:hAnsi="宋体" w:eastAsia="方正小标宋简体"/>
          <w:color w:val="auto"/>
          <w:sz w:val="72"/>
          <w:szCs w:val="72"/>
        </w:rPr>
      </w:pPr>
      <w:bookmarkStart w:id="0" w:name="_Toc15306267"/>
    </w:p>
    <w:p w14:paraId="0B0A42A5">
      <w:pPr>
        <w:spacing w:line="600" w:lineRule="exact"/>
        <w:jc w:val="center"/>
        <w:outlineLvl w:val="0"/>
        <w:rPr>
          <w:rFonts w:ascii="方正小标宋简体" w:hAnsi="宋体" w:eastAsia="方正小标宋简体"/>
          <w:color w:val="auto"/>
          <w:sz w:val="72"/>
          <w:szCs w:val="72"/>
        </w:rPr>
      </w:pPr>
    </w:p>
    <w:p w14:paraId="4641B290">
      <w:pPr>
        <w:spacing w:line="600" w:lineRule="exact"/>
        <w:jc w:val="center"/>
        <w:outlineLvl w:val="0"/>
        <w:rPr>
          <w:rFonts w:ascii="方正小标宋简体" w:hAnsi="宋体" w:eastAsia="方正小标宋简体"/>
          <w:color w:val="auto"/>
          <w:sz w:val="72"/>
          <w:szCs w:val="72"/>
        </w:rPr>
      </w:pPr>
    </w:p>
    <w:p w14:paraId="073BB38A">
      <w:pPr>
        <w:spacing w:line="600" w:lineRule="exact"/>
        <w:jc w:val="center"/>
        <w:outlineLvl w:val="0"/>
        <w:rPr>
          <w:rFonts w:ascii="方正小标宋简体" w:hAnsi="宋体" w:eastAsia="方正小标宋简体"/>
          <w:color w:val="auto"/>
          <w:sz w:val="72"/>
          <w:szCs w:val="72"/>
        </w:rPr>
      </w:pPr>
    </w:p>
    <w:bookmarkEnd w:id="0"/>
    <w:p w14:paraId="3283F8CA">
      <w:pPr>
        <w:adjustRightInd w:val="0"/>
        <w:snapToGrid w:val="0"/>
        <w:spacing w:line="240" w:lineRule="auto"/>
        <w:jc w:val="center"/>
        <w:outlineLvl w:val="0"/>
        <w:rPr>
          <w:rFonts w:hint="eastAsia" w:ascii="方正小标宋简体" w:hAnsi="方正小标宋简体" w:eastAsia="方正小标宋简体" w:cs="方正小标宋简体"/>
          <w:color w:val="auto"/>
          <w:sz w:val="60"/>
          <w:szCs w:val="60"/>
          <w:highlight w:val="none"/>
        </w:rPr>
      </w:pPr>
      <w:bookmarkStart w:id="1" w:name="_Toc15378441"/>
      <w:bookmarkStart w:id="2" w:name="_Toc15396597"/>
      <w:bookmarkStart w:id="3" w:name="_Toc15377425"/>
      <w:bookmarkStart w:id="4" w:name="_Toc15396475"/>
      <w:bookmarkStart w:id="5" w:name="_Toc15377193"/>
      <w:r>
        <w:rPr>
          <w:rFonts w:hint="eastAsia" w:ascii="方正小标宋简体" w:hAnsi="方正小标宋简体" w:eastAsia="方正小标宋简体" w:cs="方正小标宋简体"/>
          <w:color w:val="auto"/>
          <w:sz w:val="60"/>
          <w:szCs w:val="60"/>
          <w:highlight w:val="none"/>
        </w:rPr>
        <w:t>20</w:t>
      </w:r>
      <w:r>
        <w:rPr>
          <w:rFonts w:hint="eastAsia" w:ascii="方正小标宋简体" w:hAnsi="方正小标宋简体" w:eastAsia="方正小标宋简体" w:cs="方正小标宋简体"/>
          <w:color w:val="auto"/>
          <w:sz w:val="60"/>
          <w:szCs w:val="60"/>
          <w:highlight w:val="none"/>
          <w:lang w:val="en-US" w:eastAsia="zh-CN"/>
        </w:rPr>
        <w:t>23</w:t>
      </w:r>
      <w:r>
        <w:rPr>
          <w:rFonts w:hint="eastAsia" w:ascii="方正小标宋简体" w:hAnsi="方正小标宋简体" w:eastAsia="方正小标宋简体" w:cs="方正小标宋简体"/>
          <w:color w:val="auto"/>
          <w:sz w:val="60"/>
          <w:szCs w:val="60"/>
          <w:highlight w:val="none"/>
        </w:rPr>
        <w:t>年度</w:t>
      </w:r>
      <w:bookmarkEnd w:id="1"/>
      <w:bookmarkEnd w:id="2"/>
      <w:bookmarkEnd w:id="3"/>
      <w:bookmarkEnd w:id="4"/>
      <w:bookmarkEnd w:id="5"/>
    </w:p>
    <w:p w14:paraId="1993E140">
      <w:pPr>
        <w:adjustRightInd w:val="0"/>
        <w:snapToGrid w:val="0"/>
        <w:spacing w:line="240" w:lineRule="auto"/>
        <w:jc w:val="center"/>
        <w:outlineLvl w:val="0"/>
        <w:rPr>
          <w:rFonts w:hint="eastAsia" w:ascii="方正小标宋简体" w:hAnsi="方正小标宋简体" w:eastAsia="方正小标宋简体" w:cs="方正小标宋简体"/>
          <w:color w:val="auto"/>
          <w:sz w:val="60"/>
          <w:szCs w:val="60"/>
          <w:highlight w:val="none"/>
          <w:lang w:val="en-US" w:eastAsia="zh-CN"/>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color w:val="auto"/>
          <w:sz w:val="60"/>
          <w:szCs w:val="60"/>
          <w:highlight w:val="none"/>
          <w:lang w:eastAsia="zh-CN"/>
        </w:rPr>
        <w:t>大竹县</w:t>
      </w:r>
      <w:bookmarkStart w:id="11" w:name="_Toc15306268"/>
      <w:r>
        <w:rPr>
          <w:rFonts w:hint="eastAsia" w:ascii="方正小标宋简体" w:hAnsi="方正小标宋简体" w:eastAsia="方正小标宋简体" w:cs="方正小标宋简体"/>
          <w:color w:val="auto"/>
          <w:sz w:val="60"/>
          <w:szCs w:val="60"/>
          <w:highlight w:val="none"/>
          <w:lang w:val="en-US" w:eastAsia="zh-CN"/>
        </w:rPr>
        <w:t>水利工程质量</w:t>
      </w:r>
    </w:p>
    <w:p w14:paraId="0AFF09B1">
      <w:pPr>
        <w:adjustRightInd w:val="0"/>
        <w:snapToGrid w:val="0"/>
        <w:spacing w:line="24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60"/>
          <w:szCs w:val="60"/>
          <w:highlight w:val="none"/>
          <w:lang w:val="en-US" w:eastAsia="zh-CN"/>
        </w:rPr>
        <w:t>与安全监督管理站</w:t>
      </w:r>
      <w:r>
        <w:rPr>
          <w:rFonts w:hint="eastAsia" w:ascii="方正小标宋简体" w:hAnsi="方正小标宋简体" w:eastAsia="方正小标宋简体" w:cs="方正小标宋简体"/>
          <w:color w:val="auto"/>
          <w:sz w:val="60"/>
          <w:szCs w:val="60"/>
          <w:highlight w:val="none"/>
          <w:lang w:eastAsia="zh-CN"/>
        </w:rPr>
        <w:t>单位决</w:t>
      </w:r>
      <w:r>
        <w:rPr>
          <w:rFonts w:hint="eastAsia" w:ascii="方正小标宋简体" w:hAnsi="方正小标宋简体" w:eastAsia="方正小标宋简体" w:cs="方正小标宋简体"/>
          <w:color w:val="auto"/>
          <w:sz w:val="72"/>
          <w:szCs w:val="72"/>
          <w:highlight w:val="none"/>
        </w:rPr>
        <w:t>算</w:t>
      </w:r>
      <w:bookmarkEnd w:id="6"/>
      <w:bookmarkEnd w:id="7"/>
      <w:bookmarkEnd w:id="8"/>
      <w:bookmarkEnd w:id="9"/>
      <w:bookmarkEnd w:id="10"/>
      <w:bookmarkEnd w:id="11"/>
    </w:p>
    <w:p w14:paraId="78589ACC">
      <w:pPr>
        <w:adjustRightInd w:val="0"/>
        <w:snapToGrid w:val="0"/>
        <w:spacing w:line="24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14:paraId="01CD67F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F0ECBCD">
      <w:pPr>
        <w:widowControl/>
        <w:jc w:val="center"/>
        <w:rPr>
          <w:rFonts w:ascii="黑体" w:hAnsi="黑体" w:eastAsia="黑体" w:cstheme="minorBidi"/>
          <w:color w:val="auto"/>
          <w:sz w:val="28"/>
          <w:szCs w:val="28"/>
          <w:highlight w:val="none"/>
        </w:rPr>
      </w:pPr>
    </w:p>
    <w:p w14:paraId="5222D82C">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96A4B66">
      <w:pPr>
        <w:rPr>
          <w:color w:val="auto"/>
          <w:highlight w:val="none"/>
        </w:rPr>
      </w:pPr>
    </w:p>
    <w:p w14:paraId="75FB266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第一部分 单位概况</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442A9B21">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一、主要职责</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26D73DCA">
      <w:pPr>
        <w:pStyle w:val="13"/>
        <w:jc w:val="center"/>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7"/>
          <w:rFonts w:hint="eastAsia" w:ascii="仿宋" w:hAnsi="仿宋" w:eastAsia="仿宋"/>
          <w:color w:val="auto"/>
          <w:sz w:val="28"/>
          <w:szCs w:val="28"/>
          <w:u w:val="none"/>
          <w:lang w:val="en-US" w:eastAsia="zh-CN"/>
        </w:rPr>
        <w:t>二</w:t>
      </w:r>
      <w:r>
        <w:rPr>
          <w:rStyle w:val="17"/>
          <w:rFonts w:hint="eastAsia" w:ascii="仿宋" w:hAnsi="仿宋" w:eastAsia="仿宋"/>
          <w:color w:val="auto"/>
          <w:sz w:val="28"/>
          <w:szCs w:val="28"/>
          <w:u w:val="none"/>
        </w:rPr>
        <w:t>、机构设置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4</w:t>
      </w:r>
      <w:r>
        <w:rPr>
          <w:rFonts w:ascii="仿宋" w:hAnsi="仿宋" w:eastAsia="仿宋"/>
          <w:color w:val="auto"/>
          <w:sz w:val="28"/>
          <w:szCs w:val="28"/>
          <w:u w:val="none"/>
        </w:rPr>
        <w:fldChar w:fldCharType="end"/>
      </w:r>
    </w:p>
    <w:p w14:paraId="697E5BC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第二部分 2023年度单位决算情况说明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A53F5EA">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EEF4CE8">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23FA91D6">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6</w:t>
      </w:r>
    </w:p>
    <w:p w14:paraId="00522AE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2C4089F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五、一般公共预算财政拨款支出决算情况说明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3A6A83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六、一般公共预算财政拨款基本支出决算情况说明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10</w:t>
      </w:r>
    </w:p>
    <w:p w14:paraId="47FE4B8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七、财政拨款“三公”经费支出决算情况说明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11</w:t>
      </w:r>
    </w:p>
    <w:p w14:paraId="3B925DD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八、政府性基金预算支出决算情况说明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0539C40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九、国有资本经营预算支出决算情况说明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53751A0D">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十、其他重要事项的情况说明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3DE29ACB">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第三部分 名词解释</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16</w:t>
      </w:r>
    </w:p>
    <w:p w14:paraId="6407E32F">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第四部分 附件</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19</w:t>
      </w:r>
    </w:p>
    <w:p w14:paraId="77F16AA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第五部分 附表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69624C2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DE27D58">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4C651A0">
      <w:pPr>
        <w:pStyle w:val="13"/>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2D93AC1">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3B05600B">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3D1BC36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0463D87E">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七、一般公共预算财政拨款支出决算明细表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4C6B418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八、一般公共预算财政拨款基本支出决算表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5F3BD91A">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九、一般公共预算财政拨款项目支出决算表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79B8608">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十、一般公共预算财政拨款“三公”经费支出决算表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6B160AB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十一、政府性基金预算财政拨款收入支出决算表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E5A94D0">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十二、政府性基金预算财政拨款“三公”经费支出决算表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221718AC">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十三、国有资本经营预算财政拨款收入支出决算表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2CBDBF43">
      <w:pPr>
        <w:pStyle w:val="13"/>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十四、国有资本经营预算财政拨款支出决算表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25</w:t>
      </w:r>
    </w:p>
    <w:p w14:paraId="7E12AAC8">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36C4A87C">
      <w:pPr>
        <w:pStyle w:val="2"/>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24B01844">
      <w:pPr>
        <w:widowControl/>
        <w:jc w:val="left"/>
        <w:rPr>
          <w:rFonts w:ascii="黑体" w:eastAsia="黑体"/>
          <w:color w:val="auto"/>
          <w:sz w:val="32"/>
          <w:szCs w:val="32"/>
          <w:highlight w:val="none"/>
        </w:rPr>
      </w:pPr>
    </w:p>
    <w:p w14:paraId="1265C92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Style w:val="28"/>
          <w:rFonts w:hint="default" w:ascii="黑体" w:hAnsi="黑体" w:eastAsia="黑体"/>
          <w:b w:val="0"/>
          <w:bCs w:val="0"/>
          <w:color w:val="auto"/>
          <w:highlight w:val="none"/>
          <w:lang w:val="en-US" w:eastAsia="zh-CN"/>
        </w:rPr>
      </w:pPr>
      <w:bookmarkStart w:id="14" w:name="_Toc15377197"/>
      <w:bookmarkStart w:id="15" w:name="_Toc15396600"/>
      <w:r>
        <w:rPr>
          <w:rStyle w:val="28"/>
          <w:rFonts w:hint="eastAsia" w:ascii="黑体" w:hAnsi="黑体" w:eastAsia="黑体"/>
          <w:b w:val="0"/>
          <w:bCs w:val="0"/>
          <w:color w:val="auto"/>
          <w:highlight w:val="none"/>
          <w:lang w:val="en-US" w:eastAsia="zh-CN"/>
        </w:rPr>
        <w:t>一、主要职责</w:t>
      </w:r>
    </w:p>
    <w:bookmarkEnd w:id="14"/>
    <w:bookmarkEnd w:id="15"/>
    <w:p w14:paraId="2C25D686">
      <w:pPr>
        <w:ind w:firstLine="444" w:firstLineChars="148"/>
        <w:rPr>
          <w:rFonts w:hint="eastAsia" w:ascii="仿宋_GB2312" w:hAnsi="Times New Roman" w:eastAsia="仿宋_GB2312" w:cs="Times New Roman"/>
          <w:sz w:val="30"/>
          <w:szCs w:val="30"/>
          <w:lang w:val="en-US" w:eastAsia="zh-CN"/>
        </w:rPr>
      </w:pPr>
      <w:r>
        <w:rPr>
          <w:rFonts w:hint="eastAsia" w:ascii="仿宋_GB2312" w:eastAsia="仿宋_GB2312"/>
          <w:sz w:val="30"/>
          <w:szCs w:val="30"/>
        </w:rPr>
        <w:t>大竹县</w:t>
      </w:r>
      <w:r>
        <w:rPr>
          <w:rFonts w:hint="eastAsia" w:ascii="仿宋_GB2312" w:eastAsia="仿宋_GB2312"/>
          <w:sz w:val="30"/>
          <w:szCs w:val="30"/>
          <w:lang w:val="en-US" w:eastAsia="zh-CN"/>
        </w:rPr>
        <w:t>水利工程质量与安全监督管理站</w:t>
      </w:r>
      <w:r>
        <w:rPr>
          <w:rFonts w:hint="eastAsia" w:ascii="仿宋_GB2312" w:eastAsia="仿宋_GB2312"/>
          <w:sz w:val="30"/>
          <w:szCs w:val="30"/>
        </w:rPr>
        <w:t>是贯彻执行国家</w:t>
      </w:r>
      <w:r>
        <w:rPr>
          <w:rFonts w:hint="eastAsia" w:ascii="仿宋_GB2312" w:eastAsia="仿宋_GB2312"/>
          <w:sz w:val="30"/>
          <w:szCs w:val="30"/>
          <w:lang w:eastAsia="zh-CN"/>
        </w:rPr>
        <w:t>、</w:t>
      </w:r>
      <w:r>
        <w:rPr>
          <w:rFonts w:hint="eastAsia" w:ascii="仿宋_GB2312" w:eastAsia="仿宋_GB2312"/>
          <w:sz w:val="30"/>
          <w:szCs w:val="30"/>
          <w:lang w:val="en-US" w:eastAsia="zh-CN"/>
        </w:rPr>
        <w:t>水利部、省市有关水利工程建设质量与安全管理的方针；负责全县水利工程从开工建设到竣工验收整个施工过程中的工程质量和安全管理的监督；负责对全县水利工程建设的技术指导；参加受监督的水利工程的阶段性验收和竣工验收；参加全县水利基本建设工程投标单位的资格审查；</w:t>
      </w:r>
      <w:r>
        <w:rPr>
          <w:rFonts w:hint="eastAsia" w:ascii="仿宋_GB2312" w:hAnsi="Times New Roman" w:eastAsia="仿宋_GB2312" w:cs="Times New Roman"/>
          <w:sz w:val="30"/>
          <w:szCs w:val="30"/>
          <w:lang w:val="en-US" w:eastAsia="zh-CN"/>
        </w:rPr>
        <w:t>按《水利工程质量事故的暂行规定》确定的权限参加有关工程质量事故的处理工作；</w:t>
      </w:r>
      <w:r>
        <w:rPr>
          <w:rFonts w:hint="eastAsia" w:ascii="仿宋_GB2312" w:eastAsia="仿宋_GB2312" w:cs="Times New Roman"/>
          <w:sz w:val="30"/>
          <w:szCs w:val="30"/>
          <w:lang w:val="en-US" w:eastAsia="zh-CN"/>
        </w:rPr>
        <w:t>协调</w:t>
      </w:r>
      <w:bookmarkStart w:id="67" w:name="_GoBack"/>
      <w:bookmarkEnd w:id="67"/>
      <w:r>
        <w:rPr>
          <w:rFonts w:hint="eastAsia" w:ascii="仿宋_GB2312" w:hAnsi="Times New Roman" w:eastAsia="仿宋_GB2312" w:cs="Times New Roman"/>
          <w:sz w:val="30"/>
          <w:szCs w:val="30"/>
          <w:lang w:val="en-US" w:eastAsia="zh-CN"/>
        </w:rPr>
        <w:t xml:space="preserve">配合上一级质检站组织的水利工程质量监督工作；掌握全县水利工程质量动态和质量监督工作，组织培训质量监督人员，开展水利工程质量检查活动，组织交流质量监督工作经验；完成上级交办的其他工作。  </w:t>
      </w:r>
    </w:p>
    <w:p w14:paraId="07BD72EA">
      <w:pPr>
        <w:pStyle w:val="3"/>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b w:val="0"/>
          <w:bCs w:val="0"/>
          <w:color w:val="auto"/>
          <w:highlight w:val="none"/>
        </w:rPr>
      </w:pPr>
      <w:r>
        <w:rPr>
          <w:rStyle w:val="28"/>
          <w:rFonts w:hint="eastAsia" w:ascii="黑体" w:hAnsi="黑体" w:eastAsia="黑体"/>
          <w:b w:val="0"/>
          <w:bCs w:val="0"/>
          <w:color w:val="auto"/>
          <w:highlight w:val="none"/>
          <w:lang w:val="en-US" w:eastAsia="zh-CN"/>
        </w:rPr>
        <w:t>二</w:t>
      </w:r>
      <w:r>
        <w:rPr>
          <w:rStyle w:val="28"/>
          <w:rFonts w:hint="eastAsia" w:ascii="黑体" w:hAnsi="黑体" w:eastAsia="黑体"/>
          <w:b w:val="0"/>
          <w:bCs w:val="0"/>
          <w:color w:val="auto"/>
          <w:highlight w:val="none"/>
          <w:lang w:eastAsia="zh-CN"/>
        </w:rPr>
        <w:t>、</w:t>
      </w:r>
      <w:r>
        <w:rPr>
          <w:rStyle w:val="28"/>
          <w:rFonts w:hint="eastAsia" w:ascii="黑体" w:hAnsi="黑体" w:eastAsia="黑体"/>
          <w:b w:val="0"/>
          <w:bCs w:val="0"/>
          <w:color w:val="auto"/>
          <w:highlight w:val="none"/>
        </w:rPr>
        <w:t>机构设置</w:t>
      </w:r>
    </w:p>
    <w:p w14:paraId="11CFB8E3">
      <w:pPr>
        <w:spacing w:line="578" w:lineRule="exact"/>
        <w:ind w:firstLine="800" w:firstLineChars="250"/>
        <w:rPr>
          <w:rFonts w:hint="eastAsia" w:ascii="黑体" w:hAnsi="黑体" w:eastAsia="黑体"/>
          <w:b w:val="0"/>
          <w:bCs/>
          <w:color w:val="auto"/>
          <w:highlight w:val="none"/>
        </w:rPr>
      </w:pPr>
      <w:r>
        <w:rPr>
          <w:rFonts w:hint="eastAsia" w:ascii="仿宋" w:hAnsi="仿宋" w:eastAsia="仿宋"/>
          <w:sz w:val="32"/>
          <w:szCs w:val="32"/>
          <w:lang w:val="en-US" w:eastAsia="zh-CN"/>
        </w:rPr>
        <w:t>大竹县水利工程质量与安全监督管理站</w:t>
      </w:r>
      <w:r>
        <w:rPr>
          <w:rFonts w:hint="eastAsia" w:ascii="仿宋_GB2312" w:eastAsia="仿宋_GB2312"/>
          <w:color w:val="000000"/>
          <w:sz w:val="30"/>
          <w:szCs w:val="30"/>
        </w:rPr>
        <w:t>系大竹县</w:t>
      </w:r>
      <w:r>
        <w:rPr>
          <w:rFonts w:hint="eastAsia" w:ascii="仿宋_GB2312" w:eastAsia="仿宋_GB2312"/>
          <w:color w:val="000000"/>
          <w:sz w:val="30"/>
          <w:szCs w:val="30"/>
          <w:lang w:eastAsia="zh-CN"/>
        </w:rPr>
        <w:t>水务局</w:t>
      </w:r>
      <w:r>
        <w:rPr>
          <w:rFonts w:hint="eastAsia" w:ascii="仿宋_GB2312" w:eastAsia="仿宋_GB2312"/>
          <w:color w:val="000000"/>
          <w:sz w:val="30"/>
          <w:szCs w:val="30"/>
        </w:rPr>
        <w:t>下属的1个一级预算全额拨款事业单位。</w:t>
      </w:r>
    </w:p>
    <w:p w14:paraId="63909EDF">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7D56F364">
      <w:pPr>
        <w:pStyle w:val="2"/>
        <w:ind w:right="440"/>
        <w:jc w:val="center"/>
        <w:rPr>
          <w:rStyle w:val="27"/>
          <w:rFonts w:ascii="黑体" w:hAnsi="黑体" w:eastAsia="黑体"/>
          <w:b w:val="0"/>
          <w:bCs/>
          <w:color w:val="auto"/>
        </w:rPr>
      </w:pPr>
      <w:bookmarkStart w:id="16" w:name="_Toc15377204"/>
      <w:bookmarkStart w:id="17" w:name="_Toc15396602"/>
      <w:r>
        <w:rPr>
          <w:rFonts w:hint="eastAsia" w:ascii="黑体" w:hAnsi="黑体" w:eastAsia="黑体"/>
          <w:b w:val="0"/>
          <w:color w:val="auto"/>
        </w:rPr>
        <w:t>第二部分 202</w:t>
      </w:r>
      <w:r>
        <w:rPr>
          <w:rFonts w:hint="eastAsia" w:ascii="黑体" w:hAnsi="黑体" w:eastAsia="黑体"/>
          <w:b w:val="0"/>
          <w:color w:val="auto"/>
          <w:lang w:val="en-US" w:eastAsia="zh-CN"/>
        </w:rPr>
        <w:t>3</w:t>
      </w:r>
      <w:r>
        <w:rPr>
          <w:rFonts w:hint="eastAsia" w:ascii="黑体" w:hAnsi="黑体" w:eastAsia="黑体"/>
          <w:b w:val="0"/>
          <w:color w:val="auto"/>
        </w:rPr>
        <w:t>年度</w:t>
      </w:r>
      <w:r>
        <w:rPr>
          <w:rStyle w:val="27"/>
          <w:rFonts w:hint="eastAsia" w:ascii="黑体" w:hAnsi="黑体" w:eastAsia="黑体"/>
          <w:b w:val="0"/>
          <w:bCs/>
          <w:color w:val="auto"/>
        </w:rPr>
        <w:t>单位决算情况说明</w:t>
      </w:r>
      <w:bookmarkEnd w:id="16"/>
      <w:bookmarkEnd w:id="17"/>
    </w:p>
    <w:p w14:paraId="2B1F8377">
      <w:pPr>
        <w:rPr>
          <w:color w:val="auto"/>
        </w:rPr>
      </w:pPr>
    </w:p>
    <w:p w14:paraId="5036CD9B">
      <w:pPr>
        <w:pStyle w:val="26"/>
        <w:numPr>
          <w:ilvl w:val="0"/>
          <w:numId w:val="1"/>
        </w:numPr>
        <w:spacing w:line="600" w:lineRule="exact"/>
        <w:ind w:firstLineChars="0"/>
        <w:outlineLvl w:val="1"/>
        <w:rPr>
          <w:rStyle w:val="28"/>
          <w:rFonts w:ascii="黑体" w:hAnsi="黑体" w:eastAsia="黑体"/>
          <w:b w:val="0"/>
          <w:color w:val="auto"/>
        </w:rPr>
      </w:pPr>
      <w:bookmarkStart w:id="18" w:name="_Toc15396603"/>
      <w:bookmarkStart w:id="19" w:name="_Toc15377205"/>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18"/>
      <w:bookmarkEnd w:id="19"/>
    </w:p>
    <w:p w14:paraId="0744B70C">
      <w:pPr>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2023年度收入总计265.24万元，与2022年217.75万元相比，收入总计增加47.49万元，增长17.90%；支出总计265.24万元，与2022年217.75万元相比，支出总计增加47.49万元，增长17.9%。主要变动原因是2023年绩效工资支出及人员工资增加。</w:t>
      </w:r>
    </w:p>
    <w:p w14:paraId="23D7758C">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14:paraId="08BCBFFC">
      <w:pPr>
        <w:pStyle w:val="5"/>
        <w:spacing w:before="93"/>
        <w:rPr>
          <w:color w:val="auto"/>
        </w:rPr>
      </w:pPr>
      <w:r>
        <w:rPr>
          <w:color w:val="auto"/>
          <w:sz w:val="32"/>
          <w:szCs w:val="32"/>
        </w:rPr>
        <w:drawing>
          <wp:inline distT="0" distB="0" distL="0" distR="0">
            <wp:extent cx="5285740" cy="2657475"/>
            <wp:effectExtent l="4445" t="4445" r="57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114604">
      <w:pPr>
        <w:pStyle w:val="5"/>
        <w:spacing w:before="93"/>
        <w:rPr>
          <w:color w:val="auto"/>
        </w:rPr>
      </w:pPr>
    </w:p>
    <w:p w14:paraId="6C8D66EF">
      <w:pPr>
        <w:pStyle w:val="26"/>
        <w:numPr>
          <w:ilvl w:val="0"/>
          <w:numId w:val="1"/>
        </w:numPr>
        <w:spacing w:line="600" w:lineRule="exact"/>
        <w:ind w:firstLineChars="0"/>
        <w:outlineLvl w:val="1"/>
        <w:rPr>
          <w:rStyle w:val="28"/>
          <w:rFonts w:ascii="黑体" w:hAnsi="黑体" w:eastAsia="黑体"/>
          <w:b w:val="0"/>
          <w:color w:val="auto"/>
        </w:rPr>
      </w:pPr>
      <w:bookmarkStart w:id="20" w:name="_Toc15396604"/>
      <w:bookmarkStart w:id="21" w:name="_Toc15377206"/>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0"/>
      <w:bookmarkEnd w:id="21"/>
    </w:p>
    <w:p w14:paraId="76CF19E5">
      <w:pPr>
        <w:spacing w:line="58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2023年度本年收入合计265.24万元，其中：一般公共预算财政拨款收入265.24万元，占100%；政府性基金预算财政拨款收入0万元，占0%；国有资本经营预算财政拨款收入0万元，占0%；上级补助收入0万元，占0%；事业收入0万元，占0%；经营收入0万元，占0%；附属单位上缴收入0万元，占0%；其他收入0万元，占0%。</w:t>
      </w:r>
      <w:r>
        <w:rPr>
          <w:rFonts w:hint="eastAsia" w:ascii="仿宋_GB2312" w:eastAsia="仿宋_GB2312"/>
          <w:color w:val="auto"/>
          <w:sz w:val="32"/>
          <w:szCs w:val="32"/>
          <w:highlight w:val="none"/>
          <w:lang w:val="en-US" w:eastAsia="zh-CN"/>
        </w:rPr>
        <w:t xml:space="preserve">  </w:t>
      </w:r>
    </w:p>
    <w:p w14:paraId="3308B55D">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14:paraId="35E63C6A">
      <w:pPr>
        <w:pStyle w:val="5"/>
        <w:spacing w:before="93"/>
        <w:rPr>
          <w:color w:val="auto"/>
        </w:rPr>
      </w:pPr>
      <w:r>
        <w:rPr>
          <w:color w:val="auto"/>
          <w:sz w:val="20"/>
          <w:szCs w:val="20"/>
        </w:rPr>
        <w:drawing>
          <wp:inline distT="0" distB="0" distL="0" distR="0">
            <wp:extent cx="5162550" cy="2437765"/>
            <wp:effectExtent l="4445" t="4445"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5DCDB8">
      <w:pPr>
        <w:pStyle w:val="26"/>
        <w:numPr>
          <w:ilvl w:val="0"/>
          <w:numId w:val="1"/>
        </w:numPr>
        <w:spacing w:line="600" w:lineRule="exact"/>
        <w:ind w:firstLineChars="0"/>
        <w:outlineLvl w:val="1"/>
        <w:rPr>
          <w:rStyle w:val="28"/>
          <w:rFonts w:ascii="黑体" w:hAnsi="黑体" w:eastAsia="黑体"/>
          <w:b w:val="0"/>
          <w:color w:val="auto"/>
        </w:rPr>
      </w:pPr>
      <w:bookmarkStart w:id="22" w:name="_Toc15377207"/>
      <w:bookmarkStart w:id="23" w:name="_Toc15396605"/>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2"/>
      <w:bookmarkEnd w:id="23"/>
    </w:p>
    <w:p w14:paraId="3C064F1C">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2023年度本年支出合计265.24万元，其中：基本支出265.24万元，占100%；项目支出0万元，占0%；上缴上级支出0万元，占0%；经营支出0万元，占0%；对附属单位补助支出0万元，占0%。</w:t>
      </w:r>
    </w:p>
    <w:p w14:paraId="49506C6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14:paraId="4EBCCBA5">
      <w:pPr>
        <w:pStyle w:val="5"/>
        <w:spacing w:before="93"/>
        <w:rPr>
          <w:color w:val="auto"/>
        </w:rPr>
      </w:pPr>
      <w:r>
        <w:rPr>
          <w:rFonts w:ascii="仿宋" w:hAnsi="仿宋" w:eastAsia="仿宋"/>
          <w:color w:val="auto"/>
          <w:sz w:val="32"/>
          <w:szCs w:val="32"/>
        </w:rPr>
        <w:drawing>
          <wp:inline distT="0" distB="0" distL="0" distR="0">
            <wp:extent cx="4629150" cy="2409825"/>
            <wp:effectExtent l="4445" t="5080" r="1460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93A211">
      <w:pPr>
        <w:spacing w:line="600" w:lineRule="exact"/>
        <w:ind w:firstLine="640" w:firstLineChars="200"/>
        <w:rPr>
          <w:rFonts w:ascii="仿宋_GB2312" w:eastAsia="仿宋_GB2312"/>
          <w:color w:val="auto"/>
          <w:sz w:val="32"/>
          <w:szCs w:val="32"/>
        </w:rPr>
      </w:pPr>
    </w:p>
    <w:p w14:paraId="57E26188">
      <w:pPr>
        <w:spacing w:line="600" w:lineRule="exact"/>
        <w:ind w:firstLine="640" w:firstLineChars="200"/>
        <w:outlineLvl w:val="1"/>
        <w:rPr>
          <w:rStyle w:val="28"/>
          <w:rFonts w:ascii="黑体" w:hAnsi="黑体" w:eastAsia="黑体"/>
          <w:b w:val="0"/>
          <w:color w:val="auto"/>
        </w:rPr>
      </w:pPr>
      <w:bookmarkStart w:id="24" w:name="_Toc15377208"/>
      <w:bookmarkStart w:id="25" w:name="_Toc15396606"/>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24"/>
      <w:bookmarkEnd w:id="25"/>
    </w:p>
    <w:p w14:paraId="10131F3B">
      <w:pPr>
        <w:spacing w:line="600" w:lineRule="exact"/>
        <w:ind w:firstLine="960" w:firstLineChars="300"/>
        <w:rPr>
          <w:rFonts w:ascii="仿宋" w:hAnsi="仿宋" w:eastAsia="仿宋"/>
          <w:color w:val="auto"/>
          <w:sz w:val="32"/>
          <w:szCs w:val="32"/>
        </w:rPr>
      </w:pPr>
      <w:r>
        <w:rPr>
          <w:rFonts w:hint="eastAsia" w:ascii="仿宋_GB2312" w:hAnsi="仿宋_GB2312" w:eastAsia="仿宋_GB2312" w:cs="仿宋_GB2312"/>
          <w:sz w:val="32"/>
          <w:szCs w:val="32"/>
          <w:lang w:val="en-US" w:eastAsia="zh-CN"/>
        </w:rPr>
        <w:t>2023年度财政拨款收入总计265.24万元，与2022年217.75万元相比，财政拨款收入增加47.49万元，增长17.9%；财政拨款支出总计265.24万元，与2022年217.75万元相比，财政拨款支出增加47.49万元，增长17.90%。主要变动原因是2023年绩效工资及人员工资支出增加。</w:t>
      </w:r>
      <w:r>
        <w:rPr>
          <w:rFonts w:hint="eastAsia" w:ascii="仿宋" w:hAnsi="仿宋" w:eastAsia="仿宋"/>
          <w:color w:val="auto"/>
          <w:sz w:val="32"/>
          <w:szCs w:val="32"/>
        </w:rPr>
        <w:t>（图4：财政拨款收、支决算总计变动情况）（柱状图）</w:t>
      </w:r>
    </w:p>
    <w:p w14:paraId="21ED01A3">
      <w:pPr>
        <w:pStyle w:val="5"/>
        <w:spacing w:before="93"/>
        <w:rPr>
          <w:color w:val="auto"/>
        </w:rPr>
      </w:pPr>
      <w:r>
        <w:rPr>
          <w:rFonts w:ascii="仿宋" w:hAnsi="仿宋" w:eastAsia="仿宋"/>
          <w:b/>
          <w:color w:val="auto"/>
          <w:sz w:val="32"/>
          <w:szCs w:val="32"/>
        </w:rPr>
        <w:drawing>
          <wp:inline distT="0" distB="0" distL="0" distR="0">
            <wp:extent cx="5247640" cy="2809240"/>
            <wp:effectExtent l="4445" t="4445" r="571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A57C7">
      <w:pPr>
        <w:spacing w:line="600" w:lineRule="exact"/>
        <w:ind w:firstLine="640" w:firstLineChars="200"/>
        <w:outlineLvl w:val="1"/>
        <w:rPr>
          <w:rFonts w:hint="eastAsia" w:ascii="黑体" w:hAnsi="黑体" w:eastAsia="黑体"/>
          <w:color w:val="auto"/>
          <w:sz w:val="32"/>
          <w:szCs w:val="32"/>
        </w:rPr>
      </w:pPr>
      <w:bookmarkStart w:id="26" w:name="_Toc15396607"/>
      <w:bookmarkStart w:id="27" w:name="_Toc15377209"/>
    </w:p>
    <w:p w14:paraId="3CA14EA5">
      <w:pPr>
        <w:spacing w:line="600" w:lineRule="exact"/>
        <w:ind w:firstLine="640" w:firstLineChars="200"/>
        <w:outlineLvl w:val="1"/>
        <w:rPr>
          <w:rStyle w:val="28"/>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26"/>
      <w:bookmarkEnd w:id="27"/>
    </w:p>
    <w:p w14:paraId="2153A021">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14:paraId="46F10E8A">
      <w:pPr>
        <w:spacing w:line="580" w:lineRule="exact"/>
        <w:ind w:firstLine="640" w:firstLineChars="200"/>
        <w:rPr>
          <w:rFonts w:ascii="仿宋" w:hAnsi="仿宋" w:eastAsia="仿宋"/>
          <w:color w:val="auto"/>
          <w:sz w:val="32"/>
          <w:szCs w:val="32"/>
        </w:rPr>
      </w:pPr>
      <w:r>
        <w:rPr>
          <w:rFonts w:hint="eastAsia" w:ascii="仿宋_GB2312" w:hAnsi="仿宋_GB2312" w:eastAsia="仿宋_GB2312" w:cs="仿宋_GB2312"/>
          <w:sz w:val="32"/>
          <w:szCs w:val="32"/>
          <w:lang w:val="en-US" w:eastAsia="zh-CN"/>
        </w:rPr>
        <w:t>2023年度一般公共预算财政拨款支出265.24万元，占本年支出合计的100%。与2022年相比，一般公共预算财政拨款支出217.75万元相比，一般公共预算财政拨款支出增加47.49万元。主要变动原因是2023年绩效工资及人员工资支出增加。</w:t>
      </w:r>
      <w:r>
        <w:rPr>
          <w:rFonts w:hint="eastAsia" w:ascii="仿宋" w:hAnsi="仿宋" w:eastAsia="仿宋"/>
          <w:color w:val="auto"/>
          <w:sz w:val="32"/>
          <w:szCs w:val="32"/>
        </w:rPr>
        <w:t>（图5：一般公共预算财政拨款支出决算变动情况）（柱状图）</w:t>
      </w:r>
    </w:p>
    <w:p w14:paraId="0E1CB68E">
      <w:pPr>
        <w:pStyle w:val="5"/>
        <w:spacing w:before="93"/>
        <w:rPr>
          <w:color w:val="auto"/>
        </w:rPr>
      </w:pPr>
      <w:r>
        <w:rPr>
          <w:rFonts w:ascii="仿宋" w:hAnsi="仿宋" w:eastAsia="仿宋"/>
          <w:color w:val="auto"/>
          <w:sz w:val="32"/>
          <w:szCs w:val="32"/>
        </w:rPr>
        <w:drawing>
          <wp:inline distT="0" distB="0" distL="0" distR="0">
            <wp:extent cx="5219700" cy="25527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D4EDE">
      <w:pPr>
        <w:pStyle w:val="5"/>
        <w:spacing w:before="93"/>
        <w:rPr>
          <w:color w:val="auto"/>
        </w:rPr>
      </w:pPr>
    </w:p>
    <w:p w14:paraId="34C6CF99">
      <w:pPr>
        <w:spacing w:line="600" w:lineRule="exact"/>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14:paraId="4FD340C6">
      <w:pPr>
        <w:spacing w:line="580" w:lineRule="exact"/>
        <w:ind w:firstLine="640" w:firstLineChars="200"/>
        <w:rPr>
          <w:rFonts w:ascii="仿宋" w:hAnsi="仿宋" w:eastAsia="仿宋"/>
          <w:color w:val="auto"/>
          <w:sz w:val="32"/>
          <w:szCs w:val="32"/>
        </w:rPr>
      </w:pPr>
      <w:r>
        <w:rPr>
          <w:rFonts w:hint="eastAsia" w:ascii="仿宋_GB2312" w:hAnsi="仿宋_GB2312" w:eastAsia="仿宋_GB2312" w:cs="仿宋_GB2312"/>
          <w:sz w:val="32"/>
          <w:szCs w:val="32"/>
          <w:lang w:val="en-US" w:eastAsia="zh-CN"/>
        </w:rPr>
        <w:t>2023年度一般公共预算财政拨款支出265.24万元，主要用于以下方面:社会保障和就业（类）支出46.21万元，占17.34%；卫生健康支出7.27万元，占2.74%；农林水（类）支出195.44万元，占73.68%；住房保障支出16.56万元，占6.24%。</w:t>
      </w:r>
      <w:r>
        <w:rPr>
          <w:rFonts w:hint="eastAsia" w:ascii="仿宋" w:hAnsi="仿宋" w:eastAsia="仿宋"/>
          <w:color w:val="auto"/>
          <w:sz w:val="32"/>
          <w:szCs w:val="32"/>
        </w:rPr>
        <w:t>（图6：一般公共预算财政拨款支出决算结构）（饼状图）</w:t>
      </w:r>
    </w:p>
    <w:p w14:paraId="0795E3C9">
      <w:pPr>
        <w:spacing w:line="600" w:lineRule="exact"/>
        <w:ind w:firstLine="640" w:firstLineChars="200"/>
        <w:rPr>
          <w:rFonts w:ascii="仿宋" w:hAnsi="仿宋" w:eastAsia="仿宋"/>
          <w:color w:val="auto"/>
          <w:sz w:val="32"/>
          <w:szCs w:val="32"/>
        </w:rPr>
      </w:pPr>
    </w:p>
    <w:p w14:paraId="506808C7">
      <w:pPr>
        <w:pStyle w:val="5"/>
        <w:spacing w:before="93"/>
        <w:jc w:val="center"/>
        <w:rPr>
          <w:color w:val="auto"/>
        </w:rPr>
      </w:pPr>
      <w:r>
        <w:rPr>
          <w:rFonts w:ascii="仿宋" w:hAnsi="仿宋" w:eastAsia="仿宋"/>
          <w:color w:val="auto"/>
          <w:sz w:val="32"/>
          <w:szCs w:val="32"/>
        </w:rPr>
        <w:drawing>
          <wp:inline distT="0" distB="0" distL="0" distR="0">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D3E9A">
      <w:pPr>
        <w:pStyle w:val="5"/>
        <w:spacing w:before="93"/>
        <w:rPr>
          <w:color w:val="auto"/>
        </w:rPr>
      </w:pPr>
    </w:p>
    <w:p w14:paraId="6198BF68">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14:paraId="441F4B64">
      <w:pPr>
        <w:spacing w:line="600" w:lineRule="exact"/>
        <w:ind w:firstLine="643" w:firstLineChars="200"/>
        <w:outlineLvl w:val="2"/>
        <w:rPr>
          <w:rStyle w:val="16"/>
          <w:rFonts w:hint="eastAsia" w:ascii="仿宋" w:hAnsi="仿宋" w:eastAsia="仿宋"/>
          <w:bCs/>
          <w:color w:val="auto"/>
          <w:sz w:val="32"/>
          <w:szCs w:val="32"/>
        </w:rPr>
      </w:pPr>
      <w:bookmarkStart w:id="31" w:name="_Toc15378460"/>
      <w:bookmarkStart w:id="32" w:name="_Toc15377213"/>
      <w:bookmarkStart w:id="33" w:name="_Toc15377444"/>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265.24</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6"/>
          <w:rFonts w:hint="eastAsia" w:ascii="仿宋" w:hAnsi="仿宋" w:eastAsia="仿宋"/>
          <w:bCs/>
          <w:color w:val="auto"/>
          <w:sz w:val="32"/>
          <w:szCs w:val="32"/>
        </w:rPr>
        <w:t>完成预算100</w:t>
      </w:r>
      <w:r>
        <w:rPr>
          <w:rStyle w:val="16"/>
          <w:rFonts w:ascii="仿宋" w:hAnsi="仿宋" w:eastAsia="仿宋"/>
          <w:bCs/>
          <w:color w:val="auto"/>
          <w:sz w:val="32"/>
          <w:szCs w:val="32"/>
        </w:rPr>
        <w:t>%</w:t>
      </w:r>
      <w:r>
        <w:rPr>
          <w:rStyle w:val="16"/>
          <w:rFonts w:hint="eastAsia" w:ascii="仿宋" w:hAnsi="仿宋" w:eastAsia="仿宋"/>
          <w:bCs/>
          <w:color w:val="auto"/>
          <w:sz w:val="32"/>
          <w:szCs w:val="32"/>
        </w:rPr>
        <w:t>。其中：</w:t>
      </w:r>
      <w:bookmarkEnd w:id="31"/>
      <w:bookmarkEnd w:id="32"/>
      <w:bookmarkEnd w:id="33"/>
    </w:p>
    <w:p w14:paraId="68076D2A">
      <w:pPr>
        <w:spacing w:line="600" w:lineRule="exact"/>
        <w:ind w:firstLine="643" w:firstLineChars="200"/>
        <w:rPr>
          <w:rStyle w:val="16"/>
          <w:rFonts w:hint="eastAsia" w:ascii="仿宋" w:hAnsi="仿宋" w:eastAsia="仿宋"/>
          <w:bCs/>
          <w:color w:val="auto"/>
          <w:sz w:val="32"/>
          <w:szCs w:val="32"/>
        </w:rPr>
      </w:pPr>
      <w:r>
        <w:rPr>
          <w:rStyle w:val="16"/>
          <w:rFonts w:hint="eastAsia" w:ascii="仿宋" w:hAnsi="仿宋" w:eastAsia="仿宋"/>
          <w:bCs/>
          <w:color w:val="auto"/>
          <w:sz w:val="32"/>
          <w:szCs w:val="32"/>
          <w:lang w:val="en-US" w:eastAsia="zh-CN"/>
        </w:rPr>
        <w:t>1</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事业单位离退休</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02</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2.48</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4079CB9">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（05）机关事业单位基本养老保险缴费支出（05）:</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6.98</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BEAC254">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其他行政事业单位养老支出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25.09</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3F658E58">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4</w:t>
      </w:r>
      <w:r>
        <w:rPr>
          <w:rStyle w:val="16"/>
          <w:rFonts w:hint="eastAsia" w:ascii="仿宋" w:hAnsi="仿宋" w:eastAsia="仿宋"/>
          <w:bCs/>
          <w:color w:val="auto"/>
          <w:sz w:val="32"/>
          <w:szCs w:val="32"/>
        </w:rPr>
        <w:t>、社会保障和就业（208）行政事业单位</w:t>
      </w:r>
      <w:r>
        <w:rPr>
          <w:rStyle w:val="16"/>
          <w:rFonts w:hint="eastAsia" w:ascii="仿宋" w:hAnsi="仿宋" w:eastAsia="仿宋"/>
          <w:bCs/>
          <w:color w:val="auto"/>
          <w:sz w:val="32"/>
          <w:szCs w:val="32"/>
          <w:lang w:val="en-US" w:eastAsia="zh-CN"/>
        </w:rPr>
        <w:t>养老</w:t>
      </w:r>
      <w:r>
        <w:rPr>
          <w:rStyle w:val="16"/>
          <w:rFonts w:hint="eastAsia" w:ascii="仿宋" w:hAnsi="仿宋" w:eastAsia="仿宋"/>
          <w:bCs/>
          <w:color w:val="auto"/>
          <w:sz w:val="32"/>
          <w:szCs w:val="32"/>
        </w:rPr>
        <w:t>（05）</w:t>
      </w:r>
      <w:r>
        <w:rPr>
          <w:rStyle w:val="16"/>
          <w:rFonts w:hint="eastAsia" w:ascii="仿宋" w:hAnsi="仿宋" w:eastAsia="仿宋"/>
          <w:bCs/>
          <w:color w:val="auto"/>
          <w:sz w:val="32"/>
          <w:szCs w:val="32"/>
          <w:lang w:val="en-US" w:eastAsia="zh-CN"/>
        </w:rPr>
        <w:t>其机关事业单位职业年金缴费支出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06</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11.66</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A8826BE">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、卫生健康（210）行政事业单位医疗（11）事业单位医疗（02）:</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7.27</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139F0D4">
      <w:pPr>
        <w:pStyle w:val="5"/>
        <w:spacing w:before="93"/>
        <w:ind w:firstLine="6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水利执法监督</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172.91</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05EF33B">
      <w:pPr>
        <w:pStyle w:val="5"/>
        <w:spacing w:before="93"/>
        <w:ind w:firstLine="6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7</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水利工程运行与维护</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06</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10.43</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1A30582D">
      <w:pPr>
        <w:pStyle w:val="5"/>
        <w:spacing w:before="93"/>
        <w:ind w:firstLine="6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.农林水（213）水利（03）</w:t>
      </w:r>
      <w:r>
        <w:rPr>
          <w:rStyle w:val="16"/>
          <w:rFonts w:hint="eastAsia" w:ascii="仿宋" w:hAnsi="仿宋" w:eastAsia="仿宋"/>
          <w:bCs/>
          <w:color w:val="auto"/>
          <w:sz w:val="32"/>
          <w:szCs w:val="32"/>
          <w:lang w:val="en-US" w:eastAsia="zh-CN"/>
        </w:rPr>
        <w:t>水利技术推广</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06</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10.62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2040F8E2">
      <w:pPr>
        <w:pStyle w:val="5"/>
        <w:spacing w:before="93"/>
        <w:ind w:firstLine="6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9</w:t>
      </w:r>
      <w:r>
        <w:rPr>
          <w:rStyle w:val="16"/>
          <w:rFonts w:hint="eastAsia" w:ascii="仿宋" w:hAnsi="仿宋" w:eastAsia="仿宋"/>
          <w:bCs/>
          <w:color w:val="auto"/>
          <w:sz w:val="32"/>
          <w:szCs w:val="32"/>
        </w:rPr>
        <w:t>.农林水（213）</w:t>
      </w:r>
      <w:r>
        <w:rPr>
          <w:rStyle w:val="16"/>
          <w:rFonts w:hint="eastAsia" w:ascii="仿宋" w:hAnsi="仿宋" w:eastAsia="仿宋"/>
          <w:bCs/>
          <w:color w:val="auto"/>
          <w:sz w:val="32"/>
          <w:szCs w:val="32"/>
          <w:lang w:val="en-US" w:eastAsia="zh-CN"/>
        </w:rPr>
        <w:t>巩固脱贫攻坚成果衔接乡村振兴</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其他巩固脱贫攻坚成果衔接乡村振兴</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1.23</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100</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56BF5489">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10</w:t>
      </w:r>
      <w:r>
        <w:rPr>
          <w:rStyle w:val="16"/>
          <w:rFonts w:hint="eastAsia" w:ascii="仿宋" w:hAnsi="仿宋" w:eastAsia="仿宋"/>
          <w:bCs/>
          <w:color w:val="auto"/>
          <w:sz w:val="32"/>
          <w:szCs w:val="32"/>
        </w:rPr>
        <w:t>、住房保障（221）住房改革（02）住房公积金（01）:</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16.56</w:t>
      </w:r>
      <w:r>
        <w:rPr>
          <w:rStyle w:val="16"/>
          <w:rFonts w:hint="eastAsia" w:ascii="仿宋" w:hAnsi="仿宋" w:eastAsia="仿宋"/>
          <w:b w:val="0"/>
          <w:bCs/>
          <w:color w:val="auto"/>
          <w:sz w:val="32"/>
          <w:szCs w:val="32"/>
        </w:rPr>
        <w:t>万元，完成预算100%，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val="en-US"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rPr>
        <w:t>。</w:t>
      </w:r>
    </w:p>
    <w:p w14:paraId="67CB8F9B">
      <w:pPr>
        <w:tabs>
          <w:tab w:val="right" w:pos="8306"/>
        </w:tabs>
        <w:spacing w:line="600" w:lineRule="exact"/>
        <w:ind w:firstLine="640"/>
        <w:outlineLvl w:val="1"/>
        <w:rPr>
          <w:rStyle w:val="28"/>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34"/>
      <w:bookmarkEnd w:id="35"/>
      <w:r>
        <w:rPr>
          <w:rStyle w:val="28"/>
          <w:rFonts w:ascii="黑体" w:hAnsi="黑体" w:eastAsia="黑体"/>
          <w:b w:val="0"/>
          <w:color w:val="auto"/>
        </w:rPr>
        <w:tab/>
      </w:r>
    </w:p>
    <w:p w14:paraId="0044E4FE">
      <w:pPr>
        <w:spacing w:line="580" w:lineRule="exact"/>
        <w:ind w:firstLine="640" w:firstLineChars="200"/>
        <w:rPr>
          <w:rFonts w:hint="eastAsia" w:ascii="仿宋_GB2312" w:hAnsi="仿宋_GB2312" w:eastAsia="仿宋_GB2312" w:cs="仿宋_GB2312"/>
          <w:sz w:val="32"/>
          <w:szCs w:val="32"/>
          <w:lang w:val="en-US" w:eastAsia="zh-CN"/>
        </w:rPr>
      </w:pPr>
      <w:bookmarkStart w:id="36" w:name="_Toc15377215"/>
      <w:bookmarkStart w:id="37" w:name="_Toc15396609"/>
      <w:r>
        <w:rPr>
          <w:rFonts w:hint="eastAsia" w:ascii="仿宋_GB2312" w:hAnsi="仿宋_GB2312" w:eastAsia="仿宋_GB2312" w:cs="仿宋_GB2312"/>
          <w:sz w:val="32"/>
          <w:szCs w:val="32"/>
          <w:lang w:val="en-US" w:eastAsia="zh-CN"/>
        </w:rPr>
        <w:t>2023年度一般公共预算财政拨款基本支出265.24万元，其中：</w:t>
      </w:r>
    </w:p>
    <w:p w14:paraId="34461D26">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人员经费</w:t>
      </w:r>
      <w:r>
        <w:rPr>
          <w:rFonts w:hint="eastAsia" w:ascii="仿宋_GB2312" w:hAnsi="仿宋_GB2312" w:eastAsia="仿宋_GB2312" w:cs="仿宋_GB2312"/>
          <w:sz w:val="32"/>
          <w:szCs w:val="32"/>
          <w:lang w:val="en-US" w:eastAsia="zh-CN"/>
        </w:rPr>
        <w:t>233.38万元，主要包括：基本工资60.75万元、津贴补贴1.47万元、奖金0万元、伙食补助费0万元、绩效工资44.89万元、机关事业单位基本养老保险缴费6.98万元、职业年金缴费11.66万元、职工基本医疗保险缴费7.27万元、其他社会保障缴费0.0048万元、住房公积金16.56万元、其他工资福利支出57.26万元、离休费0万元、退休费2.48万元、抚恤金0万元、生活补助25.09万元、医疗费补助0万元、奖励金0.006万元、其他对个人和家庭的补助支出0万元。</w:t>
      </w:r>
    </w:p>
    <w:p w14:paraId="42B094D5">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公用经费</w:t>
      </w:r>
      <w:r>
        <w:rPr>
          <w:rFonts w:hint="eastAsia" w:ascii="仿宋_GB2312" w:hAnsi="仿宋_GB2312" w:eastAsia="仿宋_GB2312" w:cs="仿宋_GB2312"/>
          <w:sz w:val="32"/>
          <w:szCs w:val="32"/>
          <w:lang w:val="en-US" w:eastAsia="zh-CN"/>
        </w:rPr>
        <w:t>31.86万元，主要包括：办公费0.55万元、印刷费0万元、咨询费0万元、手续费0万元、水费0万元、电费0万元、邮电费0.63万元、取暖费0万元、物业管理费0万元、差旅费12.27万元、因公出国（境）费用0万元、维修（护）费0.77万元、租赁费0万元、会议费0万元、培训费0万元、公务接待费0.06万元、劳务费0万元、委托业务费0万元、工会经费5.88万元、福利费3.83万元、公务用车运行维护费0万元、其他交通费4.0万元、税金及附加费用0万元、其他商品和服务支出3.86万元、办公设备购置0万元、专用设备购置0万元、信息网络及软件购置更新0万元、其他资本性支出0万元。</w:t>
      </w:r>
    </w:p>
    <w:p w14:paraId="793CD3EA">
      <w:pPr>
        <w:spacing w:line="600" w:lineRule="exact"/>
        <w:ind w:firstLine="640"/>
        <w:outlineLvl w:val="1"/>
        <w:rPr>
          <w:rStyle w:val="28"/>
          <w:rFonts w:ascii="黑体" w:hAnsi="黑体" w:eastAsia="黑体"/>
          <w:b w:val="0"/>
          <w:color w:val="auto"/>
        </w:rPr>
      </w:pPr>
      <w:r>
        <w:rPr>
          <w:rFonts w:hint="eastAsia" w:ascii="黑体" w:eastAsia="黑体"/>
          <w:color w:val="auto"/>
          <w:sz w:val="32"/>
          <w:szCs w:val="32"/>
        </w:rPr>
        <w:t>七、</w:t>
      </w:r>
      <w:bookmarkEnd w:id="36"/>
      <w:bookmarkEnd w:id="37"/>
      <w:r>
        <w:rPr>
          <w:rStyle w:val="36"/>
          <w:rFonts w:hint="eastAsia" w:ascii="黑体" w:hAnsi="黑体" w:eastAsia="黑体"/>
          <w:b w:val="0"/>
          <w:color w:val="auto"/>
        </w:rPr>
        <w:t>财政拨款</w:t>
      </w:r>
      <w:r>
        <w:rPr>
          <w:rStyle w:val="36"/>
          <w:rFonts w:hint="eastAsia" w:ascii="黑体" w:hAnsi="黑体" w:eastAsia="黑体"/>
          <w:color w:val="auto"/>
        </w:rPr>
        <w:t>“</w:t>
      </w:r>
      <w:r>
        <w:rPr>
          <w:rStyle w:val="36"/>
          <w:rFonts w:hint="eastAsia" w:ascii="黑体" w:hAnsi="黑体" w:eastAsia="黑体"/>
          <w:b w:val="0"/>
          <w:color w:val="auto"/>
        </w:rPr>
        <w:t>三公”经费支出决算情况说明</w:t>
      </w:r>
    </w:p>
    <w:p w14:paraId="45477913">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14:paraId="67646CE9">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2023年“三公”经费财政拨款支出决算为0.06万元，完成预算0%，决算数小于预算数的主要原因是2023年本单位遵照厉行节约原则减少了公务接待费支出所致。</w:t>
      </w:r>
    </w:p>
    <w:p w14:paraId="44A15EA0">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（注：上述“预算”口径为调整预算数，包括一般公共预算和政府性基金预算财政拨款支出决算情况。）</w:t>
      </w:r>
    </w:p>
    <w:p w14:paraId="7D4A7E51">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14:paraId="46621D2C">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14:paraId="2AB84241">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14:paraId="68FDCDD7">
      <w:pPr>
        <w:pStyle w:val="5"/>
        <w:spacing w:before="93"/>
        <w:jc w:val="center"/>
        <w:rPr>
          <w:color w:val="auto"/>
        </w:rPr>
      </w:pPr>
      <w:r>
        <w:rPr>
          <w:rFonts w:ascii="仿宋" w:hAnsi="仿宋" w:eastAsia="仿宋"/>
          <w:color w:val="auto"/>
          <w:sz w:val="32"/>
          <w:szCs w:val="32"/>
        </w:rPr>
        <w:drawing>
          <wp:inline distT="0" distB="0" distL="0" distR="0">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8FFF4E">
      <w:pPr>
        <w:pStyle w:val="5"/>
        <w:tabs>
          <w:tab w:val="left" w:pos="5000"/>
        </w:tabs>
        <w:spacing w:before="93"/>
        <w:rPr>
          <w:color w:val="auto"/>
        </w:rPr>
      </w:pPr>
      <w:r>
        <w:rPr>
          <w:color w:val="auto"/>
        </w:rPr>
        <w:tab/>
      </w:r>
    </w:p>
    <w:p w14:paraId="7574088A">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6"/>
          <w:rFonts w:hint="eastAsia" w:ascii="仿宋" w:hAnsi="仿宋" w:eastAsia="仿宋"/>
          <w:b w:val="0"/>
          <w:bCs/>
          <w:color w:val="auto"/>
          <w:sz w:val="32"/>
          <w:szCs w:val="32"/>
        </w:rPr>
        <w:t>完成预算0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减少0万元，增长</w:t>
      </w:r>
      <w:r>
        <w:rPr>
          <w:rFonts w:ascii="仿宋_GB2312" w:eastAsia="仿宋_GB2312"/>
          <w:color w:val="auto"/>
          <w:sz w:val="32"/>
          <w:szCs w:val="32"/>
        </w:rPr>
        <w:t>/</w:t>
      </w:r>
      <w:r>
        <w:rPr>
          <w:rFonts w:hint="eastAsia" w:ascii="仿宋_GB2312" w:eastAsia="仿宋_GB2312"/>
          <w:color w:val="auto"/>
          <w:sz w:val="32"/>
          <w:szCs w:val="32"/>
        </w:rPr>
        <w:t>下降0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本年</w:t>
      </w:r>
      <w:r>
        <w:rPr>
          <w:rFonts w:hint="eastAsia" w:ascii="仿宋_GB2312" w:eastAsia="仿宋_GB2312"/>
          <w:color w:val="auto"/>
          <w:sz w:val="32"/>
          <w:szCs w:val="32"/>
        </w:rPr>
        <w:t>没有因公出国（境）事项。（无相关数据不能删除）</w:t>
      </w:r>
    </w:p>
    <w:p w14:paraId="4544AC07">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年保持一致。主要原因是严格按照预算要求执行。</w:t>
      </w:r>
    </w:p>
    <w:p w14:paraId="48D626D3">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辆，其中：轿车0辆、越野车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辆、载客汽车0辆。</w:t>
      </w:r>
    </w:p>
    <w:p w14:paraId="7677D085">
      <w:p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14:paraId="058605CB">
      <w:pPr>
        <w:widowControl/>
        <w:spacing w:line="315" w:lineRule="atLeast"/>
        <w:ind w:firstLine="480"/>
        <w:rPr>
          <w:rFonts w:hint="eastAsia" w:ascii="仿宋_GB2312" w:eastAsia="仿宋_GB2312"/>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减少0.06万</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减少100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2023年无公务接待。</w:t>
      </w:r>
    </w:p>
    <w:p w14:paraId="625E2723">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14:paraId="4BBDAD77">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万元，外事接待0批次，0人，共计支出0万元。</w:t>
      </w:r>
      <w:bookmarkStart w:id="40" w:name="_Toc15377218"/>
      <w:bookmarkStart w:id="41" w:name="_Toc15396610"/>
    </w:p>
    <w:p w14:paraId="3A8AF5E8">
      <w:pPr>
        <w:pStyle w:val="37"/>
        <w:rPr>
          <w:color w:val="auto"/>
        </w:rPr>
      </w:pPr>
    </w:p>
    <w:p w14:paraId="71A41645">
      <w:pPr>
        <w:spacing w:line="600"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0"/>
      <w:bookmarkEnd w:id="41"/>
    </w:p>
    <w:p w14:paraId="2FF3D2AF">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年政府性基金预算财政拨款支出0万元。</w:t>
      </w:r>
    </w:p>
    <w:p w14:paraId="3FCD5607">
      <w:pPr>
        <w:spacing w:line="600" w:lineRule="exact"/>
        <w:ind w:firstLine="640"/>
        <w:rPr>
          <w:rFonts w:ascii="仿宋_GB2312" w:eastAsia="仿宋_GB2312"/>
          <w:color w:val="auto"/>
          <w:sz w:val="32"/>
          <w:szCs w:val="32"/>
        </w:rPr>
      </w:pPr>
    </w:p>
    <w:p w14:paraId="56F94E42">
      <w:pPr>
        <w:numPr>
          <w:ilvl w:val="0"/>
          <w:numId w:val="2"/>
        </w:numPr>
        <w:spacing w:line="600" w:lineRule="exact"/>
        <w:ind w:firstLine="640"/>
        <w:outlineLvl w:val="1"/>
        <w:rPr>
          <w:rStyle w:val="28"/>
          <w:rFonts w:ascii="黑体" w:hAnsi="黑体" w:eastAsia="黑体"/>
          <w:b w:val="0"/>
          <w:color w:val="auto"/>
        </w:rPr>
      </w:pPr>
      <w:bookmarkStart w:id="42" w:name="_Toc15377219"/>
      <w:bookmarkStart w:id="43" w:name="_Toc15396611"/>
      <w:r>
        <w:rPr>
          <w:rStyle w:val="28"/>
          <w:rFonts w:hint="eastAsia" w:ascii="黑体" w:hAnsi="黑体" w:eastAsia="黑体"/>
          <w:b w:val="0"/>
          <w:color w:val="auto"/>
        </w:rPr>
        <w:t>国有资本经营预算支出决算情况说明</w:t>
      </w:r>
      <w:bookmarkEnd w:id="42"/>
      <w:bookmarkEnd w:id="43"/>
    </w:p>
    <w:p w14:paraId="6B245C40">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年国有资本经营预算财政拨款支出0万元。</w:t>
      </w:r>
    </w:p>
    <w:p w14:paraId="76114349">
      <w:pPr>
        <w:spacing w:line="580" w:lineRule="exact"/>
        <w:jc w:val="center"/>
        <w:rPr>
          <w:rFonts w:ascii="方正小标宋简体" w:hAnsi="方正小标宋简体" w:eastAsia="方正小标宋简体" w:cs="方正小标宋简体"/>
          <w:color w:val="auto"/>
          <w:sz w:val="44"/>
          <w:szCs w:val="44"/>
        </w:rPr>
      </w:pPr>
    </w:p>
    <w:p w14:paraId="25B75770">
      <w:pPr>
        <w:numPr>
          <w:ilvl w:val="0"/>
          <w:numId w:val="2"/>
        </w:numPr>
        <w:spacing w:line="600" w:lineRule="exact"/>
        <w:ind w:firstLine="640"/>
        <w:outlineLvl w:val="1"/>
        <w:rPr>
          <w:rStyle w:val="28"/>
          <w:rFonts w:ascii="黑体" w:hAnsi="黑体" w:eastAsia="黑体"/>
          <w:b w:val="0"/>
          <w:color w:val="auto"/>
        </w:rPr>
      </w:pPr>
      <w:bookmarkStart w:id="44" w:name="_Toc15396612"/>
      <w:bookmarkStart w:id="45" w:name="_Toc15377221"/>
      <w:r>
        <w:rPr>
          <w:rStyle w:val="28"/>
          <w:rFonts w:hint="eastAsia" w:ascii="黑体" w:hAnsi="黑体" w:eastAsia="黑体"/>
          <w:b w:val="0"/>
          <w:color w:val="auto"/>
        </w:rPr>
        <w:t>其他重要事项的情况说明</w:t>
      </w:r>
      <w:bookmarkEnd w:id="44"/>
      <w:bookmarkEnd w:id="45"/>
    </w:p>
    <w:p w14:paraId="54564EEA">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BF9412">
      <w:pPr>
        <w:spacing w:line="600"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eastAsia="zh-CN"/>
        </w:rPr>
        <w:t>大竹县水利工程质量与安全监督管理站</w:t>
      </w:r>
      <w:r>
        <w:rPr>
          <w:rFonts w:hint="eastAsia" w:ascii="仿宋_GB2312" w:eastAsia="仿宋_GB2312"/>
          <w:color w:val="auto"/>
          <w:sz w:val="32"/>
          <w:szCs w:val="32"/>
        </w:rPr>
        <w:t>是事业单位，无机关运行经费支出。</w:t>
      </w:r>
    </w:p>
    <w:p w14:paraId="39432B70">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14:paraId="6DAD3CA4">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eastAsia="zh-CN"/>
        </w:rPr>
        <w:t>大竹县水利工程质量与安全监督管理站</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万元、政府采购工程支出0万元、政府采购服务支出0万元。授予中小企业合同金额0万元，占政府采购支出总额的0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w:t>
      </w:r>
    </w:p>
    <w:p w14:paraId="49BF7F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14:paraId="296DCE5C">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2483C465">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62120CE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14:paraId="119FE3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87分，</w:t>
      </w:r>
      <w:r>
        <w:rPr>
          <w:rFonts w:hint="eastAsia" w:ascii="仿宋_GB2312" w:hAnsi="仿宋_GB2312" w:eastAsia="仿宋_GB2312" w:cs="仿宋_GB2312"/>
          <w:sz w:val="32"/>
          <w:szCs w:val="32"/>
          <w:lang w:eastAsia="zh-CN"/>
        </w:rPr>
        <w:t>具体而言，进一步规范了财政资金管理，提高了财政资金使用效益，</w:t>
      </w:r>
      <w:r>
        <w:rPr>
          <w:rFonts w:hint="eastAsia" w:ascii="仿宋_GB2312" w:hAnsi="仿宋_GB2312" w:eastAsia="仿宋_GB2312" w:cs="仿宋_GB2312"/>
          <w:sz w:val="32"/>
          <w:szCs w:val="32"/>
          <w:lang w:val="en-US" w:eastAsia="zh-CN"/>
        </w:rPr>
        <w:t>2023年整体支出均纳入预算绩效目标管理，通过绩效目标管理，保重点、保运转，有效促进了内部控制管理，优化资金使用</w:t>
      </w:r>
      <w:r>
        <w:rPr>
          <w:rFonts w:hint="eastAsia" w:ascii="仿宋_GB2312" w:hAnsi="仿宋_GB2312" w:eastAsia="仿宋_GB2312" w:cs="仿宋_GB2312"/>
          <w:sz w:val="32"/>
          <w:szCs w:val="32"/>
        </w:rPr>
        <w:t>。</w:t>
      </w:r>
      <w:r>
        <w:rPr>
          <w:rFonts w:hint="eastAsia" w:ascii="仿宋_GB2312" w:eastAsia="仿宋_GB2312"/>
          <w:color w:val="000000"/>
          <w:sz w:val="32"/>
          <w:szCs w:val="32"/>
        </w:rPr>
        <w:t>存在的问题：</w:t>
      </w:r>
      <w:r>
        <w:rPr>
          <w:rFonts w:hint="eastAsia" w:ascii="仿宋_GB2312" w:eastAsia="仿宋_GB2312"/>
          <w:color w:val="000000"/>
          <w:sz w:val="32"/>
          <w:szCs w:val="32"/>
          <w:lang w:eastAsia="zh-CN"/>
        </w:rPr>
        <w:t>单位公用经费严重不足</w:t>
      </w:r>
      <w:r>
        <w:rPr>
          <w:rFonts w:hint="eastAsia" w:ascii="仿宋_GB2312" w:eastAsia="仿宋_GB2312"/>
          <w:color w:val="000000"/>
          <w:sz w:val="32"/>
          <w:szCs w:val="32"/>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个项目支出绩效评价，</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水利工程质量与安全监督管理工作经费</w:t>
      </w:r>
      <w:r>
        <w:rPr>
          <w:rFonts w:hint="eastAsia" w:ascii="仿宋_GB2312" w:hAnsi="仿宋_GB2312" w:eastAsia="仿宋_GB2312" w:cs="仿宋_GB2312"/>
          <w:sz w:val="32"/>
          <w:szCs w:val="32"/>
          <w:lang w:val="en-US" w:eastAsia="zh-CN"/>
        </w:rPr>
        <w:t>8万元纳入到部门整体绩效评价工作一起进行的。</w:t>
      </w:r>
    </w:p>
    <w:p w14:paraId="460E8EE4">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14:paraId="41F35E22">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rPr>
      </w:pPr>
      <w:r>
        <w:rPr>
          <w:rFonts w:hint="eastAsia" w:ascii="仿宋_GB2312" w:hAnsi="仿宋_GB2312" w:eastAsia="仿宋_GB2312" w:cs="仿宋_GB2312"/>
          <w:sz w:val="32"/>
          <w:szCs w:val="32"/>
        </w:rPr>
        <w:t>本单位在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部门决算中反映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个项目绩效目标完成实际情况</w:t>
      </w:r>
      <w:r>
        <w:rPr>
          <w:rFonts w:hint="eastAsia" w:ascii="仿宋_GB2312" w:hAnsi="仿宋_GB2312" w:eastAsia="仿宋_GB2312" w:cs="仿宋_GB2312"/>
          <w:sz w:val="32"/>
          <w:szCs w:val="32"/>
          <w:lang w:eastAsia="zh-CN"/>
        </w:rPr>
        <w:t>。</w:t>
      </w:r>
    </w:p>
    <w:p w14:paraId="5E7AA64F">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部门决算中反映“</w:t>
      </w:r>
      <w:r>
        <w:rPr>
          <w:rFonts w:hint="eastAsia" w:ascii="仿宋_GB2312" w:hAnsi="仿宋_GB2312" w:eastAsia="仿宋_GB2312" w:cs="仿宋_GB2312"/>
          <w:sz w:val="32"/>
          <w:szCs w:val="32"/>
          <w:lang w:eastAsia="zh-CN"/>
        </w:rPr>
        <w:t>水利工程质量与安全监督管理工作经费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14:paraId="62A177B7">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水利工程质量与安全监督管理工作经费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通过项目实施，项目绩效目标实现情况如下：</w:t>
      </w:r>
    </w:p>
    <w:p w14:paraId="2828BFB1">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单位对21个水利工程项目实施了质量与安全监督，其中新开工6个，工程涉及水库整治、中小河流治理、水土保持、竹溪河防洪工程。出具监督书6份，出具监督计划6份、划分确认文件6份、对受监工程全面完成的工程出具质监报告5份，年度受监覆盖率达到100%，做到应监尽监。</w:t>
      </w:r>
    </w:p>
    <w:p w14:paraId="79691070">
      <w:pPr>
        <w:numPr>
          <w:ilvl w:val="0"/>
          <w:numId w:val="0"/>
        </w:numPr>
        <w:spacing w:line="580" w:lineRule="exact"/>
        <w:ind w:firstLine="640" w:firstLineChars="200"/>
        <w:rPr>
          <w:rFonts w:hint="eastAsia" w:ascii="仿宋_GB2312" w:hAnsi="仿宋_GB2312" w:eastAsia="仿宋_GB2312" w:cs="仿宋_GB2312"/>
          <w:sz w:val="32"/>
          <w:szCs w:val="32"/>
        </w:rPr>
      </w:pPr>
    </w:p>
    <w:p w14:paraId="5420356D">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通过项目实施，发现的主要问题：工作经费严重不足。下一步改进措施：</w:t>
      </w:r>
      <w:r>
        <w:rPr>
          <w:rFonts w:hint="eastAsia" w:ascii="仿宋_GB2312" w:hAnsi="仿宋_GB2312" w:eastAsia="仿宋_GB2312" w:cs="仿宋_GB2312"/>
          <w:color w:val="auto"/>
          <w:sz w:val="32"/>
          <w:szCs w:val="32"/>
          <w:highlight w:val="none"/>
          <w:lang w:val="en-US" w:eastAsia="zh-CN"/>
        </w:rPr>
        <w:t>开源节流，争取政府和财政对我单位资金的支持</w:t>
      </w:r>
    </w:p>
    <w:p w14:paraId="46D0B860">
      <w:pPr>
        <w:keepNext w:val="0"/>
        <w:keepLines w:val="0"/>
        <w:pageBreakBefore w:val="0"/>
        <w:widowControl w:val="0"/>
        <w:kinsoku/>
        <w:wordWrap/>
        <w:overflowPunct/>
        <w:topLinePunct w:val="0"/>
        <w:bidi w:val="0"/>
        <w:snapToGrid/>
        <w:spacing w:line="520" w:lineRule="exact"/>
        <w:ind w:firstLine="640" w:firstLineChars="200"/>
        <w:textAlignment w:val="auto"/>
        <w:rPr>
          <w:color w:val="auto"/>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rPr>
        <w:t>预算编制阶段，组织</w:t>
      </w:r>
      <w:r>
        <w:rPr>
          <w:rFonts w:hint="eastAsia" w:ascii="仿宋_GB2312" w:hAnsi="仿宋_GB2312" w:eastAsia="仿宋_GB2312" w:cs="仿宋_GB2312"/>
          <w:color w:val="auto"/>
          <w:sz w:val="32"/>
          <w:szCs w:val="32"/>
          <w:highlight w:val="none"/>
          <w:lang w:val="en-US" w:eastAsia="zh-CN"/>
        </w:rPr>
        <w:t>0个项目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hint="eastAsia" w:ascii="仿宋_GB2312" w:hAnsi="仿宋_GB2312" w:eastAsia="仿宋_GB2312" w:cs="仿宋_GB2312"/>
          <w:color w:val="auto"/>
          <w:sz w:val="32"/>
          <w:szCs w:val="32"/>
          <w:highlight w:val="none"/>
        </w:rPr>
        <w:t>。</w:t>
      </w:r>
    </w:p>
    <w:p w14:paraId="3942937E">
      <w:pPr>
        <w:pStyle w:val="5"/>
        <w:spacing w:before="93"/>
        <w:rPr>
          <w:color w:val="auto"/>
        </w:rPr>
      </w:pPr>
    </w:p>
    <w:p w14:paraId="628B860D">
      <w:pPr>
        <w:numPr>
          <w:ilvl w:val="0"/>
          <w:numId w:val="4"/>
        </w:numPr>
        <w:spacing w:line="600" w:lineRule="exact"/>
        <w:ind w:firstLine="660" w:firstLineChars="150"/>
        <w:jc w:val="center"/>
        <w:outlineLvl w:val="0"/>
        <w:rPr>
          <w:rStyle w:val="27"/>
          <w:rFonts w:ascii="黑体" w:hAnsi="黑体" w:eastAsia="黑体"/>
          <w:b w:val="0"/>
          <w:color w:val="auto"/>
        </w:rPr>
      </w:pPr>
      <w:bookmarkStart w:id="49" w:name="_Toc15396613"/>
      <w:bookmarkStart w:id="50" w:name="_Toc15377225"/>
      <w:r>
        <w:rPr>
          <w:rFonts w:hint="eastAsia" w:ascii="黑体" w:hAnsi="黑体" w:eastAsia="黑体"/>
          <w:color w:val="auto"/>
          <w:sz w:val="44"/>
          <w:szCs w:val="44"/>
        </w:rPr>
        <w:t>名</w:t>
      </w:r>
      <w:r>
        <w:rPr>
          <w:rStyle w:val="27"/>
          <w:rFonts w:hint="eastAsia" w:ascii="黑体" w:hAnsi="黑体" w:eastAsia="黑体"/>
          <w:b w:val="0"/>
          <w:color w:val="auto"/>
        </w:rPr>
        <w:t>词解释</w:t>
      </w:r>
      <w:bookmarkEnd w:id="49"/>
      <w:bookmarkEnd w:id="50"/>
    </w:p>
    <w:p w14:paraId="1A2A9672">
      <w:pPr>
        <w:spacing w:line="600" w:lineRule="exact"/>
        <w:jc w:val="left"/>
        <w:rPr>
          <w:rFonts w:ascii="宋体"/>
          <w:b/>
          <w:color w:val="auto"/>
          <w:sz w:val="44"/>
          <w:szCs w:val="44"/>
        </w:rPr>
      </w:pPr>
    </w:p>
    <w:p w14:paraId="23F6B38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A15078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2739C0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707347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2FA147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EE8512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A2525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4BD76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47E92D">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14:paraId="36FD98B4">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14:paraId="3F03A5E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14:paraId="2031D8A5">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14:paraId="21A90DE5">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14:paraId="29661D80">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14:paraId="5DBFDF0E">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14:paraId="7470B0E4">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14:paraId="4429E839">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14:paraId="77C6CCC8">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14:paraId="169D522C">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14:paraId="0E466A7C">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14:paraId="1CB97E62">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14:paraId="26A7F16F">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14:paraId="0BDD33E5">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14:paraId="4D7BA680">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14:paraId="6D00BB52">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14:paraId="392B5E16">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14:paraId="317D0B87">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2AE841E3">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4407AD04">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05DDF007">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14:paraId="4A1EC40F">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08D92783">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14:paraId="2B7CD71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87BB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14BA0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808F41B">
      <w:pPr>
        <w:pStyle w:val="25"/>
        <w:spacing w:line="560" w:lineRule="exact"/>
        <w:ind w:firstLine="640" w:firstLineChars="200"/>
        <w:rPr>
          <w:rFonts w:ascii="仿宋_GB2312" w:eastAsia="仿宋_GB2312" w:cs="黑体"/>
          <w:color w:val="auto"/>
          <w:sz w:val="32"/>
          <w:szCs w:val="32"/>
        </w:rPr>
      </w:pPr>
    </w:p>
    <w:p w14:paraId="7106208E">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（名词解释部分请根据各单位实际列支情况罗列，并根据本单位职责职能增减名词解释内容。）</w:t>
      </w:r>
    </w:p>
    <w:p w14:paraId="331022E3">
      <w:pPr>
        <w:numPr>
          <w:ilvl w:val="0"/>
          <w:numId w:val="4"/>
        </w:numPr>
        <w:spacing w:line="600" w:lineRule="exact"/>
        <w:ind w:left="0" w:leftChars="0" w:firstLine="663" w:firstLineChars="150"/>
        <w:jc w:val="center"/>
        <w:outlineLvl w:val="0"/>
        <w:rPr>
          <w:rStyle w:val="27"/>
          <w:rFonts w:hint="eastAsia" w:ascii="黑体" w:hAnsi="黑体" w:eastAsia="黑体"/>
          <w:b w:val="0"/>
          <w:color w:val="auto"/>
        </w:rPr>
      </w:pPr>
      <w:bookmarkStart w:id="51" w:name="_Toc15377226"/>
      <w:r>
        <w:rPr>
          <w:rFonts w:ascii="宋体"/>
          <w:b/>
          <w:color w:val="auto"/>
          <w:sz w:val="44"/>
          <w:szCs w:val="44"/>
        </w:rPr>
        <w:br w:type="page"/>
      </w:r>
      <w:bookmarkStart w:id="52" w:name="_Toc15396614"/>
      <w:r>
        <w:rPr>
          <w:rStyle w:val="27"/>
          <w:rFonts w:hint="eastAsia" w:ascii="黑体" w:hAnsi="黑体" w:eastAsia="黑体"/>
          <w:b w:val="0"/>
          <w:color w:val="auto"/>
        </w:rPr>
        <w:t>附件</w:t>
      </w:r>
      <w:bookmarkEnd w:id="52"/>
    </w:p>
    <w:p w14:paraId="24268E94">
      <w:pPr>
        <w:widowControl w:val="0"/>
        <w:numPr>
          <w:ilvl w:val="0"/>
          <w:numId w:val="0"/>
        </w:numPr>
        <w:spacing w:line="600" w:lineRule="exact"/>
        <w:jc w:val="center"/>
        <w:outlineLvl w:val="0"/>
        <w:rPr>
          <w:rStyle w:val="27"/>
          <w:rFonts w:hint="eastAsia" w:ascii="黑体" w:hAnsi="黑体" w:eastAsia="黑体"/>
          <w:b w:val="0"/>
          <w:color w:val="auto"/>
        </w:rPr>
      </w:pPr>
    </w:p>
    <w:p w14:paraId="65C94336">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r>
        <w:rPr>
          <w:rFonts w:hint="eastAsia" w:eastAsia="方正小标宋简体" w:cs="Times New Roman"/>
          <w:b w:val="0"/>
          <w:bCs/>
          <w:sz w:val="44"/>
          <w:szCs w:val="44"/>
          <w:highlight w:val="none"/>
          <w:shd w:val="clear" w:color="auto" w:fill="FFFFFF"/>
          <w:lang w:val="en-US" w:eastAsia="zh-CN"/>
        </w:rPr>
        <w:t>大竹县水利工程质量与安全监督管理站</w:t>
      </w:r>
    </w:p>
    <w:p w14:paraId="2D911183">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2787E064">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3B3F80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highlight w:val="none"/>
          <w:shd w:val="clear" w:color="auto" w:fill="FFFFFF"/>
          <w:lang w:val="zh-CN"/>
        </w:rPr>
        <w:t>一、部门（单位）基本情况</w:t>
      </w:r>
    </w:p>
    <w:p w14:paraId="490D108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highlight w:val="none"/>
          <w:shd w:val="clear" w:color="auto" w:fill="FFFFFF"/>
          <w:lang w:val="zh-CN"/>
        </w:rPr>
        <w:t>（一）机构组成。</w:t>
      </w:r>
      <w:r>
        <w:rPr>
          <w:rFonts w:hint="eastAsia" w:ascii="仿宋_GB2312" w:hAnsi="仿宋_GB2312" w:eastAsia="仿宋_GB2312" w:cs="仿宋_GB2312"/>
          <w:sz w:val="32"/>
          <w:szCs w:val="32"/>
        </w:rPr>
        <w:t>本单位为大竹县</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下属一级独立核算</w:t>
      </w:r>
      <w:r>
        <w:rPr>
          <w:rFonts w:hint="eastAsia" w:ascii="仿宋_GB2312" w:hAnsi="仿宋_GB2312" w:eastAsia="仿宋_GB2312" w:cs="仿宋_GB2312"/>
          <w:bCs/>
          <w:color w:val="000000"/>
          <w:sz w:val="32"/>
          <w:szCs w:val="32"/>
        </w:rPr>
        <w:t>财政补助事业</w:t>
      </w:r>
      <w:r>
        <w:rPr>
          <w:rFonts w:hint="eastAsia" w:ascii="仿宋_GB2312" w:hAnsi="仿宋_GB2312" w:eastAsia="仿宋_GB2312" w:cs="仿宋_GB2312"/>
          <w:sz w:val="32"/>
          <w:szCs w:val="32"/>
        </w:rPr>
        <w:t>单位，执行</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会计制度，事业编制</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w:t>
      </w:r>
    </w:p>
    <w:p w14:paraId="5A5AE78D">
      <w:pPr>
        <w:pStyle w:val="25"/>
        <w:spacing w:line="560" w:lineRule="exact"/>
        <w:ind w:firstLine="640" w:firstLineChars="200"/>
        <w:rPr>
          <w:rFonts w:hint="eastAsia" w:ascii="仿宋_GB2312" w:eastAsia="仿宋_GB2312"/>
          <w:sz w:val="32"/>
          <w:szCs w:val="32"/>
          <w:lang w:val="en-US" w:eastAsia="zh-CN"/>
        </w:rPr>
      </w:pPr>
      <w:r>
        <w:rPr>
          <w:rFonts w:hint="eastAsia" w:ascii="楷体" w:hAnsi="楷体" w:eastAsia="楷体" w:cs="楷体"/>
          <w:b w:val="0"/>
          <w:bCs w:val="0"/>
          <w:color w:val="000000"/>
          <w:kern w:val="0"/>
          <w:sz w:val="32"/>
          <w:szCs w:val="32"/>
          <w:highlight w:val="none"/>
          <w:shd w:val="clear" w:color="auto" w:fill="FFFFFF"/>
          <w:lang w:val="zh-CN"/>
        </w:rPr>
        <w:t>（二）机构职能。</w:t>
      </w:r>
      <w:r>
        <w:rPr>
          <w:rFonts w:hint="eastAsia" w:ascii="仿宋_GB2312" w:eastAsia="仿宋_GB2312"/>
          <w:sz w:val="32"/>
          <w:szCs w:val="32"/>
          <w:lang w:val="en-US" w:eastAsia="zh-CN"/>
        </w:rPr>
        <w:t>1．贯彻执行国家、水利部、省市有关水利工程建设质量和安全管理的方针政策；</w:t>
      </w:r>
    </w:p>
    <w:p w14:paraId="6289796D">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2、负责全县水利工程从开工建设到竣工验收整个施工过程中的工程质量和安全管理的监督；</w:t>
      </w:r>
    </w:p>
    <w:p w14:paraId="32F6EFB9">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3、负责对全县水利工程建设的技术指导；</w:t>
      </w:r>
    </w:p>
    <w:p w14:paraId="40771E1E">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4、参加受监督的水利工程的阶段性和竣工验收；</w:t>
      </w:r>
    </w:p>
    <w:p w14:paraId="74B3BE40">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5、参加全县水利基本建设工程投标单位的资格审查；</w:t>
      </w:r>
    </w:p>
    <w:p w14:paraId="06BD9E2B">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6、按《水利工程质量事故的暂行规定》确定的权限参加有关工程质量事故的处理工作；</w:t>
      </w:r>
    </w:p>
    <w:p w14:paraId="35B8E0D2">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7、协助配合上一级质监站组织的水利工程质量监督工作；</w:t>
      </w:r>
    </w:p>
    <w:p w14:paraId="7E365E9D">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8、掌握全县水利工程质量动态和质量监督工作，组织培训质量监督人员，开展水利工程质量检查活动，组织交流质量监督工作经验；</w:t>
      </w:r>
    </w:p>
    <w:p w14:paraId="4A802EFD">
      <w:pPr>
        <w:pStyle w:val="25"/>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9、完成上级交办的其它工作。</w:t>
      </w:r>
    </w:p>
    <w:p w14:paraId="761D0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highlight w:val="none"/>
          <w:shd w:val="clear" w:color="auto" w:fill="FFFFFF"/>
          <w:lang w:val="zh-CN"/>
        </w:rPr>
        <w:t>（三）人员概况。</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大竹县水利工程质量与安全监督管理站人事编制数17人，</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w:t>
      </w:r>
      <w:r>
        <w:rPr>
          <w:rFonts w:hint="eastAsia" w:ascii="仿宋_GB2312" w:hAnsi="仿宋_GB2312" w:eastAsia="仿宋_GB2312" w:cs="仿宋_GB2312"/>
          <w:sz w:val="32"/>
          <w:szCs w:val="32"/>
          <w:lang w:val="en-US" w:eastAsia="zh-CN"/>
        </w:rPr>
        <w:t>水利质监站</w:t>
      </w:r>
      <w:r>
        <w:rPr>
          <w:rFonts w:hint="eastAsia" w:ascii="仿宋_GB2312" w:hAnsi="仿宋_GB2312" w:eastAsia="仿宋_GB2312" w:cs="仿宋_GB2312"/>
          <w:sz w:val="32"/>
          <w:szCs w:val="32"/>
        </w:rPr>
        <w:t>在编在职在岗</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人，其中管理人员1人、专业技术人员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14:paraId="7D400C2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二、</w:t>
      </w:r>
      <w:r>
        <w:rPr>
          <w:rFonts w:hint="eastAsia" w:ascii="黑体" w:hAnsi="黑体" w:eastAsia="黑体" w:cs="黑体"/>
          <w:color w:val="000000"/>
          <w:kern w:val="0"/>
          <w:sz w:val="32"/>
          <w:szCs w:val="32"/>
          <w:highlight w:val="none"/>
          <w:shd w:val="clear" w:color="auto" w:fill="FFFFFF"/>
          <w:lang w:eastAsia="zh-CN"/>
        </w:rPr>
        <w:t>部门</w:t>
      </w:r>
      <w:r>
        <w:rPr>
          <w:rFonts w:hint="eastAsia" w:ascii="黑体" w:hAnsi="黑体" w:eastAsia="黑体" w:cs="黑体"/>
          <w:color w:val="000000"/>
          <w:kern w:val="0"/>
          <w:sz w:val="32"/>
          <w:szCs w:val="32"/>
          <w:highlight w:val="none"/>
          <w:shd w:val="clear" w:color="auto" w:fill="FFFFFF"/>
        </w:rPr>
        <w:t>资金收支情况</w:t>
      </w:r>
    </w:p>
    <w:p w14:paraId="74E65C9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（一）收入情况。</w:t>
      </w:r>
    </w:p>
    <w:p w14:paraId="4BBF8089">
      <w:pPr>
        <w:pStyle w:val="25"/>
        <w:spacing w:line="56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eastAsia="仿宋_GB2312"/>
          <w:sz w:val="32"/>
          <w:szCs w:val="32"/>
          <w:lang w:val="en-US" w:eastAsia="zh-CN"/>
        </w:rPr>
        <w:t>2023年一般公共预算财政拨款265.24万元，其中人员经费233.38万元，日常公用经费31.86万元。</w:t>
      </w:r>
    </w:p>
    <w:p w14:paraId="1818B9B9">
      <w:pPr>
        <w:pageBreakBefore w:val="0"/>
        <w:widowControl/>
        <w:numPr>
          <w:ilvl w:val="0"/>
          <w:numId w:val="5"/>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支出情况。</w:t>
      </w:r>
    </w:p>
    <w:p w14:paraId="3C8A644A">
      <w:pPr>
        <w:pStyle w:val="25"/>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2023年部门支出265.24万元，其中工资福利支出205.80万元，对个人和家庭补助支出27.58万元，日常公用经费31.86万元。</w:t>
      </w:r>
    </w:p>
    <w:p w14:paraId="74AEC3D8">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rPr>
        <w:t>结余分配和结转结余情况</w:t>
      </w:r>
      <w:r>
        <w:rPr>
          <w:rFonts w:hint="eastAsia" w:ascii="楷体" w:hAnsi="楷体" w:eastAsia="楷体" w:cs="楷体"/>
          <w:b w:val="0"/>
          <w:bCs/>
          <w:sz w:val="32"/>
          <w:szCs w:val="32"/>
          <w:lang w:eastAsia="zh-CN"/>
        </w:rPr>
        <w:t>。</w:t>
      </w:r>
    </w:p>
    <w:p w14:paraId="41DD034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水利质监站2023年决算报表无</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w:t>
      </w:r>
    </w:p>
    <w:p w14:paraId="767B1A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kern w:val="0"/>
          <w:sz w:val="32"/>
          <w:szCs w:val="32"/>
          <w:highlight w:val="none"/>
          <w:shd w:val="clear" w:color="auto" w:fill="FFFFFF"/>
        </w:rPr>
        <w:t>三、</w:t>
      </w:r>
      <w:r>
        <w:rPr>
          <w:rFonts w:hint="eastAsia" w:ascii="黑体" w:hAnsi="黑体" w:eastAsia="黑体" w:cs="黑体"/>
          <w:color w:val="000000"/>
          <w:kern w:val="0"/>
          <w:sz w:val="32"/>
          <w:szCs w:val="32"/>
          <w:highlight w:val="none"/>
          <w:u w:val="none"/>
          <w:shd w:val="clear" w:color="auto" w:fill="FFFFFF"/>
        </w:rPr>
        <w:t>部门</w:t>
      </w:r>
      <w:r>
        <w:rPr>
          <w:rFonts w:hint="eastAsia" w:ascii="黑体" w:hAnsi="黑体" w:eastAsia="黑体" w:cs="黑体"/>
          <w:color w:val="000000"/>
          <w:kern w:val="0"/>
          <w:sz w:val="32"/>
          <w:szCs w:val="32"/>
          <w:highlight w:val="none"/>
          <w:u w:val="none"/>
          <w:shd w:val="clear" w:color="auto" w:fill="FFFFFF"/>
          <w:lang w:eastAsia="zh-CN"/>
        </w:rPr>
        <w:t>预算</w:t>
      </w:r>
      <w:r>
        <w:rPr>
          <w:rFonts w:hint="eastAsia" w:ascii="黑体" w:hAnsi="黑体" w:eastAsia="黑体" w:cs="黑体"/>
          <w:color w:val="000000"/>
          <w:kern w:val="0"/>
          <w:sz w:val="32"/>
          <w:szCs w:val="32"/>
          <w:highlight w:val="none"/>
          <w:u w:val="none"/>
          <w:shd w:val="clear" w:color="auto" w:fill="FFFFFF"/>
        </w:rPr>
        <w:t>绩效</w:t>
      </w:r>
      <w:r>
        <w:rPr>
          <w:rFonts w:hint="eastAsia" w:ascii="黑体" w:hAnsi="黑体" w:eastAsia="黑体" w:cs="黑体"/>
          <w:color w:val="000000"/>
          <w:kern w:val="0"/>
          <w:sz w:val="32"/>
          <w:szCs w:val="32"/>
          <w:highlight w:val="none"/>
          <w:u w:val="none"/>
          <w:shd w:val="clear" w:color="auto" w:fill="FFFFFF"/>
          <w:lang w:eastAsia="zh-CN"/>
        </w:rPr>
        <w:t>分析</w:t>
      </w:r>
    </w:p>
    <w:p w14:paraId="45BCB9B0">
      <w:pPr>
        <w:pStyle w:val="25"/>
        <w:spacing w:line="560" w:lineRule="exact"/>
        <w:ind w:firstLine="640" w:firstLineChars="200"/>
        <w:rPr>
          <w:rFonts w:hint="eastAsia" w:ascii="仿宋_GB2312" w:eastAsia="仿宋_GB2312"/>
          <w:sz w:val="32"/>
          <w:szCs w:val="32"/>
          <w:lang w:val="en-US" w:eastAsia="zh-CN"/>
        </w:rPr>
      </w:pPr>
      <w:r>
        <w:rPr>
          <w:rFonts w:hint="eastAsia" w:ascii="楷体" w:hAnsi="楷体" w:eastAsia="楷体" w:cs="楷体"/>
          <w:b w:val="0"/>
          <w:bCs w:val="0"/>
          <w:color w:val="000000"/>
          <w:kern w:val="0"/>
          <w:sz w:val="32"/>
          <w:szCs w:val="32"/>
          <w:highlight w:val="none"/>
          <w:shd w:val="clear" w:color="auto" w:fill="FFFFFF"/>
          <w:lang w:val="zh-CN"/>
        </w:rPr>
        <w:t>（一）</w:t>
      </w:r>
      <w:r>
        <w:rPr>
          <w:rFonts w:hint="eastAsia" w:ascii="楷体" w:hAnsi="楷体" w:eastAsia="楷体" w:cs="楷体"/>
          <w:b w:val="0"/>
          <w:bCs w:val="0"/>
          <w:color w:val="000000"/>
          <w:kern w:val="0"/>
          <w:sz w:val="32"/>
          <w:szCs w:val="32"/>
          <w:highlight w:val="none"/>
          <w:shd w:val="clear" w:color="auto" w:fill="FFFFFF"/>
          <w:lang w:val="en-US" w:eastAsia="zh-CN"/>
        </w:rPr>
        <w:t>履职效能。</w:t>
      </w:r>
      <w:r>
        <w:rPr>
          <w:rFonts w:hint="eastAsia" w:ascii="仿宋_GB2312" w:hAnsi="仿宋_GB2312" w:eastAsia="仿宋_GB2312" w:cs="仿宋_GB2312"/>
          <w:color w:val="auto"/>
          <w:sz w:val="32"/>
          <w:szCs w:val="32"/>
          <w:highlight w:val="none"/>
          <w:lang w:eastAsia="zh-CN"/>
        </w:rPr>
        <w:t>大竹县水利工程质量与安全监督管理站主要负责全县</w:t>
      </w:r>
      <w:r>
        <w:rPr>
          <w:rFonts w:hint="eastAsia" w:ascii="仿宋_GB2312" w:hAnsi="仿宋_GB2312" w:eastAsia="仿宋_GB2312" w:cs="仿宋_GB2312"/>
          <w:color w:val="auto"/>
          <w:sz w:val="32"/>
          <w:szCs w:val="32"/>
          <w:highlight w:val="none"/>
          <w:lang w:val="en-US" w:eastAsia="zh-CN"/>
        </w:rPr>
        <w:t>水利</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sz w:val="32"/>
          <w:szCs w:val="32"/>
          <w:lang w:val="en-US" w:eastAsia="zh-CN"/>
        </w:rPr>
        <w:t>贯彻执行国家、水利部、省市有关水利工程建设质量和安全管理的方针政策；负责全县水利工程从开工建设到竣工验收整个施工过程中的工程质量和安全管理的监督；负责对全县水利工程建设的技术指导；参加受监督的水利工程的阶段性和竣工验收；参加全县水利基本建设工程投标单位的资格审查；按《水利工程质量事故的暂行规定》确定的权限参加有关工程质量事故的处理工作；</w:t>
      </w:r>
    </w:p>
    <w:p w14:paraId="0257024E">
      <w:pPr>
        <w:pStyle w:val="25"/>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协助配合上一级质监站组织的水利工程质量监督工作；掌握全县水利工程质量动态和质量监督工作，组织培训质量监督人员，开展水利工程质量检查活动，组织交流质量监督工作经验；完成上级交办的其它工作。</w:t>
      </w:r>
    </w:p>
    <w:p w14:paraId="52E662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en-US" w:eastAsia="zh-CN"/>
        </w:rPr>
        <w:t>（二）</w:t>
      </w:r>
      <w:r>
        <w:rPr>
          <w:rFonts w:hint="eastAsia" w:ascii="楷体" w:hAnsi="楷体" w:eastAsia="楷体" w:cs="楷体"/>
          <w:color w:val="000000"/>
          <w:kern w:val="0"/>
          <w:sz w:val="32"/>
          <w:szCs w:val="32"/>
          <w:highlight w:val="none"/>
          <w:shd w:val="clear" w:color="auto" w:fill="FFFFFF"/>
          <w:lang w:val="zh-CN"/>
        </w:rPr>
        <w:t>预算管理。</w:t>
      </w:r>
      <w:r>
        <w:rPr>
          <w:rFonts w:hint="eastAsia" w:ascii="仿宋_GB2312" w:hAnsi="仿宋_GB2312" w:eastAsia="仿宋_GB2312" w:cs="仿宋_GB2312"/>
          <w:color w:val="010101"/>
          <w:sz w:val="32"/>
          <w:szCs w:val="32"/>
        </w:rPr>
        <w:t>一是严格按照上级的安排，按时保质的完成单位的预算的编制和上报。</w:t>
      </w:r>
      <w:r>
        <w:rPr>
          <w:rFonts w:hint="eastAsia" w:ascii="仿宋_GB2312" w:hAnsi="仿宋_GB2312" w:eastAsia="仿宋_GB2312" w:cs="仿宋_GB2312"/>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0E812E02">
      <w:pPr>
        <w:pStyle w:val="25"/>
        <w:spacing w:line="560" w:lineRule="exact"/>
        <w:ind w:firstLine="640" w:firstLineChars="200"/>
        <w:rPr>
          <w:rFonts w:hint="eastAsia" w:ascii="仿宋_GB2312" w:eastAsia="仿宋_GB2312"/>
          <w:color w:val="auto"/>
          <w:sz w:val="32"/>
          <w:szCs w:val="32"/>
          <w:lang w:val="en-US" w:eastAsia="zh-CN"/>
        </w:rPr>
      </w:pPr>
      <w:r>
        <w:rPr>
          <w:rFonts w:hint="eastAsia" w:ascii="楷体" w:hAnsi="楷体" w:eastAsia="楷体" w:cs="楷体"/>
          <w:color w:val="000000"/>
          <w:kern w:val="0"/>
          <w:sz w:val="32"/>
          <w:szCs w:val="32"/>
          <w:highlight w:val="none"/>
          <w:shd w:val="clear" w:color="auto" w:fill="FFFFFF"/>
          <w:lang w:val="en-US" w:eastAsia="zh-CN"/>
        </w:rPr>
        <w:t>（三）</w:t>
      </w:r>
      <w:r>
        <w:rPr>
          <w:rFonts w:hint="eastAsia" w:ascii="楷体" w:hAnsi="楷体" w:eastAsia="楷体" w:cs="楷体"/>
          <w:color w:val="000000"/>
          <w:kern w:val="0"/>
          <w:sz w:val="32"/>
          <w:szCs w:val="32"/>
          <w:highlight w:val="none"/>
          <w:shd w:val="clear" w:color="auto" w:fill="FFFFFF"/>
          <w:lang w:val="zh-CN"/>
        </w:rPr>
        <w:t>财务管理。</w:t>
      </w:r>
      <w:r>
        <w:rPr>
          <w:rFonts w:hint="eastAsia" w:ascii="仿宋_GB2312" w:hAnsi="仿宋_GB2312" w:eastAsia="仿宋_GB2312" w:cs="仿宋_GB2312"/>
          <w:sz w:val="32"/>
          <w:szCs w:val="32"/>
        </w:rPr>
        <w:t>按照国家财经制度、法规要求，各项</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收支活动都纳入财务统一管理、统一核算，按照年初预算实现支出，大额消费支出使用转账支付和公务卡支付。</w:t>
      </w:r>
      <w:r>
        <w:rPr>
          <w:rFonts w:hint="eastAsia" w:ascii="仿宋_GB2312" w:eastAsia="仿宋_GB2312"/>
          <w:color w:val="auto"/>
          <w:sz w:val="32"/>
          <w:szCs w:val="32"/>
          <w:lang w:val="en-US" w:eastAsia="zh-CN"/>
        </w:rPr>
        <w:t>2022年10月，按照《中华人民共和国预算法》及竹财预〔2022〕49号编制预算的要求，完成了2023年的预算编制并上报工作，于2023年2月24日在大竹县人民政府门户网站公开了2023年的预算。</w:t>
      </w:r>
    </w:p>
    <w:p w14:paraId="5DCA2600">
      <w:pPr>
        <w:pStyle w:val="25"/>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auto"/>
          <w:sz w:val="32"/>
          <w:szCs w:val="32"/>
          <w:lang w:val="en-US" w:eastAsia="zh-CN"/>
        </w:rPr>
        <w:t>年初预算238.08万元，年末预算调整数为265.24万元。本年支出265.24万元，其中基本支出257.24万元，项目支出8万元。年初结转和结余0.25万元，本年末结转和结余为0元。</w:t>
      </w:r>
    </w:p>
    <w:p w14:paraId="45EA8357">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楷体" w:hAnsi="楷体" w:eastAsia="楷体" w:cs="楷体"/>
          <w:b w:val="0"/>
          <w:bCs w:val="0"/>
          <w:sz w:val="32"/>
          <w:szCs w:val="32"/>
          <w:lang w:val="zh-CN"/>
        </w:rPr>
        <w:t>（四）绩效结果应用情况。</w:t>
      </w:r>
      <w:r>
        <w:rPr>
          <w:rFonts w:hint="eastAsia" w:ascii="仿宋_GB2312" w:hAnsi="仿宋_GB2312" w:eastAsia="仿宋_GB2312" w:cs="仿宋_GB2312"/>
          <w:color w:val="000000"/>
          <w:kern w:val="0"/>
          <w:sz w:val="32"/>
          <w:szCs w:val="32"/>
          <w:highlight w:val="none"/>
          <w:shd w:val="clear" w:color="auto" w:fill="FFFFFF"/>
          <w:lang w:val="zh-CN" w:eastAsia="zh-CN"/>
        </w:rPr>
        <w:t>围绕内部应用情况、信息公开情况、整改反馈情况进分析。按照预算公开程序，及时报送公开资料，在规定的时间内完成了</w:t>
      </w:r>
      <w:r>
        <w:rPr>
          <w:rFonts w:hint="eastAsia" w:ascii="仿宋_GB2312" w:hAnsi="仿宋_GB2312" w:eastAsia="仿宋_GB2312" w:cs="仿宋_GB2312"/>
          <w:color w:val="000000"/>
          <w:kern w:val="0"/>
          <w:sz w:val="32"/>
          <w:szCs w:val="32"/>
          <w:highlight w:val="none"/>
          <w:shd w:val="clear" w:color="auto" w:fill="FFFFFF"/>
          <w:lang w:val="en-US" w:eastAsia="zh-CN"/>
        </w:rPr>
        <w:t>2023年预算挂网公开工作，确保了预算公开透明。</w:t>
      </w:r>
    </w:p>
    <w:p w14:paraId="1BA960A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lang w:eastAsia="zh-CN"/>
        </w:rPr>
        <w:t>四、</w:t>
      </w:r>
      <w:r>
        <w:rPr>
          <w:rFonts w:hint="eastAsia" w:ascii="黑体" w:hAnsi="黑体" w:eastAsia="黑体" w:cs="黑体"/>
          <w:color w:val="000000"/>
          <w:kern w:val="0"/>
          <w:sz w:val="32"/>
          <w:szCs w:val="32"/>
          <w:highlight w:val="none"/>
          <w:shd w:val="clear" w:color="auto" w:fill="FFFFFF"/>
        </w:rPr>
        <w:t>评价结论及建议</w:t>
      </w:r>
    </w:p>
    <w:p w14:paraId="63CD26C6">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（一）评价结论。</w:t>
      </w:r>
    </w:p>
    <w:p w14:paraId="2B80F57F">
      <w:pPr>
        <w:spacing w:line="58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通过绩效评价，我们认为，2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年度部门预算具有明确的用途和目标，资金到位及时并严格按照财政有关规定使用。预算决策、管理、执行等日益规范，能较好地满足工作需要，取得了良好经济效益和社会效益。</w:t>
      </w:r>
    </w:p>
    <w:p w14:paraId="59226D3A">
      <w:pPr>
        <w:widowControl/>
        <w:numPr>
          <w:ilvl w:val="0"/>
          <w:numId w:val="6"/>
        </w:numPr>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存在问题。</w:t>
      </w:r>
    </w:p>
    <w:p w14:paraId="2E6F4109">
      <w:pPr>
        <w:pStyle w:val="35"/>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由于工作安排的原因，存在部门预算执行进度不均衡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公用经费严重不足</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val="zh-CN"/>
        </w:rPr>
        <w:tab/>
      </w:r>
    </w:p>
    <w:p w14:paraId="6C6D69B2">
      <w:pPr>
        <w:widowControl/>
        <w:numPr>
          <w:ilvl w:val="0"/>
          <w:numId w:val="6"/>
        </w:numPr>
        <w:adjustRightInd w:val="0"/>
        <w:snapToGrid w:val="0"/>
        <w:spacing w:line="580" w:lineRule="exact"/>
        <w:ind w:left="0" w:leftChars="0"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改进建议。</w:t>
      </w:r>
    </w:p>
    <w:p w14:paraId="40284FBF">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加大对财政资金支出绩效评价工作的培训力度，进一步提高参评人员的业务素质，切实提升资金支出绩效评价工作水平。</w:t>
      </w:r>
    </w:p>
    <w:p w14:paraId="22063F1A">
      <w:pPr>
        <w:widowControl w:val="0"/>
        <w:numPr>
          <w:ilvl w:val="0"/>
          <w:numId w:val="0"/>
        </w:numPr>
        <w:spacing w:line="600" w:lineRule="exact"/>
        <w:ind w:firstLine="640" w:firstLineChars="200"/>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2、开源节流，争取政府和财政对我单位资金的支持。</w:t>
      </w:r>
    </w:p>
    <w:p w14:paraId="3CC6D53A">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6C9561DC">
      <w:pPr>
        <w:widowControl/>
        <w:numPr>
          <w:ilvl w:val="0"/>
          <w:numId w:val="0"/>
        </w:numPr>
        <w:adjustRightInd w:val="0"/>
        <w:snapToGrid w:val="0"/>
        <w:spacing w:line="580" w:lineRule="exact"/>
        <w:ind w:left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附表：部门整体支出绩效目标完成情况自评表</w:t>
      </w:r>
    </w:p>
    <w:p w14:paraId="6633B976">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8591057">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AA5BCAE">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272D8CD4">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C4579C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28A095C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7CA5BD98">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6835E165">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74DD46A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06F9D5A4">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AB7A247">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542C272B">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0914F7F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2A25DE9">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32C6E86">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3CCDE232">
      <w:pPr>
        <w:widowControl w:val="0"/>
        <w:numPr>
          <w:ilvl w:val="0"/>
          <w:numId w:val="0"/>
        </w:numPr>
        <w:spacing w:line="600" w:lineRule="exact"/>
        <w:jc w:val="center"/>
        <w:outlineLvl w:val="0"/>
        <w:rPr>
          <w:rFonts w:hint="eastAsia" w:ascii="仿宋_GB2312" w:hAnsi="仿宋_GB2312" w:eastAsia="仿宋_GB2312" w:cs="仿宋_GB2312"/>
          <w:sz w:val="32"/>
          <w:szCs w:val="32"/>
          <w:lang w:val="en-US" w:eastAsia="zh-CN"/>
        </w:rPr>
      </w:pPr>
    </w:p>
    <w:p w14:paraId="49346DB7">
      <w:pPr>
        <w:widowControl w:val="0"/>
        <w:numPr>
          <w:ilvl w:val="0"/>
          <w:numId w:val="0"/>
        </w:numPr>
        <w:spacing w:line="600" w:lineRule="exact"/>
        <w:jc w:val="center"/>
        <w:outlineLvl w:val="0"/>
        <w:rPr>
          <w:rStyle w:val="27"/>
          <w:rFonts w:hint="eastAsia" w:ascii="黑体" w:hAnsi="黑体" w:eastAsia="黑体"/>
          <w:b w:val="0"/>
          <w:color w:val="auto"/>
        </w:rPr>
      </w:pPr>
    </w:p>
    <w:tbl>
      <w:tblPr>
        <w:tblStyle w:val="14"/>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8"/>
        <w:gridCol w:w="904"/>
        <w:gridCol w:w="1106"/>
        <w:gridCol w:w="396"/>
        <w:gridCol w:w="863"/>
        <w:gridCol w:w="396"/>
        <w:gridCol w:w="666"/>
        <w:gridCol w:w="486"/>
        <w:gridCol w:w="396"/>
        <w:gridCol w:w="1510"/>
      </w:tblGrid>
      <w:tr w14:paraId="2CE7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4" w:type="dxa"/>
            <w:gridSpan w:val="4"/>
            <w:tcBorders>
              <w:top w:val="nil"/>
              <w:left w:val="nil"/>
              <w:bottom w:val="nil"/>
              <w:right w:val="nil"/>
            </w:tcBorders>
            <w:shd w:val="clear" w:color="auto" w:fill="auto"/>
            <w:vAlign w:val="center"/>
          </w:tcPr>
          <w:p w14:paraId="0A46FED5">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3" w:name="_Toc15396618"/>
            <w:r>
              <w:rPr>
                <w:rFonts w:ascii="宋体" w:hAnsi="宋体" w:eastAsia="宋体" w:cs="宋体"/>
                <w:i w:val="0"/>
                <w:iCs w:val="0"/>
                <w:color w:val="C0C0C0"/>
                <w:kern w:val="0"/>
                <w:sz w:val="20"/>
                <w:szCs w:val="20"/>
                <w:u w:val="none"/>
                <w:lang w:val="en-US" w:eastAsia="zh-CN" w:bidi="ar"/>
              </w:rPr>
              <w:t>报表编号：</w:t>
            </w:r>
            <w:r>
              <w:rPr>
                <w:rFonts w:hint="eastAsia" w:ascii="宋体" w:hAnsi="宋体" w:eastAsia="宋体" w:cs="宋体"/>
                <w:i w:val="0"/>
                <w:iCs w:val="0"/>
                <w:color w:val="C0C0C0"/>
                <w:kern w:val="0"/>
                <w:sz w:val="20"/>
                <w:szCs w:val="20"/>
                <w:u w:val="none"/>
                <w:lang w:val="en-US" w:eastAsia="zh-CN" w:bidi="ar"/>
              </w:rPr>
              <w:t>510000_0013zp</w:t>
            </w:r>
          </w:p>
        </w:tc>
        <w:tc>
          <w:tcPr>
            <w:tcW w:w="396" w:type="dxa"/>
            <w:tcBorders>
              <w:top w:val="nil"/>
              <w:left w:val="nil"/>
              <w:bottom w:val="nil"/>
              <w:right w:val="nil"/>
            </w:tcBorders>
            <w:shd w:val="clear" w:color="auto" w:fill="auto"/>
            <w:noWrap/>
            <w:vAlign w:val="center"/>
          </w:tcPr>
          <w:p w14:paraId="3915A642">
            <w:pPr>
              <w:rPr>
                <w:rFonts w:hint="eastAsia" w:ascii="宋体" w:hAnsi="宋体" w:eastAsia="宋体" w:cs="宋体"/>
                <w:i w:val="0"/>
                <w:iCs w:val="0"/>
                <w:color w:val="000000"/>
                <w:sz w:val="22"/>
                <w:szCs w:val="22"/>
                <w:u w:val="none"/>
              </w:rPr>
            </w:pPr>
          </w:p>
        </w:tc>
        <w:tc>
          <w:tcPr>
            <w:tcW w:w="1925" w:type="dxa"/>
            <w:gridSpan w:val="3"/>
            <w:tcBorders>
              <w:top w:val="nil"/>
              <w:left w:val="nil"/>
              <w:bottom w:val="nil"/>
              <w:right w:val="nil"/>
            </w:tcBorders>
            <w:shd w:val="clear" w:color="auto" w:fill="auto"/>
            <w:vAlign w:val="center"/>
          </w:tcPr>
          <w:p w14:paraId="66327090">
            <w:pPr>
              <w:rPr>
                <w:rFonts w:hint="eastAsia" w:ascii="宋体" w:hAnsi="宋体" w:eastAsia="宋体" w:cs="宋体"/>
                <w:i w:val="0"/>
                <w:iCs w:val="0"/>
                <w:color w:val="000000"/>
                <w:sz w:val="20"/>
                <w:szCs w:val="20"/>
                <w:u w:val="none"/>
              </w:rPr>
            </w:pPr>
          </w:p>
        </w:tc>
        <w:tc>
          <w:tcPr>
            <w:tcW w:w="486" w:type="dxa"/>
            <w:tcBorders>
              <w:top w:val="nil"/>
              <w:left w:val="nil"/>
              <w:bottom w:val="nil"/>
              <w:right w:val="nil"/>
            </w:tcBorders>
            <w:shd w:val="clear" w:color="auto" w:fill="auto"/>
            <w:noWrap/>
            <w:vAlign w:val="center"/>
          </w:tcPr>
          <w:p w14:paraId="0431BBA7">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7E0DC3AB">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34980955">
            <w:pPr>
              <w:rPr>
                <w:rFonts w:hint="eastAsia" w:ascii="宋体" w:hAnsi="宋体" w:eastAsia="宋体" w:cs="宋体"/>
                <w:i w:val="0"/>
                <w:iCs w:val="0"/>
                <w:color w:val="000000"/>
                <w:sz w:val="22"/>
                <w:szCs w:val="22"/>
                <w:u w:val="none"/>
              </w:rPr>
            </w:pPr>
          </w:p>
        </w:tc>
      </w:tr>
      <w:tr w14:paraId="5B4D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3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1CB84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2FF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C8F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D6C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51172423Y000008673653-水利工程质量与安全监督管理工作经费</w:t>
            </w:r>
          </w:p>
        </w:tc>
      </w:tr>
      <w:tr w14:paraId="4F7B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9FC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D7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大竹县水利工程质量与安全监督管理站</w:t>
            </w:r>
            <w:r>
              <w:rPr>
                <w:rFonts w:ascii="宋体" w:hAnsi="宋体" w:eastAsia="宋体" w:cs="宋体"/>
                <w:i w:val="0"/>
                <w:iCs w:val="0"/>
                <w:color w:val="000000"/>
                <w:kern w:val="0"/>
                <w:sz w:val="18"/>
                <w:szCs w:val="18"/>
                <w:u w:val="none"/>
                <w:lang w:val="en-US" w:eastAsia="zh-CN" w:bidi="ar"/>
              </w:rPr>
              <w:t>部门</w:t>
            </w:r>
          </w:p>
        </w:tc>
        <w:tc>
          <w:tcPr>
            <w:tcW w:w="666" w:type="dxa"/>
            <w:tcBorders>
              <w:top w:val="nil"/>
              <w:left w:val="nil"/>
              <w:bottom w:val="nil"/>
              <w:right w:val="nil"/>
            </w:tcBorders>
            <w:shd w:val="clear" w:color="auto" w:fill="auto"/>
            <w:vAlign w:val="center"/>
          </w:tcPr>
          <w:p w14:paraId="454DA43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3B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大竹县水利工程质量与安全监督管理站</w:t>
            </w:r>
          </w:p>
        </w:tc>
      </w:tr>
      <w:tr w14:paraId="479F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AF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84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6B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FDE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A8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D094">
            <w:pP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19EC">
            <w:pPr>
              <w:rPr>
                <w:rFonts w:hint="eastAsia" w:ascii="宋体" w:hAnsi="宋体" w:eastAsia="宋体" w:cs="宋体"/>
                <w:i w:val="0"/>
                <w:iCs w:val="0"/>
                <w:color w:val="000000"/>
                <w:sz w:val="18"/>
                <w:szCs w:val="18"/>
                <w:u w:val="none"/>
              </w:rPr>
            </w:pPr>
          </w:p>
        </w:tc>
        <w:tc>
          <w:tcPr>
            <w:tcW w:w="3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C7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对全县境内申请监督的水利建设项目实施全过程监督，不断提高水利工程建设管理水平，为大竹水利事业又好又快发展作出新的贡献。</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2D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6E05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23DD">
            <w:pP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349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通过招投标，完成水土保持设备的采购。</w:t>
            </w:r>
          </w:p>
        </w:tc>
      </w:tr>
      <w:tr w14:paraId="5828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DE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21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D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28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2E14">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r>
              <w:rPr>
                <w:rFonts w:ascii="宋体" w:hAnsi="宋体" w:eastAsia="宋体" w:cs="宋体"/>
                <w:i w:val="0"/>
                <w:iCs w:val="0"/>
                <w:color w:val="000000"/>
                <w:kern w:val="0"/>
                <w:sz w:val="18"/>
                <w:szCs w:val="18"/>
                <w:u w:val="none"/>
                <w:lang w:val="en-US" w:eastAsia="zh-CN" w:bidi="ar"/>
              </w:rPr>
              <w:t>.00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5D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F24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0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2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FD3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13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2AB6">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C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r>
              <w:rPr>
                <w:rFonts w:ascii="宋体" w:hAnsi="宋体" w:eastAsia="宋体" w:cs="宋体"/>
                <w:i w:val="0"/>
                <w:iCs w:val="0"/>
                <w:color w:val="000000"/>
                <w:kern w:val="0"/>
                <w:sz w:val="18"/>
                <w:szCs w:val="18"/>
                <w:u w:val="none"/>
                <w:lang w:val="en-US" w:eastAsia="zh-CN" w:bidi="ar"/>
              </w:rPr>
              <w:t>.00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94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8.19</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3C55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16A7">
            <w:pPr>
              <w:rPr>
                <w:rFonts w:hint="eastAsia" w:ascii="黑体" w:hAnsi="黑体" w:eastAsia="黑体" w:cs="黑体"/>
                <w:i/>
                <w:iCs/>
                <w:color w:val="000000"/>
                <w:sz w:val="18"/>
                <w:szCs w:val="18"/>
                <w:u w:val="none"/>
              </w:rPr>
            </w:pPr>
          </w:p>
        </w:tc>
      </w:tr>
      <w:tr w14:paraId="1C3C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4E22">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r>
              <w:rPr>
                <w:rFonts w:ascii="宋体" w:hAnsi="宋体" w:eastAsia="宋体" w:cs="宋体"/>
                <w:i w:val="0"/>
                <w:iCs w:val="0"/>
                <w:color w:val="000000"/>
                <w:kern w:val="0"/>
                <w:sz w:val="18"/>
                <w:szCs w:val="18"/>
                <w:u w:val="none"/>
                <w:lang w:val="en-US" w:eastAsia="zh-CN" w:bidi="ar"/>
              </w:rPr>
              <w:t>.00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C5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6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63B5">
            <w:pPr>
              <w:rPr>
                <w:rFonts w:hint="eastAsia" w:ascii="黑体" w:hAnsi="黑体" w:eastAsia="黑体" w:cs="黑体"/>
                <w:i/>
                <w:iCs/>
                <w:color w:val="000000"/>
                <w:sz w:val="18"/>
                <w:szCs w:val="18"/>
                <w:u w:val="none"/>
              </w:rPr>
            </w:pPr>
          </w:p>
        </w:tc>
      </w:tr>
      <w:tr w14:paraId="2C0D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D8DA">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1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55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0.00</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BE7A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8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7865">
            <w:pPr>
              <w:rPr>
                <w:rFonts w:hint="eastAsia" w:ascii="黑体" w:hAnsi="黑体" w:eastAsia="黑体" w:cs="黑体"/>
                <w:i/>
                <w:iCs/>
                <w:color w:val="000000"/>
                <w:sz w:val="18"/>
                <w:szCs w:val="18"/>
                <w:u w:val="none"/>
              </w:rPr>
            </w:pPr>
          </w:p>
        </w:tc>
      </w:tr>
      <w:tr w14:paraId="108F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951E">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C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034">
            <w:pPr>
              <w:jc w:val="center"/>
              <w:rPr>
                <w:rFonts w:hint="eastAsia" w:ascii="微软雅黑" w:hAnsi="微软雅黑" w:eastAsia="微软雅黑" w:cs="微软雅黑"/>
                <w:i/>
                <w:iCs/>
                <w:color w:val="000000"/>
                <w:sz w:val="16"/>
                <w:szCs w:val="16"/>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A85">
            <w:pPr>
              <w:jc w:val="center"/>
              <w:rPr>
                <w:rFonts w:hint="eastAsia" w:ascii="微软雅黑" w:hAnsi="微软雅黑" w:eastAsia="微软雅黑" w:cs="微软雅黑"/>
                <w:i/>
                <w:iCs/>
                <w:color w:val="000000"/>
                <w:sz w:val="16"/>
                <w:szCs w:val="16"/>
                <w:u w:val="none"/>
              </w:rPr>
            </w:pP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1FD51">
            <w:pPr>
              <w:jc w:val="center"/>
              <w:rPr>
                <w:rFonts w:hint="eastAsia" w:ascii="微软雅黑" w:hAnsi="微软雅黑" w:eastAsia="微软雅黑" w:cs="微软雅黑"/>
                <w:i/>
                <w:iCs/>
                <w:color w:val="000000"/>
                <w:sz w:val="16"/>
                <w:szCs w:val="16"/>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6F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47AE">
            <w:pPr>
              <w:rPr>
                <w:rFonts w:hint="eastAsia" w:ascii="黑体" w:hAnsi="黑体" w:eastAsia="黑体" w:cs="黑体"/>
                <w:i/>
                <w:iCs/>
                <w:color w:val="000000"/>
                <w:sz w:val="18"/>
                <w:szCs w:val="18"/>
                <w:u w:val="none"/>
              </w:rPr>
            </w:pPr>
          </w:p>
        </w:tc>
      </w:tr>
      <w:tr w14:paraId="2F8D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59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0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D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2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F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0A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2E46">
            <w:pPr>
              <w:jc w:val="center"/>
              <w:rPr>
                <w:rFonts w:hint="eastAsia" w:ascii="宋体" w:hAnsi="宋体" w:eastAsia="宋体" w:cs="宋体"/>
                <w:i w:val="0"/>
                <w:iCs w:val="0"/>
                <w:color w:val="000000"/>
                <w:sz w:val="18"/>
                <w:szCs w:val="18"/>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2A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3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对全县所有水利工程进行质量与安全监督管理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7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C8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D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3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r>
              <w:rPr>
                <w:rFonts w:ascii="宋体" w:hAnsi="宋体" w:eastAsia="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1C06">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41F">
            <w:pPr>
              <w:jc w:val="center"/>
              <w:rPr>
                <w:rFonts w:hint="eastAsia" w:ascii="微软雅黑" w:hAnsi="微软雅黑" w:eastAsia="微软雅黑" w:cs="微软雅黑"/>
                <w:i/>
                <w:iCs/>
                <w:color w:val="000000"/>
                <w:sz w:val="16"/>
                <w:szCs w:val="16"/>
                <w:u w:val="none"/>
              </w:rPr>
            </w:pPr>
          </w:p>
        </w:tc>
      </w:tr>
      <w:tr w14:paraId="2BB7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ECA8">
            <w:pPr>
              <w:jc w:val="cente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01C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A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保障全年不发生工程质量事故和质量投诉事件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F2D">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4A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3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06EA">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7B26">
            <w:pPr>
              <w:jc w:val="center"/>
              <w:rPr>
                <w:rFonts w:hint="eastAsia" w:ascii="微软雅黑" w:hAnsi="微软雅黑" w:eastAsia="微软雅黑" w:cs="微软雅黑"/>
                <w:i/>
                <w:iCs/>
                <w:color w:val="000000"/>
                <w:sz w:val="16"/>
                <w:szCs w:val="16"/>
                <w:u w:val="none"/>
              </w:rPr>
            </w:pPr>
          </w:p>
        </w:tc>
      </w:tr>
      <w:tr w14:paraId="394C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FC3C">
            <w:pPr>
              <w:jc w:val="cente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434F">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9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监督管理全县水利工程质量与安全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83E">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E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6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F00">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FA9">
            <w:pPr>
              <w:jc w:val="center"/>
              <w:rPr>
                <w:rFonts w:hint="eastAsia" w:ascii="微软雅黑" w:hAnsi="微软雅黑" w:eastAsia="微软雅黑" w:cs="微软雅黑"/>
                <w:i/>
                <w:iCs/>
                <w:color w:val="000000"/>
                <w:sz w:val="16"/>
                <w:szCs w:val="16"/>
                <w:u w:val="none"/>
              </w:rPr>
            </w:pPr>
          </w:p>
        </w:tc>
      </w:tr>
      <w:tr w14:paraId="7A85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16DD">
            <w:pPr>
              <w:jc w:val="center"/>
              <w:rPr>
                <w:rFonts w:hint="eastAsia" w:ascii="宋体" w:hAnsi="宋体" w:eastAsia="宋体" w:cs="宋体"/>
                <w:i w:val="0"/>
                <w:iCs w:val="0"/>
                <w:color w:val="000000"/>
                <w:sz w:val="18"/>
                <w:szCs w:val="18"/>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03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为全县水利工程建设把好质量关，不断提高水利工程建设管理水平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4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5D1">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4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A8E2">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0C6">
            <w:pPr>
              <w:jc w:val="center"/>
              <w:rPr>
                <w:rFonts w:hint="eastAsia" w:ascii="微软雅黑" w:hAnsi="微软雅黑" w:eastAsia="微软雅黑" w:cs="微软雅黑"/>
                <w:i/>
                <w:iCs/>
                <w:color w:val="000000"/>
                <w:sz w:val="16"/>
                <w:szCs w:val="16"/>
                <w:u w:val="none"/>
              </w:rPr>
            </w:pPr>
          </w:p>
        </w:tc>
      </w:tr>
      <w:tr w14:paraId="60B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9964">
            <w:pPr>
              <w:jc w:val="center"/>
              <w:rPr>
                <w:rFonts w:hint="eastAsia" w:ascii="宋体" w:hAnsi="宋体" w:eastAsia="宋体" w:cs="宋体"/>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E6A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发挥水利工程社会效益</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85E8">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2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949">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2A55">
            <w:pPr>
              <w:jc w:val="center"/>
              <w:rPr>
                <w:rFonts w:hint="eastAsia" w:ascii="微软雅黑" w:hAnsi="微软雅黑" w:eastAsia="微软雅黑" w:cs="微软雅黑"/>
                <w:i/>
                <w:iCs/>
                <w:color w:val="000000"/>
                <w:sz w:val="16"/>
                <w:szCs w:val="16"/>
                <w:u w:val="none"/>
              </w:rPr>
            </w:pPr>
          </w:p>
        </w:tc>
      </w:tr>
      <w:tr w14:paraId="14E0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5A2F">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8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通过对水利工程的质量监管，切实提高水利工程质量、改善民生，力争对实施水利工程的满意度达到较好水平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F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B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E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D3A">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201">
            <w:pPr>
              <w:jc w:val="center"/>
              <w:rPr>
                <w:rFonts w:hint="eastAsia" w:ascii="微软雅黑" w:hAnsi="微软雅黑" w:eastAsia="微软雅黑" w:cs="微软雅黑"/>
                <w:i/>
                <w:iCs/>
                <w:color w:val="000000"/>
                <w:sz w:val="16"/>
                <w:szCs w:val="16"/>
                <w:u w:val="none"/>
              </w:rPr>
            </w:pPr>
          </w:p>
        </w:tc>
      </w:tr>
      <w:tr w14:paraId="5399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06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F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74D2">
            <w:pPr>
              <w:rPr>
                <w:rFonts w:hint="eastAsia" w:ascii="宋体" w:hAnsi="宋体" w:eastAsia="宋体" w:cs="宋体"/>
                <w:i w:val="0"/>
                <w:iCs w:val="0"/>
                <w:color w:val="000000"/>
                <w:sz w:val="18"/>
                <w:szCs w:val="18"/>
                <w:u w:val="none"/>
              </w:rPr>
            </w:pPr>
          </w:p>
        </w:tc>
      </w:tr>
      <w:tr w14:paraId="4A9E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1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CDE5B1">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完成了水利执法监督</w:t>
            </w:r>
          </w:p>
        </w:tc>
      </w:tr>
      <w:tr w14:paraId="1140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2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754CF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财政拨付不及时。</w:t>
            </w:r>
          </w:p>
        </w:tc>
      </w:tr>
      <w:tr w14:paraId="0034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8744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希望财政能及时拨付水利执法监督工作费用。</w:t>
            </w:r>
          </w:p>
        </w:tc>
      </w:tr>
      <w:tr w14:paraId="6584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0C4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项目负责人：孙丽</w:t>
            </w:r>
          </w:p>
        </w:tc>
        <w:tc>
          <w:tcPr>
            <w:tcW w:w="4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9A0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财务负责人：胡天野</w:t>
            </w:r>
          </w:p>
        </w:tc>
      </w:tr>
      <w:tr w14:paraId="0E87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nil"/>
              <w:left w:val="nil"/>
              <w:bottom w:val="nil"/>
              <w:right w:val="nil"/>
            </w:tcBorders>
            <w:shd w:val="clear" w:color="auto" w:fill="auto"/>
            <w:vAlign w:val="center"/>
          </w:tcPr>
          <w:p w14:paraId="5987AC0B">
            <w:pPr>
              <w:rPr>
                <w:rFonts w:hint="eastAsia" w:ascii="宋体" w:hAnsi="宋体" w:eastAsia="宋体" w:cs="宋体"/>
                <w:i w:val="0"/>
                <w:iCs w:val="0"/>
                <w:color w:val="000000"/>
                <w:sz w:val="18"/>
                <w:szCs w:val="18"/>
                <w:u w:val="none"/>
              </w:rPr>
            </w:pPr>
          </w:p>
        </w:tc>
        <w:tc>
          <w:tcPr>
            <w:tcW w:w="1018" w:type="dxa"/>
            <w:tcBorders>
              <w:top w:val="nil"/>
              <w:left w:val="nil"/>
              <w:bottom w:val="nil"/>
              <w:right w:val="nil"/>
            </w:tcBorders>
            <w:shd w:val="clear" w:color="auto" w:fill="auto"/>
            <w:vAlign w:val="center"/>
          </w:tcPr>
          <w:p w14:paraId="4633D778">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5ABD0915">
            <w:pPr>
              <w:rPr>
                <w:rFonts w:hint="eastAsia" w:ascii="宋体" w:hAnsi="宋体" w:eastAsia="宋体" w:cs="宋体"/>
                <w:i w:val="0"/>
                <w:iCs w:val="0"/>
                <w:color w:val="000000"/>
                <w:sz w:val="18"/>
                <w:szCs w:val="18"/>
                <w:u w:val="none"/>
              </w:rPr>
            </w:pPr>
          </w:p>
        </w:tc>
        <w:tc>
          <w:tcPr>
            <w:tcW w:w="1106" w:type="dxa"/>
            <w:tcBorders>
              <w:top w:val="nil"/>
              <w:left w:val="nil"/>
              <w:bottom w:val="nil"/>
              <w:right w:val="nil"/>
            </w:tcBorders>
            <w:shd w:val="clear" w:color="auto" w:fill="auto"/>
            <w:vAlign w:val="center"/>
          </w:tcPr>
          <w:p w14:paraId="08522F2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1869CC0">
            <w:pPr>
              <w:rPr>
                <w:rFonts w:hint="eastAsia" w:ascii="宋体" w:hAnsi="宋体" w:eastAsia="宋体" w:cs="宋体"/>
                <w:i w:val="0"/>
                <w:iCs w:val="0"/>
                <w:color w:val="000000"/>
                <w:sz w:val="18"/>
                <w:szCs w:val="18"/>
                <w:u w:val="none"/>
              </w:rPr>
            </w:pPr>
          </w:p>
        </w:tc>
        <w:tc>
          <w:tcPr>
            <w:tcW w:w="863" w:type="dxa"/>
            <w:tcBorders>
              <w:top w:val="nil"/>
              <w:left w:val="nil"/>
              <w:bottom w:val="nil"/>
              <w:right w:val="nil"/>
            </w:tcBorders>
            <w:shd w:val="clear" w:color="auto" w:fill="auto"/>
            <w:vAlign w:val="center"/>
          </w:tcPr>
          <w:p w14:paraId="3C756E7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C37A45B">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14:paraId="113036E5">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BDC8AB4">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BA6181C">
            <w:pPr>
              <w:rPr>
                <w:rFonts w:hint="eastAsia" w:ascii="宋体" w:hAnsi="宋体" w:eastAsia="宋体" w:cs="宋体"/>
                <w:i w:val="0"/>
                <w:iCs w:val="0"/>
                <w:color w:val="000000"/>
                <w:sz w:val="18"/>
                <w:szCs w:val="18"/>
                <w:u w:val="none"/>
              </w:rPr>
            </w:pPr>
          </w:p>
        </w:tc>
        <w:tc>
          <w:tcPr>
            <w:tcW w:w="1510" w:type="dxa"/>
            <w:tcBorders>
              <w:top w:val="nil"/>
              <w:left w:val="nil"/>
              <w:bottom w:val="nil"/>
              <w:right w:val="nil"/>
            </w:tcBorders>
            <w:shd w:val="clear" w:color="auto" w:fill="auto"/>
            <w:vAlign w:val="center"/>
          </w:tcPr>
          <w:p w14:paraId="403269D6">
            <w:pPr>
              <w:rPr>
                <w:rFonts w:hint="eastAsia" w:ascii="宋体" w:hAnsi="宋体" w:eastAsia="宋体" w:cs="宋体"/>
                <w:i w:val="0"/>
                <w:iCs w:val="0"/>
                <w:color w:val="000000"/>
                <w:sz w:val="18"/>
                <w:szCs w:val="18"/>
                <w:u w:val="none"/>
              </w:rPr>
            </w:pPr>
          </w:p>
        </w:tc>
      </w:tr>
      <w:tr w14:paraId="5057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8B5C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22E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2E435A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74C8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F982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71D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7" w:type="dxa"/>
            <w:gridSpan w:val="11"/>
            <w:tcBorders>
              <w:top w:val="nil"/>
              <w:left w:val="nil"/>
              <w:bottom w:val="nil"/>
              <w:right w:val="nil"/>
            </w:tcBorders>
            <w:shd w:val="clear" w:color="auto" w:fill="auto"/>
            <w:vAlign w:val="center"/>
          </w:tcPr>
          <w:p w14:paraId="04AAC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5D73EFEF">
      <w:pPr>
        <w:spacing w:line="572" w:lineRule="exact"/>
        <w:jc w:val="left"/>
        <w:outlineLvl w:val="0"/>
        <w:rPr>
          <w:rFonts w:ascii="黑体" w:hAnsi="黑体" w:eastAsia="黑体"/>
          <w:color w:val="auto"/>
          <w:sz w:val="44"/>
          <w:szCs w:val="44"/>
        </w:rPr>
      </w:pPr>
    </w:p>
    <w:p w14:paraId="36F8A950">
      <w:pPr>
        <w:spacing w:line="600" w:lineRule="exact"/>
        <w:jc w:val="center"/>
        <w:outlineLvl w:val="0"/>
        <w:rPr>
          <w:rFonts w:ascii="黑体" w:hAnsi="黑体" w:eastAsia="黑体"/>
          <w:color w:val="auto"/>
          <w:sz w:val="44"/>
          <w:szCs w:val="44"/>
        </w:rPr>
      </w:pPr>
    </w:p>
    <w:p w14:paraId="61C3C272">
      <w:pPr>
        <w:spacing w:line="600" w:lineRule="exact"/>
        <w:jc w:val="center"/>
        <w:outlineLvl w:val="0"/>
        <w:rPr>
          <w:rFonts w:ascii="黑体" w:hAnsi="黑体" w:eastAsia="黑体"/>
          <w:color w:val="auto"/>
          <w:sz w:val="44"/>
          <w:szCs w:val="44"/>
        </w:rPr>
      </w:pPr>
    </w:p>
    <w:p w14:paraId="221BC391">
      <w:pPr>
        <w:spacing w:line="600" w:lineRule="exact"/>
        <w:jc w:val="center"/>
        <w:outlineLvl w:val="0"/>
        <w:rPr>
          <w:rFonts w:ascii="黑体" w:hAnsi="黑体" w:eastAsia="黑体"/>
          <w:color w:val="auto"/>
          <w:sz w:val="44"/>
          <w:szCs w:val="44"/>
        </w:rPr>
      </w:pPr>
    </w:p>
    <w:p w14:paraId="7A5238D1">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7"/>
          <w:rFonts w:hint="eastAsia" w:ascii="黑体" w:hAnsi="黑体" w:eastAsia="黑体"/>
          <w:b w:val="0"/>
          <w:color w:val="auto"/>
        </w:rPr>
        <w:t>五部分 附表</w:t>
      </w:r>
      <w:bookmarkEnd w:id="51"/>
      <w:bookmarkEnd w:id="53"/>
      <w:bookmarkStart w:id="54" w:name="_Toc15396619"/>
    </w:p>
    <w:p w14:paraId="0D73CDDF">
      <w:pPr>
        <w:pStyle w:val="3"/>
        <w:rPr>
          <w:rFonts w:ascii="仿宋" w:hAnsi="仿宋" w:eastAsia="仿宋"/>
          <w:color w:val="auto"/>
        </w:rPr>
      </w:pPr>
      <w:r>
        <w:rPr>
          <w:rFonts w:hint="eastAsia" w:ascii="仿宋" w:hAnsi="仿宋" w:eastAsia="仿宋"/>
          <w:b w:val="0"/>
          <w:color w:val="auto"/>
        </w:rPr>
        <w:t>一、收</w:t>
      </w:r>
      <w:r>
        <w:rPr>
          <w:rStyle w:val="28"/>
          <w:rFonts w:hint="eastAsia" w:ascii="仿宋" w:hAnsi="仿宋" w:eastAsia="仿宋"/>
          <w:b w:val="0"/>
          <w:bCs w:val="0"/>
          <w:color w:val="auto"/>
        </w:rPr>
        <w:t>入支出决算总表</w:t>
      </w:r>
      <w:bookmarkEnd w:id="54"/>
    </w:p>
    <w:p w14:paraId="1028C47C">
      <w:pPr>
        <w:pStyle w:val="3"/>
        <w:rPr>
          <w:rFonts w:ascii="仿宋" w:hAnsi="仿宋" w:eastAsia="仿宋"/>
          <w:color w:val="auto"/>
        </w:rPr>
      </w:pPr>
      <w:bookmarkStart w:id="55" w:name="_Toc15396620"/>
      <w:r>
        <w:rPr>
          <w:rFonts w:hint="eastAsia" w:ascii="仿宋" w:hAnsi="仿宋" w:eastAsia="仿宋"/>
          <w:b w:val="0"/>
          <w:color w:val="auto"/>
        </w:rPr>
        <w:t>二、收</w:t>
      </w:r>
      <w:r>
        <w:rPr>
          <w:rStyle w:val="28"/>
          <w:rFonts w:hint="eastAsia" w:ascii="仿宋" w:hAnsi="仿宋" w:eastAsia="仿宋"/>
          <w:b w:val="0"/>
          <w:bCs w:val="0"/>
          <w:color w:val="auto"/>
        </w:rPr>
        <w:t>入决算表</w:t>
      </w:r>
      <w:bookmarkEnd w:id="55"/>
    </w:p>
    <w:p w14:paraId="4D8B06F6">
      <w:pPr>
        <w:pStyle w:val="3"/>
        <w:rPr>
          <w:rFonts w:ascii="仿宋" w:hAnsi="仿宋" w:eastAsia="仿宋"/>
          <w:color w:val="auto"/>
        </w:rPr>
      </w:pPr>
      <w:bookmarkStart w:id="56" w:name="_Toc15396621"/>
      <w:r>
        <w:rPr>
          <w:rStyle w:val="28"/>
          <w:rFonts w:hint="eastAsia" w:ascii="仿宋" w:hAnsi="仿宋" w:eastAsia="仿宋"/>
          <w:b w:val="0"/>
          <w:bCs w:val="0"/>
          <w:color w:val="auto"/>
        </w:rPr>
        <w:t>三、</w:t>
      </w:r>
      <w:r>
        <w:rPr>
          <w:rFonts w:hint="eastAsia" w:ascii="仿宋" w:hAnsi="仿宋" w:eastAsia="仿宋"/>
          <w:b w:val="0"/>
          <w:color w:val="auto"/>
        </w:rPr>
        <w:t>支</w:t>
      </w:r>
      <w:r>
        <w:rPr>
          <w:rStyle w:val="28"/>
          <w:rFonts w:hint="eastAsia" w:ascii="仿宋" w:hAnsi="仿宋" w:eastAsia="仿宋"/>
          <w:b w:val="0"/>
          <w:bCs w:val="0"/>
          <w:color w:val="auto"/>
        </w:rPr>
        <w:t>出决算表</w:t>
      </w:r>
      <w:bookmarkEnd w:id="56"/>
    </w:p>
    <w:p w14:paraId="25E15F3E">
      <w:pPr>
        <w:pStyle w:val="3"/>
        <w:rPr>
          <w:rFonts w:ascii="仿宋" w:hAnsi="仿宋" w:eastAsia="仿宋"/>
          <w:b w:val="0"/>
          <w:color w:val="auto"/>
        </w:rPr>
      </w:pPr>
      <w:bookmarkStart w:id="57" w:name="_Toc15396622"/>
      <w:r>
        <w:rPr>
          <w:rStyle w:val="28"/>
          <w:rFonts w:hint="eastAsia" w:ascii="仿宋" w:hAnsi="仿宋" w:eastAsia="仿宋"/>
          <w:b w:val="0"/>
          <w:bCs w:val="0"/>
          <w:color w:val="auto"/>
        </w:rPr>
        <w:t>四、</w:t>
      </w:r>
      <w:r>
        <w:rPr>
          <w:rFonts w:hint="eastAsia" w:ascii="仿宋" w:hAnsi="仿宋" w:eastAsia="仿宋"/>
          <w:b w:val="0"/>
          <w:color w:val="auto"/>
        </w:rPr>
        <w:t>财</w:t>
      </w:r>
      <w:r>
        <w:rPr>
          <w:rStyle w:val="28"/>
          <w:rFonts w:hint="eastAsia" w:ascii="仿宋" w:hAnsi="仿宋" w:eastAsia="仿宋"/>
          <w:b w:val="0"/>
          <w:bCs w:val="0"/>
          <w:color w:val="auto"/>
        </w:rPr>
        <w:t>政拨款收入支出决算总表</w:t>
      </w:r>
      <w:bookmarkEnd w:id="57"/>
    </w:p>
    <w:p w14:paraId="5BB01822">
      <w:pPr>
        <w:pStyle w:val="3"/>
        <w:rPr>
          <w:rStyle w:val="28"/>
          <w:rFonts w:ascii="仿宋" w:hAnsi="仿宋" w:eastAsia="仿宋"/>
          <w:b w:val="0"/>
          <w:bCs w:val="0"/>
          <w:color w:val="auto"/>
        </w:rPr>
      </w:pPr>
      <w:bookmarkStart w:id="58" w:name="_Toc15396623"/>
      <w:r>
        <w:rPr>
          <w:rStyle w:val="28"/>
          <w:rFonts w:hint="eastAsia" w:ascii="仿宋" w:hAnsi="仿宋" w:eastAsia="仿宋"/>
          <w:b w:val="0"/>
          <w:bCs w:val="0"/>
          <w:color w:val="auto"/>
        </w:rPr>
        <w:t>五、</w:t>
      </w:r>
      <w:r>
        <w:rPr>
          <w:rFonts w:hint="eastAsia" w:ascii="仿宋" w:hAnsi="仿宋" w:eastAsia="仿宋"/>
          <w:b w:val="0"/>
          <w:color w:val="auto"/>
        </w:rPr>
        <w:t>财</w:t>
      </w:r>
      <w:r>
        <w:rPr>
          <w:rStyle w:val="28"/>
          <w:rFonts w:hint="eastAsia" w:ascii="仿宋" w:hAnsi="仿宋" w:eastAsia="仿宋"/>
          <w:b w:val="0"/>
          <w:bCs w:val="0"/>
          <w:color w:val="auto"/>
        </w:rPr>
        <w:t>政拨款支出决算明细表</w:t>
      </w:r>
      <w:bookmarkEnd w:id="58"/>
      <w:bookmarkStart w:id="59" w:name="_Toc15396624"/>
    </w:p>
    <w:p w14:paraId="31ABCEEB">
      <w:pPr>
        <w:pStyle w:val="3"/>
        <w:rPr>
          <w:rFonts w:ascii="仿宋" w:hAnsi="仿宋" w:eastAsia="仿宋"/>
          <w:color w:val="auto"/>
        </w:rPr>
      </w:pPr>
      <w:r>
        <w:rPr>
          <w:rStyle w:val="28"/>
          <w:rFonts w:hint="eastAsia" w:ascii="仿宋" w:hAnsi="仿宋" w:eastAsia="仿宋"/>
          <w:b w:val="0"/>
          <w:bCs w:val="0"/>
          <w:color w:val="auto"/>
        </w:rPr>
        <w:t>六、</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般公共预算财政拨款支出决算表</w:t>
      </w:r>
      <w:bookmarkEnd w:id="59"/>
    </w:p>
    <w:p w14:paraId="0DD4A57E">
      <w:pPr>
        <w:pStyle w:val="3"/>
        <w:rPr>
          <w:rFonts w:ascii="仿宋" w:hAnsi="仿宋" w:eastAsia="仿宋"/>
          <w:color w:val="auto"/>
        </w:rPr>
      </w:pPr>
      <w:bookmarkStart w:id="60" w:name="_Toc15396625"/>
      <w:r>
        <w:rPr>
          <w:rStyle w:val="28"/>
          <w:rFonts w:hint="eastAsia" w:ascii="仿宋" w:hAnsi="仿宋" w:eastAsia="仿宋"/>
          <w:b w:val="0"/>
          <w:bCs w:val="0"/>
          <w:color w:val="auto"/>
        </w:rPr>
        <w:t>七、</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般公共预算财政拨款支出决算明细表</w:t>
      </w:r>
      <w:bookmarkEnd w:id="60"/>
    </w:p>
    <w:p w14:paraId="624B5EC7">
      <w:pPr>
        <w:pStyle w:val="3"/>
        <w:rPr>
          <w:rFonts w:ascii="仿宋" w:hAnsi="仿宋" w:eastAsia="仿宋"/>
          <w:color w:val="auto"/>
        </w:rPr>
      </w:pPr>
      <w:bookmarkStart w:id="61" w:name="_Toc15396626"/>
      <w:r>
        <w:rPr>
          <w:rStyle w:val="28"/>
          <w:rFonts w:hint="eastAsia" w:ascii="仿宋" w:hAnsi="仿宋" w:eastAsia="仿宋"/>
          <w:b w:val="0"/>
          <w:bCs w:val="0"/>
          <w:color w:val="auto"/>
        </w:rPr>
        <w:t>八、</w:t>
      </w:r>
      <w:r>
        <w:rPr>
          <w:rFonts w:hint="eastAsia" w:ascii="仿宋" w:hAnsi="仿宋" w:eastAsia="仿宋"/>
          <w:b w:val="0"/>
          <w:color w:val="auto"/>
        </w:rPr>
        <w:t>一</w:t>
      </w:r>
      <w:r>
        <w:rPr>
          <w:rStyle w:val="28"/>
          <w:rFonts w:hint="eastAsia" w:ascii="仿宋" w:hAnsi="仿宋" w:eastAsia="仿宋"/>
          <w:b w:val="0"/>
          <w:bCs w:val="0"/>
          <w:color w:val="auto"/>
        </w:rPr>
        <w:t>般公共预算财政拨款基本支出决算表</w:t>
      </w:r>
      <w:bookmarkEnd w:id="61"/>
    </w:p>
    <w:p w14:paraId="525BB020">
      <w:pPr>
        <w:pStyle w:val="3"/>
        <w:rPr>
          <w:rFonts w:ascii="仿宋" w:hAnsi="仿宋" w:eastAsia="仿宋"/>
          <w:color w:val="auto"/>
        </w:rPr>
      </w:pPr>
      <w:bookmarkStart w:id="62" w:name="_Toc15396627"/>
      <w:r>
        <w:rPr>
          <w:rStyle w:val="28"/>
          <w:rFonts w:hint="eastAsia" w:ascii="仿宋" w:hAnsi="仿宋" w:eastAsia="仿宋"/>
          <w:b w:val="0"/>
          <w:bCs w:val="0"/>
          <w:color w:val="auto"/>
        </w:rPr>
        <w:t>九、</w:t>
      </w:r>
      <w:r>
        <w:rPr>
          <w:rFonts w:hint="eastAsia" w:ascii="仿宋" w:hAnsi="仿宋" w:eastAsia="仿宋"/>
          <w:b w:val="0"/>
          <w:color w:val="auto"/>
        </w:rPr>
        <w:t>一</w:t>
      </w:r>
      <w:r>
        <w:rPr>
          <w:rStyle w:val="28"/>
          <w:rFonts w:hint="eastAsia" w:ascii="仿宋" w:hAnsi="仿宋" w:eastAsia="仿宋"/>
          <w:b w:val="0"/>
          <w:bCs w:val="0"/>
          <w:color w:val="auto"/>
        </w:rPr>
        <w:t>般公共预算财政拨款项目支出决算表</w:t>
      </w:r>
      <w:bookmarkEnd w:id="62"/>
    </w:p>
    <w:p w14:paraId="53AE33E8">
      <w:pPr>
        <w:pStyle w:val="3"/>
        <w:rPr>
          <w:rFonts w:ascii="仿宋" w:hAnsi="仿宋" w:eastAsia="仿宋"/>
          <w:color w:val="auto"/>
        </w:rPr>
      </w:pPr>
      <w:bookmarkStart w:id="63" w:name="_Toc15396628"/>
      <w:r>
        <w:rPr>
          <w:rStyle w:val="28"/>
          <w:rFonts w:hint="eastAsia" w:ascii="仿宋" w:hAnsi="仿宋" w:eastAsia="仿宋"/>
          <w:b w:val="0"/>
          <w:bCs w:val="0"/>
          <w:color w:val="auto"/>
        </w:rPr>
        <w:t>十、</w:t>
      </w:r>
      <w:bookmarkEnd w:id="63"/>
      <w:r>
        <w:rPr>
          <w:rFonts w:hint="eastAsia" w:ascii="仿宋" w:hAnsi="仿宋" w:eastAsia="仿宋"/>
          <w:b w:val="0"/>
          <w:color w:val="auto"/>
        </w:rPr>
        <w:t>政</w:t>
      </w:r>
      <w:r>
        <w:rPr>
          <w:rStyle w:val="28"/>
          <w:rFonts w:hint="eastAsia" w:ascii="仿宋" w:hAnsi="仿宋" w:eastAsia="仿宋"/>
          <w:b w:val="0"/>
          <w:bCs w:val="0"/>
          <w:color w:val="auto"/>
        </w:rPr>
        <w:t>府性基金预算财政拨款收入支出决算表</w:t>
      </w:r>
    </w:p>
    <w:p w14:paraId="2A84DA88">
      <w:pPr>
        <w:pStyle w:val="3"/>
        <w:rPr>
          <w:rFonts w:ascii="仿宋" w:hAnsi="仿宋" w:eastAsia="仿宋"/>
          <w:color w:val="auto"/>
        </w:rPr>
      </w:pPr>
      <w:bookmarkStart w:id="64" w:name="_Toc15396629"/>
      <w:r>
        <w:rPr>
          <w:rStyle w:val="28"/>
          <w:rFonts w:hint="eastAsia" w:ascii="仿宋" w:hAnsi="仿宋" w:eastAsia="仿宋"/>
          <w:b w:val="0"/>
          <w:bCs w:val="0"/>
          <w:color w:val="auto"/>
        </w:rPr>
        <w:t>十一、</w:t>
      </w:r>
      <w:bookmarkEnd w:id="64"/>
      <w:r>
        <w:rPr>
          <w:rFonts w:hint="eastAsia" w:ascii="仿宋" w:hAnsi="仿宋" w:eastAsia="仿宋"/>
          <w:b w:val="0"/>
          <w:color w:val="auto"/>
        </w:rPr>
        <w:t>国</w:t>
      </w:r>
      <w:r>
        <w:rPr>
          <w:rStyle w:val="28"/>
          <w:rFonts w:hint="eastAsia" w:ascii="仿宋" w:hAnsi="仿宋" w:eastAsia="仿宋"/>
          <w:b w:val="0"/>
          <w:bCs w:val="0"/>
          <w:color w:val="auto"/>
        </w:rPr>
        <w:t>有资本经营预算财政拨款收入支出决算表</w:t>
      </w:r>
    </w:p>
    <w:p w14:paraId="3B4B6553">
      <w:pPr>
        <w:pStyle w:val="3"/>
        <w:rPr>
          <w:rFonts w:ascii="仿宋" w:hAnsi="仿宋" w:eastAsia="仿宋"/>
          <w:color w:val="auto"/>
        </w:rPr>
      </w:pPr>
      <w:bookmarkStart w:id="65" w:name="_Toc15396630"/>
      <w:r>
        <w:rPr>
          <w:rStyle w:val="28"/>
          <w:rFonts w:hint="eastAsia" w:ascii="仿宋" w:hAnsi="仿宋" w:eastAsia="仿宋"/>
          <w:b w:val="0"/>
          <w:bCs w:val="0"/>
          <w:color w:val="auto"/>
        </w:rPr>
        <w:t>十二、</w:t>
      </w:r>
      <w:bookmarkEnd w:id="65"/>
      <w:r>
        <w:rPr>
          <w:rStyle w:val="28"/>
          <w:rFonts w:hint="eastAsia" w:ascii="仿宋" w:hAnsi="仿宋" w:eastAsia="仿宋"/>
          <w:b w:val="0"/>
          <w:bCs w:val="0"/>
          <w:color w:val="auto"/>
        </w:rPr>
        <w:t>国有资本经营预算财政拨款支出决算表</w:t>
      </w:r>
    </w:p>
    <w:p w14:paraId="57F5A88B">
      <w:pPr>
        <w:pStyle w:val="3"/>
        <w:rPr>
          <w:rFonts w:eastAsia="仿宋"/>
          <w:color w:val="auto"/>
        </w:rPr>
      </w:pPr>
      <w:bookmarkStart w:id="66" w:name="_Toc15396631"/>
      <w:r>
        <w:rPr>
          <w:rStyle w:val="28"/>
          <w:rFonts w:hint="eastAsia" w:ascii="仿宋" w:hAnsi="仿宋" w:eastAsia="仿宋"/>
          <w:b w:val="0"/>
          <w:bCs w:val="0"/>
          <w:color w:val="auto"/>
        </w:rPr>
        <w:t>十三、</w:t>
      </w:r>
      <w:bookmarkEnd w:id="66"/>
      <w:r>
        <w:rPr>
          <w:rStyle w:val="28"/>
          <w:rFonts w:hint="eastAsia" w:ascii="仿宋" w:hAnsi="仿宋" w:eastAsia="仿宋"/>
          <w:b w:val="0"/>
          <w:bCs w:val="0"/>
          <w:color w:val="auto"/>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2EB92C">
        <w:pPr>
          <w:pStyle w:val="10"/>
          <w:jc w:val="center"/>
        </w:pPr>
        <w:r>
          <w:fldChar w:fldCharType="begin"/>
        </w:r>
        <w:r>
          <w:instrText xml:space="preserve">PAGE   \* MERGEFORMAT</w:instrText>
        </w:r>
        <w:r>
          <w:fldChar w:fldCharType="separate"/>
        </w:r>
        <w:r>
          <w:rPr>
            <w:lang w:val="zh-CN"/>
          </w:rPr>
          <w:t>3</w:t>
        </w:r>
        <w:r>
          <w:fldChar w:fldCharType="end"/>
        </w:r>
      </w:p>
    </w:sdtContent>
  </w:sdt>
  <w:p w14:paraId="41FD70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473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FD828"/>
    <w:multiLevelType w:val="singleLevel"/>
    <w:tmpl w:val="901FD828"/>
    <w:lvl w:ilvl="0" w:tentative="0">
      <w:start w:val="2"/>
      <w:numFmt w:val="chineseCounting"/>
      <w:suff w:val="nothing"/>
      <w:lvlText w:val="（%1）"/>
      <w:lvlJc w:val="left"/>
      <w:rPr>
        <w:rFonts w:hint="eastAsia"/>
      </w:rPr>
    </w:lvl>
  </w:abstractNum>
  <w:abstractNum w:abstractNumId="1">
    <w:nsid w:val="A61E4DA4"/>
    <w:multiLevelType w:val="singleLevel"/>
    <w:tmpl w:val="A61E4DA4"/>
    <w:lvl w:ilvl="0" w:tentative="0">
      <w:start w:val="2"/>
      <w:numFmt w:val="chineseCounting"/>
      <w:suff w:val="nothing"/>
      <w:lvlText w:val="（%1）"/>
      <w:lvlJc w:val="left"/>
      <w:rPr>
        <w:rFonts w:hint="eastAsia"/>
      </w:rPr>
    </w:lvl>
  </w:abstractNum>
  <w:abstractNum w:abstractNumId="2">
    <w:nsid w:val="C3FB985A"/>
    <w:multiLevelType w:val="singleLevel"/>
    <w:tmpl w:val="C3FB985A"/>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2QxMjZiNDc0YTAzNTk1MzE5NzA5NGE1ZWE0OTcifQ=="/>
  </w:docVars>
  <w:rsids>
    <w:rsidRoot w:val="00F1361C"/>
    <w:rsid w:val="000222C6"/>
    <w:rsid w:val="0002549F"/>
    <w:rsid w:val="0003198C"/>
    <w:rsid w:val="000468DB"/>
    <w:rsid w:val="0005215F"/>
    <w:rsid w:val="00060CA5"/>
    <w:rsid w:val="0006487A"/>
    <w:rsid w:val="00065F8F"/>
    <w:rsid w:val="00070A43"/>
    <w:rsid w:val="000718DE"/>
    <w:rsid w:val="000768F2"/>
    <w:rsid w:val="0009184B"/>
    <w:rsid w:val="00091B18"/>
    <w:rsid w:val="00094236"/>
    <w:rsid w:val="0009593C"/>
    <w:rsid w:val="00097322"/>
    <w:rsid w:val="000A6A92"/>
    <w:rsid w:val="000B047F"/>
    <w:rsid w:val="000B5923"/>
    <w:rsid w:val="000B5A48"/>
    <w:rsid w:val="000B6FF3"/>
    <w:rsid w:val="000C3467"/>
    <w:rsid w:val="000C3CA6"/>
    <w:rsid w:val="000D1267"/>
    <w:rsid w:val="000D1D50"/>
    <w:rsid w:val="000D5782"/>
    <w:rsid w:val="000E25D9"/>
    <w:rsid w:val="000E6613"/>
    <w:rsid w:val="000E7119"/>
    <w:rsid w:val="000F161E"/>
    <w:rsid w:val="00114E9B"/>
    <w:rsid w:val="00142216"/>
    <w:rsid w:val="001422F6"/>
    <w:rsid w:val="00144D6A"/>
    <w:rsid w:val="0014729F"/>
    <w:rsid w:val="00152A0C"/>
    <w:rsid w:val="00157BAB"/>
    <w:rsid w:val="001654D1"/>
    <w:rsid w:val="00174518"/>
    <w:rsid w:val="0018106D"/>
    <w:rsid w:val="00186684"/>
    <w:rsid w:val="001871CA"/>
    <w:rsid w:val="001877A7"/>
    <w:rsid w:val="00191536"/>
    <w:rsid w:val="00196687"/>
    <w:rsid w:val="001A6633"/>
    <w:rsid w:val="001A79B9"/>
    <w:rsid w:val="001C0962"/>
    <w:rsid w:val="001D7531"/>
    <w:rsid w:val="001E0EB3"/>
    <w:rsid w:val="001E737D"/>
    <w:rsid w:val="001F0592"/>
    <w:rsid w:val="001F7506"/>
    <w:rsid w:val="002006CD"/>
    <w:rsid w:val="002010DD"/>
    <w:rsid w:val="00202B36"/>
    <w:rsid w:val="00204B7A"/>
    <w:rsid w:val="00204CDE"/>
    <w:rsid w:val="0021101A"/>
    <w:rsid w:val="00220536"/>
    <w:rsid w:val="0022702B"/>
    <w:rsid w:val="00235629"/>
    <w:rsid w:val="00260C38"/>
    <w:rsid w:val="002616C0"/>
    <w:rsid w:val="00265372"/>
    <w:rsid w:val="002662AA"/>
    <w:rsid w:val="00271376"/>
    <w:rsid w:val="00280496"/>
    <w:rsid w:val="00281494"/>
    <w:rsid w:val="00294DC9"/>
    <w:rsid w:val="00295495"/>
    <w:rsid w:val="002A31DE"/>
    <w:rsid w:val="002B2613"/>
    <w:rsid w:val="002D6D05"/>
    <w:rsid w:val="002E79ED"/>
    <w:rsid w:val="002F1818"/>
    <w:rsid w:val="002F567B"/>
    <w:rsid w:val="003061F8"/>
    <w:rsid w:val="003216A9"/>
    <w:rsid w:val="00331ABE"/>
    <w:rsid w:val="00335A74"/>
    <w:rsid w:val="00346078"/>
    <w:rsid w:val="0036561B"/>
    <w:rsid w:val="0037013F"/>
    <w:rsid w:val="00380C92"/>
    <w:rsid w:val="00386F00"/>
    <w:rsid w:val="003A484F"/>
    <w:rsid w:val="003A4883"/>
    <w:rsid w:val="003B0BE0"/>
    <w:rsid w:val="003B0C1B"/>
    <w:rsid w:val="003B688C"/>
    <w:rsid w:val="003C0291"/>
    <w:rsid w:val="003C39AE"/>
    <w:rsid w:val="003C7B60"/>
    <w:rsid w:val="003D0C0F"/>
    <w:rsid w:val="003D1FB2"/>
    <w:rsid w:val="003D66DA"/>
    <w:rsid w:val="003E1310"/>
    <w:rsid w:val="003E1856"/>
    <w:rsid w:val="003E6F55"/>
    <w:rsid w:val="00406254"/>
    <w:rsid w:val="004101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F32"/>
    <w:rsid w:val="004F0FBD"/>
    <w:rsid w:val="00505A47"/>
    <w:rsid w:val="00512FDA"/>
    <w:rsid w:val="00520DA0"/>
    <w:rsid w:val="00522AC0"/>
    <w:rsid w:val="005664BB"/>
    <w:rsid w:val="00566FFA"/>
    <w:rsid w:val="0057481D"/>
    <w:rsid w:val="0058486E"/>
    <w:rsid w:val="00585B33"/>
    <w:rsid w:val="0059014D"/>
    <w:rsid w:val="0059746B"/>
    <w:rsid w:val="005A5557"/>
    <w:rsid w:val="005B5C64"/>
    <w:rsid w:val="005C5337"/>
    <w:rsid w:val="005C6BD0"/>
    <w:rsid w:val="005D1C8B"/>
    <w:rsid w:val="005D468D"/>
    <w:rsid w:val="005D5CED"/>
    <w:rsid w:val="005E1569"/>
    <w:rsid w:val="005E682A"/>
    <w:rsid w:val="005F1A4C"/>
    <w:rsid w:val="005F457E"/>
    <w:rsid w:val="006037C1"/>
    <w:rsid w:val="00605688"/>
    <w:rsid w:val="006070AF"/>
    <w:rsid w:val="00607E6C"/>
    <w:rsid w:val="006101B1"/>
    <w:rsid w:val="00614E44"/>
    <w:rsid w:val="0062270A"/>
    <w:rsid w:val="00622830"/>
    <w:rsid w:val="00623DA0"/>
    <w:rsid w:val="00630AEF"/>
    <w:rsid w:val="006325F8"/>
    <w:rsid w:val="00633463"/>
    <w:rsid w:val="00634C9A"/>
    <w:rsid w:val="006440E4"/>
    <w:rsid w:val="00645710"/>
    <w:rsid w:val="0066343B"/>
    <w:rsid w:val="00664777"/>
    <w:rsid w:val="006748A4"/>
    <w:rsid w:val="00681A31"/>
    <w:rsid w:val="00683E73"/>
    <w:rsid w:val="006A3141"/>
    <w:rsid w:val="006A5E34"/>
    <w:rsid w:val="006B2422"/>
    <w:rsid w:val="006B2B9A"/>
    <w:rsid w:val="006C1937"/>
    <w:rsid w:val="006D1BCD"/>
    <w:rsid w:val="006F020C"/>
    <w:rsid w:val="007127B7"/>
    <w:rsid w:val="0071798E"/>
    <w:rsid w:val="00730AC1"/>
    <w:rsid w:val="007416B6"/>
    <w:rsid w:val="00746F48"/>
    <w:rsid w:val="0075404D"/>
    <w:rsid w:val="0076182A"/>
    <w:rsid w:val="00767B7E"/>
    <w:rsid w:val="007770C3"/>
    <w:rsid w:val="00784D24"/>
    <w:rsid w:val="00785FBA"/>
    <w:rsid w:val="00786E4A"/>
    <w:rsid w:val="007875EB"/>
    <w:rsid w:val="0079426B"/>
    <w:rsid w:val="007A0FCE"/>
    <w:rsid w:val="007D1682"/>
    <w:rsid w:val="007D312A"/>
    <w:rsid w:val="007D3F19"/>
    <w:rsid w:val="007E23B0"/>
    <w:rsid w:val="007E23E5"/>
    <w:rsid w:val="007E65C1"/>
    <w:rsid w:val="007F1991"/>
    <w:rsid w:val="007F2C2F"/>
    <w:rsid w:val="007F55FC"/>
    <w:rsid w:val="007F5665"/>
    <w:rsid w:val="007F7EF1"/>
    <w:rsid w:val="00800112"/>
    <w:rsid w:val="00813348"/>
    <w:rsid w:val="008175D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565"/>
    <w:rsid w:val="009315F9"/>
    <w:rsid w:val="00933499"/>
    <w:rsid w:val="00935C98"/>
    <w:rsid w:val="00946945"/>
    <w:rsid w:val="00951248"/>
    <w:rsid w:val="0095152F"/>
    <w:rsid w:val="00954C49"/>
    <w:rsid w:val="00955E37"/>
    <w:rsid w:val="0097099F"/>
    <w:rsid w:val="00971997"/>
    <w:rsid w:val="00971FFC"/>
    <w:rsid w:val="0098660A"/>
    <w:rsid w:val="00987122"/>
    <w:rsid w:val="009931C3"/>
    <w:rsid w:val="009B040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044"/>
    <w:rsid w:val="00A45BB7"/>
    <w:rsid w:val="00A50A7F"/>
    <w:rsid w:val="00A56DF2"/>
    <w:rsid w:val="00A56E6E"/>
    <w:rsid w:val="00A620C2"/>
    <w:rsid w:val="00A67AB5"/>
    <w:rsid w:val="00A733B2"/>
    <w:rsid w:val="00A741C2"/>
    <w:rsid w:val="00A91760"/>
    <w:rsid w:val="00A93B00"/>
    <w:rsid w:val="00A93C21"/>
    <w:rsid w:val="00AB64C9"/>
    <w:rsid w:val="00AC3C6A"/>
    <w:rsid w:val="00AD5620"/>
    <w:rsid w:val="00AD656B"/>
    <w:rsid w:val="00AD6FE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6E8"/>
    <w:rsid w:val="00B751EE"/>
    <w:rsid w:val="00B77EA6"/>
    <w:rsid w:val="00B81598"/>
    <w:rsid w:val="00B841F1"/>
    <w:rsid w:val="00B944D6"/>
    <w:rsid w:val="00B94DA8"/>
    <w:rsid w:val="00BB4DF0"/>
    <w:rsid w:val="00BC289F"/>
    <w:rsid w:val="00BC2D50"/>
    <w:rsid w:val="00BC5361"/>
    <w:rsid w:val="00BC5460"/>
    <w:rsid w:val="00BC6B50"/>
    <w:rsid w:val="00BD0E25"/>
    <w:rsid w:val="00BD72FF"/>
    <w:rsid w:val="00BF5BD6"/>
    <w:rsid w:val="00C03E31"/>
    <w:rsid w:val="00C33E72"/>
    <w:rsid w:val="00C34316"/>
    <w:rsid w:val="00C354B2"/>
    <w:rsid w:val="00C35554"/>
    <w:rsid w:val="00C42709"/>
    <w:rsid w:val="00C533CC"/>
    <w:rsid w:val="00C5751C"/>
    <w:rsid w:val="00C61BFC"/>
    <w:rsid w:val="00C62B85"/>
    <w:rsid w:val="00C65438"/>
    <w:rsid w:val="00C87FD8"/>
    <w:rsid w:val="00C91381"/>
    <w:rsid w:val="00C91CBB"/>
    <w:rsid w:val="00CA0567"/>
    <w:rsid w:val="00CA5666"/>
    <w:rsid w:val="00CB4E70"/>
    <w:rsid w:val="00CC09B6"/>
    <w:rsid w:val="00CC666F"/>
    <w:rsid w:val="00CD1E3F"/>
    <w:rsid w:val="00CE44F6"/>
    <w:rsid w:val="00CE46C7"/>
    <w:rsid w:val="00CE49DA"/>
    <w:rsid w:val="00CE7B61"/>
    <w:rsid w:val="00D00095"/>
    <w:rsid w:val="00D114F0"/>
    <w:rsid w:val="00D20620"/>
    <w:rsid w:val="00D254F7"/>
    <w:rsid w:val="00D26091"/>
    <w:rsid w:val="00D2685C"/>
    <w:rsid w:val="00D34E7C"/>
    <w:rsid w:val="00D35489"/>
    <w:rsid w:val="00D36AFE"/>
    <w:rsid w:val="00D51276"/>
    <w:rsid w:val="00D554AC"/>
    <w:rsid w:val="00D7035F"/>
    <w:rsid w:val="00DA634F"/>
    <w:rsid w:val="00DA65AC"/>
    <w:rsid w:val="00DB1913"/>
    <w:rsid w:val="00DC410D"/>
    <w:rsid w:val="00DC5A81"/>
    <w:rsid w:val="00DC68CA"/>
    <w:rsid w:val="00DC7CBA"/>
    <w:rsid w:val="00DD6D3B"/>
    <w:rsid w:val="00DD73B7"/>
    <w:rsid w:val="00DF28BC"/>
    <w:rsid w:val="00DF34B9"/>
    <w:rsid w:val="00E01053"/>
    <w:rsid w:val="00E07ACF"/>
    <w:rsid w:val="00E331A1"/>
    <w:rsid w:val="00E33202"/>
    <w:rsid w:val="00E336A9"/>
    <w:rsid w:val="00E472B1"/>
    <w:rsid w:val="00E50624"/>
    <w:rsid w:val="00E568DF"/>
    <w:rsid w:val="00E619A8"/>
    <w:rsid w:val="00E64269"/>
    <w:rsid w:val="00E71B6C"/>
    <w:rsid w:val="00E82267"/>
    <w:rsid w:val="00E853CE"/>
    <w:rsid w:val="00E867B6"/>
    <w:rsid w:val="00EA010F"/>
    <w:rsid w:val="00ED1373"/>
    <w:rsid w:val="00ED1B63"/>
    <w:rsid w:val="00ED1D7A"/>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52E"/>
    <w:rsid w:val="00FA23E8"/>
    <w:rsid w:val="00FD3CC1"/>
    <w:rsid w:val="00FD6870"/>
    <w:rsid w:val="00FE5B38"/>
    <w:rsid w:val="00FF1E02"/>
    <w:rsid w:val="00FF30B4"/>
    <w:rsid w:val="03D51DAE"/>
    <w:rsid w:val="05CA4074"/>
    <w:rsid w:val="06817D7F"/>
    <w:rsid w:val="099C4644"/>
    <w:rsid w:val="0A2032A3"/>
    <w:rsid w:val="0AC83782"/>
    <w:rsid w:val="0AF86C03"/>
    <w:rsid w:val="0B8A37D8"/>
    <w:rsid w:val="0C590BAD"/>
    <w:rsid w:val="0C85673C"/>
    <w:rsid w:val="0D6E689D"/>
    <w:rsid w:val="0DD95C10"/>
    <w:rsid w:val="0EB42265"/>
    <w:rsid w:val="0FFD54BA"/>
    <w:rsid w:val="10C055FF"/>
    <w:rsid w:val="118107EC"/>
    <w:rsid w:val="11D010D8"/>
    <w:rsid w:val="11DD6519"/>
    <w:rsid w:val="15CC605B"/>
    <w:rsid w:val="16BB723D"/>
    <w:rsid w:val="18015F3F"/>
    <w:rsid w:val="1A254996"/>
    <w:rsid w:val="1A625937"/>
    <w:rsid w:val="1B286ECF"/>
    <w:rsid w:val="1BE8440E"/>
    <w:rsid w:val="1D155CEE"/>
    <w:rsid w:val="1E780D78"/>
    <w:rsid w:val="1F354C71"/>
    <w:rsid w:val="1F856491"/>
    <w:rsid w:val="20F57F95"/>
    <w:rsid w:val="21A858DA"/>
    <w:rsid w:val="240371BF"/>
    <w:rsid w:val="259158A9"/>
    <w:rsid w:val="25A14E4D"/>
    <w:rsid w:val="25A33C5F"/>
    <w:rsid w:val="25C741E6"/>
    <w:rsid w:val="270429BB"/>
    <w:rsid w:val="27842671"/>
    <w:rsid w:val="29C65179"/>
    <w:rsid w:val="29FD04D3"/>
    <w:rsid w:val="2ABE7A3E"/>
    <w:rsid w:val="2D787FA8"/>
    <w:rsid w:val="2EFA178C"/>
    <w:rsid w:val="2FB01718"/>
    <w:rsid w:val="30B46D73"/>
    <w:rsid w:val="319F7F4E"/>
    <w:rsid w:val="324E3917"/>
    <w:rsid w:val="34B63D06"/>
    <w:rsid w:val="35727C2D"/>
    <w:rsid w:val="377D37CE"/>
    <w:rsid w:val="37D71B4D"/>
    <w:rsid w:val="38342C58"/>
    <w:rsid w:val="39AE70AB"/>
    <w:rsid w:val="3C0C0783"/>
    <w:rsid w:val="3F5C7D12"/>
    <w:rsid w:val="3F9F3A96"/>
    <w:rsid w:val="40A0022B"/>
    <w:rsid w:val="41026727"/>
    <w:rsid w:val="48DE7563"/>
    <w:rsid w:val="493C27E9"/>
    <w:rsid w:val="496F39ED"/>
    <w:rsid w:val="49FF41D3"/>
    <w:rsid w:val="4A081FD7"/>
    <w:rsid w:val="4BE068DB"/>
    <w:rsid w:val="4BF6002B"/>
    <w:rsid w:val="4E3B59B8"/>
    <w:rsid w:val="4EB617F8"/>
    <w:rsid w:val="4ECE2238"/>
    <w:rsid w:val="50842402"/>
    <w:rsid w:val="511931FB"/>
    <w:rsid w:val="51DB4B86"/>
    <w:rsid w:val="52C07AA2"/>
    <w:rsid w:val="55333C3E"/>
    <w:rsid w:val="55501DDF"/>
    <w:rsid w:val="56210C6C"/>
    <w:rsid w:val="566C7DF5"/>
    <w:rsid w:val="5673514B"/>
    <w:rsid w:val="58B22337"/>
    <w:rsid w:val="5C2515ED"/>
    <w:rsid w:val="5DE62663"/>
    <w:rsid w:val="5FAC19D9"/>
    <w:rsid w:val="611D087F"/>
    <w:rsid w:val="62090567"/>
    <w:rsid w:val="64CA39A1"/>
    <w:rsid w:val="65425D45"/>
    <w:rsid w:val="67C27CF0"/>
    <w:rsid w:val="6C4A05C8"/>
    <w:rsid w:val="6D2946C4"/>
    <w:rsid w:val="6E5E2BB3"/>
    <w:rsid w:val="6F444552"/>
    <w:rsid w:val="70A306B0"/>
    <w:rsid w:val="710015DD"/>
    <w:rsid w:val="72734D90"/>
    <w:rsid w:val="74580127"/>
    <w:rsid w:val="75A45EE7"/>
    <w:rsid w:val="79C8388C"/>
    <w:rsid w:val="79E7B28D"/>
    <w:rsid w:val="7A21770D"/>
    <w:rsid w:val="7AD21006"/>
    <w:rsid w:val="7B1C152E"/>
    <w:rsid w:val="7CEB28A3"/>
    <w:rsid w:val="7F9F20EE"/>
    <w:rsid w:val="7FE23E7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99"/>
    <w:rPr>
      <w:rFonts w:ascii="宋体" w:hAnsi="Courier New" w:eastAsia="仿宋"/>
      <w:kern w:val="0"/>
      <w:sz w:val="32"/>
      <w:szCs w:val="21"/>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NormalIndent"/>
    <w:basedOn w:val="1"/>
    <w:qFormat/>
    <w:uiPriority w:val="0"/>
    <w:pPr>
      <w:spacing w:line="240" w:lineRule="auto"/>
      <w:ind w:firstLine="420" w:firstLineChars="200"/>
      <w:jc w:val="both"/>
    </w:p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正文文本缩进 Char"/>
    <w:basedOn w:val="15"/>
    <w:link w:val="6"/>
    <w:semiHidden/>
    <w:qFormat/>
    <w:uiPriority w:val="99"/>
    <w:rPr>
      <w:rFonts w:ascii="Times New Roman" w:hAnsi="Times New Roman"/>
      <w:kern w:val="2"/>
      <w:sz w:val="21"/>
      <w:szCs w:val="24"/>
    </w:rPr>
  </w:style>
  <w:style w:type="paragraph" w:customStyle="1" w:styleId="35">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6">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3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265.24</c:v>
                </c:pt>
                <c:pt idx="1">
                  <c:v>265.24</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217.75</c:v>
                </c:pt>
                <c:pt idx="1">
                  <c:v>217.75</c:v>
                </c:pt>
              </c:numCache>
            </c:numRef>
          </c:val>
        </c:ser>
        <c:dLbls>
          <c:showLegendKey val="0"/>
          <c:showVal val="1"/>
          <c:showCatName val="0"/>
          <c:showSerName val="0"/>
          <c:showPercent val="0"/>
          <c:showBubbleSize val="0"/>
        </c:dLbls>
        <c:gapWidth val="75"/>
        <c:overlap val="-25"/>
        <c:axId val="13894784"/>
        <c:axId val="13896320"/>
      </c:barChart>
      <c:catAx>
        <c:axId val="1389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6320"/>
        <c:crosses val="autoZero"/>
        <c:auto val="1"/>
        <c:lblAlgn val="ctr"/>
        <c:lblOffset val="100"/>
        <c:noMultiLvlLbl val="0"/>
      </c:catAx>
      <c:valAx>
        <c:axId val="1389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47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8d69af0-5603-44b0-bb32-8764c0a8d70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369077388211837"/>
                  <c:y val="-0.4548946517767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
          <c:y val="0.172003611013591"/>
          <c:w val="0.342722102918953"/>
          <c:h val="0.6090415768092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a7de0a0-3fae-419d-952d-61a414b3f82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822969350267713"/>
                  <c:y val="-0.436295302709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124.56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e07921-cb49-4a16-a4d6-6ef83c1558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265.24</c:v>
                </c:pt>
                <c:pt idx="1">
                  <c:v>265.24</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217.75</c:v>
                </c:pt>
                <c:pt idx="1">
                  <c:v>217.75</c:v>
                </c:pt>
              </c:numCache>
            </c:numRef>
          </c:val>
        </c:ser>
        <c:dLbls>
          <c:showLegendKey val="0"/>
          <c:showVal val="1"/>
          <c:showCatName val="0"/>
          <c:showSerName val="0"/>
          <c:showPercent val="0"/>
          <c:showBubbleSize val="0"/>
        </c:dLbls>
        <c:gapWidth val="75"/>
        <c:overlap val="-25"/>
        <c:axId val="135614848"/>
        <c:axId val="135616384"/>
      </c:barChart>
      <c:catAx>
        <c:axId val="135614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6384"/>
        <c:crosses val="autoZero"/>
        <c:auto val="1"/>
        <c:lblAlgn val="ctr"/>
        <c:lblOffset val="100"/>
        <c:noMultiLvlLbl val="0"/>
      </c:catAx>
      <c:valAx>
        <c:axId val="135616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4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596e2a-d046-438a-9e49-6ec191c7b21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2023年</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265.24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265.24</c:v>
                </c:pt>
              </c:numCache>
            </c:numRef>
          </c:val>
        </c:ser>
        <c:ser>
          <c:idx val="1"/>
          <c:order val="1"/>
          <c:tx>
            <c:strRef>
              <c:f>Sheet1!$C$1</c:f>
              <c:strCache>
                <c:ptCount val="1"/>
                <c:pt idx="0">
                  <c:v>2022年</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217.75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217.75</c:v>
                </c:pt>
              </c:numCache>
            </c:numRef>
          </c:val>
        </c:ser>
        <c:dLbls>
          <c:showLegendKey val="0"/>
          <c:showVal val="1"/>
          <c:showCatName val="0"/>
          <c:showSerName val="0"/>
          <c:showPercent val="0"/>
          <c:showBubbleSize val="0"/>
        </c:dLbls>
        <c:gapWidth val="75"/>
        <c:overlap val="-25"/>
        <c:axId val="130673664"/>
        <c:axId val="131789568"/>
      </c:barChart>
      <c:catAx>
        <c:axId val="13067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789568"/>
        <c:crosses val="autoZero"/>
        <c:auto val="1"/>
        <c:lblAlgn val="ctr"/>
        <c:lblOffset val="100"/>
        <c:noMultiLvlLbl val="0"/>
      </c:catAx>
      <c:valAx>
        <c:axId val="13178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673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e4ce110-b7f8-45be-be62-ce55242b1ed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74015748032"/>
          <c:y val="0.106208651399491"/>
          <c:w val="0.403044619422572"/>
          <c:h val="0.78147582697201"/>
        </c:manualLayout>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341964260087843"/>
                  <c:y val="-0.006483250169057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7680682346834"/>
                  <c:y val="-0.08676617019002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17.34</c:v>
                </c:pt>
                <c:pt idx="1">
                  <c:v>2.74</c:v>
                </c:pt>
                <c:pt idx="2">
                  <c:v>73.68</c:v>
                </c:pt>
                <c:pt idx="3">
                  <c:v>6.24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bfcd753-8a53-407e-88f6-9b6698651fc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dLbl>
              <c:idx val="0"/>
              <c:delete val="1"/>
            </c:dLbl>
            <c:dLbl>
              <c:idx val="1"/>
              <c:layout>
                <c:manualLayout>
                  <c:x val="-0.00122279390166482"/>
                  <c:y val="-0.42998823422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
          <c:y val="0.291959815367907"/>
          <c:w val="0.421152215128039"/>
          <c:h val="0.416080369264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02b1ce-d7ef-4e04-819e-22193bf4be0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A07-82AD-4377-99DB-4A592557A19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7551</Words>
  <Characters>8279</Characters>
  <Lines>72</Lines>
  <Paragraphs>20</Paragraphs>
  <TotalTime>23</TotalTime>
  <ScaleCrop>false</ScaleCrop>
  <LinksUpToDate>false</LinksUpToDate>
  <CharactersWithSpaces>8328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朗月清风</cp:lastModifiedBy>
  <cp:lastPrinted>2022-08-06T02:23:00Z</cp:lastPrinted>
  <dcterms:modified xsi:type="dcterms:W3CDTF">2024-10-23T04:56:45Z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C31C3877E6754BF1B8E379A2E2A6B6F7_13</vt:lpwstr>
  </property>
</Properties>
</file>