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Override PartName="/word/webExtensions/webExtension2.xml" ContentType="application/vnd.wps-officedocument.webExtension+xml"/>
  <Override PartName="/word/webExtensions/webExtension3.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2E61">
      <w:pPr>
        <w:spacing w:line="600" w:lineRule="exact"/>
        <w:jc w:val="center"/>
        <w:outlineLvl w:val="0"/>
        <w:rPr>
          <w:rFonts w:hint="default" w:ascii="Times New Roman" w:hAnsi="Times New Roman" w:eastAsia="方正小标宋简体" w:cs="Times New Roman"/>
          <w:color w:val="auto"/>
          <w:sz w:val="72"/>
          <w:szCs w:val="72"/>
          <w:highlight w:val="none"/>
          <w:lang w:val="en-US" w:eastAsia="zh-CN"/>
        </w:rPr>
      </w:pPr>
      <w:bookmarkStart w:id="0" w:name="_Toc15306267"/>
    </w:p>
    <w:p w14:paraId="681D2666">
      <w:pPr>
        <w:spacing w:line="600" w:lineRule="exact"/>
        <w:jc w:val="center"/>
        <w:outlineLvl w:val="0"/>
        <w:rPr>
          <w:rFonts w:hint="default" w:ascii="Times New Roman" w:hAnsi="Times New Roman" w:eastAsia="方正小标宋简体" w:cs="Times New Roman"/>
          <w:color w:val="auto"/>
          <w:sz w:val="72"/>
          <w:szCs w:val="72"/>
          <w:highlight w:val="none"/>
        </w:rPr>
      </w:pPr>
    </w:p>
    <w:p w14:paraId="1B8D58B4">
      <w:pPr>
        <w:spacing w:line="600" w:lineRule="exact"/>
        <w:jc w:val="center"/>
        <w:outlineLvl w:val="0"/>
        <w:rPr>
          <w:rFonts w:hint="default" w:ascii="Times New Roman" w:hAnsi="Times New Roman" w:eastAsia="方正小标宋简体" w:cs="Times New Roman"/>
          <w:color w:val="auto"/>
          <w:sz w:val="72"/>
          <w:szCs w:val="72"/>
          <w:highlight w:val="none"/>
        </w:rPr>
      </w:pPr>
    </w:p>
    <w:p w14:paraId="1A06EB2F">
      <w:pPr>
        <w:spacing w:line="600" w:lineRule="exact"/>
        <w:jc w:val="center"/>
        <w:outlineLvl w:val="0"/>
        <w:rPr>
          <w:rFonts w:hint="default" w:ascii="Times New Roman" w:hAnsi="Times New Roman" w:eastAsia="方正小标宋简体" w:cs="Times New Roman"/>
          <w:color w:val="auto"/>
          <w:sz w:val="72"/>
          <w:szCs w:val="72"/>
          <w:highlight w:val="none"/>
        </w:rPr>
      </w:pPr>
    </w:p>
    <w:p w14:paraId="287EB91B">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bookmarkStart w:id="1" w:name="_Toc15377425"/>
      <w:bookmarkStart w:id="2" w:name="_Toc15396597"/>
      <w:bookmarkStart w:id="3" w:name="_Toc15378441"/>
      <w:bookmarkStart w:id="4" w:name="_Toc15396475"/>
      <w:bookmarkStart w:id="5" w:name="_Toc15377193"/>
      <w:r>
        <w:rPr>
          <w:rFonts w:hint="default" w:ascii="Times New Roman" w:hAnsi="Times New Roman" w:eastAsia="方正小标宋简体" w:cs="Times New Roman"/>
          <w:color w:val="auto"/>
          <w:sz w:val="72"/>
          <w:szCs w:val="72"/>
          <w:highlight w:val="none"/>
        </w:rPr>
        <w:t>20</w:t>
      </w:r>
      <w:r>
        <w:rPr>
          <w:rFonts w:hint="default" w:ascii="Times New Roman" w:hAnsi="Times New Roman" w:eastAsia="方正小标宋简体" w:cs="Times New Roman"/>
          <w:color w:val="auto"/>
          <w:sz w:val="72"/>
          <w:szCs w:val="72"/>
          <w:highlight w:val="none"/>
          <w:lang w:val="en-US" w:eastAsia="zh-CN"/>
        </w:rPr>
        <w:t>2</w:t>
      </w:r>
      <w:r>
        <w:rPr>
          <w:rFonts w:hint="eastAsia" w:eastAsia="方正小标宋简体" w:cs="Times New Roman"/>
          <w:color w:val="auto"/>
          <w:sz w:val="72"/>
          <w:szCs w:val="72"/>
          <w:highlight w:val="none"/>
          <w:lang w:val="en-US" w:eastAsia="zh-CN"/>
        </w:rPr>
        <w:t>3</w:t>
      </w:r>
      <w:r>
        <w:rPr>
          <w:rFonts w:hint="default" w:ascii="Times New Roman" w:hAnsi="Times New Roman" w:eastAsia="方正小标宋简体" w:cs="Times New Roman"/>
          <w:color w:val="auto"/>
          <w:sz w:val="72"/>
          <w:szCs w:val="72"/>
          <w:highlight w:val="none"/>
        </w:rPr>
        <w:t>年度</w:t>
      </w:r>
      <w:bookmarkEnd w:id="1"/>
      <w:bookmarkEnd w:id="2"/>
      <w:bookmarkEnd w:id="3"/>
      <w:bookmarkEnd w:id="4"/>
      <w:bookmarkEnd w:id="5"/>
    </w:p>
    <w:bookmarkEnd w:id="0"/>
    <w:p w14:paraId="17F7F1C4">
      <w:pPr>
        <w:adjustRightInd w:val="0"/>
        <w:snapToGrid w:val="0"/>
        <w:spacing w:line="360" w:lineRule="auto"/>
        <w:jc w:val="center"/>
        <w:outlineLvl w:val="0"/>
        <w:rPr>
          <w:rFonts w:hint="default" w:ascii="Times New Roman" w:hAnsi="Times New Roman" w:eastAsia="方正小标宋简体" w:cs="Times New Roman"/>
          <w:color w:val="000000"/>
          <w:sz w:val="72"/>
          <w:szCs w:val="72"/>
          <w:lang w:val="en-US" w:eastAsia="zh-CN"/>
        </w:rPr>
      </w:pPr>
      <w:r>
        <w:rPr>
          <w:rFonts w:hint="default" w:ascii="Times New Roman" w:hAnsi="Times New Roman" w:eastAsia="方正小标宋简体" w:cs="Times New Roman"/>
          <w:color w:val="000000"/>
          <w:sz w:val="72"/>
          <w:szCs w:val="72"/>
          <w:lang w:eastAsia="zh-CN"/>
        </w:rPr>
        <w:t>大竹县市政工程管理处</w:t>
      </w:r>
      <w:r>
        <w:rPr>
          <w:rFonts w:hint="default" w:ascii="Times New Roman" w:hAnsi="Times New Roman" w:eastAsia="方正小标宋简体" w:cs="Times New Roman"/>
          <w:color w:val="000000"/>
          <w:sz w:val="72"/>
          <w:szCs w:val="72"/>
          <w:lang w:val="en-US" w:eastAsia="zh-CN"/>
        </w:rPr>
        <w:t xml:space="preserve"> </w:t>
      </w:r>
    </w:p>
    <w:p w14:paraId="089BC3F4">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r>
        <w:rPr>
          <w:rFonts w:hint="default" w:ascii="Times New Roman" w:hAnsi="Times New Roman" w:eastAsia="方正小标宋简体" w:cs="Times New Roman"/>
          <w:color w:val="000000"/>
          <w:sz w:val="72"/>
          <w:szCs w:val="72"/>
        </w:rPr>
        <w:t>部门决算</w:t>
      </w:r>
    </w:p>
    <w:p w14:paraId="23E890C4">
      <w:pPr>
        <w:widowControl/>
        <w:jc w:val="center"/>
        <w:rPr>
          <w:rFonts w:hint="default" w:ascii="Times New Roman" w:hAnsi="Times New Roman" w:eastAsia="黑体" w:cs="Times New Roman"/>
          <w:color w:val="auto"/>
          <w:sz w:val="48"/>
          <w:szCs w:val="48"/>
          <w:highlight w:val="none"/>
        </w:rPr>
        <w:sectPr>
          <w:headerReference r:id="rId4" w:type="first"/>
          <w:headerReference r:id="rId3" w:type="default"/>
          <w:footerReference r:id="rId5" w:type="default"/>
          <w:pgSz w:w="11906" w:h="16838"/>
          <w:pgMar w:top="1440" w:right="1800" w:bottom="1440" w:left="1800" w:header="851" w:footer="992" w:gutter="0"/>
          <w:pgNumType w:fmt="decimal" w:start="1"/>
          <w:cols w:space="425" w:num="1"/>
          <w:titlePg/>
          <w:docGrid w:type="lines" w:linePitch="312" w:charSpace="0"/>
        </w:sectPr>
      </w:pPr>
    </w:p>
    <w:p w14:paraId="309A939A">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14:paraId="38253936">
      <w:pPr>
        <w:widowControl/>
        <w:jc w:val="center"/>
        <w:rPr>
          <w:rFonts w:hint="default" w:ascii="Times New Roman" w:hAnsi="Times New Roman" w:eastAsia="黑体" w:cs="Times New Roman"/>
          <w:color w:val="auto"/>
          <w:sz w:val="28"/>
          <w:szCs w:val="28"/>
          <w:highlight w:val="none"/>
        </w:rPr>
      </w:pPr>
    </w:p>
    <w:p w14:paraId="6BB37898">
      <w:pPr>
        <w:pStyle w:val="12"/>
        <w:rPr>
          <w:rFonts w:hint="default" w:ascii="Times New Roman" w:hAnsi="Times New Roman" w:cs="Times New Roman"/>
          <w:color w:val="auto"/>
          <w:highlight w:val="none"/>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18</w:t>
      </w:r>
      <w:r>
        <w:rPr>
          <w:rFonts w:hint="default" w:ascii="Times New Roman" w:hAnsi="Times New Roman" w:cs="Times New Roman"/>
          <w:color w:val="auto"/>
          <w:highlight w:val="none"/>
        </w:rPr>
        <w:t>日</w:t>
      </w:r>
    </w:p>
    <w:p w14:paraId="530CC10F">
      <w:pPr>
        <w:rPr>
          <w:rFonts w:hint="default" w:ascii="Times New Roman" w:hAnsi="Times New Roman" w:cs="Times New Roman"/>
          <w:color w:val="auto"/>
          <w:highlight w:val="none"/>
        </w:rPr>
      </w:pPr>
    </w:p>
    <w:p w14:paraId="16C904EF">
      <w:pPr>
        <w:pStyle w:val="12"/>
        <w:adjustRightInd w:val="0"/>
        <w:snapToGrid w:val="0"/>
        <w:spacing w:before="0" w:line="440" w:lineRule="exact"/>
        <w:jc w:val="left"/>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color w:val="auto"/>
          <w:sz w:val="24"/>
          <w:highlight w:val="none"/>
        </w:rPr>
        <w:t xml:space="preserve">第一部分 </w:t>
      </w:r>
      <w:r>
        <w:rPr>
          <w:rFonts w:hint="default" w:ascii="Times New Roman" w:hAnsi="Times New Roman" w:eastAsia="仿宋_GB2312" w:cs="Times New Roman"/>
          <w:color w:val="auto"/>
          <w:sz w:val="24"/>
          <w:highlight w:val="none"/>
          <w:lang w:eastAsia="zh-CN"/>
        </w:rPr>
        <w:t>单位</w:t>
      </w:r>
      <w:r>
        <w:rPr>
          <w:rFonts w:hint="default" w:ascii="Times New Roman" w:hAnsi="Times New Roman" w:eastAsia="仿宋_GB2312" w:cs="Times New Roman"/>
          <w:color w:val="auto"/>
          <w:sz w:val="24"/>
          <w:highlight w:val="none"/>
        </w:rPr>
        <w:t>概况</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1</w:t>
      </w:r>
    </w:p>
    <w:p w14:paraId="7E775876">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一、职能</w:t>
      </w:r>
      <w:r>
        <w:rPr>
          <w:rFonts w:hint="default" w:ascii="Times New Roman" w:hAnsi="Times New Roman" w:eastAsia="仿宋_GB2312" w:cs="Times New Roman"/>
          <w:color w:val="auto"/>
          <w:sz w:val="24"/>
          <w:highlight w:val="none"/>
          <w:lang w:eastAsia="zh-CN"/>
        </w:rPr>
        <w:t>简介</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1</w:t>
      </w:r>
    </w:p>
    <w:p w14:paraId="465F1195">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eastAsia="zh-CN"/>
        </w:rPr>
        <w:t>二、</w:t>
      </w:r>
      <w:r>
        <w:rPr>
          <w:rFonts w:hint="default" w:ascii="Times New Roman" w:hAnsi="Times New Roman" w:eastAsia="仿宋_GB2312" w:cs="Times New Roman"/>
          <w:color w:val="auto"/>
          <w:sz w:val="24"/>
          <w:highlight w:val="none"/>
          <w:lang w:val="en-US" w:eastAsia="zh-CN"/>
        </w:rPr>
        <w:t>机构设置</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1</w:t>
      </w:r>
    </w:p>
    <w:p w14:paraId="6DED7254">
      <w:pPr>
        <w:pStyle w:val="12"/>
        <w:adjustRightInd w:val="0"/>
        <w:snapToGrid w:val="0"/>
        <w:spacing w:before="0" w:line="440" w:lineRule="exact"/>
        <w:jc w:val="left"/>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color w:val="auto"/>
          <w:sz w:val="24"/>
          <w:highlight w:val="none"/>
        </w:rPr>
        <w:t>第二部分</w:t>
      </w:r>
      <w:r>
        <w:rPr>
          <w:rFonts w:hint="default" w:ascii="Times New Roman" w:hAnsi="Times New Roman" w:eastAsia="仿宋_GB2312" w:cs="Times New Roman"/>
          <w:color w:val="auto"/>
          <w:sz w:val="24"/>
          <w:highlight w:val="none"/>
          <w:lang w:val="en-US" w:eastAsia="zh-CN"/>
        </w:rPr>
        <w:t xml:space="preserve"> 2023年度</w:t>
      </w:r>
      <w:r>
        <w:rPr>
          <w:rFonts w:hint="default" w:ascii="Times New Roman" w:hAnsi="Times New Roman" w:eastAsia="仿宋_GB2312" w:cs="Times New Roman"/>
          <w:color w:val="auto"/>
          <w:sz w:val="24"/>
          <w:highlight w:val="none"/>
          <w:lang w:eastAsia="zh-CN"/>
        </w:rPr>
        <w:t>单位</w:t>
      </w:r>
      <w:r>
        <w:rPr>
          <w:rFonts w:hint="default" w:ascii="Times New Roman" w:hAnsi="Times New Roman" w:eastAsia="仿宋_GB2312" w:cs="Times New Roman"/>
          <w:color w:val="auto"/>
          <w:sz w:val="24"/>
          <w:highlight w:val="none"/>
        </w:rPr>
        <w:t>决算情况说明</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2</w:t>
      </w:r>
    </w:p>
    <w:p w14:paraId="4C5E6828">
      <w:pPr>
        <w:pStyle w:val="13"/>
        <w:adjustRightInd w:val="0"/>
        <w:snapToGrid w:val="0"/>
        <w:spacing w:line="440" w:lineRule="exact"/>
        <w:jc w:val="left"/>
        <w:outlineLvl w:val="0"/>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一、收入支出决算总体情况说明</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2</w:t>
      </w:r>
    </w:p>
    <w:p w14:paraId="228FE9D2">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二、收入决算情况说明</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color w:val="auto"/>
          <w:sz w:val="24"/>
          <w:highlight w:val="none"/>
          <w:lang w:val="en-US" w:eastAsia="zh-CN"/>
        </w:rPr>
        <w:t>2</w:t>
      </w:r>
    </w:p>
    <w:p w14:paraId="5D2C0595">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三、支出决算情况说明</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3</w:t>
      </w:r>
    </w:p>
    <w:p w14:paraId="7533DFEB">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四、财政拨款收入支出决算总体情况说明</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4</w:t>
      </w:r>
    </w:p>
    <w:p w14:paraId="54CF47C1">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五、一般公共预算财政拨款支出决算情况说明</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4</w:t>
      </w:r>
    </w:p>
    <w:p w14:paraId="2089232C">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六、一般公共预算财政拨款基本支出决算情况说明</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7</w:t>
      </w:r>
    </w:p>
    <w:p w14:paraId="655C2DA2">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七、</w:t>
      </w:r>
      <w:r>
        <w:rPr>
          <w:rFonts w:hint="default" w:ascii="Times New Roman" w:hAnsi="Times New Roman" w:eastAsia="仿宋_GB2312" w:cs="Times New Roman"/>
          <w:color w:val="auto"/>
          <w:sz w:val="24"/>
          <w:highlight w:val="none"/>
          <w:lang w:val="en-US" w:eastAsia="zh-CN"/>
        </w:rPr>
        <w:t>财政拨款</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三公”经费支出决算情况说明</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7</w:t>
      </w:r>
    </w:p>
    <w:p w14:paraId="41700DA5">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八、政府性基金预算支出决算情况说明</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9</w:t>
      </w:r>
    </w:p>
    <w:p w14:paraId="1FA6EB5F">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九、国有资本经营预算支出决算情况说明</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9</w:t>
      </w:r>
    </w:p>
    <w:p w14:paraId="52C70D09">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十、其他重要事项的情况说明</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9</w:t>
      </w:r>
    </w:p>
    <w:p w14:paraId="42D1A949">
      <w:pPr>
        <w:pStyle w:val="12"/>
        <w:adjustRightInd w:val="0"/>
        <w:snapToGrid w:val="0"/>
        <w:spacing w:before="0" w:line="440" w:lineRule="exact"/>
        <w:jc w:val="left"/>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color w:val="auto"/>
          <w:sz w:val="24"/>
          <w:highlight w:val="none"/>
        </w:rPr>
        <w:t>第三部分 名词解释</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11</w:t>
      </w:r>
    </w:p>
    <w:p w14:paraId="7E988322">
      <w:pPr>
        <w:pStyle w:val="12"/>
        <w:adjustRightInd w:val="0"/>
        <w:snapToGrid w:val="0"/>
        <w:spacing w:before="0" w:line="440" w:lineRule="exact"/>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color w:val="auto"/>
          <w:sz w:val="24"/>
          <w:highlight w:val="none"/>
        </w:rPr>
        <w:t>第四部分 附件</w:t>
      </w:r>
      <w:r>
        <w:rPr>
          <w:rFonts w:hint="default" w:ascii="Times New Roman" w:hAnsi="Times New Roman" w:eastAsia="仿宋_GB2312" w:cs="Times New Roman"/>
          <w:sz w:val="24"/>
          <w:lang w:val="en-US" w:eastAsia="zh-CN"/>
        </w:rPr>
        <w:tab/>
      </w:r>
      <w:r>
        <w:rPr>
          <w:rFonts w:hint="default" w:ascii="Times New Roman" w:hAnsi="Times New Roman" w:eastAsia="仿宋_GB2312" w:cs="Times New Roman"/>
          <w:sz w:val="24"/>
          <w:lang w:val="en-US" w:eastAsia="zh-CN"/>
        </w:rPr>
        <w:t>14</w:t>
      </w:r>
    </w:p>
    <w:p w14:paraId="24043F48">
      <w:pPr>
        <w:pStyle w:val="12"/>
        <w:adjustRightInd w:val="0"/>
        <w:snapToGrid w:val="0"/>
        <w:spacing w:before="0" w:line="440" w:lineRule="exact"/>
        <w:jc w:val="left"/>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color w:val="auto"/>
          <w:sz w:val="24"/>
          <w:highlight w:val="none"/>
        </w:rPr>
        <w:t>第五部分 附表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31EB3C61">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一、收入支出决算总表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r>
        <w:rPr>
          <w:rFonts w:hint="default" w:ascii="Times New Roman" w:hAnsi="Times New Roman" w:eastAsia="仿宋_GB2312" w:cs="Times New Roman"/>
          <w:color w:val="auto"/>
          <w:sz w:val="24"/>
          <w:highlight w:val="none"/>
          <w:lang w:val="en-US" w:eastAsia="zh-CN"/>
        </w:rPr>
        <w:t xml:space="preserve"> </w:t>
      </w:r>
    </w:p>
    <w:p w14:paraId="4DA03B9A">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二、收入决算表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54DE6070">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三、支出决算表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4BA25B01">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四、财政拨款收入支出决算总表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4432582D">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五、财政拨款支出决算明细表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6E5F20D7">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六、一般公共预算财政拨款支出决算表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56D3D9EE">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七、一般公共预算财政拨款支出决算明细表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3A19CA9D">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八、一般公共预算财政拨款基本支出决算</w:t>
      </w:r>
      <w:r>
        <w:rPr>
          <w:rFonts w:hint="default" w:ascii="Times New Roman" w:hAnsi="Times New Roman" w:eastAsia="仿宋_GB2312" w:cs="Times New Roman"/>
          <w:color w:val="auto"/>
          <w:sz w:val="24"/>
          <w:highlight w:val="none"/>
          <w:lang w:eastAsia="zh-CN"/>
        </w:rPr>
        <w:t>明细</w:t>
      </w:r>
      <w:r>
        <w:rPr>
          <w:rFonts w:hint="default" w:ascii="Times New Roman" w:hAnsi="Times New Roman" w:eastAsia="仿宋_GB2312" w:cs="Times New Roman"/>
          <w:color w:val="auto"/>
          <w:sz w:val="24"/>
          <w:highlight w:val="none"/>
        </w:rPr>
        <w:t>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50F61D0C">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color w:val="auto"/>
          <w:sz w:val="24"/>
          <w:highlight w:val="none"/>
        </w:rPr>
        <w:t>九、一般公共预算财政拨款项目支出决算表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2D868F3C">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十、政府性基金预算财政拨款收入支出决算表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23FCF100">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十一、国有资本经营预算财政拨款收入支出决算表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0768192C">
      <w:pPr>
        <w:pStyle w:val="13"/>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十二、</w:t>
      </w:r>
      <w:r>
        <w:rPr>
          <w:rFonts w:hint="default" w:ascii="Times New Roman" w:hAnsi="Times New Roman" w:eastAsia="仿宋_GB2312" w:cs="Times New Roman"/>
          <w:color w:val="auto"/>
          <w:sz w:val="24"/>
          <w:highlight w:val="none"/>
          <w:lang w:val="en-US" w:eastAsia="zh-CN"/>
        </w:rPr>
        <w:t>国有资本经营预算财政拨款支出决算表</w:t>
      </w:r>
      <w:r>
        <w:rPr>
          <w:rFonts w:hint="default" w:ascii="Times New Roman" w:hAnsi="Times New Roman" w:eastAsia="仿宋_GB2312" w:cs="Times New Roman"/>
          <w:sz w:val="24"/>
          <w:lang w:val="en-US" w:eastAsia="zh-CN"/>
        </w:rPr>
        <w:tab/>
      </w:r>
      <w:r>
        <w:rPr>
          <w:rFonts w:hint="eastAsia" w:ascii="Times New Roman" w:hAnsi="Times New Roman" w:eastAsia="仿宋_GB2312" w:cs="Times New Roman"/>
          <w:sz w:val="24"/>
          <w:lang w:val="en-US" w:eastAsia="zh-CN"/>
        </w:rPr>
        <w:t>20</w:t>
      </w:r>
    </w:p>
    <w:p w14:paraId="2E535901">
      <w:pPr>
        <w:rPr>
          <w:rFonts w:hint="default" w:ascii="Times New Roman" w:hAnsi="Times New Roman" w:cs="Times New Roman"/>
          <w:color w:val="auto"/>
          <w:sz w:val="24"/>
          <w:highlight w:val="none"/>
        </w:rPr>
      </w:pPr>
    </w:p>
    <w:p w14:paraId="19DA0FAF">
      <w:pPr>
        <w:pStyle w:val="6"/>
        <w:rPr>
          <w:rFonts w:hint="default" w:ascii="Times New Roman" w:hAnsi="Times New Roman" w:cs="Times New Roman"/>
          <w:color w:val="auto"/>
          <w:sz w:val="24"/>
          <w:highlight w:val="none"/>
        </w:rPr>
      </w:pPr>
    </w:p>
    <w:p w14:paraId="5CCBB3B1">
      <w:pPr>
        <w:pStyle w:val="6"/>
        <w:rPr>
          <w:rFonts w:hint="default" w:ascii="Times New Roman" w:hAnsi="Times New Roman" w:cs="Times New Roman"/>
          <w:color w:val="auto"/>
          <w:sz w:val="24"/>
          <w:highlight w:val="none"/>
        </w:rPr>
      </w:pPr>
    </w:p>
    <w:p w14:paraId="660FECC9">
      <w:pPr>
        <w:pStyle w:val="6"/>
        <w:rPr>
          <w:rFonts w:hint="default" w:ascii="Times New Roman" w:hAnsi="Times New Roman" w:cs="Times New Roman"/>
          <w:color w:val="auto"/>
          <w:sz w:val="24"/>
          <w:highlight w:val="none"/>
        </w:rPr>
      </w:pPr>
    </w:p>
    <w:p w14:paraId="53D601F9">
      <w:pPr>
        <w:pStyle w:val="6"/>
        <w:rPr>
          <w:rFonts w:hint="default" w:ascii="Times New Roman" w:hAnsi="Times New Roman" w:cs="Times New Roman"/>
          <w:color w:val="auto"/>
          <w:sz w:val="24"/>
          <w:highlight w:val="none"/>
        </w:rPr>
      </w:pPr>
    </w:p>
    <w:p w14:paraId="58EE5B78">
      <w:pPr>
        <w:pStyle w:val="6"/>
        <w:rPr>
          <w:rFonts w:hint="default" w:ascii="Times New Roman" w:hAnsi="Times New Roman" w:cs="Times New Roman"/>
          <w:color w:val="auto"/>
          <w:sz w:val="24"/>
          <w:highlight w:val="none"/>
        </w:rPr>
      </w:pPr>
    </w:p>
    <w:p w14:paraId="7682880C">
      <w:pPr>
        <w:pStyle w:val="6"/>
        <w:rPr>
          <w:rFonts w:hint="default" w:ascii="Times New Roman" w:hAnsi="Times New Roman" w:cs="Times New Roman"/>
          <w:color w:val="auto"/>
          <w:sz w:val="24"/>
          <w:highlight w:val="none"/>
        </w:rPr>
      </w:pPr>
    </w:p>
    <w:p w14:paraId="60F8A116">
      <w:pPr>
        <w:pStyle w:val="6"/>
        <w:rPr>
          <w:rFonts w:hint="default" w:ascii="Times New Roman" w:hAnsi="Times New Roman" w:cs="Times New Roman"/>
          <w:color w:val="auto"/>
          <w:sz w:val="24"/>
          <w:highlight w:val="none"/>
        </w:rPr>
      </w:pPr>
    </w:p>
    <w:p w14:paraId="36CAB5DF">
      <w:pPr>
        <w:pStyle w:val="6"/>
        <w:rPr>
          <w:rFonts w:hint="default" w:ascii="Times New Roman" w:hAnsi="Times New Roman" w:cs="Times New Roman"/>
          <w:color w:val="auto"/>
          <w:sz w:val="24"/>
          <w:highlight w:val="none"/>
        </w:rPr>
      </w:pPr>
    </w:p>
    <w:p w14:paraId="5754FC41">
      <w:pPr>
        <w:pStyle w:val="6"/>
        <w:rPr>
          <w:rFonts w:hint="default" w:ascii="Times New Roman" w:hAnsi="Times New Roman" w:cs="Times New Roman"/>
          <w:color w:val="auto"/>
          <w:sz w:val="24"/>
          <w:highlight w:val="none"/>
        </w:rPr>
      </w:pPr>
    </w:p>
    <w:p w14:paraId="61F87A6E">
      <w:pPr>
        <w:pStyle w:val="6"/>
        <w:rPr>
          <w:rFonts w:hint="default" w:ascii="Times New Roman" w:hAnsi="Times New Roman" w:cs="Times New Roman"/>
          <w:color w:val="auto"/>
          <w:sz w:val="24"/>
          <w:highlight w:val="none"/>
        </w:rPr>
      </w:pPr>
    </w:p>
    <w:p w14:paraId="07D4649C">
      <w:pPr>
        <w:pStyle w:val="6"/>
        <w:rPr>
          <w:rFonts w:hint="default" w:ascii="Times New Roman" w:hAnsi="Times New Roman" w:cs="Times New Roman"/>
          <w:color w:val="auto"/>
          <w:sz w:val="24"/>
          <w:highlight w:val="none"/>
        </w:rPr>
      </w:pPr>
    </w:p>
    <w:p w14:paraId="5B8A00C1">
      <w:pPr>
        <w:pStyle w:val="6"/>
        <w:rPr>
          <w:rFonts w:hint="default" w:ascii="Times New Roman" w:hAnsi="Times New Roman" w:cs="Times New Roman"/>
          <w:color w:val="auto"/>
          <w:sz w:val="24"/>
          <w:highlight w:val="none"/>
        </w:rPr>
      </w:pPr>
    </w:p>
    <w:p w14:paraId="08E82A7E">
      <w:pPr>
        <w:pStyle w:val="6"/>
        <w:rPr>
          <w:rFonts w:hint="default" w:ascii="Times New Roman" w:hAnsi="Times New Roman" w:cs="Times New Roman"/>
          <w:color w:val="auto"/>
          <w:sz w:val="24"/>
          <w:highlight w:val="none"/>
        </w:rPr>
      </w:pPr>
    </w:p>
    <w:p w14:paraId="08ACBD7E">
      <w:pPr>
        <w:pStyle w:val="6"/>
        <w:rPr>
          <w:rFonts w:hint="default" w:ascii="Times New Roman" w:hAnsi="Times New Roman" w:cs="Times New Roman"/>
          <w:color w:val="auto"/>
          <w:sz w:val="24"/>
          <w:highlight w:val="none"/>
        </w:rPr>
      </w:pPr>
    </w:p>
    <w:p w14:paraId="1A660EAE">
      <w:pPr>
        <w:pStyle w:val="6"/>
        <w:rPr>
          <w:rFonts w:hint="default" w:ascii="Times New Roman" w:hAnsi="Times New Roman" w:cs="Times New Roman"/>
          <w:color w:val="auto"/>
          <w:sz w:val="24"/>
          <w:highlight w:val="none"/>
        </w:rPr>
      </w:pPr>
    </w:p>
    <w:p w14:paraId="1199E8E5">
      <w:pPr>
        <w:pStyle w:val="6"/>
        <w:rPr>
          <w:rFonts w:hint="default" w:ascii="Times New Roman" w:hAnsi="Times New Roman" w:cs="Times New Roman"/>
          <w:color w:val="auto"/>
          <w:sz w:val="24"/>
          <w:highlight w:val="none"/>
        </w:rPr>
      </w:pPr>
    </w:p>
    <w:p w14:paraId="5C568ECF">
      <w:pPr>
        <w:pStyle w:val="6"/>
        <w:rPr>
          <w:rFonts w:hint="default" w:ascii="Times New Roman" w:hAnsi="Times New Roman" w:cs="Times New Roman"/>
          <w:color w:val="auto"/>
          <w:sz w:val="24"/>
          <w:highlight w:val="none"/>
        </w:rPr>
      </w:pPr>
    </w:p>
    <w:p w14:paraId="3660BB84">
      <w:pPr>
        <w:pStyle w:val="6"/>
        <w:rPr>
          <w:rFonts w:hint="default" w:ascii="Times New Roman" w:hAnsi="Times New Roman" w:cs="Times New Roman"/>
          <w:color w:val="auto"/>
          <w:sz w:val="24"/>
          <w:highlight w:val="none"/>
        </w:rPr>
      </w:pPr>
    </w:p>
    <w:p w14:paraId="3F824E3A">
      <w:pPr>
        <w:pStyle w:val="6"/>
        <w:rPr>
          <w:rFonts w:hint="default" w:ascii="Times New Roman" w:hAnsi="Times New Roman" w:cs="Times New Roman"/>
          <w:color w:val="auto"/>
          <w:sz w:val="24"/>
          <w:highlight w:val="none"/>
        </w:rPr>
      </w:pPr>
    </w:p>
    <w:p w14:paraId="5EE92D78">
      <w:pPr>
        <w:pStyle w:val="6"/>
        <w:rPr>
          <w:rFonts w:hint="default" w:ascii="Times New Roman" w:hAnsi="Times New Roman" w:cs="Times New Roman"/>
          <w:color w:val="auto"/>
          <w:sz w:val="24"/>
          <w:highlight w:val="none"/>
        </w:rPr>
      </w:pPr>
    </w:p>
    <w:p w14:paraId="63F6D18E">
      <w:pPr>
        <w:pStyle w:val="6"/>
        <w:rPr>
          <w:rFonts w:hint="default" w:ascii="Times New Roman" w:hAnsi="Times New Roman" w:cs="Times New Roman"/>
          <w:color w:val="auto"/>
          <w:sz w:val="24"/>
          <w:highlight w:val="none"/>
        </w:rPr>
      </w:pPr>
    </w:p>
    <w:p w14:paraId="2AA2B951">
      <w:pPr>
        <w:pStyle w:val="6"/>
        <w:rPr>
          <w:rFonts w:hint="default" w:ascii="Times New Roman" w:hAnsi="Times New Roman" w:cs="Times New Roman"/>
          <w:color w:val="auto"/>
          <w:sz w:val="24"/>
          <w:highlight w:val="none"/>
        </w:rPr>
      </w:pPr>
    </w:p>
    <w:p w14:paraId="413593F5">
      <w:pPr>
        <w:pStyle w:val="6"/>
        <w:rPr>
          <w:rFonts w:hint="default" w:ascii="Times New Roman" w:hAnsi="Times New Roman" w:cs="Times New Roman"/>
          <w:color w:val="auto"/>
          <w:sz w:val="24"/>
          <w:highlight w:val="none"/>
        </w:rPr>
      </w:pPr>
    </w:p>
    <w:p w14:paraId="100CA8C9">
      <w:pPr>
        <w:pStyle w:val="6"/>
        <w:rPr>
          <w:rFonts w:hint="default" w:ascii="Times New Roman" w:hAnsi="Times New Roman" w:cs="Times New Roman"/>
          <w:color w:val="auto"/>
          <w:sz w:val="24"/>
          <w:highlight w:val="none"/>
        </w:rPr>
      </w:pPr>
    </w:p>
    <w:p w14:paraId="3EE0EC8E">
      <w:pPr>
        <w:pStyle w:val="6"/>
        <w:rPr>
          <w:rFonts w:hint="default" w:ascii="Times New Roman" w:hAnsi="Times New Roman" w:cs="Times New Roman"/>
          <w:color w:val="auto"/>
          <w:sz w:val="24"/>
          <w:highlight w:val="none"/>
        </w:rPr>
      </w:pPr>
    </w:p>
    <w:p w14:paraId="124C996C">
      <w:pPr>
        <w:pStyle w:val="6"/>
        <w:rPr>
          <w:rFonts w:hint="default" w:ascii="Times New Roman" w:hAnsi="Times New Roman" w:cs="Times New Roman"/>
          <w:color w:val="auto"/>
          <w:sz w:val="24"/>
          <w:highlight w:val="none"/>
        </w:rPr>
      </w:pPr>
    </w:p>
    <w:p w14:paraId="2713E607">
      <w:pPr>
        <w:pStyle w:val="2"/>
        <w:numPr>
          <w:ilvl w:val="0"/>
          <w:numId w:val="1"/>
        </w:numPr>
        <w:jc w:val="center"/>
        <w:rPr>
          <w:rStyle w:val="28"/>
          <w:rFonts w:hint="default" w:ascii="Times New Roman" w:hAnsi="Times New Roman" w:eastAsia="黑体" w:cs="Times New Roman"/>
          <w:b w:val="0"/>
          <w:bCs w:val="0"/>
        </w:rPr>
        <w:sectPr>
          <w:footerReference r:id="rId7" w:type="default"/>
          <w:pgSz w:w="11906" w:h="16838"/>
          <w:pgMar w:top="1440" w:right="1800" w:bottom="1440" w:left="1800" w:header="851" w:footer="992" w:gutter="0"/>
          <w:pgNumType w:fmt="decimal" w:start="1"/>
          <w:cols w:space="425" w:num="1"/>
          <w:docGrid w:type="lines" w:linePitch="312" w:charSpace="0"/>
        </w:sectPr>
      </w:pPr>
    </w:p>
    <w:p w14:paraId="6D58C74B">
      <w:pPr>
        <w:pStyle w:val="2"/>
        <w:numPr>
          <w:ilvl w:val="0"/>
          <w:numId w:val="1"/>
        </w:numPr>
        <w:jc w:val="center"/>
        <w:rPr>
          <w:rStyle w:val="28"/>
          <w:rFonts w:hint="eastAsia" w:ascii="方正小标宋简体" w:hAnsi="方正小标宋简体" w:eastAsia="方正小标宋简体" w:cs="方正小标宋简体"/>
          <w:b w:val="0"/>
          <w:bCs w:val="0"/>
        </w:rPr>
      </w:pPr>
      <w:r>
        <w:rPr>
          <w:rStyle w:val="28"/>
          <w:rFonts w:hint="eastAsia" w:ascii="方正小标宋简体" w:hAnsi="方正小标宋简体" w:eastAsia="方正小标宋简体" w:cs="方正小标宋简体"/>
          <w:b w:val="0"/>
          <w:bCs w:val="0"/>
        </w:rPr>
        <w:t>部门概况</w:t>
      </w:r>
    </w:p>
    <w:p w14:paraId="6CA00E23">
      <w:pPr>
        <w:pStyle w:val="6"/>
        <w:rPr>
          <w:rFonts w:hint="default" w:ascii="Times New Roman" w:hAnsi="Times New Roman" w:cs="Times New Roman"/>
        </w:rPr>
      </w:pPr>
    </w:p>
    <w:p w14:paraId="196E8C45">
      <w:pPr>
        <w:ind w:firstLine="640" w:firstLineChars="200"/>
        <w:rPr>
          <w:rFonts w:hint="default" w:ascii="Times New Roman" w:hAnsi="Times New Roman" w:eastAsia="黑体" w:cs="Times New Roman"/>
          <w:sz w:val="32"/>
          <w:szCs w:val="32"/>
        </w:rPr>
      </w:pPr>
      <w:bookmarkStart w:id="6" w:name="_Toc15396600"/>
      <w:bookmarkStart w:id="7" w:name="_Toc15377197"/>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基本职能</w:t>
      </w:r>
      <w:bookmarkEnd w:id="6"/>
      <w:bookmarkEnd w:id="7"/>
      <w:bookmarkStart w:id="8" w:name="_Toc15377198"/>
      <w:bookmarkStart w:id="9" w:name="_Toc15378445"/>
    </w:p>
    <w:bookmarkEnd w:id="8"/>
    <w:bookmarkEnd w:id="9"/>
    <w:p w14:paraId="270F4A2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bookmarkStart w:id="10" w:name="_Toc15378446"/>
      <w:bookmarkStart w:id="11" w:name="_Toc15377199"/>
      <w:r>
        <w:rPr>
          <w:rFonts w:hint="default" w:ascii="Times New Roman" w:hAnsi="Times New Roman" w:eastAsia="仿宋_GB2312" w:cs="Times New Roman"/>
          <w:sz w:val="32"/>
          <w:szCs w:val="32"/>
        </w:rPr>
        <w:t>大竹县市政工程管理处的基本职能是负责对已建成的城市基础设施按照技术规范进行养护和维修工作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参与城市市政基础设施建设工作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参与市政基础设施建设工程的验收工作；受县住建局的委托承担城市道路、市容市貌、道路开挖、临时占道、市政广场、防汛排涝的管理工作</w:t>
      </w:r>
      <w:r>
        <w:rPr>
          <w:rFonts w:hint="default" w:ascii="Times New Roman" w:hAnsi="Times New Roman" w:eastAsia="仿宋_GB2312" w:cs="Times New Roman"/>
          <w:sz w:val="32"/>
          <w:szCs w:val="32"/>
          <w:lang w:eastAsia="zh-CN"/>
        </w:rPr>
        <w:t>。</w:t>
      </w:r>
    </w:p>
    <w:bookmarkEnd w:id="10"/>
    <w:bookmarkEnd w:id="11"/>
    <w:p w14:paraId="6FE6D47A">
      <w:p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二、机构设置</w:t>
      </w:r>
    </w:p>
    <w:p w14:paraId="2898EE36">
      <w:pPr>
        <w:keepNext w:val="0"/>
        <w:keepLines w:val="0"/>
        <w:pageBreakBefore w:val="0"/>
        <w:widowControl w:val="0"/>
        <w:kinsoku/>
        <w:wordWrap/>
        <w:overflowPunct/>
        <w:topLinePunct w:val="0"/>
        <w:autoSpaceDE/>
        <w:autoSpaceDN/>
        <w:bidi w:val="0"/>
        <w:adjustRightInd/>
        <w:snapToGrid/>
        <w:spacing w:line="578" w:lineRule="exact"/>
        <w:ind w:firstLine="420"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eastAsia="zh-CN"/>
        </w:rPr>
        <w:t>大竹县市政工程管理处</w:t>
      </w:r>
      <w:r>
        <w:rPr>
          <w:rFonts w:hint="default" w:ascii="Times New Roman" w:hAnsi="Times New Roman" w:eastAsia="仿宋_GB2312" w:cs="Times New Roman"/>
          <w:sz w:val="32"/>
          <w:szCs w:val="32"/>
        </w:rPr>
        <w:t>下属二级单位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其中行政单位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参照公务员法管理的事业单位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个，其他事业单位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w:t>
      </w:r>
    </w:p>
    <w:p w14:paraId="012CB622">
      <w:pPr>
        <w:pStyle w:val="6"/>
        <w:numPr>
          <w:ilvl w:val="0"/>
          <w:numId w:val="0"/>
        </w:numPr>
        <w:rPr>
          <w:rFonts w:hint="default" w:ascii="Times New Roman" w:hAnsi="Times New Roman" w:cs="Times New Roman"/>
          <w:lang w:val="en-US" w:eastAsia="zh-CN"/>
        </w:rPr>
      </w:pPr>
    </w:p>
    <w:p w14:paraId="05AC0E3B">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14:paraId="01034053">
      <w:pPr>
        <w:pStyle w:val="2"/>
        <w:ind w:right="440"/>
        <w:jc w:val="center"/>
        <w:rPr>
          <w:rStyle w:val="28"/>
          <w:rFonts w:hint="eastAsia" w:ascii="方正小标宋简体" w:hAnsi="方正小标宋简体" w:eastAsia="方正小标宋简体" w:cs="方正小标宋简体"/>
          <w:b w:val="0"/>
          <w:bCs/>
          <w:color w:val="auto"/>
          <w:highlight w:val="none"/>
        </w:rPr>
      </w:pPr>
      <w:bookmarkStart w:id="12" w:name="_Toc15396602"/>
      <w:bookmarkStart w:id="13" w:name="_Toc15377204"/>
      <w:r>
        <w:rPr>
          <w:rFonts w:hint="eastAsia" w:ascii="方正小标宋简体" w:hAnsi="方正小标宋简体" w:eastAsia="方正小标宋简体" w:cs="方正小标宋简体"/>
          <w:b w:val="0"/>
          <w:bCs/>
          <w:color w:val="auto"/>
          <w:highlight w:val="none"/>
          <w:lang w:val="en-US" w:eastAsia="zh-CN"/>
        </w:rPr>
        <w:t xml:space="preserve">  </w:t>
      </w:r>
      <w:r>
        <w:rPr>
          <w:rFonts w:hint="eastAsia" w:ascii="方正小标宋简体" w:hAnsi="方正小标宋简体" w:eastAsia="方正小标宋简体" w:cs="方正小标宋简体"/>
          <w:b w:val="0"/>
          <w:bCs/>
          <w:color w:val="auto"/>
          <w:highlight w:val="none"/>
        </w:rPr>
        <w:t xml:space="preserve">第二部分 </w:t>
      </w:r>
      <w:r>
        <w:rPr>
          <w:rFonts w:hint="eastAsia" w:ascii="方正小标宋简体" w:hAnsi="方正小标宋简体" w:eastAsia="方正小标宋简体" w:cs="方正小标宋简体"/>
          <w:b w:val="0"/>
          <w:bCs/>
          <w:color w:val="auto"/>
          <w:highlight w:val="none"/>
          <w:lang w:val="en-US" w:eastAsia="zh-CN"/>
        </w:rPr>
        <w:t>2023年度</w:t>
      </w:r>
      <w:r>
        <w:rPr>
          <w:rStyle w:val="28"/>
          <w:rFonts w:hint="eastAsia" w:ascii="方正小标宋简体" w:hAnsi="方正小标宋简体" w:eastAsia="方正小标宋简体" w:cs="方正小标宋简体"/>
          <w:b w:val="0"/>
          <w:bCs/>
          <w:color w:val="auto"/>
          <w:highlight w:val="none"/>
          <w:lang w:eastAsia="zh-CN"/>
        </w:rPr>
        <w:t>单位</w:t>
      </w:r>
      <w:r>
        <w:rPr>
          <w:rStyle w:val="28"/>
          <w:rFonts w:hint="eastAsia" w:ascii="方正小标宋简体" w:hAnsi="方正小标宋简体" w:eastAsia="方正小标宋简体" w:cs="方正小标宋简体"/>
          <w:b w:val="0"/>
          <w:bCs/>
          <w:color w:val="auto"/>
          <w:highlight w:val="none"/>
        </w:rPr>
        <w:t>决算情况说明</w:t>
      </w:r>
      <w:bookmarkEnd w:id="12"/>
      <w:bookmarkEnd w:id="13"/>
    </w:p>
    <w:p w14:paraId="5DDECA9A">
      <w:pPr>
        <w:rPr>
          <w:rFonts w:hint="default" w:ascii="Times New Roman" w:hAnsi="Times New Roman" w:cs="Times New Roman"/>
          <w:color w:val="auto"/>
          <w:highlight w:val="none"/>
        </w:rPr>
      </w:pPr>
    </w:p>
    <w:p w14:paraId="1B424C3E">
      <w:pPr>
        <w:pStyle w:val="27"/>
        <w:numPr>
          <w:ilvl w:val="0"/>
          <w:numId w:val="2"/>
        </w:numPr>
        <w:spacing w:line="600" w:lineRule="exact"/>
        <w:ind w:firstLineChars="0"/>
        <w:outlineLvl w:val="1"/>
        <w:rPr>
          <w:rStyle w:val="29"/>
          <w:rFonts w:hint="default" w:ascii="Times New Roman" w:hAnsi="Times New Roman" w:eastAsia="黑体" w:cs="Times New Roman"/>
          <w:b w:val="0"/>
          <w:color w:val="auto"/>
          <w:highlight w:val="none"/>
        </w:rPr>
      </w:pPr>
      <w:bookmarkStart w:id="14" w:name="_Toc15377205"/>
      <w:bookmarkStart w:id="15" w:name="_Toc15396603"/>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14"/>
      <w:bookmarkEnd w:id="15"/>
    </w:p>
    <w:p w14:paraId="0EBE0D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年度收、支总计</w:t>
      </w:r>
      <w:r>
        <w:rPr>
          <w:rFonts w:hint="eastAsia" w:eastAsia="仿宋_GB2312" w:cs="Times New Roman"/>
          <w:sz w:val="32"/>
          <w:szCs w:val="32"/>
          <w:lang w:val="en-US" w:eastAsia="zh-CN"/>
        </w:rPr>
        <w:t>均为1765.08</w:t>
      </w:r>
      <w:r>
        <w:rPr>
          <w:rFonts w:hint="default" w:ascii="Times New Roman" w:hAnsi="Times New Roman" w:eastAsia="仿宋_GB2312" w:cs="Times New Roman"/>
          <w:sz w:val="32"/>
          <w:szCs w:val="32"/>
          <w:lang w:eastAsia="zh-CN"/>
        </w:rPr>
        <w:t>万元。与20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年相比，收、支总计</w:t>
      </w:r>
      <w:r>
        <w:rPr>
          <w:rFonts w:hint="eastAsia" w:eastAsia="仿宋_GB2312" w:cs="Times New Roman"/>
          <w:sz w:val="32"/>
          <w:szCs w:val="32"/>
          <w:lang w:val="en-US" w:eastAsia="zh-CN"/>
        </w:rPr>
        <w:t>各减少181.92</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val="en-US" w:eastAsia="zh-CN"/>
        </w:rPr>
        <w:t>下降9.34</w:t>
      </w:r>
      <w:r>
        <w:rPr>
          <w:rFonts w:hint="default" w:ascii="Times New Roman" w:hAnsi="Times New Roman" w:eastAsia="仿宋_GB2312" w:cs="Times New Roman"/>
          <w:sz w:val="32"/>
          <w:szCs w:val="32"/>
          <w:lang w:eastAsia="zh-CN"/>
        </w:rPr>
        <w:t>%。主要变动原因是</w:t>
      </w:r>
      <w:r>
        <w:rPr>
          <w:rFonts w:hint="eastAsia" w:eastAsia="仿宋_GB2312" w:cs="Times New Roman"/>
          <w:color w:val="000000" w:themeColor="text1"/>
          <w:sz w:val="32"/>
          <w:szCs w:val="32"/>
          <w:lang w:val="en-US" w:eastAsia="zh-CN"/>
          <w14:textFill>
            <w14:solidFill>
              <w14:schemeClr w14:val="tx1"/>
            </w14:solidFill>
          </w14:textFill>
        </w:rPr>
        <w:t>项目资金减少。</w:t>
      </w:r>
    </w:p>
    <w:p w14:paraId="5B730B84">
      <w:pPr>
        <w:spacing w:line="600" w:lineRule="exact"/>
        <w:ind w:firstLine="640" w:firstLineChars="200"/>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（图1：收、支决算总计变动情况图）（柱状图）</w:t>
      </w:r>
    </w:p>
    <w:p w14:paraId="533A0C70">
      <w:pPr>
        <w:pStyle w:val="6"/>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lang w:eastAsia="zh-CN"/>
        </w:rPr>
        <w:drawing>
          <wp:inline distT="0" distB="0" distL="114300" distR="114300">
            <wp:extent cx="4787265" cy="3032760"/>
            <wp:effectExtent l="0" t="0" r="13335" b="1524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a:stretch>
                      <a:fillRect/>
                    </a:stretch>
                  </pic:blipFill>
                  <pic:spPr>
                    <a:xfrm>
                      <a:off x="0" y="0"/>
                      <a:ext cx="4787265" cy="3032760"/>
                    </a:xfrm>
                    <a:prstGeom prst="rect">
                      <a:avLst/>
                    </a:prstGeom>
                    <a:extLst>
                      <wpswe:webExtensionRef xmlns:wpswe="http://www.wps.cn/officeDocument/2018/webExtension" r:id="rId10"/>
                    </a:extLst>
                  </pic:spPr>
                </pic:pic>
              </a:graphicData>
            </a:graphic>
          </wp:inline>
        </w:drawing>
      </w:r>
    </w:p>
    <w:p w14:paraId="77EE5732">
      <w:pPr>
        <w:pStyle w:val="27"/>
        <w:numPr>
          <w:ilvl w:val="0"/>
          <w:numId w:val="2"/>
        </w:numPr>
        <w:spacing w:line="600" w:lineRule="exact"/>
        <w:ind w:firstLineChars="0"/>
        <w:outlineLvl w:val="1"/>
        <w:rPr>
          <w:rStyle w:val="29"/>
          <w:rFonts w:hint="default" w:ascii="Times New Roman" w:hAnsi="Times New Roman" w:eastAsia="黑体" w:cs="Times New Roman"/>
          <w:b w:val="0"/>
          <w:color w:val="auto"/>
          <w:highlight w:val="none"/>
        </w:rPr>
      </w:pPr>
      <w:bookmarkStart w:id="16" w:name="_Toc15396604"/>
      <w:bookmarkStart w:id="17" w:name="_Toc15377206"/>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入决算情况说明</w:t>
      </w:r>
      <w:bookmarkEnd w:id="16"/>
      <w:bookmarkEnd w:id="17"/>
    </w:p>
    <w:p w14:paraId="1E5AC9E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年本年收入合计</w:t>
      </w:r>
      <w:r>
        <w:rPr>
          <w:rFonts w:hint="eastAsia" w:eastAsia="仿宋_GB2312" w:cs="Times New Roman"/>
          <w:sz w:val="32"/>
          <w:szCs w:val="32"/>
          <w:lang w:val="en-US" w:eastAsia="zh-CN"/>
        </w:rPr>
        <w:t>1765.08</w:t>
      </w:r>
      <w:r>
        <w:rPr>
          <w:rFonts w:hint="default" w:ascii="Times New Roman" w:hAnsi="Times New Roman" w:eastAsia="仿宋_GB2312" w:cs="Times New Roman"/>
          <w:sz w:val="32"/>
          <w:szCs w:val="32"/>
          <w:lang w:eastAsia="zh-CN"/>
        </w:rPr>
        <w:t>万元，其中：一般公共预算财政拨款收入</w:t>
      </w:r>
      <w:r>
        <w:rPr>
          <w:rFonts w:hint="eastAsia" w:eastAsia="仿宋_GB2312" w:cs="Times New Roman"/>
          <w:sz w:val="32"/>
          <w:szCs w:val="32"/>
          <w:lang w:val="en-US" w:eastAsia="zh-CN"/>
        </w:rPr>
        <w:t>738.21</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41.82</w:t>
      </w:r>
      <w:r>
        <w:rPr>
          <w:rFonts w:hint="default" w:ascii="Times New Roman" w:hAnsi="Times New Roman" w:eastAsia="仿宋_GB2312" w:cs="Times New Roman"/>
          <w:sz w:val="32"/>
          <w:szCs w:val="32"/>
          <w:lang w:eastAsia="zh-CN"/>
        </w:rPr>
        <w:t>%；政府性基金预算财政拨款收入</w:t>
      </w:r>
      <w:r>
        <w:rPr>
          <w:rFonts w:hint="eastAsia" w:eastAsia="仿宋_GB2312" w:cs="Times New Roman"/>
          <w:sz w:val="32"/>
          <w:szCs w:val="32"/>
          <w:lang w:val="en-US" w:eastAsia="zh-CN"/>
        </w:rPr>
        <w:t>1026.87</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58.18</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国有资本经营预算财政拨款收入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%；上级补助收入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%；经营收入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%；附属单位上缴收入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%；其他收入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w:t>
      </w:r>
    </w:p>
    <w:p w14:paraId="74E093D5">
      <w:pPr>
        <w:spacing w:line="600" w:lineRule="exact"/>
        <w:ind w:firstLine="640" w:firstLineChars="200"/>
        <w:jc w:val="left"/>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（图2：收入决算结构图）（饼状图）</w:t>
      </w:r>
    </w:p>
    <w:p w14:paraId="2C0E7CC3">
      <w:pPr>
        <w:pStyle w:val="6"/>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drawing>
          <wp:inline distT="0" distB="0" distL="114300" distR="114300">
            <wp:extent cx="4032250" cy="2479040"/>
            <wp:effectExtent l="4445" t="4445" r="2095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34A501">
      <w:pPr>
        <w:pStyle w:val="27"/>
        <w:numPr>
          <w:ilvl w:val="0"/>
          <w:numId w:val="2"/>
        </w:numPr>
        <w:spacing w:line="600" w:lineRule="exact"/>
        <w:ind w:firstLineChars="0"/>
        <w:outlineLvl w:val="1"/>
        <w:rPr>
          <w:rStyle w:val="29"/>
          <w:rFonts w:hint="default" w:ascii="Times New Roman" w:hAnsi="Times New Roman" w:eastAsia="黑体" w:cs="Times New Roman"/>
          <w:b w:val="0"/>
          <w:color w:val="auto"/>
          <w:highlight w:val="none"/>
        </w:rPr>
      </w:pPr>
      <w:bookmarkStart w:id="18" w:name="_Toc15396605"/>
      <w:bookmarkStart w:id="19" w:name="_Toc15377207"/>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18"/>
      <w:bookmarkEnd w:id="19"/>
    </w:p>
    <w:p w14:paraId="38F6C98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年本年支出合计</w:t>
      </w:r>
      <w:r>
        <w:rPr>
          <w:rFonts w:hint="eastAsia" w:eastAsia="仿宋_GB2312" w:cs="Times New Roman"/>
          <w:sz w:val="32"/>
          <w:szCs w:val="32"/>
          <w:lang w:val="en-US" w:eastAsia="zh-CN"/>
        </w:rPr>
        <w:t>1765.08</w:t>
      </w:r>
      <w:r>
        <w:rPr>
          <w:rFonts w:hint="default" w:ascii="Times New Roman" w:hAnsi="Times New Roman" w:eastAsia="仿宋_GB2312" w:cs="Times New Roman"/>
          <w:sz w:val="32"/>
          <w:szCs w:val="32"/>
          <w:lang w:eastAsia="zh-CN"/>
        </w:rPr>
        <w:t>万元，其中：基本支出</w:t>
      </w:r>
      <w:r>
        <w:rPr>
          <w:rFonts w:hint="eastAsia" w:eastAsia="仿宋_GB2312" w:cs="Times New Roman"/>
          <w:sz w:val="32"/>
          <w:szCs w:val="32"/>
          <w:lang w:val="en-US" w:eastAsia="zh-CN"/>
        </w:rPr>
        <w:t>648.65</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36.75</w:t>
      </w:r>
      <w:r>
        <w:rPr>
          <w:rFonts w:hint="default" w:ascii="Times New Roman" w:hAnsi="Times New Roman" w:eastAsia="仿宋_GB2312" w:cs="Times New Roman"/>
          <w:sz w:val="32"/>
          <w:szCs w:val="32"/>
          <w:lang w:eastAsia="zh-CN"/>
        </w:rPr>
        <w:t>%；项目支出</w:t>
      </w:r>
      <w:r>
        <w:rPr>
          <w:rFonts w:hint="eastAsia" w:eastAsia="仿宋_GB2312" w:cs="Times New Roman"/>
          <w:sz w:val="32"/>
          <w:szCs w:val="32"/>
          <w:lang w:val="en-US" w:eastAsia="zh-CN"/>
        </w:rPr>
        <w:t>1116.43</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63.25</w:t>
      </w:r>
      <w:r>
        <w:rPr>
          <w:rFonts w:hint="default" w:ascii="Times New Roman" w:hAnsi="Times New Roman" w:eastAsia="仿宋_GB2312" w:cs="Times New Roman"/>
          <w:sz w:val="32"/>
          <w:szCs w:val="32"/>
          <w:lang w:eastAsia="zh-CN"/>
        </w:rPr>
        <w:t>%；上缴上级支出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%；经营支出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%；对附属单位补助支出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w:t>
      </w:r>
    </w:p>
    <w:p w14:paraId="18E1D10D">
      <w:pPr>
        <w:spacing w:line="600" w:lineRule="exact"/>
        <w:ind w:firstLine="640" w:firstLineChars="200"/>
        <w:jc w:val="left"/>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（图3：支出决算结构图）（饼状图）</w:t>
      </w:r>
    </w:p>
    <w:p w14:paraId="69174557">
      <w:pPr>
        <w:pStyle w:val="6"/>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lang w:eastAsia="zh-CN"/>
        </w:rPr>
        <w:drawing>
          <wp:inline distT="0" distB="0" distL="114300" distR="114300">
            <wp:extent cx="4801870" cy="2686050"/>
            <wp:effectExtent l="4445" t="4445" r="1333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C7C623">
      <w:pPr>
        <w:numPr>
          <w:ilvl w:val="0"/>
          <w:numId w:val="0"/>
        </w:numPr>
        <w:spacing w:line="600" w:lineRule="exact"/>
        <w:ind w:left="640" w:leftChars="0"/>
        <w:outlineLvl w:val="1"/>
        <w:rPr>
          <w:rFonts w:hint="default" w:ascii="Times New Roman" w:hAnsi="Times New Roman" w:eastAsia="黑体" w:cs="Times New Roman"/>
          <w:color w:val="auto"/>
          <w:sz w:val="32"/>
          <w:szCs w:val="32"/>
          <w:highlight w:val="none"/>
          <w:lang w:eastAsia="zh-CN"/>
        </w:rPr>
      </w:pPr>
      <w:bookmarkStart w:id="20" w:name="_Toc15396606"/>
      <w:bookmarkStart w:id="21" w:name="_Toc15377208"/>
    </w:p>
    <w:p w14:paraId="0AEA8702">
      <w:pPr>
        <w:numPr>
          <w:ilvl w:val="0"/>
          <w:numId w:val="0"/>
        </w:numPr>
        <w:spacing w:line="600" w:lineRule="exact"/>
        <w:ind w:left="640" w:leftChars="0"/>
        <w:outlineLvl w:val="1"/>
        <w:rPr>
          <w:rFonts w:hint="default" w:ascii="Times New Roman" w:hAnsi="Times New Roman" w:eastAsia="黑体" w:cs="Times New Roman"/>
          <w:color w:val="auto"/>
          <w:sz w:val="32"/>
          <w:szCs w:val="32"/>
          <w:highlight w:val="none"/>
          <w:lang w:eastAsia="zh-CN"/>
        </w:rPr>
      </w:pPr>
    </w:p>
    <w:p w14:paraId="6B295956">
      <w:pPr>
        <w:numPr>
          <w:ilvl w:val="0"/>
          <w:numId w:val="0"/>
        </w:numPr>
        <w:spacing w:line="600" w:lineRule="exact"/>
        <w:ind w:left="640" w:leftChars="0"/>
        <w:outlineLvl w:val="1"/>
        <w:rPr>
          <w:rFonts w:hint="default" w:ascii="Times New Roman" w:hAnsi="Times New Roman" w:cs="Times New Roman"/>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财</w:t>
      </w:r>
      <w:r>
        <w:rPr>
          <w:rStyle w:val="29"/>
          <w:rFonts w:hint="default" w:ascii="Times New Roman" w:hAnsi="Times New Roman" w:eastAsia="黑体" w:cs="Times New Roman"/>
          <w:b w:val="0"/>
          <w:color w:val="auto"/>
          <w:highlight w:val="none"/>
        </w:rPr>
        <w:t>政拨款收入支出决算总体情况说明</w:t>
      </w:r>
      <w:bookmarkEnd w:id="20"/>
      <w:bookmarkEnd w:id="21"/>
    </w:p>
    <w:p w14:paraId="09527A58">
      <w:pPr>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年财政拨款收、支总计</w:t>
      </w:r>
      <w:r>
        <w:rPr>
          <w:rFonts w:hint="eastAsia" w:eastAsia="仿宋_GB2312" w:cs="Times New Roman"/>
          <w:sz w:val="32"/>
          <w:szCs w:val="32"/>
          <w:lang w:val="en-US" w:eastAsia="zh-CN"/>
        </w:rPr>
        <w:t>1765.08</w:t>
      </w:r>
      <w:r>
        <w:rPr>
          <w:rFonts w:hint="default" w:ascii="Times New Roman" w:hAnsi="Times New Roman" w:eastAsia="仿宋_GB2312" w:cs="Times New Roman"/>
          <w:sz w:val="32"/>
          <w:szCs w:val="32"/>
          <w:lang w:eastAsia="zh-CN"/>
        </w:rPr>
        <w:t>万元。与20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年相比，收、支总计各</w:t>
      </w:r>
      <w:r>
        <w:rPr>
          <w:rFonts w:hint="eastAsia" w:eastAsia="仿宋_GB2312" w:cs="Times New Roman"/>
          <w:sz w:val="32"/>
          <w:szCs w:val="32"/>
          <w:lang w:val="en-US" w:eastAsia="zh-CN"/>
        </w:rPr>
        <w:t>减少181.92</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val="en-US" w:eastAsia="zh-CN"/>
        </w:rPr>
        <w:t>下降9.34</w:t>
      </w:r>
      <w:r>
        <w:rPr>
          <w:rFonts w:hint="default" w:ascii="Times New Roman" w:hAnsi="Times New Roman" w:eastAsia="仿宋_GB2312" w:cs="Times New Roman"/>
          <w:sz w:val="32"/>
          <w:szCs w:val="32"/>
          <w:lang w:eastAsia="zh-CN"/>
        </w:rPr>
        <w:t>%。主要变动原因是项目资金</w:t>
      </w:r>
      <w:r>
        <w:rPr>
          <w:rFonts w:hint="eastAsia" w:eastAsia="仿宋_GB2312" w:cs="Times New Roman"/>
          <w:sz w:val="32"/>
          <w:szCs w:val="32"/>
          <w:lang w:val="en-US" w:eastAsia="zh-CN"/>
        </w:rPr>
        <w:t>减少</w:t>
      </w:r>
      <w:r>
        <w:rPr>
          <w:rFonts w:hint="default" w:ascii="Times New Roman" w:hAnsi="Times New Roman" w:eastAsia="仿宋_GB2312" w:cs="Times New Roman"/>
          <w:sz w:val="32"/>
          <w:szCs w:val="32"/>
          <w:lang w:eastAsia="zh-CN"/>
        </w:rPr>
        <w:t>。</w:t>
      </w:r>
    </w:p>
    <w:p w14:paraId="64AFC2CA">
      <w:pPr>
        <w:spacing w:line="600" w:lineRule="exact"/>
        <w:ind w:firstLine="640" w:firstLineChars="200"/>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（图4：财政拨款收、支决算总计变动情况）（柱状图）</w:t>
      </w:r>
      <w:bookmarkStart w:id="22" w:name="_Toc15396607"/>
      <w:bookmarkStart w:id="23" w:name="_Toc15377209"/>
    </w:p>
    <w:p w14:paraId="778A27C8">
      <w:pPr>
        <w:pStyle w:val="6"/>
        <w:jc w:val="center"/>
        <w:rPr>
          <w:rFonts w:hint="default" w:ascii="Times New Roman" w:hAnsi="Times New Roman" w:cs="Times New Roman"/>
        </w:rPr>
      </w:pPr>
      <w:r>
        <w:rPr>
          <w:rFonts w:hint="default" w:ascii="Times New Roman" w:hAnsi="Times New Roman" w:eastAsia="仿宋_GB2312" w:cs="Times New Roman"/>
          <w:lang w:eastAsia="zh-CN"/>
        </w:rPr>
        <w:drawing>
          <wp:inline distT="0" distB="0" distL="114300" distR="114300">
            <wp:extent cx="4992370" cy="3484880"/>
            <wp:effectExtent l="0" t="0" r="17780" b="127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5"/>
                    <a:stretch>
                      <a:fillRect/>
                    </a:stretch>
                  </pic:blipFill>
                  <pic:spPr>
                    <a:xfrm>
                      <a:off x="0" y="0"/>
                      <a:ext cx="4992370" cy="3484880"/>
                    </a:xfrm>
                    <a:prstGeom prst="rect">
                      <a:avLst/>
                    </a:prstGeom>
                    <a:extLst>
                      <wpswe:webExtensionRef xmlns:wpswe="http://www.wps.cn/officeDocument/2018/webExtension" r:id="rId14"/>
                    </a:extLst>
                  </pic:spPr>
                </pic:pic>
              </a:graphicData>
            </a:graphic>
          </wp:inline>
        </w:drawing>
      </w:r>
    </w:p>
    <w:p w14:paraId="02ECAF01">
      <w:pPr>
        <w:spacing w:line="600" w:lineRule="exact"/>
        <w:ind w:firstLine="640" w:firstLineChars="200"/>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22"/>
      <w:bookmarkEnd w:id="23"/>
    </w:p>
    <w:p w14:paraId="1D75A721">
      <w:pPr>
        <w:spacing w:line="600" w:lineRule="exact"/>
        <w:ind w:firstLine="640" w:firstLineChars="200"/>
        <w:outlineLvl w:val="2"/>
        <w:rPr>
          <w:rFonts w:hint="default" w:ascii="Times New Roman" w:hAnsi="Times New Roman" w:eastAsia="楷体_GB2312" w:cs="Times New Roman"/>
          <w:b w:val="0"/>
          <w:bCs/>
          <w:color w:val="auto"/>
          <w:sz w:val="32"/>
          <w:szCs w:val="32"/>
          <w:highlight w:val="none"/>
        </w:rPr>
      </w:pPr>
      <w:bookmarkStart w:id="24" w:name="_Toc15377210"/>
      <w:r>
        <w:rPr>
          <w:rFonts w:hint="default" w:ascii="Times New Roman" w:hAnsi="Times New Roman" w:eastAsia="楷体_GB2312" w:cs="Times New Roman"/>
          <w:b w:val="0"/>
          <w:bCs/>
          <w:color w:val="auto"/>
          <w:sz w:val="32"/>
          <w:szCs w:val="32"/>
          <w:highlight w:val="none"/>
        </w:rPr>
        <w:t>（一）一般公共预算财政拨款支出决算总体情况</w:t>
      </w:r>
      <w:bookmarkEnd w:id="24"/>
    </w:p>
    <w:p w14:paraId="01FDA048">
      <w:pPr>
        <w:ind w:firstLine="640" w:firstLineChars="200"/>
        <w:jc w:val="both"/>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年一般公共预算财政拨款支出</w:t>
      </w:r>
      <w:r>
        <w:rPr>
          <w:rFonts w:hint="eastAsia" w:eastAsia="仿宋_GB2312" w:cs="Times New Roman"/>
          <w:sz w:val="32"/>
          <w:szCs w:val="32"/>
          <w:lang w:val="en-US" w:eastAsia="zh-CN"/>
        </w:rPr>
        <w:t>738.21</w:t>
      </w:r>
      <w:r>
        <w:rPr>
          <w:rFonts w:hint="default" w:ascii="Times New Roman" w:hAnsi="Times New Roman" w:eastAsia="仿宋_GB2312" w:cs="Times New Roman"/>
          <w:sz w:val="32"/>
          <w:szCs w:val="32"/>
          <w:lang w:eastAsia="zh-CN"/>
        </w:rPr>
        <w:t>万元，占本年支出合计的</w:t>
      </w:r>
      <w:r>
        <w:rPr>
          <w:rFonts w:hint="eastAsia" w:eastAsia="仿宋_GB2312" w:cs="Times New Roman"/>
          <w:sz w:val="32"/>
          <w:szCs w:val="32"/>
          <w:lang w:val="en-US" w:eastAsia="zh-CN"/>
        </w:rPr>
        <w:t>41.82</w:t>
      </w:r>
      <w:r>
        <w:rPr>
          <w:rFonts w:hint="default" w:ascii="Times New Roman" w:hAnsi="Times New Roman" w:eastAsia="仿宋_GB2312" w:cs="Times New Roman"/>
          <w:sz w:val="32"/>
          <w:szCs w:val="32"/>
          <w:lang w:eastAsia="zh-CN"/>
        </w:rPr>
        <w:t>%。与20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年相比，一般公共预算财政拨款支出</w:t>
      </w:r>
      <w:r>
        <w:rPr>
          <w:rFonts w:hint="eastAsia" w:eastAsia="仿宋_GB2312" w:cs="Times New Roman"/>
          <w:sz w:val="32"/>
          <w:szCs w:val="32"/>
          <w:lang w:val="en-US" w:eastAsia="zh-CN"/>
        </w:rPr>
        <w:t>减少231.1</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val="en-US" w:eastAsia="zh-CN"/>
        </w:rPr>
        <w:t>下降23.84</w:t>
      </w:r>
      <w:r>
        <w:rPr>
          <w:rFonts w:hint="default" w:ascii="Times New Roman" w:hAnsi="Times New Roman" w:eastAsia="仿宋_GB2312" w:cs="Times New Roman"/>
          <w:sz w:val="32"/>
          <w:szCs w:val="32"/>
          <w:lang w:eastAsia="zh-CN"/>
        </w:rPr>
        <w:t>%。主要变动原因是项目支出</w:t>
      </w:r>
      <w:r>
        <w:rPr>
          <w:rFonts w:hint="eastAsia" w:eastAsia="仿宋_GB2312" w:cs="Times New Roman"/>
          <w:sz w:val="32"/>
          <w:szCs w:val="32"/>
          <w:lang w:val="en-US" w:eastAsia="zh-CN"/>
        </w:rPr>
        <w:t>减少</w:t>
      </w:r>
      <w:r>
        <w:rPr>
          <w:rFonts w:hint="default" w:ascii="Times New Roman" w:hAnsi="Times New Roman" w:eastAsia="仿宋_GB2312" w:cs="Times New Roman"/>
          <w:sz w:val="32"/>
          <w:szCs w:val="32"/>
          <w:lang w:eastAsia="zh-CN"/>
        </w:rPr>
        <w:t>。</w:t>
      </w:r>
    </w:p>
    <w:p w14:paraId="17941C73">
      <w:pPr>
        <w:spacing w:line="60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（图5：一般公共预算财政拨款支出决算变动情况）（柱状图）</w:t>
      </w:r>
    </w:p>
    <w:p w14:paraId="6CEF3D0A">
      <w:pPr>
        <w:pStyle w:val="6"/>
        <w:jc w:val="center"/>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lang w:eastAsia="zh-CN"/>
        </w:rPr>
        <w:drawing>
          <wp:inline distT="0" distB="0" distL="114300" distR="114300">
            <wp:extent cx="5012690" cy="3733165"/>
            <wp:effectExtent l="0" t="0" r="16510" b="6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a:stretch>
                      <a:fillRect/>
                    </a:stretch>
                  </pic:blipFill>
                  <pic:spPr>
                    <a:xfrm>
                      <a:off x="0" y="0"/>
                      <a:ext cx="5012690" cy="3733165"/>
                    </a:xfrm>
                    <a:prstGeom prst="rect">
                      <a:avLst/>
                    </a:prstGeom>
                    <a:extLst>
                      <wpswe:webExtensionRef xmlns:wpswe="http://www.wps.cn/officeDocument/2018/webExtension" r:id="rId16"/>
                    </a:extLst>
                  </pic:spPr>
                </pic:pic>
              </a:graphicData>
            </a:graphic>
          </wp:inline>
        </w:drawing>
      </w:r>
    </w:p>
    <w:p w14:paraId="13B84C97">
      <w:pPr>
        <w:spacing w:line="600" w:lineRule="exact"/>
        <w:ind w:firstLine="640" w:firstLineChars="200"/>
        <w:outlineLvl w:val="2"/>
        <w:rPr>
          <w:rFonts w:hint="default" w:ascii="Times New Roman" w:hAnsi="Times New Roman" w:eastAsia="楷体_GB2312" w:cs="Times New Roman"/>
          <w:b w:val="0"/>
          <w:bCs/>
          <w:color w:val="auto"/>
          <w:sz w:val="32"/>
          <w:szCs w:val="32"/>
          <w:highlight w:val="none"/>
        </w:rPr>
      </w:pPr>
      <w:bookmarkStart w:id="25" w:name="_Toc15377211"/>
      <w:r>
        <w:rPr>
          <w:rFonts w:hint="default" w:ascii="Times New Roman" w:hAnsi="Times New Roman" w:eastAsia="楷体_GB2312" w:cs="Times New Roman"/>
          <w:b w:val="0"/>
          <w:bCs/>
          <w:color w:val="auto"/>
          <w:sz w:val="32"/>
          <w:szCs w:val="32"/>
          <w:highlight w:val="none"/>
        </w:rPr>
        <w:t>（二）一般公共预算财政拨款支出决算结构情况</w:t>
      </w:r>
      <w:bookmarkEnd w:id="25"/>
    </w:p>
    <w:p w14:paraId="0D8EEBF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年一般公共预算财政拨款支出</w:t>
      </w:r>
      <w:r>
        <w:rPr>
          <w:rFonts w:hint="eastAsia" w:eastAsia="仿宋_GB2312" w:cs="Times New Roman"/>
          <w:sz w:val="32"/>
          <w:szCs w:val="32"/>
          <w:lang w:val="en-US" w:eastAsia="zh-CN"/>
        </w:rPr>
        <w:t>738.21</w:t>
      </w:r>
      <w:r>
        <w:rPr>
          <w:rFonts w:hint="default" w:ascii="Times New Roman" w:hAnsi="Times New Roman" w:eastAsia="仿宋_GB2312" w:cs="Times New Roman"/>
          <w:sz w:val="32"/>
          <w:szCs w:val="32"/>
          <w:lang w:eastAsia="zh-CN"/>
        </w:rPr>
        <w:t>万元，主要用于以下方面:一般公共服务支出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%；教育支出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%；科学技术支出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%；文化旅游体育与传媒支出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lang w:val="en-US" w:eastAsia="zh-CN"/>
        </w:rPr>
        <w:t>208</w:t>
      </w:r>
      <w:r>
        <w:rPr>
          <w:rFonts w:hint="default" w:ascii="Times New Roman" w:hAnsi="Times New Roman" w:eastAsia="仿宋_GB2312" w:cs="Times New Roman"/>
          <w:sz w:val="32"/>
          <w:szCs w:val="32"/>
          <w:lang w:eastAsia="zh-CN"/>
        </w:rPr>
        <w:t>）支出</w:t>
      </w:r>
      <w:r>
        <w:rPr>
          <w:rFonts w:hint="eastAsia" w:eastAsia="仿宋_GB2312" w:cs="Times New Roman"/>
          <w:sz w:val="32"/>
          <w:szCs w:val="32"/>
          <w:lang w:val="en-US" w:eastAsia="zh-CN"/>
        </w:rPr>
        <w:t>93.80</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12.71</w:t>
      </w:r>
      <w:r>
        <w:rPr>
          <w:rFonts w:hint="default" w:ascii="Times New Roman" w:hAnsi="Times New Roman" w:eastAsia="仿宋_GB2312" w:cs="Times New Roman"/>
          <w:sz w:val="32"/>
          <w:szCs w:val="32"/>
          <w:lang w:eastAsia="zh-CN"/>
        </w:rPr>
        <w:t>%；卫生健康支出（</w:t>
      </w:r>
      <w:r>
        <w:rPr>
          <w:rFonts w:hint="default" w:ascii="Times New Roman" w:hAnsi="Times New Roman" w:eastAsia="仿宋_GB2312" w:cs="Times New Roman"/>
          <w:sz w:val="32"/>
          <w:szCs w:val="32"/>
          <w:lang w:val="en-US" w:eastAsia="zh-CN"/>
        </w:rPr>
        <w:t>210</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17.87</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2.42</w:t>
      </w:r>
      <w:r>
        <w:rPr>
          <w:rFonts w:hint="default" w:ascii="Times New Roman" w:hAnsi="Times New Roman" w:eastAsia="仿宋_GB2312" w:cs="Times New Roman"/>
          <w:sz w:val="32"/>
          <w:szCs w:val="32"/>
          <w:lang w:eastAsia="zh-CN"/>
        </w:rPr>
        <w:t>%；住房保障支出（</w:t>
      </w:r>
      <w:r>
        <w:rPr>
          <w:rFonts w:hint="default" w:ascii="Times New Roman" w:hAnsi="Times New Roman" w:eastAsia="仿宋_GB2312" w:cs="Times New Roman"/>
          <w:sz w:val="32"/>
          <w:szCs w:val="32"/>
          <w:lang w:val="en-US" w:eastAsia="zh-CN"/>
        </w:rPr>
        <w:t>221</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42.54</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5.76</w:t>
      </w:r>
      <w:r>
        <w:rPr>
          <w:rFonts w:hint="default" w:ascii="Times New Roman" w:hAnsi="Times New Roman" w:eastAsia="仿宋_GB2312" w:cs="Times New Roman"/>
          <w:sz w:val="32"/>
          <w:szCs w:val="32"/>
          <w:lang w:eastAsia="zh-CN"/>
        </w:rPr>
        <w:t>%；城乡社区支出（</w:t>
      </w:r>
      <w:r>
        <w:rPr>
          <w:rFonts w:hint="default" w:ascii="Times New Roman" w:hAnsi="Times New Roman" w:eastAsia="仿宋_GB2312" w:cs="Times New Roman"/>
          <w:sz w:val="32"/>
          <w:szCs w:val="32"/>
          <w:lang w:val="en-US" w:eastAsia="zh-CN"/>
        </w:rPr>
        <w:t>212</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494.45</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66.98</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项目支出89.56</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12.13</w:t>
      </w:r>
      <w:r>
        <w:rPr>
          <w:rFonts w:hint="default" w:ascii="Times New Roman" w:hAnsi="Times New Roman" w:eastAsia="仿宋_GB2312" w:cs="Times New Roman"/>
          <w:sz w:val="32"/>
          <w:szCs w:val="32"/>
          <w:lang w:eastAsia="zh-CN"/>
        </w:rPr>
        <w:t>%。</w:t>
      </w:r>
    </w:p>
    <w:p w14:paraId="1AEBED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（图6：一般公共预算财政拨款支出决算结构）（饼状图）</w:t>
      </w:r>
    </w:p>
    <w:p w14:paraId="2A3C5100">
      <w:pPr>
        <w:pStyle w:val="6"/>
        <w:jc w:val="center"/>
        <w:rPr>
          <w:rFonts w:hint="default" w:ascii="Times New Roman" w:hAnsi="Times New Roman" w:eastAsia="仿宋_GB2312" w:cs="Times New Roman"/>
          <w:lang w:eastAsia="zh-CN"/>
        </w:rPr>
      </w:pPr>
      <w:r>
        <w:rPr>
          <w:rFonts w:hint="default" w:ascii="Times New Roman" w:hAnsi="Times New Roman" w:cs="Times New Roman" w:eastAsiaTheme="minorEastAsia"/>
          <w:lang w:eastAsia="zh-CN"/>
        </w:rPr>
        <w:drawing>
          <wp:inline distT="0" distB="0" distL="114300" distR="114300">
            <wp:extent cx="4879975" cy="2983865"/>
            <wp:effectExtent l="4445" t="4445" r="11430" b="2159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DD468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b w:val="0"/>
          <w:bCs/>
          <w:color w:val="auto"/>
          <w:sz w:val="32"/>
          <w:szCs w:val="32"/>
          <w:highlight w:val="none"/>
        </w:rPr>
      </w:pPr>
      <w:bookmarkStart w:id="26" w:name="_Toc15377212"/>
      <w:r>
        <w:rPr>
          <w:rFonts w:hint="default" w:ascii="Times New Roman" w:hAnsi="Times New Roman" w:eastAsia="楷体_GB2312" w:cs="Times New Roman"/>
          <w:b w:val="0"/>
          <w:bCs/>
          <w:color w:val="auto"/>
          <w:sz w:val="32"/>
          <w:szCs w:val="32"/>
          <w:highlight w:val="none"/>
        </w:rPr>
        <w:t>（三）一般公共预算财政拨款支出决算具体情况</w:t>
      </w:r>
      <w:bookmarkEnd w:id="26"/>
    </w:p>
    <w:p w14:paraId="7B1CFD4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bookmarkStart w:id="27" w:name="_Toc15377444"/>
      <w:bookmarkStart w:id="28" w:name="_Toc15378460"/>
      <w:bookmarkStart w:id="29" w:name="_Toc15377213"/>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年一般公共预算支出决算数为</w:t>
      </w:r>
      <w:r>
        <w:rPr>
          <w:rFonts w:hint="eastAsia" w:eastAsia="仿宋_GB2312" w:cs="Times New Roman"/>
          <w:sz w:val="32"/>
          <w:szCs w:val="32"/>
          <w:lang w:val="en-US" w:eastAsia="zh-CN"/>
        </w:rPr>
        <w:t>738.21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%。其中：</w:t>
      </w:r>
      <w:bookmarkEnd w:id="27"/>
      <w:bookmarkEnd w:id="28"/>
      <w:bookmarkEnd w:id="29"/>
    </w:p>
    <w:p w14:paraId="62F3358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lang w:val="en-US" w:eastAsia="zh-CN"/>
        </w:rPr>
        <w:t>208</w:t>
      </w:r>
      <w:r>
        <w:rPr>
          <w:rFonts w:hint="default" w:ascii="Times New Roman" w:hAnsi="Times New Roman" w:eastAsia="仿宋_GB2312" w:cs="Times New Roman"/>
          <w:sz w:val="32"/>
          <w:szCs w:val="32"/>
          <w:lang w:eastAsia="zh-CN"/>
        </w:rPr>
        <w:t>）行政事业单位养老支出（</w:t>
      </w:r>
      <w:r>
        <w:rPr>
          <w:rFonts w:hint="default" w:ascii="Times New Roman" w:hAnsi="Times New Roman" w:eastAsia="仿宋_GB2312" w:cs="Times New Roman"/>
          <w:sz w:val="32"/>
          <w:szCs w:val="32"/>
          <w:lang w:val="en-US" w:eastAsia="zh-CN"/>
        </w:rPr>
        <w:t>05）</w:t>
      </w:r>
    </w:p>
    <w:p w14:paraId="2BAE2CBC">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86.81</w:t>
      </w:r>
      <w:r>
        <w:rPr>
          <w:rFonts w:hint="default"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抚恤支出（08）5.61万元；</w:t>
      </w:r>
      <w:r>
        <w:rPr>
          <w:rFonts w:hint="default" w:ascii="Times New Roman" w:hAnsi="Times New Roman" w:eastAsia="仿宋_GB2312" w:cs="Times New Roman"/>
          <w:sz w:val="32"/>
          <w:szCs w:val="32"/>
          <w:lang w:val="en-US" w:eastAsia="zh-CN"/>
        </w:rPr>
        <w:t>其他</w:t>
      </w:r>
      <w:r>
        <w:rPr>
          <w:rFonts w:hint="eastAsia" w:eastAsia="仿宋_GB2312" w:cs="Times New Roman"/>
          <w:sz w:val="32"/>
          <w:szCs w:val="32"/>
          <w:lang w:val="en-US" w:eastAsia="zh-CN"/>
        </w:rPr>
        <w:t>社会保障和就业支出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1.38</w:t>
      </w:r>
      <w:r>
        <w:rPr>
          <w:rFonts w:hint="default" w:ascii="Times New Roman" w:hAnsi="Times New Roman" w:eastAsia="仿宋_GB2312" w:cs="Times New Roman"/>
          <w:sz w:val="32"/>
          <w:szCs w:val="32"/>
          <w:lang w:val="en-US" w:eastAsia="zh-CN"/>
        </w:rPr>
        <w:t>万元，总</w:t>
      </w:r>
      <w:r>
        <w:rPr>
          <w:rFonts w:hint="default" w:ascii="Times New Roman" w:hAnsi="Times New Roman" w:eastAsia="仿宋_GB2312" w:cs="Times New Roman"/>
          <w:sz w:val="32"/>
          <w:szCs w:val="32"/>
          <w:lang w:eastAsia="zh-CN"/>
        </w:rPr>
        <w:t>支出决算为</w:t>
      </w:r>
      <w:r>
        <w:rPr>
          <w:rFonts w:hint="eastAsia" w:eastAsia="仿宋_GB2312" w:cs="Times New Roman"/>
          <w:sz w:val="32"/>
          <w:szCs w:val="32"/>
          <w:lang w:val="en-US" w:eastAsia="zh-CN"/>
        </w:rPr>
        <w:t>93.80</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14:paraId="52D6007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lang w:val="en-US" w:eastAsia="zh-CN"/>
        </w:rPr>
        <w:t>210</w:t>
      </w:r>
      <w:r>
        <w:rPr>
          <w:rFonts w:hint="default" w:ascii="Times New Roman" w:hAnsi="Times New Roman" w:eastAsia="仿宋_GB2312" w:cs="Times New Roman"/>
          <w:sz w:val="32"/>
          <w:szCs w:val="32"/>
          <w:lang w:eastAsia="zh-CN"/>
        </w:rPr>
        <w:t>）行政事业单位医疗（</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事业单位医疗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lang w:eastAsia="zh-CN"/>
        </w:rPr>
        <w:t>）支出决算为</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7.87</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14:paraId="06FB913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.城乡社区支出（</w:t>
      </w:r>
      <w:r>
        <w:rPr>
          <w:rFonts w:hint="default" w:ascii="Times New Roman" w:hAnsi="Times New Roman" w:eastAsia="仿宋_GB2312" w:cs="Times New Roman"/>
          <w:sz w:val="32"/>
          <w:szCs w:val="32"/>
          <w:lang w:val="en-US" w:eastAsia="zh-CN"/>
        </w:rPr>
        <w:t>212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城乡社区管理事务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01）工程建设管理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06</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31.27</w:t>
      </w:r>
      <w:r>
        <w:rPr>
          <w:rFonts w:hint="default" w:ascii="Times New Roman" w:hAnsi="Times New Roman" w:eastAsia="仿宋_GB2312" w:cs="Times New Roman"/>
          <w:sz w:val="32"/>
          <w:szCs w:val="32"/>
          <w:lang w:val="en-US" w:eastAsia="zh-CN"/>
        </w:rPr>
        <w:t>万元； 城乡社区公共设施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03）其他城乡社区公共设施支出（99）</w:t>
      </w:r>
      <w:r>
        <w:rPr>
          <w:rFonts w:hint="eastAsia" w:eastAsia="仿宋_GB2312" w:cs="Times New Roman"/>
          <w:sz w:val="32"/>
          <w:szCs w:val="32"/>
          <w:lang w:val="en-US" w:eastAsia="zh-CN"/>
        </w:rPr>
        <w:t>538.43</w:t>
      </w:r>
      <w:r>
        <w:rPr>
          <w:rFonts w:hint="default" w:ascii="Times New Roman" w:hAnsi="Times New Roman" w:eastAsia="仿宋_GB2312" w:cs="Times New Roman"/>
          <w:sz w:val="32"/>
          <w:szCs w:val="32"/>
          <w:lang w:val="en-US" w:eastAsia="zh-CN"/>
        </w:rPr>
        <w:t>万元；其他城乡社区支出（99</w:t>
      </w:r>
      <w:r>
        <w:rPr>
          <w:rFonts w:hint="eastAsia" w:eastAsia="仿宋_GB2312" w:cs="Times New Roman"/>
          <w:sz w:val="32"/>
          <w:szCs w:val="32"/>
          <w:lang w:val="en-US" w:eastAsia="zh-CN"/>
        </w:rPr>
        <w:t>99</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14.3</w:t>
      </w:r>
      <w:r>
        <w:rPr>
          <w:rFonts w:hint="default" w:ascii="Times New Roman" w:hAnsi="Times New Roman" w:eastAsia="仿宋_GB2312" w:cs="Times New Roman"/>
          <w:sz w:val="32"/>
          <w:szCs w:val="32"/>
          <w:lang w:val="en-US" w:eastAsia="zh-CN"/>
        </w:rPr>
        <w:t>万元，总</w:t>
      </w:r>
      <w:r>
        <w:rPr>
          <w:rFonts w:hint="default" w:ascii="Times New Roman" w:hAnsi="Times New Roman" w:eastAsia="仿宋_GB2312" w:cs="Times New Roman"/>
          <w:sz w:val="32"/>
          <w:szCs w:val="32"/>
          <w:lang w:eastAsia="zh-CN"/>
        </w:rPr>
        <w:t>支出决算为</w:t>
      </w:r>
      <w:r>
        <w:rPr>
          <w:rFonts w:hint="eastAsia" w:eastAsia="仿宋_GB2312" w:cs="Times New Roman"/>
          <w:sz w:val="32"/>
          <w:szCs w:val="32"/>
          <w:lang w:val="en-US" w:eastAsia="zh-CN"/>
        </w:rPr>
        <w:t>584</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14:paraId="65904D0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.住房保障支出（</w:t>
      </w:r>
      <w:r>
        <w:rPr>
          <w:rFonts w:hint="default" w:ascii="Times New Roman" w:hAnsi="Times New Roman" w:eastAsia="仿宋_GB2312" w:cs="Times New Roman"/>
          <w:sz w:val="32"/>
          <w:szCs w:val="32"/>
          <w:lang w:val="en-US" w:eastAsia="zh-CN"/>
        </w:rPr>
        <w:t>221</w:t>
      </w:r>
      <w:r>
        <w:rPr>
          <w:rFonts w:hint="default" w:ascii="Times New Roman" w:hAnsi="Times New Roman" w:eastAsia="仿宋_GB2312" w:cs="Times New Roman"/>
          <w:sz w:val="32"/>
          <w:szCs w:val="32"/>
          <w:lang w:eastAsia="zh-CN"/>
        </w:rPr>
        <w:t>）住房改革支出（</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住房公积金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lang w:eastAsia="zh-CN"/>
        </w:rPr>
        <w:t>）:支出决算为</w:t>
      </w:r>
      <w:r>
        <w:rPr>
          <w:rFonts w:hint="eastAsia" w:eastAsia="仿宋_GB2312" w:cs="Times New Roman"/>
          <w:sz w:val="32"/>
          <w:szCs w:val="32"/>
          <w:lang w:val="en-US" w:eastAsia="zh-CN"/>
        </w:rPr>
        <w:t>42.54</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14:paraId="40CD8BA7">
      <w:pPr>
        <w:keepNext w:val="0"/>
        <w:keepLines w:val="0"/>
        <w:pageBreakBefore w:val="0"/>
        <w:widowControl w:val="0"/>
        <w:tabs>
          <w:tab w:val="right" w:pos="8306"/>
        </w:tabs>
        <w:kinsoku/>
        <w:wordWrap/>
        <w:overflowPunct/>
        <w:topLinePunct w:val="0"/>
        <w:autoSpaceDE/>
        <w:autoSpaceDN/>
        <w:bidi w:val="0"/>
        <w:adjustRightInd/>
        <w:snapToGrid/>
        <w:spacing w:line="578" w:lineRule="exact"/>
        <w:ind w:firstLine="640"/>
        <w:textAlignment w:val="auto"/>
        <w:outlineLvl w:val="1"/>
        <w:rPr>
          <w:rStyle w:val="29"/>
          <w:rFonts w:hint="default" w:ascii="Times New Roman" w:hAnsi="Times New Roman" w:cs="Times New Roman"/>
          <w:color w:val="auto"/>
          <w:highlight w:val="none"/>
        </w:rPr>
      </w:pPr>
      <w:bookmarkStart w:id="30" w:name="_Toc15396608"/>
      <w:bookmarkStart w:id="31" w:name="_Toc15377214"/>
      <w:r>
        <w:rPr>
          <w:rFonts w:hint="default" w:ascii="Times New Roman" w:hAnsi="Times New Roman" w:eastAsia="黑体" w:cs="Times New Roman"/>
          <w:b w:val="0"/>
          <w:bCs/>
          <w:color w:val="auto"/>
          <w:sz w:val="32"/>
          <w:szCs w:val="32"/>
          <w:highlight w:val="none"/>
        </w:rPr>
        <w:t>六、一般公共预算财政拨款基本支出决算情况说明</w:t>
      </w:r>
      <w:bookmarkEnd w:id="30"/>
      <w:bookmarkEnd w:id="31"/>
      <w:r>
        <w:rPr>
          <w:rStyle w:val="29"/>
          <w:rFonts w:hint="default" w:ascii="Times New Roman" w:hAnsi="Times New Roman" w:eastAsia="黑体" w:cs="Times New Roman"/>
          <w:b w:val="0"/>
          <w:color w:val="auto"/>
          <w:highlight w:val="none"/>
        </w:rPr>
        <w:tab/>
      </w:r>
    </w:p>
    <w:p w14:paraId="50EAEC2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年一般公共预算财政拨款基本支出</w:t>
      </w:r>
      <w:r>
        <w:rPr>
          <w:rFonts w:hint="eastAsia" w:eastAsia="仿宋_GB2312" w:cs="Times New Roman"/>
          <w:sz w:val="32"/>
          <w:szCs w:val="32"/>
          <w:lang w:val="en-US" w:eastAsia="zh-CN"/>
        </w:rPr>
        <w:t>648.65</w:t>
      </w:r>
      <w:r>
        <w:rPr>
          <w:rFonts w:hint="default" w:ascii="Times New Roman" w:hAnsi="Times New Roman" w:eastAsia="仿宋_GB2312" w:cs="Times New Roman"/>
          <w:sz w:val="32"/>
          <w:szCs w:val="32"/>
          <w:lang w:eastAsia="zh-CN"/>
        </w:rPr>
        <w:t>万元，其中：</w:t>
      </w:r>
    </w:p>
    <w:p w14:paraId="7BFD305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人员经费</w:t>
      </w:r>
      <w:r>
        <w:rPr>
          <w:rFonts w:hint="eastAsia" w:eastAsia="仿宋_GB2312" w:cs="Times New Roman"/>
          <w:sz w:val="32"/>
          <w:szCs w:val="32"/>
          <w:lang w:val="en-US" w:eastAsia="zh-CN"/>
        </w:rPr>
        <w:t>584.94</w:t>
      </w:r>
      <w:r>
        <w:rPr>
          <w:rFonts w:hint="default" w:ascii="Times New Roman" w:hAnsi="Times New Roman" w:eastAsia="仿宋_GB2312" w:cs="Times New Roman"/>
          <w:sz w:val="32"/>
          <w:szCs w:val="32"/>
          <w:lang w:eastAsia="zh-CN"/>
        </w:rPr>
        <w:t>万元，主要包括：基本工资、津贴补贴、绩效工资、机关事业单位基本养老保险缴费、职业年金缴费、其他工资福利支出、生活补助、奖励金、住房公积金、其他对个人和家庭的补助支出等。</w:t>
      </w:r>
    </w:p>
    <w:p w14:paraId="6A66C96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公用经费</w:t>
      </w:r>
      <w:r>
        <w:rPr>
          <w:rFonts w:hint="eastAsia" w:eastAsia="仿宋_GB2312" w:cs="Times New Roman"/>
          <w:sz w:val="32"/>
          <w:szCs w:val="32"/>
          <w:lang w:val="en-US" w:eastAsia="zh-CN"/>
        </w:rPr>
        <w:t>63.71</w:t>
      </w:r>
      <w:r>
        <w:rPr>
          <w:rFonts w:hint="default" w:ascii="Times New Roman" w:hAnsi="Times New Roman" w:eastAsia="仿宋_GB2312" w:cs="Times New Roman"/>
          <w:sz w:val="32"/>
          <w:szCs w:val="32"/>
          <w:lang w:eastAsia="zh-CN"/>
        </w:rPr>
        <w:t>万元，主要包括：办公费、水费、电费、邮电费、差旅费、公务接待费、工会经费、福利费、公务用车运行维护费、其他商品和服务支出等。</w:t>
      </w:r>
    </w:p>
    <w:p w14:paraId="305724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黑体" w:cs="Times New Roman"/>
          <w:b w:val="0"/>
          <w:bCs/>
          <w:color w:val="auto"/>
          <w:sz w:val="32"/>
          <w:szCs w:val="32"/>
          <w:highlight w:val="none"/>
        </w:rPr>
      </w:pPr>
      <w:bookmarkStart w:id="32" w:name="_Toc15377215"/>
      <w:bookmarkStart w:id="33" w:name="_Toc15396609"/>
      <w:r>
        <w:rPr>
          <w:rFonts w:hint="default" w:ascii="Times New Roman" w:hAnsi="Times New Roman" w:eastAsia="黑体" w:cs="Times New Roman"/>
          <w:b w:val="0"/>
          <w:bCs/>
          <w:color w:val="auto"/>
          <w:sz w:val="32"/>
          <w:szCs w:val="32"/>
          <w:highlight w:val="none"/>
        </w:rPr>
        <w:t>七、“三公”经费财政拨款支出决算情况说明</w:t>
      </w:r>
      <w:bookmarkEnd w:id="32"/>
      <w:bookmarkEnd w:id="33"/>
    </w:p>
    <w:p w14:paraId="3B99449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default" w:ascii="Times New Roman" w:hAnsi="Times New Roman" w:eastAsia="楷体_GB2312" w:cs="Times New Roman"/>
          <w:b/>
          <w:color w:val="auto"/>
          <w:sz w:val="32"/>
          <w:szCs w:val="32"/>
          <w:highlight w:val="none"/>
        </w:rPr>
      </w:pPr>
      <w:bookmarkStart w:id="34" w:name="_Toc15377216"/>
      <w:r>
        <w:rPr>
          <w:rFonts w:hint="default" w:ascii="Times New Roman" w:hAnsi="Times New Roman" w:eastAsia="楷体_GB2312" w:cs="Times New Roman"/>
          <w:b/>
          <w:color w:val="auto"/>
          <w:sz w:val="32"/>
          <w:szCs w:val="32"/>
          <w:highlight w:val="none"/>
        </w:rPr>
        <w:t>（一）</w:t>
      </w:r>
      <w:r>
        <w:rPr>
          <w:rFonts w:hint="default" w:ascii="Times New Roman" w:hAnsi="Times New Roman" w:eastAsia="楷体_GB2312" w:cs="Times New Roman"/>
          <w:b w:val="0"/>
          <w:bCs/>
          <w:color w:val="auto"/>
          <w:sz w:val="32"/>
          <w:szCs w:val="32"/>
          <w:highlight w:val="none"/>
        </w:rPr>
        <w:t>“三公”经费财政拨款支出决算总体情况说明</w:t>
      </w:r>
      <w:bookmarkEnd w:id="34"/>
    </w:p>
    <w:p w14:paraId="777F362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年“三公”经费财政拨款支出决算为</w:t>
      </w:r>
      <w:r>
        <w:rPr>
          <w:rFonts w:hint="eastAsia" w:eastAsia="仿宋_GB2312" w:cs="Times New Roman"/>
          <w:sz w:val="32"/>
          <w:szCs w:val="32"/>
          <w:lang w:val="en-US" w:eastAsia="zh-CN"/>
        </w:rPr>
        <w:t>9.87</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%。较上年</w:t>
      </w:r>
      <w:r>
        <w:rPr>
          <w:rFonts w:hint="eastAsia" w:eastAsia="仿宋_GB2312" w:cs="Times New Roman"/>
          <w:sz w:val="32"/>
          <w:szCs w:val="32"/>
          <w:lang w:val="en-US" w:eastAsia="zh-CN"/>
        </w:rPr>
        <w:t>增加4.66</w:t>
      </w:r>
      <w:r>
        <w:rPr>
          <w:rFonts w:hint="default"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增长89.44</w:t>
      </w:r>
      <w:r>
        <w:rPr>
          <w:rFonts w:hint="default" w:ascii="Times New Roman" w:hAnsi="Times New Roman" w:eastAsia="仿宋_GB2312" w:cs="Times New Roman"/>
          <w:sz w:val="32"/>
          <w:szCs w:val="32"/>
          <w:lang w:val="en-US" w:eastAsia="zh-CN"/>
        </w:rPr>
        <w:t>%。</w:t>
      </w:r>
    </w:p>
    <w:p w14:paraId="098829F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default" w:ascii="Times New Roman" w:hAnsi="Times New Roman" w:eastAsia="楷体_GB2312" w:cs="Times New Roman"/>
          <w:b w:val="0"/>
          <w:bCs/>
          <w:color w:val="auto"/>
          <w:sz w:val="32"/>
          <w:szCs w:val="32"/>
          <w:highlight w:val="none"/>
          <w:lang w:eastAsia="zh-CN"/>
        </w:rPr>
      </w:pPr>
      <w:bookmarkStart w:id="35" w:name="_Toc15377217"/>
      <w:r>
        <w:rPr>
          <w:rFonts w:hint="default" w:ascii="Times New Roman" w:hAnsi="Times New Roman" w:eastAsia="楷体_GB2312" w:cs="Times New Roman"/>
          <w:b w:val="0"/>
          <w:bCs/>
          <w:color w:val="auto"/>
          <w:sz w:val="32"/>
          <w:szCs w:val="32"/>
          <w:highlight w:val="none"/>
          <w:lang w:eastAsia="zh-CN"/>
        </w:rPr>
        <w:t>（二）“三公”经费财政拨款支出决算具体情况说明</w:t>
      </w:r>
      <w:bookmarkEnd w:id="35"/>
    </w:p>
    <w:p w14:paraId="0954B97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年“三公”经费财政拨款支出决算中，因公出国（境）费支出决算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%；公务用车购置及运行维护费支出决算</w:t>
      </w:r>
      <w:r>
        <w:rPr>
          <w:rFonts w:hint="eastAsia" w:eastAsia="仿宋_GB2312" w:cs="Times New Roman"/>
          <w:sz w:val="32"/>
          <w:szCs w:val="32"/>
          <w:lang w:val="en-US" w:eastAsia="zh-CN"/>
        </w:rPr>
        <w:t>9.42</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95.44</w:t>
      </w:r>
      <w:r>
        <w:rPr>
          <w:rFonts w:hint="default" w:ascii="Times New Roman" w:hAnsi="Times New Roman" w:eastAsia="仿宋_GB2312" w:cs="Times New Roman"/>
          <w:sz w:val="32"/>
          <w:szCs w:val="32"/>
          <w:lang w:eastAsia="zh-CN"/>
        </w:rPr>
        <w:t>%；公务接待费支出决算</w:t>
      </w: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4.56</w:t>
      </w:r>
      <w:r>
        <w:rPr>
          <w:rFonts w:hint="default" w:ascii="Times New Roman" w:hAnsi="Times New Roman" w:eastAsia="仿宋_GB2312" w:cs="Times New Roman"/>
          <w:sz w:val="32"/>
          <w:szCs w:val="32"/>
          <w:lang w:eastAsia="zh-CN"/>
        </w:rPr>
        <w:t>%。具体情况如下：</w:t>
      </w:r>
    </w:p>
    <w:p w14:paraId="6274336B">
      <w:pPr>
        <w:spacing w:line="600" w:lineRule="exact"/>
        <w:ind w:firstLine="640" w:firstLineChars="200"/>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（图7：“三公”经费财政拨款支出结构）（饼状图）</w:t>
      </w:r>
    </w:p>
    <w:p w14:paraId="49950B94">
      <w:pPr>
        <w:pStyle w:val="6"/>
        <w:jc w:val="center"/>
        <w:rPr>
          <w:rFonts w:hint="default" w:ascii="Times New Roman" w:hAnsi="Times New Roman" w:cs="Times New Roman"/>
        </w:rPr>
      </w:pPr>
      <w:r>
        <w:rPr>
          <w:rFonts w:hint="default" w:ascii="Times New Roman" w:hAnsi="Times New Roman" w:eastAsia="仿宋" w:cs="Times New Roman"/>
          <w:color w:val="FF0000"/>
          <w:sz w:val="32"/>
          <w:szCs w:val="32"/>
          <w:highlight w:val="none"/>
          <w:lang w:eastAsia="zh-CN"/>
        </w:rPr>
        <w:drawing>
          <wp:inline distT="0" distB="0" distL="114300" distR="114300">
            <wp:extent cx="4859655" cy="2839085"/>
            <wp:effectExtent l="5080" t="4445" r="1206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DEB9C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color w:val="auto"/>
          <w:sz w:val="32"/>
          <w:szCs w:val="32"/>
          <w:highlight w:val="none"/>
        </w:rPr>
        <w:t>1.</w:t>
      </w:r>
      <w:r>
        <w:rPr>
          <w:rFonts w:hint="default" w:ascii="Times New Roman" w:hAnsi="Times New Roman" w:eastAsia="楷体_GB2312" w:cs="Times New Roman"/>
          <w:b w:val="0"/>
          <w:bCs/>
          <w:color w:val="000000" w:themeColor="text1"/>
          <w:sz w:val="32"/>
          <w:szCs w:val="32"/>
          <w:highlight w:val="none"/>
          <w14:textFill>
            <w14:solidFill>
              <w14:schemeClr w14:val="tx1"/>
            </w14:solidFill>
          </w14:textFill>
        </w:rPr>
        <w:t>因公出国（境）经费支出</w:t>
      </w:r>
      <w:r>
        <w:rPr>
          <w:rFonts w:hint="default" w:ascii="Times New Roman" w:hAnsi="Times New Roman" w:eastAsia="仿宋_GB2312" w:cs="Times New Roman"/>
          <w:b/>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人。因公出国（境）支出决算比20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年增加/减少</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万元，增长/下降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w:t>
      </w:r>
    </w:p>
    <w:p w14:paraId="1EF184B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color w:val="auto"/>
          <w:sz w:val="32"/>
          <w:szCs w:val="32"/>
          <w:highlight w:val="none"/>
        </w:rPr>
        <w:t>2</w:t>
      </w:r>
      <w:r>
        <w:rPr>
          <w:rFonts w:hint="default" w:ascii="Times New Roman" w:hAnsi="Times New Roman" w:eastAsia="楷体_GB2312" w:cs="Times New Roman"/>
          <w:b w:val="0"/>
          <w:bCs/>
          <w:color w:val="000000" w:themeColor="text1"/>
          <w:sz w:val="32"/>
          <w:szCs w:val="32"/>
          <w:highlight w:val="none"/>
          <w14:textFill>
            <w14:solidFill>
              <w14:schemeClr w14:val="tx1"/>
            </w14:solidFill>
          </w14:textFill>
        </w:rPr>
        <w:t>.公务用车购置及运行维护费支出</w:t>
      </w:r>
      <w:r>
        <w:rPr>
          <w:rFonts w:hint="default" w:ascii="Times New Roman" w:hAnsi="Times New Roman" w:eastAsia="仿宋_GB2312" w:cs="Times New Roman"/>
          <w:b/>
          <w:color w:val="000000" w:themeColor="text1"/>
          <w:sz w:val="32"/>
          <w:szCs w:val="32"/>
          <w:highlight w:val="none"/>
          <w:lang w:eastAsia="zh-CN"/>
          <w14:textFill>
            <w14:solidFill>
              <w14:schemeClr w14:val="tx1"/>
            </w14:solidFill>
          </w14:textFill>
        </w:rPr>
        <w:t>：</w:t>
      </w:r>
      <w:r>
        <w:rPr>
          <w:rFonts w:hint="eastAsia" w:eastAsia="仿宋_GB2312" w:cs="Times New Roman"/>
          <w:sz w:val="32"/>
          <w:szCs w:val="32"/>
          <w:lang w:val="en-US" w:eastAsia="zh-CN"/>
        </w:rPr>
        <w:t>9.42</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%。公务用车购置及运行维护费支出决算比20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增加4.66</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val="en-US" w:eastAsia="zh-CN"/>
        </w:rPr>
        <w:t>增长89.44</w:t>
      </w:r>
      <w:r>
        <w:rPr>
          <w:rFonts w:hint="default" w:ascii="Times New Roman" w:hAnsi="Times New Roman" w:eastAsia="仿宋_GB2312" w:cs="Times New Roman"/>
          <w:sz w:val="32"/>
          <w:szCs w:val="32"/>
          <w:lang w:eastAsia="zh-CN"/>
        </w:rPr>
        <w:t>%。主要原因是车辆使用</w:t>
      </w:r>
      <w:r>
        <w:rPr>
          <w:rFonts w:hint="eastAsia" w:eastAsia="仿宋_GB2312" w:cs="Times New Roman"/>
          <w:sz w:val="32"/>
          <w:szCs w:val="32"/>
          <w:lang w:val="en-US" w:eastAsia="zh-CN"/>
        </w:rPr>
        <w:t>年限增加</w:t>
      </w:r>
      <w:r>
        <w:rPr>
          <w:rFonts w:hint="default" w:ascii="Times New Roman" w:hAnsi="Times New Roman" w:eastAsia="仿宋_GB2312" w:cs="Times New Roman"/>
          <w:sz w:val="32"/>
          <w:szCs w:val="32"/>
          <w:lang w:eastAsia="zh-CN"/>
        </w:rPr>
        <w:t>，维修次数</w:t>
      </w:r>
      <w:r>
        <w:rPr>
          <w:rFonts w:hint="eastAsia" w:eastAsia="仿宋_GB2312" w:cs="Times New Roman"/>
          <w:sz w:val="32"/>
          <w:szCs w:val="32"/>
          <w:lang w:val="en-US" w:eastAsia="zh-CN"/>
        </w:rPr>
        <w:t>增加，</w:t>
      </w:r>
      <w:r>
        <w:rPr>
          <w:rFonts w:hint="eastAsia" w:eastAsia="仿宋_GB2312" w:cs="Times New Roman"/>
          <w:color w:val="FF0000"/>
          <w:sz w:val="32"/>
          <w:szCs w:val="32"/>
          <w:lang w:val="en-US" w:eastAsia="zh-CN"/>
        </w:rPr>
        <w:t>且有部分2022的费用在2023年支付</w:t>
      </w:r>
      <w:r>
        <w:rPr>
          <w:rFonts w:hint="default" w:ascii="Times New Roman" w:hAnsi="Times New Roman" w:eastAsia="仿宋_GB2312" w:cs="Times New Roman"/>
          <w:sz w:val="32"/>
          <w:szCs w:val="32"/>
          <w:lang w:eastAsia="zh-CN"/>
        </w:rPr>
        <w:t>。</w:t>
      </w:r>
    </w:p>
    <w:p w14:paraId="558A00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eastAsia="zh-CN"/>
        </w:rPr>
        <w:t>其中：公务用车购置支出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万元。全年按规定更新购</w:t>
      </w:r>
      <w:bookmarkStart w:id="63" w:name="_GoBack"/>
      <w:bookmarkEnd w:id="63"/>
      <w:r>
        <w:rPr>
          <w:rFonts w:hint="default" w:ascii="Times New Roman" w:hAnsi="Times New Roman" w:eastAsia="仿宋_GB2312" w:cs="Times New Roman"/>
          <w:sz w:val="32"/>
          <w:szCs w:val="32"/>
          <w:lang w:eastAsia="zh-CN"/>
        </w:rPr>
        <w:t>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万元，截至20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年12月底，单位共有公务用车</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辆，其他用车</w:t>
      </w:r>
      <w:r>
        <w:rPr>
          <w:rFonts w:hint="default" w:ascii="Times New Roman" w:hAnsi="Times New Roman" w:eastAsia="仿宋_GB2312" w:cs="Times New Roman"/>
          <w:sz w:val="32"/>
          <w:szCs w:val="32"/>
          <w:lang w:val="en-US" w:eastAsia="zh-CN"/>
        </w:rPr>
        <w:t>4辆。</w:t>
      </w:r>
    </w:p>
    <w:p w14:paraId="5DBECE4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公务用车运行维护费支出</w:t>
      </w:r>
      <w:r>
        <w:rPr>
          <w:rFonts w:hint="eastAsia" w:eastAsia="仿宋_GB2312" w:cs="Times New Roman"/>
          <w:sz w:val="32"/>
          <w:szCs w:val="32"/>
          <w:lang w:val="en-US" w:eastAsia="zh-CN"/>
        </w:rPr>
        <w:t>9.42</w:t>
      </w:r>
      <w:r>
        <w:rPr>
          <w:rFonts w:hint="default" w:ascii="Times New Roman" w:hAnsi="Times New Roman" w:eastAsia="仿宋_GB2312" w:cs="Times New Roman"/>
          <w:sz w:val="32"/>
          <w:szCs w:val="32"/>
          <w:lang w:eastAsia="zh-CN"/>
        </w:rPr>
        <w:t>万元。主要用于市政基础设施巡查所需的公务用车燃料费、维修费。</w:t>
      </w:r>
    </w:p>
    <w:p w14:paraId="75A76CF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3.公务接待费支出：</w:t>
      </w: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%。公务接待费支出决算比20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增加0.09</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val="en-US" w:eastAsia="zh-CN"/>
        </w:rPr>
        <w:t>增长25</w:t>
      </w:r>
      <w:r>
        <w:rPr>
          <w:rFonts w:hint="default" w:ascii="Times New Roman" w:hAnsi="Times New Roman" w:eastAsia="仿宋_GB2312" w:cs="Times New Roman"/>
          <w:sz w:val="32"/>
          <w:szCs w:val="32"/>
          <w:lang w:eastAsia="zh-CN"/>
        </w:rPr>
        <w:t>%。其中：</w:t>
      </w:r>
    </w:p>
    <w:p w14:paraId="053E426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国内公务接待支出：</w:t>
      </w: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lang w:eastAsia="zh-CN"/>
        </w:rPr>
        <w:t>万元，主要用于加班误餐工作餐。国内公务接待</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批次，</w:t>
      </w:r>
      <w:r>
        <w:rPr>
          <w:rFonts w:hint="default" w:ascii="Times New Roman" w:hAnsi="Times New Roman" w:eastAsia="仿宋_GB2312" w:cs="Times New Roman"/>
          <w:sz w:val="32"/>
          <w:szCs w:val="32"/>
          <w:lang w:val="en-US" w:eastAsia="zh-CN"/>
        </w:rPr>
        <w:t>71</w:t>
      </w:r>
      <w:r>
        <w:rPr>
          <w:rFonts w:hint="default" w:ascii="Times New Roman" w:hAnsi="Times New Roman" w:eastAsia="仿宋_GB2312" w:cs="Times New Roman"/>
          <w:sz w:val="32"/>
          <w:szCs w:val="32"/>
          <w:lang w:eastAsia="zh-CN"/>
        </w:rPr>
        <w:t>人次（不包括陪同人员），共计支出</w:t>
      </w: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lang w:eastAsia="zh-CN"/>
        </w:rPr>
        <w:t>万元。</w:t>
      </w:r>
    </w:p>
    <w:p w14:paraId="5BD8753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万元，外事接待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人，共计支出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bookmarkStart w:id="36" w:name="_Toc15396610"/>
      <w:bookmarkStart w:id="37" w:name="_Toc15377218"/>
    </w:p>
    <w:p w14:paraId="5CD128C2">
      <w:pPr>
        <w:spacing w:line="600" w:lineRule="exact"/>
        <w:ind w:firstLine="640" w:firstLineChars="200"/>
        <w:outlineLvl w:val="2"/>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八、政府性基金预算支出决算情况说明</w:t>
      </w:r>
      <w:bookmarkEnd w:id="36"/>
      <w:bookmarkEnd w:id="37"/>
    </w:p>
    <w:p w14:paraId="4BEC191A">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年政府性基金预算财政拨款支出</w:t>
      </w:r>
      <w:r>
        <w:rPr>
          <w:rFonts w:hint="eastAsia" w:eastAsia="仿宋_GB2312" w:cs="Times New Roman"/>
          <w:sz w:val="32"/>
          <w:szCs w:val="32"/>
          <w:lang w:val="en-US" w:eastAsia="zh-CN"/>
        </w:rPr>
        <w:t>1026.87</w:t>
      </w:r>
      <w:r>
        <w:rPr>
          <w:rFonts w:hint="default" w:ascii="Times New Roman" w:hAnsi="Times New Roman" w:eastAsia="仿宋_GB2312" w:cs="Times New Roman"/>
          <w:sz w:val="32"/>
          <w:szCs w:val="32"/>
          <w:lang w:eastAsia="zh-CN"/>
        </w:rPr>
        <w:t>万元。其中：城市建设支出</w:t>
      </w:r>
      <w:r>
        <w:rPr>
          <w:rFonts w:hint="eastAsia" w:eastAsia="仿宋_GB2312" w:cs="Times New Roman"/>
          <w:sz w:val="32"/>
          <w:szCs w:val="32"/>
          <w:lang w:val="en-US" w:eastAsia="zh-CN"/>
        </w:rPr>
        <w:t>697.87</w:t>
      </w:r>
      <w:r>
        <w:rPr>
          <w:rFonts w:hint="default"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农村基础设施建设支出322.43万元；征地和拆迁补偿支出6.57万元。</w:t>
      </w:r>
    </w:p>
    <w:p w14:paraId="43E3EC6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黑体" w:cs="Times New Roman"/>
          <w:b w:val="0"/>
          <w:bCs/>
          <w:color w:val="auto"/>
          <w:sz w:val="32"/>
          <w:szCs w:val="32"/>
          <w:highlight w:val="none"/>
        </w:rPr>
      </w:pPr>
      <w:bookmarkStart w:id="38" w:name="_Toc15377219"/>
      <w:bookmarkStart w:id="39" w:name="_Toc15396611"/>
      <w:r>
        <w:rPr>
          <w:rFonts w:hint="default" w:ascii="Times New Roman" w:hAnsi="Times New Roman" w:eastAsia="黑体" w:cs="Times New Roman"/>
          <w:b w:val="0"/>
          <w:bCs/>
          <w:color w:val="auto"/>
          <w:sz w:val="32"/>
          <w:szCs w:val="32"/>
          <w:highlight w:val="none"/>
          <w:lang w:eastAsia="zh-CN"/>
        </w:rPr>
        <w:t>九、</w:t>
      </w:r>
      <w:r>
        <w:rPr>
          <w:rFonts w:hint="default" w:ascii="Times New Roman" w:hAnsi="Times New Roman" w:eastAsia="黑体" w:cs="Times New Roman"/>
          <w:b w:val="0"/>
          <w:bCs/>
          <w:color w:val="auto"/>
          <w:sz w:val="32"/>
          <w:szCs w:val="32"/>
          <w:highlight w:val="none"/>
        </w:rPr>
        <w:t>国有资本经营预算支出决算情况说明</w:t>
      </w:r>
      <w:bookmarkEnd w:id="38"/>
      <w:bookmarkEnd w:id="39"/>
    </w:p>
    <w:p w14:paraId="5A45034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年国有资本经营预算财政拨款支出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p>
    <w:p w14:paraId="55B3A8C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outlineLvl w:val="1"/>
        <w:rPr>
          <w:rStyle w:val="29"/>
          <w:rFonts w:hint="default" w:ascii="Times New Roman" w:hAnsi="Times New Roman" w:eastAsia="黑体" w:cs="Times New Roman"/>
          <w:b w:val="0"/>
          <w:color w:val="auto"/>
          <w:highlight w:val="none"/>
        </w:rPr>
      </w:pPr>
      <w:bookmarkStart w:id="40" w:name="_Toc15377221"/>
      <w:bookmarkStart w:id="41" w:name="_Toc15396612"/>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40"/>
      <w:bookmarkEnd w:id="41"/>
    </w:p>
    <w:p w14:paraId="195937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仿宋" w:cs="Times New Roman"/>
          <w:color w:val="FF0000"/>
          <w:sz w:val="32"/>
          <w:szCs w:val="32"/>
          <w:highlight w:val="none"/>
        </w:rPr>
      </w:pPr>
      <w:bookmarkStart w:id="42" w:name="_Toc15377222"/>
      <w:r>
        <w:rPr>
          <w:rFonts w:hint="default" w:ascii="Times New Roman" w:hAnsi="Times New Roman" w:eastAsia="楷体_GB2312" w:cs="Times New Roman"/>
          <w:b w:val="0"/>
          <w:bCs/>
          <w:color w:val="auto"/>
          <w:sz w:val="32"/>
          <w:szCs w:val="32"/>
          <w:highlight w:val="none"/>
        </w:rPr>
        <w:t>（一）机关运行经费支出情况</w:t>
      </w:r>
      <w:bookmarkEnd w:id="42"/>
    </w:p>
    <w:p w14:paraId="1DC56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我单位实行事业单位会计制度，无机关运行费用。</w:t>
      </w:r>
    </w:p>
    <w:p w14:paraId="2FB3A89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b w:val="0"/>
          <w:bCs/>
          <w:color w:val="auto"/>
          <w:sz w:val="32"/>
          <w:szCs w:val="32"/>
          <w:highlight w:val="none"/>
        </w:rPr>
      </w:pPr>
      <w:bookmarkStart w:id="43" w:name="_Toc15377223"/>
      <w:r>
        <w:rPr>
          <w:rFonts w:hint="default" w:ascii="Times New Roman" w:hAnsi="Times New Roman" w:eastAsia="楷体_GB2312" w:cs="Times New Roman"/>
          <w:b w:val="0"/>
          <w:bCs/>
          <w:color w:val="auto"/>
          <w:sz w:val="32"/>
          <w:szCs w:val="32"/>
          <w:highlight w:val="none"/>
        </w:rPr>
        <w:t>（二）政府采购支出情况</w:t>
      </w:r>
      <w:bookmarkEnd w:id="43"/>
    </w:p>
    <w:p w14:paraId="42DF120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年，大竹县市政工程管理处政府采购支出总额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w:t>
      </w:r>
    </w:p>
    <w:p w14:paraId="4DF117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b w:val="0"/>
          <w:bCs/>
          <w:color w:val="auto"/>
          <w:sz w:val="32"/>
          <w:szCs w:val="32"/>
          <w:highlight w:val="none"/>
        </w:rPr>
      </w:pPr>
      <w:bookmarkStart w:id="44" w:name="_Toc15377224"/>
      <w:r>
        <w:rPr>
          <w:rFonts w:hint="default" w:ascii="Times New Roman" w:hAnsi="Times New Roman" w:eastAsia="楷体_GB2312" w:cs="Times New Roman"/>
          <w:b w:val="0"/>
          <w:bCs/>
          <w:color w:val="auto"/>
          <w:sz w:val="32"/>
          <w:szCs w:val="32"/>
          <w:highlight w:val="none"/>
        </w:rPr>
        <w:t>（三）国有资产占有使用情况</w:t>
      </w:r>
      <w:bookmarkEnd w:id="44"/>
    </w:p>
    <w:p w14:paraId="1333823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截至20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年12月31日，大竹县市政工程管理处共有车辆</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辆、应急保障用车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辆、其他用车</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辆。其他用车主要是用于市政基础设施巡查维护，单价50万元以上通用设备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台（套），单价100万元以上专用设备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台（套）。</w:t>
      </w:r>
    </w:p>
    <w:p w14:paraId="3D7BE40C">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10" w:leftChars="0" w:firstLine="640" w:firstLineChars="0"/>
        <w:textAlignment w:val="auto"/>
        <w:outlineLvl w:val="2"/>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预算绩效管理情况</w:t>
      </w:r>
    </w:p>
    <w:p w14:paraId="65A223F7">
      <w:pPr>
        <w:pStyle w:val="6"/>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根据预算绩效管理要求，本单位在202</w:t>
      </w:r>
      <w:r>
        <w:rPr>
          <w:rFonts w:hint="eastAsia" w:ascii="Times New Roman"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年度预算编制阶段，组织对202</w:t>
      </w:r>
      <w:r>
        <w:rPr>
          <w:rFonts w:hint="eastAsia" w:ascii="Times New Roman"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年市政基础设施维修维护工程项目开展了预算事前绩效评估，编制了绩效目标，预算执行过程中，对该项目开展绩效监控、绩效自评，绩效自评表详见第四部分附件。</w:t>
      </w:r>
    </w:p>
    <w:p w14:paraId="7F9788DE">
      <w:pPr>
        <w:pStyle w:val="6"/>
        <w:numPr>
          <w:ilvl w:val="0"/>
          <w:numId w:val="0"/>
        </w:numPr>
        <w:rPr>
          <w:rFonts w:hint="default" w:ascii="Times New Roman" w:hAnsi="Times New Roman" w:cs="Times New Roman"/>
          <w:lang w:val="en-US" w:eastAsia="zh-CN"/>
        </w:rPr>
      </w:pPr>
    </w:p>
    <w:p w14:paraId="447CCE5B">
      <w:pPr>
        <w:pStyle w:val="6"/>
        <w:numPr>
          <w:ilvl w:val="0"/>
          <w:numId w:val="0"/>
        </w:numPr>
        <w:rPr>
          <w:rFonts w:hint="default" w:ascii="Times New Roman" w:hAnsi="Times New Roman" w:cs="Times New Roman"/>
          <w:lang w:val="en-US" w:eastAsia="zh-CN"/>
        </w:rPr>
      </w:pPr>
    </w:p>
    <w:p w14:paraId="13FE49F5">
      <w:pPr>
        <w:pStyle w:val="6"/>
        <w:numPr>
          <w:ilvl w:val="0"/>
          <w:numId w:val="0"/>
        </w:numPr>
        <w:rPr>
          <w:rFonts w:hint="default" w:ascii="Times New Roman" w:hAnsi="Times New Roman" w:cs="Times New Roman"/>
          <w:lang w:val="en-US" w:eastAsia="zh-CN"/>
        </w:rPr>
      </w:pPr>
    </w:p>
    <w:p w14:paraId="1BCAA57F">
      <w:pPr>
        <w:pStyle w:val="6"/>
        <w:numPr>
          <w:ilvl w:val="0"/>
          <w:numId w:val="0"/>
        </w:numPr>
        <w:rPr>
          <w:rFonts w:hint="default" w:ascii="Times New Roman" w:hAnsi="Times New Roman" w:cs="Times New Roman"/>
          <w:lang w:val="en-US" w:eastAsia="zh-CN"/>
        </w:rPr>
      </w:pPr>
    </w:p>
    <w:p w14:paraId="5747592E">
      <w:pPr>
        <w:pStyle w:val="6"/>
        <w:numPr>
          <w:ilvl w:val="0"/>
          <w:numId w:val="0"/>
        </w:numPr>
        <w:rPr>
          <w:rFonts w:hint="default" w:ascii="Times New Roman" w:hAnsi="Times New Roman" w:cs="Times New Roman"/>
          <w:lang w:val="en-US" w:eastAsia="zh-CN"/>
        </w:rPr>
      </w:pPr>
    </w:p>
    <w:p w14:paraId="755B2359">
      <w:pPr>
        <w:pStyle w:val="6"/>
        <w:numPr>
          <w:ilvl w:val="0"/>
          <w:numId w:val="0"/>
        </w:numPr>
        <w:rPr>
          <w:rFonts w:hint="default" w:ascii="Times New Roman" w:hAnsi="Times New Roman" w:cs="Times New Roman"/>
          <w:lang w:val="en-US" w:eastAsia="zh-CN"/>
        </w:rPr>
      </w:pPr>
    </w:p>
    <w:p w14:paraId="1E66F6A2">
      <w:pPr>
        <w:pStyle w:val="6"/>
        <w:numPr>
          <w:ilvl w:val="0"/>
          <w:numId w:val="0"/>
        </w:numPr>
        <w:rPr>
          <w:rFonts w:hint="default" w:ascii="Times New Roman" w:hAnsi="Times New Roman" w:cs="Times New Roman"/>
          <w:lang w:val="en-US" w:eastAsia="zh-CN"/>
        </w:rPr>
      </w:pPr>
    </w:p>
    <w:p w14:paraId="2D53F509">
      <w:pPr>
        <w:pStyle w:val="6"/>
        <w:numPr>
          <w:ilvl w:val="0"/>
          <w:numId w:val="0"/>
        </w:numPr>
        <w:rPr>
          <w:rFonts w:hint="default" w:ascii="Times New Roman" w:hAnsi="Times New Roman" w:cs="Times New Roman"/>
          <w:lang w:val="en-US" w:eastAsia="zh-CN"/>
        </w:rPr>
      </w:pPr>
    </w:p>
    <w:p w14:paraId="722AD3BF">
      <w:pPr>
        <w:pStyle w:val="6"/>
        <w:numPr>
          <w:ilvl w:val="0"/>
          <w:numId w:val="0"/>
        </w:numPr>
        <w:rPr>
          <w:rFonts w:hint="default" w:ascii="Times New Roman" w:hAnsi="Times New Roman" w:cs="Times New Roman"/>
          <w:lang w:val="en-US" w:eastAsia="zh-CN"/>
        </w:rPr>
      </w:pPr>
    </w:p>
    <w:p w14:paraId="1D3B4A9A">
      <w:pPr>
        <w:pStyle w:val="6"/>
        <w:numPr>
          <w:ilvl w:val="0"/>
          <w:numId w:val="0"/>
        </w:numPr>
        <w:rPr>
          <w:rFonts w:hint="default" w:ascii="Times New Roman" w:hAnsi="Times New Roman" w:cs="Times New Roman"/>
          <w:lang w:val="en-US" w:eastAsia="zh-CN"/>
        </w:rPr>
      </w:pPr>
    </w:p>
    <w:p w14:paraId="1A29B934">
      <w:pPr>
        <w:pStyle w:val="6"/>
        <w:numPr>
          <w:ilvl w:val="0"/>
          <w:numId w:val="0"/>
        </w:numPr>
        <w:rPr>
          <w:rFonts w:hint="default" w:ascii="Times New Roman" w:hAnsi="Times New Roman" w:cs="Times New Roman"/>
          <w:lang w:val="en-US" w:eastAsia="zh-CN"/>
        </w:rPr>
      </w:pPr>
    </w:p>
    <w:p w14:paraId="3CB8BA41">
      <w:pPr>
        <w:pStyle w:val="6"/>
        <w:numPr>
          <w:ilvl w:val="0"/>
          <w:numId w:val="0"/>
        </w:numPr>
        <w:rPr>
          <w:rFonts w:hint="default" w:ascii="Times New Roman" w:hAnsi="Times New Roman" w:cs="Times New Roman"/>
          <w:lang w:val="en-US" w:eastAsia="zh-CN"/>
        </w:rPr>
      </w:pPr>
    </w:p>
    <w:p w14:paraId="7041EAC1">
      <w:pPr>
        <w:pStyle w:val="6"/>
        <w:numPr>
          <w:ilvl w:val="0"/>
          <w:numId w:val="0"/>
        </w:numPr>
        <w:rPr>
          <w:rFonts w:hint="default" w:ascii="Times New Roman" w:hAnsi="Times New Roman" w:cs="Times New Roman"/>
          <w:lang w:val="en-US" w:eastAsia="zh-CN"/>
        </w:rPr>
      </w:pPr>
    </w:p>
    <w:p w14:paraId="42ACE76A">
      <w:pPr>
        <w:numPr>
          <w:ilvl w:val="0"/>
          <w:numId w:val="4"/>
        </w:numPr>
        <w:spacing w:line="600" w:lineRule="exact"/>
        <w:ind w:firstLine="660" w:firstLineChars="150"/>
        <w:jc w:val="center"/>
        <w:outlineLvl w:val="0"/>
        <w:rPr>
          <w:rStyle w:val="28"/>
          <w:rFonts w:hint="eastAsia" w:ascii="方正小标宋简体" w:hAnsi="方正小标宋简体" w:eastAsia="方正小标宋简体" w:cs="方正小标宋简体"/>
          <w:b w:val="0"/>
          <w:color w:val="auto"/>
          <w:highlight w:val="none"/>
        </w:rPr>
      </w:pPr>
      <w:bookmarkStart w:id="45" w:name="_Toc15396613"/>
      <w:bookmarkStart w:id="46" w:name="_Toc15377225"/>
      <w:r>
        <w:rPr>
          <w:rFonts w:hint="eastAsia" w:ascii="方正小标宋简体" w:hAnsi="方正小标宋简体" w:eastAsia="方正小标宋简体" w:cs="方正小标宋简体"/>
          <w:color w:val="auto"/>
          <w:sz w:val="44"/>
          <w:szCs w:val="44"/>
          <w:highlight w:val="none"/>
        </w:rPr>
        <w:t>名</w:t>
      </w:r>
      <w:r>
        <w:rPr>
          <w:rStyle w:val="28"/>
          <w:rFonts w:hint="eastAsia" w:ascii="方正小标宋简体" w:hAnsi="方正小标宋简体" w:eastAsia="方正小标宋简体" w:cs="方正小标宋简体"/>
          <w:b w:val="0"/>
          <w:color w:val="auto"/>
          <w:highlight w:val="none"/>
        </w:rPr>
        <w:t>词解释</w:t>
      </w:r>
      <w:bookmarkEnd w:id="45"/>
      <w:bookmarkEnd w:id="46"/>
    </w:p>
    <w:p w14:paraId="56EA6CD1">
      <w:pPr>
        <w:pStyle w:val="6"/>
        <w:rPr>
          <w:rFonts w:hint="default" w:ascii="Times New Roman" w:hAnsi="Times New Roman" w:cs="Times New Roman"/>
        </w:rPr>
      </w:pPr>
    </w:p>
    <w:p w14:paraId="043E594A">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bookmarkStart w:id="47" w:name="_Toc15377226"/>
      <w:r>
        <w:rPr>
          <w:rFonts w:hint="default" w:ascii="Times New Roman" w:hAnsi="Times New Roman" w:eastAsia="仿宋_GB2312" w:cs="Times New Roman"/>
          <w:sz w:val="32"/>
          <w:szCs w:val="32"/>
        </w:rPr>
        <w:t>1.</w:t>
      </w:r>
      <w:r>
        <w:rPr>
          <w:rFonts w:hint="default" w:ascii="Times New Roman" w:hAnsi="Times New Roman" w:eastAsia="楷体_GB2312" w:cs="Times New Roman"/>
          <w:sz w:val="32"/>
          <w:szCs w:val="32"/>
        </w:rPr>
        <w:t>财政拨款收入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指单位从同级财政部门取得的财政预算资金。</w:t>
      </w:r>
    </w:p>
    <w:p w14:paraId="0E6D75EB">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rPr>
        <w:t>2.</w:t>
      </w:r>
      <w:r>
        <w:rPr>
          <w:rFonts w:hint="default" w:ascii="Times New Roman" w:hAnsi="Times New Roman" w:eastAsia="楷体_GB2312" w:cs="Times New Roman"/>
          <w:sz w:val="32"/>
          <w:szCs w:val="32"/>
        </w:rPr>
        <w:t>事业收入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指事业单位开展专业业务活动及辅助活动取得的收入。</w:t>
      </w:r>
    </w:p>
    <w:p w14:paraId="257F2596">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楷体_GB2312" w:cs="Times New Roman"/>
          <w:sz w:val="32"/>
          <w:szCs w:val="32"/>
        </w:rPr>
        <w:t>经营收入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指事业单位在专业业务活动及其辅助活动之外开展非独立核算经营活动取得的收入。</w:t>
      </w:r>
    </w:p>
    <w:p w14:paraId="4547E1EF">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rPr>
        <w:t>4.</w:t>
      </w:r>
      <w:r>
        <w:rPr>
          <w:rFonts w:hint="default" w:ascii="Times New Roman" w:hAnsi="Times New Roman" w:eastAsia="楷体_GB2312" w:cs="Times New Roman"/>
          <w:sz w:val="32"/>
          <w:szCs w:val="32"/>
        </w:rPr>
        <w:t>其他收入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 xml:space="preserve">指单位取得的除上述收入以外的各项收入。 </w:t>
      </w:r>
    </w:p>
    <w:p w14:paraId="148CD109">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5.使用非财政拨款结余：指事业单位使用以前年度积累的非财政拨款结余弥补当年收支差额的金额。</w:t>
      </w:r>
    </w:p>
    <w:p w14:paraId="24087E84">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楷体_GB2312" w:cs="Times New Roman"/>
          <w:sz w:val="32"/>
          <w:szCs w:val="32"/>
        </w:rPr>
        <w:t>年初结转和结余</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指以前年度尚未完成、结转到本年按有关规定继续使用的资金。</w:t>
      </w:r>
      <w:r>
        <w:rPr>
          <w:rFonts w:hint="default" w:ascii="Times New Roman" w:hAnsi="Times New Roman" w:eastAsia="仿宋_GB2312" w:cs="Times New Roman"/>
          <w:sz w:val="32"/>
          <w:szCs w:val="32"/>
        </w:rPr>
        <w:t xml:space="preserve"> </w:t>
      </w:r>
    </w:p>
    <w:p w14:paraId="4BE799AC">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楷体_GB2312" w:cs="Times New Roman"/>
          <w:sz w:val="32"/>
          <w:szCs w:val="32"/>
        </w:rPr>
        <w:t>结余分配</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指事业单位按照事业单位会计制度的规定从非财政补助结余中分配的事业基金和职工福利基金等</w:t>
      </w:r>
      <w:r>
        <w:rPr>
          <w:rFonts w:hint="default" w:ascii="Times New Roman" w:hAnsi="Times New Roman" w:eastAsia="仿宋_GB2312" w:cs="Times New Roman"/>
          <w:sz w:val="32"/>
          <w:szCs w:val="32"/>
        </w:rPr>
        <w:t>。</w:t>
      </w:r>
    </w:p>
    <w:p w14:paraId="3348082F">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rPr>
        <w:t>8、</w:t>
      </w:r>
      <w:r>
        <w:rPr>
          <w:rFonts w:hint="default" w:ascii="Times New Roman" w:hAnsi="Times New Roman" w:eastAsia="楷体_GB2312" w:cs="Times New Roman"/>
          <w:sz w:val="32"/>
          <w:szCs w:val="32"/>
        </w:rPr>
        <w:t>年末结转和结余</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指单位按有关规定结转到下年或以后年度继续使用的资金。</w:t>
      </w:r>
    </w:p>
    <w:p w14:paraId="1F6D091A">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color w:val="000000"/>
          <w:kern w:val="0"/>
          <w:sz w:val="32"/>
          <w:szCs w:val="32"/>
          <w:lang w:val="en-US" w:eastAsia="zh-CN" w:bidi="ar-SA"/>
        </w:rPr>
        <w:t>城乡社区支出（212）城乡社区公共设施（03）其他城乡社区公共设施支出（99）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指其他用于城乡社区公共设施方面的支出。</w:t>
      </w:r>
    </w:p>
    <w:p w14:paraId="496C95B5">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Style w:val="18"/>
          <w:rFonts w:hint="default" w:ascii="Times New Roman" w:hAnsi="Times New Roman" w:eastAsia="仿宋_GB2312" w:cs="Times New Roman"/>
          <w:b w:val="0"/>
          <w:sz w:val="32"/>
          <w:szCs w:val="32"/>
        </w:rPr>
        <w:t>城</w:t>
      </w:r>
      <w:r>
        <w:rPr>
          <w:rFonts w:hint="default" w:ascii="Times New Roman" w:hAnsi="Times New Roman" w:eastAsia="楷体_GB2312" w:cs="Times New Roman"/>
          <w:color w:val="000000"/>
          <w:kern w:val="0"/>
          <w:sz w:val="32"/>
          <w:szCs w:val="32"/>
          <w:lang w:val="en-US" w:eastAsia="zh-CN" w:bidi="ar-SA"/>
        </w:rPr>
        <w:t>乡社区支出（212）城乡社区公共设施（03）小城镇基础设施建设（03）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指用于城市建设方面的支出。</w:t>
      </w:r>
      <w:r>
        <w:rPr>
          <w:rFonts w:hint="default" w:ascii="Times New Roman" w:hAnsi="Times New Roman" w:eastAsia="仿宋_GB2312" w:cs="Times New Roman"/>
          <w:sz w:val="32"/>
          <w:szCs w:val="32"/>
          <w:lang w:val="en-US" w:eastAsia="zh-CN"/>
        </w:rPr>
        <w:t xml:space="preserve">    </w:t>
      </w:r>
    </w:p>
    <w:p w14:paraId="5B1895B9">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color w:val="000000"/>
          <w:kern w:val="0"/>
          <w:sz w:val="32"/>
          <w:szCs w:val="32"/>
          <w:lang w:val="en-US" w:eastAsia="zh-CN" w:bidi="ar-SA"/>
        </w:rPr>
        <w:t>社会保障和就业支出（208）行政事业单位离退休（05）归口管理的行政单位离退休（02）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指本单位开支的离退休经费。</w:t>
      </w:r>
    </w:p>
    <w:p w14:paraId="73A96113">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楷体_GB2312" w:cs="Times New Roman"/>
          <w:color w:val="000000"/>
          <w:kern w:val="0"/>
          <w:sz w:val="32"/>
          <w:szCs w:val="32"/>
          <w:lang w:val="en-US" w:eastAsia="zh-CN" w:bidi="ar-SA"/>
        </w:rPr>
        <w:t>社会保障和就业支出（208）行政事业单位离退休（05）机关事业单位基本养老保险缴费支出（05）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指本单位基本养老保险缴费。</w:t>
      </w:r>
    </w:p>
    <w:p w14:paraId="406950B5">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楷体_GB2312" w:cs="Times New Roman"/>
          <w:sz w:val="32"/>
          <w:szCs w:val="32"/>
        </w:rPr>
        <w:t>住房保障支出（</w:t>
      </w:r>
      <w:r>
        <w:rPr>
          <w:rFonts w:hint="default" w:ascii="Times New Roman" w:hAnsi="Times New Roman" w:eastAsia="楷体_GB2312" w:cs="Times New Roman"/>
          <w:sz w:val="32"/>
          <w:szCs w:val="32"/>
          <w:lang w:val="en-US" w:eastAsia="zh-CN"/>
        </w:rPr>
        <w:t>221</w:t>
      </w:r>
      <w:r>
        <w:rPr>
          <w:rFonts w:hint="default" w:ascii="Times New Roman" w:hAnsi="Times New Roman" w:eastAsia="楷体_GB2312" w:cs="Times New Roman"/>
          <w:sz w:val="32"/>
          <w:szCs w:val="32"/>
        </w:rPr>
        <w:t>）住房改革支出（</w:t>
      </w:r>
      <w:r>
        <w:rPr>
          <w:rFonts w:hint="default" w:ascii="Times New Roman" w:hAnsi="Times New Roman" w:eastAsia="楷体_GB2312" w:cs="Times New Roman"/>
          <w:sz w:val="32"/>
          <w:szCs w:val="32"/>
          <w:lang w:val="en-US" w:eastAsia="zh-CN"/>
        </w:rPr>
        <w:t>02</w:t>
      </w:r>
      <w:r>
        <w:rPr>
          <w:rFonts w:hint="default" w:ascii="Times New Roman" w:hAnsi="Times New Roman" w:eastAsia="楷体_GB2312" w:cs="Times New Roman"/>
          <w:sz w:val="32"/>
          <w:szCs w:val="32"/>
        </w:rPr>
        <w:t>）住房公积金（</w:t>
      </w:r>
      <w:r>
        <w:rPr>
          <w:rFonts w:hint="default" w:ascii="Times New Roman" w:hAnsi="Times New Roman" w:eastAsia="楷体_GB2312" w:cs="Times New Roman"/>
          <w:sz w:val="32"/>
          <w:szCs w:val="32"/>
          <w:lang w:val="en-US" w:eastAsia="zh-CN"/>
        </w:rPr>
        <w:t>01</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指本单位在职职工的住房公积金缴费。</w:t>
      </w:r>
    </w:p>
    <w:p w14:paraId="1EB38D11">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14.</w:t>
      </w:r>
      <w:r>
        <w:rPr>
          <w:rFonts w:hint="default" w:ascii="Times New Roman" w:hAnsi="Times New Roman" w:eastAsia="楷体_GB2312" w:cs="Times New Roman"/>
          <w:sz w:val="32"/>
          <w:szCs w:val="32"/>
        </w:rPr>
        <w:t>社会保障和就业（</w:t>
      </w:r>
      <w:r>
        <w:rPr>
          <w:rFonts w:hint="default" w:ascii="Times New Roman" w:hAnsi="Times New Roman" w:eastAsia="楷体_GB2312" w:cs="Times New Roman"/>
          <w:sz w:val="32"/>
          <w:szCs w:val="32"/>
          <w:lang w:val="en-US" w:eastAsia="zh-CN"/>
        </w:rPr>
        <w:t>208</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抚恤</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08</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死亡</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01</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lang w:val="en-US" w:eastAsia="zh-CN" w:bidi="ar-SA"/>
        </w:rPr>
        <w:t>指本单位退休职工死亡的抚恤金。</w:t>
      </w:r>
    </w:p>
    <w:p w14:paraId="3528398E">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楷体_GB2312" w:cs="Times New Roman"/>
          <w:sz w:val="32"/>
          <w:szCs w:val="32"/>
        </w:rPr>
        <w:t>城乡社区支出（</w:t>
      </w:r>
      <w:r>
        <w:rPr>
          <w:rFonts w:hint="default" w:ascii="Times New Roman" w:hAnsi="Times New Roman" w:eastAsia="楷体_GB2312" w:cs="Times New Roman"/>
          <w:sz w:val="32"/>
          <w:szCs w:val="32"/>
          <w:lang w:val="en-US" w:eastAsia="zh-CN"/>
        </w:rPr>
        <w:t>212</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国有土地使用权出让收入及对应专项债务收入安排的支出（</w:t>
      </w:r>
      <w:r>
        <w:rPr>
          <w:rFonts w:hint="default" w:ascii="Times New Roman" w:hAnsi="Times New Roman" w:eastAsia="楷体_GB2312" w:cs="Times New Roman"/>
          <w:sz w:val="32"/>
          <w:szCs w:val="32"/>
          <w:lang w:val="en-US" w:eastAsia="zh-CN"/>
        </w:rPr>
        <w:t>08</w:t>
      </w:r>
      <w:r>
        <w:rPr>
          <w:rFonts w:hint="default" w:ascii="Times New Roman" w:hAnsi="Times New Roman" w:eastAsia="楷体_GB2312" w:cs="Times New Roman"/>
          <w:sz w:val="32"/>
          <w:szCs w:val="32"/>
          <w:lang w:eastAsia="zh-CN"/>
        </w:rPr>
        <w:t>）城市建设支出（</w:t>
      </w:r>
      <w:r>
        <w:rPr>
          <w:rFonts w:hint="default" w:ascii="Times New Roman" w:hAnsi="Times New Roman" w:eastAsia="楷体_GB2312" w:cs="Times New Roman"/>
          <w:sz w:val="32"/>
          <w:szCs w:val="32"/>
          <w:lang w:val="en-US" w:eastAsia="zh-CN"/>
        </w:rPr>
        <w:t>03</w:t>
      </w:r>
      <w:r>
        <w:rPr>
          <w:rFonts w:hint="default" w:ascii="Times New Roman" w:hAnsi="Times New Roman" w:eastAsia="楷体_GB2312" w:cs="Times New Roman"/>
          <w:sz w:val="32"/>
          <w:szCs w:val="32"/>
          <w:lang w:eastAsia="zh-CN"/>
        </w:rPr>
        <w:t>）</w:t>
      </w:r>
      <w:r>
        <w:rPr>
          <w:rStyle w:val="18"/>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color w:val="auto"/>
          <w:kern w:val="2"/>
          <w:sz w:val="32"/>
          <w:szCs w:val="32"/>
          <w:lang w:val="en-US" w:eastAsia="zh-CN" w:bidi="ar-SA"/>
        </w:rPr>
        <w:t>指基金安排的城市建设支出。</w:t>
      </w:r>
    </w:p>
    <w:p w14:paraId="5FDA36D5">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w:t>
      </w:r>
      <w:r>
        <w:rPr>
          <w:rFonts w:hint="default" w:ascii="Times New Roman" w:hAnsi="Times New Roman" w:eastAsia="楷体_GB2312" w:cs="Times New Roman"/>
          <w:color w:val="000000"/>
          <w:kern w:val="0"/>
          <w:sz w:val="32"/>
          <w:szCs w:val="32"/>
          <w:lang w:val="en-US" w:eastAsia="zh-CN" w:bidi="ar-SA"/>
        </w:rPr>
        <w:t>基本支出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eastAsia="zh-CN"/>
        </w:rPr>
        <w:t>指为保障机构正常运转、完成日常工作任务而发生的人员支出和公用支出。</w:t>
      </w:r>
    </w:p>
    <w:p w14:paraId="1066974D">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w:t>
      </w:r>
      <w:r>
        <w:rPr>
          <w:rFonts w:hint="default" w:ascii="Times New Roman" w:hAnsi="Times New Roman" w:eastAsia="楷体_GB2312" w:cs="Times New Roman"/>
          <w:color w:val="000000"/>
          <w:kern w:val="0"/>
          <w:sz w:val="32"/>
          <w:szCs w:val="32"/>
          <w:lang w:val="en-US" w:eastAsia="zh-CN" w:bidi="ar-SA"/>
        </w:rPr>
        <w:t>项目支出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eastAsia="zh-CN"/>
        </w:rPr>
        <w:t>指在基本支出之外为完成特定行政任务和事业发展目标所发生的支出。</w:t>
      </w:r>
    </w:p>
    <w:p w14:paraId="1C37FD9E">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经营支出：</w:t>
      </w:r>
      <w:r>
        <w:rPr>
          <w:rFonts w:hint="default" w:ascii="Times New Roman" w:hAnsi="Times New Roman" w:eastAsia="仿宋_GB2312" w:cs="Times New Roman"/>
          <w:sz w:val="32"/>
          <w:szCs w:val="32"/>
          <w:lang w:eastAsia="zh-CN"/>
        </w:rPr>
        <w:t>指事业单位在专业业务活动及其辅助活动之外开展非独立核算经营活动发生的支出。</w:t>
      </w:r>
      <w:r>
        <w:rPr>
          <w:rFonts w:hint="default" w:ascii="Times New Roman" w:hAnsi="Times New Roman" w:eastAsia="仿宋_GB2312" w:cs="Times New Roman"/>
          <w:color w:val="000000"/>
          <w:sz w:val="32"/>
          <w:szCs w:val="32"/>
        </w:rPr>
        <w:t xml:space="preserve"> </w:t>
      </w:r>
    </w:p>
    <w:p w14:paraId="320D5281">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三公”经费</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8A73559">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7A61FB">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p>
    <w:p w14:paraId="24A43E76">
      <w:pPr>
        <w:spacing w:line="600" w:lineRule="exact"/>
        <w:jc w:val="center"/>
        <w:outlineLvl w:val="0"/>
        <w:rPr>
          <w:rStyle w:val="28"/>
          <w:rFonts w:hint="default" w:ascii="Times New Roman" w:hAnsi="Times New Roman" w:eastAsia="黑体" w:cs="Times New Roman"/>
          <w:b w:val="0"/>
          <w:color w:val="auto"/>
          <w:highlight w:val="none"/>
        </w:rPr>
      </w:pPr>
      <w:r>
        <w:rPr>
          <w:rFonts w:hint="default" w:ascii="Times New Roman" w:hAnsi="Times New Roman" w:cs="Times New Roman"/>
          <w:b/>
          <w:color w:val="auto"/>
          <w:sz w:val="44"/>
          <w:szCs w:val="44"/>
          <w:highlight w:val="none"/>
        </w:rPr>
        <w:br w:type="page"/>
      </w:r>
      <w:bookmarkStart w:id="48" w:name="_Toc15396614"/>
      <w:r>
        <w:rPr>
          <w:rFonts w:hint="eastAsia" w:ascii="方正小标宋简体" w:hAnsi="方正小标宋简体" w:eastAsia="方正小标宋简体" w:cs="方正小标宋简体"/>
          <w:color w:val="auto"/>
          <w:sz w:val="44"/>
          <w:szCs w:val="44"/>
          <w:highlight w:val="none"/>
        </w:rPr>
        <w:t>第</w:t>
      </w:r>
      <w:r>
        <w:rPr>
          <w:rStyle w:val="28"/>
          <w:rFonts w:hint="eastAsia" w:ascii="方正小标宋简体" w:hAnsi="方正小标宋简体" w:eastAsia="方正小标宋简体" w:cs="方正小标宋简体"/>
          <w:b w:val="0"/>
          <w:color w:val="auto"/>
          <w:highlight w:val="none"/>
        </w:rPr>
        <w:t>四部分 附件</w:t>
      </w:r>
      <w:bookmarkEnd w:id="48"/>
    </w:p>
    <w:p w14:paraId="3D73B5DC">
      <w:pPr>
        <w:spacing w:line="600" w:lineRule="exact"/>
        <w:jc w:val="center"/>
        <w:outlineLvl w:val="0"/>
        <w:rPr>
          <w:rFonts w:hint="default" w:ascii="Times New Roman" w:hAnsi="Times New Roman" w:eastAsia="黑体" w:cs="Times New Roman"/>
          <w:color w:val="auto"/>
          <w:sz w:val="44"/>
          <w:szCs w:val="44"/>
          <w:highlight w:val="none"/>
        </w:rPr>
      </w:pPr>
      <w:bookmarkStart w:id="49" w:name="_Toc15396618"/>
    </w:p>
    <w:p w14:paraId="64F604BD">
      <w:pPr>
        <w:widowControl/>
        <w:spacing w:line="580" w:lineRule="exact"/>
        <w:ind w:firstLine="1760" w:firstLineChars="400"/>
        <w:contextualSpacing/>
        <w:jc w:val="both"/>
        <w:rPr>
          <w:rFonts w:hint="default" w:ascii="Times New Roman" w:hAnsi="Times New Roman" w:eastAsia="方正小标宋简体" w:cs="Times New Roman"/>
          <w:b w:val="0"/>
          <w:bCs/>
          <w:sz w:val="44"/>
          <w:szCs w:val="44"/>
          <w:shd w:val="clear" w:color="auto" w:fill="FFFFFF"/>
          <w:lang w:val="en-US" w:eastAsia="zh-CN"/>
        </w:rPr>
      </w:pPr>
      <w:r>
        <w:rPr>
          <w:rFonts w:hint="default" w:ascii="Times New Roman" w:hAnsi="Times New Roman" w:eastAsia="方正小标宋简体" w:cs="Times New Roman"/>
          <w:b w:val="0"/>
          <w:bCs/>
          <w:sz w:val="44"/>
          <w:szCs w:val="44"/>
          <w:shd w:val="clear" w:color="auto" w:fill="FFFFFF"/>
          <w:lang w:val="en-US" w:eastAsia="zh-CN"/>
        </w:rPr>
        <w:t>大竹县市政工程管理处</w:t>
      </w:r>
    </w:p>
    <w:p w14:paraId="5AA03B06">
      <w:pPr>
        <w:widowControl/>
        <w:spacing w:line="580" w:lineRule="exact"/>
        <w:contextualSpacing/>
        <w:jc w:val="center"/>
        <w:rPr>
          <w:rFonts w:hint="default" w:ascii="Times New Roman" w:hAnsi="Times New Roman" w:eastAsia="方正小标宋简体" w:cs="Times New Roman"/>
          <w:b w:val="0"/>
          <w:bCs/>
          <w:sz w:val="44"/>
          <w:szCs w:val="44"/>
          <w:shd w:val="clear" w:color="auto" w:fill="FFFFFF"/>
        </w:rPr>
      </w:pPr>
      <w:r>
        <w:rPr>
          <w:rFonts w:hint="default" w:ascii="Times New Roman" w:hAnsi="Times New Roman" w:eastAsia="方正小标宋简体" w:cs="Times New Roman"/>
          <w:b w:val="0"/>
          <w:bCs/>
          <w:sz w:val="44"/>
          <w:szCs w:val="44"/>
          <w:shd w:val="clear" w:color="auto" w:fill="FFFFFF"/>
          <w:lang w:val="en-US" w:eastAsia="zh-CN"/>
        </w:rPr>
        <w:t>关于</w:t>
      </w:r>
      <w:r>
        <w:rPr>
          <w:rFonts w:hint="default" w:ascii="Times New Roman" w:hAnsi="Times New Roman" w:eastAsia="方正小标宋简体" w:cs="Times New Roman"/>
          <w:b w:val="0"/>
          <w:bCs/>
          <w:sz w:val="44"/>
          <w:szCs w:val="44"/>
          <w:shd w:val="clear" w:color="auto" w:fill="FFFFFF"/>
        </w:rPr>
        <w:t>20</w:t>
      </w:r>
      <w:r>
        <w:rPr>
          <w:rFonts w:hint="default" w:ascii="Times New Roman" w:hAnsi="Times New Roman" w:eastAsia="方正小标宋简体" w:cs="Times New Roman"/>
          <w:b w:val="0"/>
          <w:bCs/>
          <w:sz w:val="44"/>
          <w:szCs w:val="44"/>
          <w:shd w:val="clear" w:color="auto" w:fill="FFFFFF"/>
          <w:lang w:val="en-US" w:eastAsia="zh-CN"/>
        </w:rPr>
        <w:t>2</w:t>
      </w:r>
      <w:r>
        <w:rPr>
          <w:rFonts w:hint="eastAsia" w:eastAsia="方正小标宋简体" w:cs="Times New Roman"/>
          <w:b w:val="0"/>
          <w:bCs/>
          <w:sz w:val="44"/>
          <w:szCs w:val="44"/>
          <w:shd w:val="clear" w:color="auto" w:fill="FFFFFF"/>
          <w:lang w:val="en-US" w:eastAsia="zh-CN"/>
        </w:rPr>
        <w:t>3</w:t>
      </w:r>
      <w:r>
        <w:rPr>
          <w:rFonts w:hint="default" w:ascii="Times New Roman" w:hAnsi="Times New Roman" w:eastAsia="方正小标宋简体" w:cs="Times New Roman"/>
          <w:b w:val="0"/>
          <w:bCs/>
          <w:sz w:val="44"/>
          <w:szCs w:val="44"/>
          <w:shd w:val="clear" w:color="auto" w:fill="FFFFFF"/>
        </w:rPr>
        <w:t>年部门整体支出绩效评价</w:t>
      </w:r>
      <w:r>
        <w:rPr>
          <w:rFonts w:hint="default" w:ascii="Times New Roman" w:hAnsi="Times New Roman" w:eastAsia="方正小标宋简体" w:cs="Times New Roman"/>
          <w:b w:val="0"/>
          <w:bCs/>
          <w:sz w:val="44"/>
          <w:szCs w:val="44"/>
          <w:shd w:val="clear" w:color="auto" w:fill="FFFFFF"/>
          <w:lang w:eastAsia="zh-CN"/>
        </w:rPr>
        <w:t>的</w:t>
      </w:r>
      <w:r>
        <w:rPr>
          <w:rFonts w:hint="default" w:ascii="Times New Roman" w:hAnsi="Times New Roman" w:eastAsia="方正小标宋简体" w:cs="Times New Roman"/>
          <w:b w:val="0"/>
          <w:bCs/>
          <w:sz w:val="44"/>
          <w:szCs w:val="44"/>
          <w:shd w:val="clear" w:color="auto" w:fill="FFFFFF"/>
        </w:rPr>
        <w:t>报告</w:t>
      </w:r>
    </w:p>
    <w:p w14:paraId="5CDC803B">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1903A07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rPr>
      </w:pPr>
      <w:r>
        <w:rPr>
          <w:rFonts w:hint="eastAsia"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部门基本情况</w:t>
      </w:r>
    </w:p>
    <w:p w14:paraId="59AA1464">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eastAsia="楷体_GB2312" w:cs="Times New Roman"/>
          <w:b/>
          <w:bCs/>
          <w:color w:val="000000"/>
          <w:kern w:val="0"/>
          <w:sz w:val="32"/>
          <w:szCs w:val="32"/>
          <w:highlight w:val="none"/>
          <w:shd w:val="clear" w:color="auto" w:fill="FFFFFF"/>
          <w:lang w:val="zh-CN"/>
        </w:rPr>
        <w:t>（一）</w:t>
      </w:r>
      <w:r>
        <w:rPr>
          <w:rFonts w:hint="default" w:ascii="Times New Roman" w:hAnsi="Times New Roman" w:eastAsia="楷体_GB2312" w:cs="Times New Roman"/>
          <w:b/>
          <w:bCs/>
          <w:color w:val="000000"/>
          <w:kern w:val="0"/>
          <w:sz w:val="32"/>
          <w:szCs w:val="32"/>
          <w:highlight w:val="none"/>
          <w:shd w:val="clear" w:color="auto" w:fill="FFFFFF"/>
          <w:lang w:val="zh-CN"/>
        </w:rPr>
        <w:t>机构组成。</w:t>
      </w:r>
      <w:r>
        <w:rPr>
          <w:rFonts w:hint="default" w:ascii="Times New Roman" w:hAnsi="Times New Roman" w:eastAsia="仿宋_GB2312" w:cs="Times New Roman"/>
          <w:sz w:val="32"/>
          <w:szCs w:val="32"/>
        </w:rPr>
        <w:t>大竹县市政工程管理处</w:t>
      </w:r>
      <w:r>
        <w:rPr>
          <w:rFonts w:hint="default" w:ascii="Times New Roman" w:hAnsi="Times New Roman" w:eastAsia="仿宋_GB2312" w:cs="Times New Roman"/>
          <w:sz w:val="32"/>
          <w:szCs w:val="32"/>
          <w:lang w:eastAsia="zh-CN"/>
        </w:rPr>
        <w:t>为大竹县住房和城乡规划建设局的下属</w:t>
      </w:r>
      <w:r>
        <w:rPr>
          <w:rFonts w:hint="default" w:ascii="Times New Roman" w:hAnsi="Times New Roman" w:eastAsia="仿宋_GB2312" w:cs="Times New Roman"/>
          <w:sz w:val="32"/>
          <w:szCs w:val="32"/>
        </w:rPr>
        <w:t>事业单位，财政一级预算。</w:t>
      </w:r>
    </w:p>
    <w:p w14:paraId="2399C92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（二）机构职能</w:t>
      </w:r>
      <w:r>
        <w:rPr>
          <w:rFonts w:hint="eastAsia"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rPr>
        <w:t>大竹县市政工程管理处的基本</w:t>
      </w:r>
      <w:r>
        <w:rPr>
          <w:rFonts w:hint="default" w:ascii="Times New Roman" w:hAnsi="Times New Roman" w:eastAsia="仿宋_GB2312" w:cs="Times New Roman"/>
          <w:bCs/>
          <w:sz w:val="32"/>
          <w:szCs w:val="32"/>
        </w:rPr>
        <w:t>职能</w:t>
      </w:r>
      <w:r>
        <w:rPr>
          <w:rFonts w:hint="default" w:ascii="Times New Roman" w:hAnsi="Times New Roman" w:eastAsia="仿宋_GB2312" w:cs="Times New Roman"/>
          <w:bCs/>
          <w:sz w:val="32"/>
          <w:szCs w:val="32"/>
          <w:lang w:eastAsia="zh-CN"/>
        </w:rPr>
        <w:t>为</w:t>
      </w:r>
      <w:r>
        <w:rPr>
          <w:rFonts w:hint="default" w:ascii="Times New Roman" w:hAnsi="Times New Roman" w:eastAsia="仿宋_GB2312" w:cs="Times New Roman"/>
          <w:bCs/>
          <w:sz w:val="32"/>
          <w:szCs w:val="32"/>
        </w:rPr>
        <w:t>负责对已建成的城市基础设施按照技术规范进行养护和维修工作；参与城市市政基础设施建设工作；参与市政基础设施建设工程的验收工作；受县住建局的委托承担城市道路、</w:t>
      </w:r>
      <w:r>
        <w:rPr>
          <w:rFonts w:hint="default" w:ascii="Times New Roman" w:hAnsi="Times New Roman" w:eastAsia="仿宋_GB2312" w:cs="Times New Roman"/>
          <w:bCs/>
          <w:sz w:val="32"/>
          <w:szCs w:val="32"/>
          <w:lang w:eastAsia="zh-CN"/>
        </w:rPr>
        <w:t>县</w:t>
      </w:r>
      <w:r>
        <w:rPr>
          <w:rFonts w:hint="default" w:ascii="Times New Roman" w:hAnsi="Times New Roman" w:eastAsia="仿宋_GB2312" w:cs="Times New Roman"/>
          <w:bCs/>
          <w:sz w:val="32"/>
          <w:szCs w:val="32"/>
        </w:rPr>
        <w:t>容</w:t>
      </w:r>
      <w:r>
        <w:rPr>
          <w:rFonts w:hint="default" w:ascii="Times New Roman" w:hAnsi="Times New Roman" w:eastAsia="仿宋_GB2312" w:cs="Times New Roman"/>
          <w:bCs/>
          <w:sz w:val="32"/>
          <w:szCs w:val="32"/>
          <w:lang w:eastAsia="zh-CN"/>
        </w:rPr>
        <w:t>县</w:t>
      </w:r>
      <w:r>
        <w:rPr>
          <w:rFonts w:hint="default" w:ascii="Times New Roman" w:hAnsi="Times New Roman" w:eastAsia="仿宋_GB2312" w:cs="Times New Roman"/>
          <w:bCs/>
          <w:sz w:val="32"/>
          <w:szCs w:val="32"/>
        </w:rPr>
        <w:t>貌、道路开挖、临时占道、市政广场、防汛排涝的管理工作。</w:t>
      </w:r>
    </w:p>
    <w:p w14:paraId="06EAAD74">
      <w:pPr>
        <w:widowControl/>
        <w:numPr>
          <w:ilvl w:val="0"/>
          <w:numId w:val="0"/>
        </w:numPr>
        <w:adjustRightInd w:val="0"/>
        <w:snapToGrid w:val="0"/>
        <w:spacing w:line="580" w:lineRule="exact"/>
        <w:ind w:leftChars="200"/>
        <w:contextualSpacing/>
        <w:jc w:val="left"/>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年末，大竹县市政工程管理处</w:t>
      </w:r>
    </w:p>
    <w:p w14:paraId="0879B27E">
      <w:pPr>
        <w:widowControl/>
        <w:numPr>
          <w:ilvl w:val="0"/>
          <w:numId w:val="0"/>
        </w:numPr>
        <w:adjustRightInd w:val="0"/>
        <w:snapToGrid w:val="0"/>
        <w:spacing w:line="580" w:lineRule="exact"/>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编制数为</w:t>
      </w:r>
      <w:r>
        <w:rPr>
          <w:rFonts w:hint="default" w:ascii="Times New Roman" w:hAnsi="Times New Roman" w:eastAsia="仿宋_GB2312" w:cs="Times New Roman"/>
          <w:sz w:val="32"/>
          <w:szCs w:val="32"/>
          <w:lang w:val="en-US" w:eastAsia="zh-CN"/>
        </w:rPr>
        <w:t>40人，实有在职职工3</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人，退休职工2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人。</w:t>
      </w:r>
    </w:p>
    <w:p w14:paraId="627A35D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14:paraId="16E5FC9C">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en-US"/>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（一）</w:t>
      </w:r>
      <w:r>
        <w:rPr>
          <w:rFonts w:hint="eastAsia" w:eastAsia="楷体_GB2312" w:cs="Times New Roman"/>
          <w:b w:val="0"/>
          <w:bCs w:val="0"/>
          <w:color w:val="000000"/>
          <w:kern w:val="0"/>
          <w:sz w:val="32"/>
          <w:szCs w:val="32"/>
          <w:highlight w:val="none"/>
          <w:shd w:val="clear" w:color="auto" w:fill="FFFFFF"/>
          <w:lang w:val="zh-CN"/>
        </w:rPr>
        <w:t>收入情况</w:t>
      </w:r>
      <w:r>
        <w:rPr>
          <w:rFonts w:hint="default" w:ascii="Times New Roman" w:hAnsi="Times New Roman" w:eastAsia="楷体_GB2312" w:cs="Times New Roman"/>
          <w:b w:val="0"/>
          <w:bCs w:val="0"/>
          <w:color w:val="000000"/>
          <w:kern w:val="0"/>
          <w:sz w:val="32"/>
          <w:szCs w:val="32"/>
          <w:highlight w:val="none"/>
          <w:shd w:val="clear" w:color="auto" w:fill="FFFFFF"/>
          <w:lang w:val="zh-CN"/>
        </w:rPr>
        <w:t>。</w:t>
      </w:r>
      <w:r>
        <w:rPr>
          <w:rFonts w:hint="default" w:ascii="Times New Roman" w:hAnsi="Times New Roman" w:eastAsia="仿宋_GB2312" w:cs="Times New Roman"/>
          <w:b w:val="0"/>
          <w:bCs w:val="0"/>
          <w:color w:val="000000"/>
          <w:kern w:val="0"/>
          <w:sz w:val="32"/>
          <w:szCs w:val="32"/>
          <w:shd w:val="clear" w:color="auto" w:fill="FFFFFF"/>
          <w:lang w:val="en-US" w:eastAsia="zh-CN"/>
        </w:rPr>
        <w:t>202</w:t>
      </w:r>
      <w:r>
        <w:rPr>
          <w:rFonts w:hint="eastAsia" w:eastAsia="仿宋_GB2312" w:cs="Times New Roman"/>
          <w:b w:val="0"/>
          <w:bCs w:val="0"/>
          <w:color w:val="000000"/>
          <w:kern w:val="0"/>
          <w:sz w:val="32"/>
          <w:szCs w:val="32"/>
          <w:shd w:val="clear" w:color="auto" w:fill="FFFFFF"/>
          <w:lang w:val="en-US" w:eastAsia="zh-CN"/>
        </w:rPr>
        <w:t>3</w:t>
      </w:r>
      <w:r>
        <w:rPr>
          <w:rFonts w:hint="default" w:ascii="Times New Roman" w:hAnsi="Times New Roman" w:eastAsia="仿宋_GB2312" w:cs="Times New Roman"/>
          <w:b w:val="0"/>
          <w:bCs w:val="0"/>
          <w:color w:val="000000"/>
          <w:kern w:val="0"/>
          <w:sz w:val="32"/>
          <w:szCs w:val="32"/>
          <w:shd w:val="clear" w:color="auto" w:fill="FFFFFF"/>
          <w:lang w:val="en-US" w:eastAsia="zh-CN"/>
        </w:rPr>
        <w:t>年大竹县市政工程管理处本年</w:t>
      </w:r>
      <w:r>
        <w:rPr>
          <w:rFonts w:hint="eastAsia" w:ascii="Times New Roman" w:hAnsi="Times New Roman" w:eastAsia="仿宋_GB2312" w:cs="Times New Roman"/>
          <w:b w:val="0"/>
          <w:bCs w:val="0"/>
          <w:color w:val="000000"/>
          <w:kern w:val="0"/>
          <w:sz w:val="32"/>
          <w:szCs w:val="32"/>
          <w:shd w:val="clear" w:color="auto" w:fill="FFFFFF"/>
          <w:lang w:val="en-US" w:eastAsia="zh-CN"/>
        </w:rPr>
        <w:t>年初预算金额为1972.91万元，其中：</w:t>
      </w:r>
      <w:r>
        <w:rPr>
          <w:rFonts w:hint="default" w:ascii="Times New Roman" w:hAnsi="Times New Roman" w:eastAsia="仿宋_GB2312" w:cs="Times New Roman"/>
          <w:b w:val="0"/>
          <w:bCs w:val="0"/>
          <w:color w:val="000000"/>
          <w:kern w:val="0"/>
          <w:sz w:val="32"/>
          <w:szCs w:val="32"/>
          <w:shd w:val="clear" w:color="auto" w:fill="FFFFFF"/>
          <w:lang w:val="en-US" w:eastAsia="zh-CN"/>
        </w:rPr>
        <w:t>一般公共预算财政拨款收入</w:t>
      </w:r>
      <w:r>
        <w:rPr>
          <w:rFonts w:hint="eastAsia" w:eastAsia="仿宋_GB2312" w:cs="Times New Roman"/>
          <w:b w:val="0"/>
          <w:bCs w:val="0"/>
          <w:color w:val="000000"/>
          <w:kern w:val="0"/>
          <w:sz w:val="32"/>
          <w:szCs w:val="32"/>
          <w:shd w:val="clear" w:color="auto" w:fill="FFFFFF"/>
          <w:lang w:val="en-US" w:eastAsia="zh-CN"/>
        </w:rPr>
        <w:t>1472.91</w:t>
      </w:r>
      <w:r>
        <w:rPr>
          <w:rFonts w:hint="default" w:ascii="Times New Roman" w:hAnsi="Times New Roman" w:eastAsia="仿宋_GB2312" w:cs="Times New Roman"/>
          <w:b w:val="0"/>
          <w:bCs w:val="0"/>
          <w:color w:val="000000"/>
          <w:kern w:val="0"/>
          <w:sz w:val="32"/>
          <w:szCs w:val="32"/>
          <w:shd w:val="clear" w:color="auto" w:fill="FFFFFF"/>
          <w:lang w:val="en-US" w:eastAsia="zh-CN"/>
        </w:rPr>
        <w:t>万元</w:t>
      </w:r>
      <w:r>
        <w:rPr>
          <w:rFonts w:hint="eastAsia" w:eastAsia="仿宋_GB2312" w:cs="Times New Roman"/>
          <w:b w:val="0"/>
          <w:bCs w:val="0"/>
          <w:color w:val="000000"/>
          <w:kern w:val="0"/>
          <w:sz w:val="32"/>
          <w:szCs w:val="32"/>
          <w:shd w:val="clear" w:color="auto" w:fill="FFFFFF"/>
          <w:lang w:val="en-US" w:eastAsia="zh-CN"/>
        </w:rPr>
        <w:t>，政府性基金预算财政拨款收入500万元；2023年</w:t>
      </w:r>
      <w:r>
        <w:rPr>
          <w:rFonts w:hint="eastAsia" w:ascii="Times New Roman" w:hAnsi="Times New Roman" w:eastAsia="仿宋_GB2312" w:cs="Times New Roman"/>
          <w:b w:val="0"/>
          <w:bCs w:val="0"/>
          <w:color w:val="000000"/>
          <w:kern w:val="0"/>
          <w:sz w:val="32"/>
          <w:szCs w:val="32"/>
          <w:shd w:val="clear" w:color="auto" w:fill="FFFFFF"/>
          <w:lang w:val="en-US" w:eastAsia="zh-CN"/>
        </w:rPr>
        <w:t>决算</w:t>
      </w:r>
      <w:r>
        <w:rPr>
          <w:rFonts w:hint="default" w:ascii="Times New Roman" w:hAnsi="Times New Roman" w:eastAsia="仿宋_GB2312" w:cs="Times New Roman"/>
          <w:b w:val="0"/>
          <w:bCs w:val="0"/>
          <w:color w:val="000000"/>
          <w:kern w:val="0"/>
          <w:sz w:val="32"/>
          <w:szCs w:val="32"/>
          <w:shd w:val="clear" w:color="auto" w:fill="FFFFFF"/>
          <w:lang w:val="en-US" w:eastAsia="zh-CN"/>
        </w:rPr>
        <w:t>收入合计</w:t>
      </w:r>
      <w:r>
        <w:rPr>
          <w:rFonts w:hint="eastAsia" w:eastAsia="仿宋_GB2312" w:cs="Times New Roman"/>
          <w:b w:val="0"/>
          <w:bCs w:val="0"/>
          <w:color w:val="000000"/>
          <w:kern w:val="0"/>
          <w:sz w:val="32"/>
          <w:szCs w:val="32"/>
          <w:shd w:val="clear" w:color="auto" w:fill="FFFFFF"/>
          <w:lang w:val="en-US" w:eastAsia="zh-CN"/>
        </w:rPr>
        <w:t>1765.08</w:t>
      </w:r>
      <w:r>
        <w:rPr>
          <w:rFonts w:hint="default" w:ascii="Times New Roman" w:hAnsi="Times New Roman" w:eastAsia="仿宋_GB2312" w:cs="Times New Roman"/>
          <w:b w:val="0"/>
          <w:bCs w:val="0"/>
          <w:color w:val="000000"/>
          <w:kern w:val="0"/>
          <w:sz w:val="32"/>
          <w:szCs w:val="32"/>
          <w:shd w:val="clear" w:color="auto" w:fill="FFFFFF"/>
          <w:lang w:val="en-US" w:eastAsia="zh-CN"/>
        </w:rPr>
        <w:t>万元，其中：一般公共预算财政拨款收入</w:t>
      </w:r>
      <w:r>
        <w:rPr>
          <w:rFonts w:hint="eastAsia" w:ascii="Times New Roman" w:hAnsi="Times New Roman" w:eastAsia="仿宋_GB2312" w:cs="Times New Roman"/>
          <w:b w:val="0"/>
          <w:bCs w:val="0"/>
          <w:color w:val="000000"/>
          <w:kern w:val="0"/>
          <w:sz w:val="32"/>
          <w:szCs w:val="32"/>
          <w:shd w:val="clear" w:color="auto" w:fill="FFFFFF"/>
          <w:lang w:val="en-US" w:eastAsia="zh-CN"/>
        </w:rPr>
        <w:t>714.07</w:t>
      </w:r>
      <w:r>
        <w:rPr>
          <w:rFonts w:hint="default" w:ascii="Times New Roman" w:hAnsi="Times New Roman" w:eastAsia="仿宋_GB2312" w:cs="Times New Roman"/>
          <w:b w:val="0"/>
          <w:bCs w:val="0"/>
          <w:color w:val="000000"/>
          <w:kern w:val="0"/>
          <w:sz w:val="32"/>
          <w:szCs w:val="32"/>
          <w:shd w:val="clear" w:color="auto" w:fill="FFFFFF"/>
          <w:lang w:val="en-US" w:eastAsia="zh-CN"/>
        </w:rPr>
        <w:t>万元</w:t>
      </w:r>
      <w:r>
        <w:rPr>
          <w:rFonts w:hint="eastAsia" w:ascii="Times New Roman" w:hAnsi="Times New Roman" w:eastAsia="仿宋_GB2312" w:cs="Times New Roman"/>
          <w:b w:val="0"/>
          <w:bCs w:val="0"/>
          <w:color w:val="000000"/>
          <w:kern w:val="0"/>
          <w:sz w:val="32"/>
          <w:szCs w:val="32"/>
          <w:shd w:val="clear" w:color="auto" w:fill="FFFFFF"/>
          <w:lang w:val="en-US" w:eastAsia="zh-CN"/>
        </w:rPr>
        <w:t>；</w:t>
      </w:r>
      <w:r>
        <w:rPr>
          <w:rFonts w:hint="eastAsia" w:eastAsia="仿宋_GB2312" w:cs="Times New Roman"/>
          <w:b w:val="0"/>
          <w:bCs w:val="0"/>
          <w:color w:val="000000"/>
          <w:kern w:val="0"/>
          <w:sz w:val="32"/>
          <w:szCs w:val="32"/>
          <w:shd w:val="clear" w:color="auto" w:fill="FFFFFF"/>
          <w:lang w:val="en-US" w:eastAsia="zh-CN"/>
        </w:rPr>
        <w:t>政府性基金预算财政拨款收入1026.87万元，年初结转结余24.14万元。</w:t>
      </w:r>
    </w:p>
    <w:p w14:paraId="24C6531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w:t>
      </w:r>
      <w:r>
        <w:rPr>
          <w:rFonts w:hint="eastAsia" w:eastAsia="楷体_GB2312" w:cs="Times New Roman"/>
          <w:b w:val="0"/>
          <w:bCs w:val="0"/>
          <w:color w:val="000000"/>
          <w:kern w:val="0"/>
          <w:sz w:val="32"/>
          <w:szCs w:val="32"/>
          <w:highlight w:val="none"/>
          <w:shd w:val="clear" w:color="auto" w:fill="FFFFFF"/>
          <w:lang w:val="zh-CN"/>
        </w:rPr>
        <w:t>二</w:t>
      </w:r>
      <w:r>
        <w:rPr>
          <w:rFonts w:hint="default" w:ascii="Times New Roman" w:hAnsi="Times New Roman" w:eastAsia="楷体_GB2312" w:cs="Times New Roman"/>
          <w:b w:val="0"/>
          <w:bCs w:val="0"/>
          <w:color w:val="000000"/>
          <w:kern w:val="0"/>
          <w:sz w:val="32"/>
          <w:szCs w:val="32"/>
          <w:highlight w:val="none"/>
          <w:shd w:val="clear" w:color="auto" w:fill="FFFFFF"/>
          <w:lang w:val="zh-CN"/>
        </w:rPr>
        <w:t>）</w:t>
      </w:r>
      <w:r>
        <w:rPr>
          <w:rFonts w:hint="eastAsia" w:eastAsia="楷体_GB2312" w:cs="Times New Roman"/>
          <w:b w:val="0"/>
          <w:bCs w:val="0"/>
          <w:color w:val="000000"/>
          <w:kern w:val="0"/>
          <w:sz w:val="32"/>
          <w:szCs w:val="32"/>
          <w:highlight w:val="none"/>
          <w:shd w:val="clear" w:color="auto" w:fill="FFFFFF"/>
          <w:lang w:val="zh-CN"/>
        </w:rPr>
        <w:t>支出情况</w:t>
      </w:r>
      <w:r>
        <w:rPr>
          <w:rFonts w:hint="default" w:ascii="Times New Roman" w:hAnsi="Times New Roman" w:eastAsia="楷体_GB2312" w:cs="Times New Roman"/>
          <w:b w:val="0"/>
          <w:bCs w:val="0"/>
          <w:color w:val="000000"/>
          <w:kern w:val="0"/>
          <w:sz w:val="32"/>
          <w:szCs w:val="32"/>
          <w:highlight w:val="none"/>
          <w:shd w:val="clear" w:color="auto" w:fill="FFFFFF"/>
          <w:lang w:val="zh-CN"/>
        </w:rPr>
        <w:t>。</w:t>
      </w:r>
      <w:r>
        <w:rPr>
          <w:rFonts w:hint="default" w:ascii="Times New Roman" w:hAnsi="Times New Roman" w:eastAsia="仿宋_GB2312" w:cs="Times New Roman"/>
          <w:b w:val="0"/>
          <w:bCs w:val="0"/>
          <w:color w:val="000000"/>
          <w:kern w:val="0"/>
          <w:sz w:val="32"/>
          <w:szCs w:val="32"/>
          <w:shd w:val="clear" w:color="auto" w:fill="FFFFFF"/>
          <w:lang w:val="en-US" w:eastAsia="zh-CN"/>
        </w:rPr>
        <w:t>202</w:t>
      </w:r>
      <w:r>
        <w:rPr>
          <w:rFonts w:hint="eastAsia" w:eastAsia="仿宋_GB2312" w:cs="Times New Roman"/>
          <w:b w:val="0"/>
          <w:bCs w:val="0"/>
          <w:color w:val="000000"/>
          <w:kern w:val="0"/>
          <w:sz w:val="32"/>
          <w:szCs w:val="32"/>
          <w:shd w:val="clear" w:color="auto" w:fill="FFFFFF"/>
          <w:lang w:val="en-US" w:eastAsia="zh-CN"/>
        </w:rPr>
        <w:t>3</w:t>
      </w:r>
      <w:r>
        <w:rPr>
          <w:rFonts w:hint="default" w:ascii="Times New Roman" w:hAnsi="Times New Roman" w:eastAsia="仿宋_GB2312" w:cs="Times New Roman"/>
          <w:b w:val="0"/>
          <w:bCs w:val="0"/>
          <w:color w:val="000000"/>
          <w:kern w:val="0"/>
          <w:sz w:val="32"/>
          <w:szCs w:val="32"/>
          <w:shd w:val="clear" w:color="auto" w:fill="FFFFFF"/>
          <w:lang w:val="en-US" w:eastAsia="zh-CN"/>
        </w:rPr>
        <w:t>年大竹县市政工程管理处</w:t>
      </w:r>
      <w:r>
        <w:rPr>
          <w:rFonts w:hint="eastAsia" w:ascii="Times New Roman" w:hAnsi="Times New Roman" w:eastAsia="仿宋_GB2312" w:cs="Times New Roman"/>
          <w:b w:val="0"/>
          <w:bCs w:val="0"/>
          <w:color w:val="000000"/>
          <w:kern w:val="0"/>
          <w:sz w:val="32"/>
          <w:szCs w:val="32"/>
          <w:shd w:val="clear" w:color="auto" w:fill="FFFFFF"/>
          <w:lang w:val="en-US" w:eastAsia="zh-CN"/>
        </w:rPr>
        <w:t>年初预算</w:t>
      </w:r>
      <w:r>
        <w:rPr>
          <w:rFonts w:hint="default" w:ascii="Times New Roman" w:hAnsi="Times New Roman" w:eastAsia="仿宋_GB2312" w:cs="Times New Roman"/>
          <w:b w:val="0"/>
          <w:bCs w:val="0"/>
          <w:color w:val="000000"/>
          <w:kern w:val="0"/>
          <w:sz w:val="32"/>
          <w:szCs w:val="32"/>
          <w:shd w:val="clear" w:color="auto" w:fill="FFFFFF"/>
          <w:lang w:val="en-US" w:eastAsia="zh-CN"/>
        </w:rPr>
        <w:t>支出合计</w:t>
      </w:r>
      <w:r>
        <w:rPr>
          <w:rFonts w:hint="eastAsia" w:eastAsia="仿宋_GB2312" w:cs="Times New Roman"/>
          <w:b w:val="0"/>
          <w:bCs w:val="0"/>
          <w:color w:val="000000"/>
          <w:kern w:val="0"/>
          <w:sz w:val="32"/>
          <w:szCs w:val="32"/>
          <w:shd w:val="clear" w:color="auto" w:fill="FFFFFF"/>
          <w:lang w:val="en-US" w:eastAsia="zh-CN"/>
        </w:rPr>
        <w:t>1972.91</w:t>
      </w:r>
      <w:r>
        <w:rPr>
          <w:rFonts w:hint="default" w:ascii="Times New Roman" w:hAnsi="Times New Roman" w:eastAsia="仿宋_GB2312" w:cs="Times New Roman"/>
          <w:b w:val="0"/>
          <w:bCs w:val="0"/>
          <w:color w:val="000000"/>
          <w:kern w:val="0"/>
          <w:sz w:val="32"/>
          <w:szCs w:val="32"/>
          <w:shd w:val="clear" w:color="auto" w:fill="FFFFFF"/>
          <w:lang w:val="en-US" w:eastAsia="zh-CN"/>
        </w:rPr>
        <w:t>万元，其中：基本支出</w:t>
      </w:r>
      <w:r>
        <w:rPr>
          <w:rFonts w:hint="eastAsia" w:eastAsia="仿宋_GB2312" w:cs="Times New Roman"/>
          <w:b w:val="0"/>
          <w:bCs w:val="0"/>
          <w:color w:val="000000"/>
          <w:kern w:val="0"/>
          <w:sz w:val="32"/>
          <w:szCs w:val="32"/>
          <w:shd w:val="clear" w:color="auto" w:fill="FFFFFF"/>
          <w:lang w:val="en-US" w:eastAsia="zh-CN"/>
        </w:rPr>
        <w:t>619.71</w:t>
      </w:r>
      <w:r>
        <w:rPr>
          <w:rFonts w:hint="default" w:ascii="Times New Roman" w:hAnsi="Times New Roman" w:eastAsia="仿宋_GB2312" w:cs="Times New Roman"/>
          <w:b w:val="0"/>
          <w:bCs w:val="0"/>
          <w:color w:val="000000"/>
          <w:kern w:val="0"/>
          <w:sz w:val="32"/>
          <w:szCs w:val="32"/>
          <w:shd w:val="clear" w:color="auto" w:fill="FFFFFF"/>
          <w:lang w:val="en-US" w:eastAsia="zh-CN"/>
        </w:rPr>
        <w:t>万元，项目支出</w:t>
      </w:r>
      <w:r>
        <w:rPr>
          <w:rFonts w:hint="eastAsia" w:eastAsia="仿宋_GB2312" w:cs="Times New Roman"/>
          <w:b w:val="0"/>
          <w:bCs w:val="0"/>
          <w:color w:val="000000"/>
          <w:kern w:val="0"/>
          <w:sz w:val="32"/>
          <w:szCs w:val="32"/>
          <w:shd w:val="clear" w:color="auto" w:fill="FFFFFF"/>
          <w:lang w:val="en-US" w:eastAsia="zh-CN"/>
        </w:rPr>
        <w:t>1353.20</w:t>
      </w:r>
      <w:r>
        <w:rPr>
          <w:rFonts w:hint="default" w:ascii="Times New Roman" w:hAnsi="Times New Roman" w:eastAsia="仿宋_GB2312" w:cs="Times New Roman"/>
          <w:b w:val="0"/>
          <w:bCs w:val="0"/>
          <w:color w:val="000000"/>
          <w:kern w:val="0"/>
          <w:sz w:val="32"/>
          <w:szCs w:val="32"/>
          <w:shd w:val="clear" w:color="auto" w:fill="FFFFFF"/>
          <w:lang w:val="en-US" w:eastAsia="zh-CN"/>
        </w:rPr>
        <w:t>万元</w:t>
      </w:r>
      <w:r>
        <w:rPr>
          <w:rFonts w:hint="eastAsia" w:ascii="Times New Roman" w:hAnsi="Times New Roman" w:eastAsia="仿宋_GB2312" w:cs="Times New Roman"/>
          <w:b w:val="0"/>
          <w:bCs w:val="0"/>
          <w:color w:val="000000"/>
          <w:kern w:val="0"/>
          <w:sz w:val="32"/>
          <w:szCs w:val="32"/>
          <w:shd w:val="clear" w:color="auto" w:fill="FFFFFF"/>
          <w:lang w:val="en-US" w:eastAsia="zh-CN"/>
        </w:rPr>
        <w:t>；决算报表支出合计1765.08万元，其中：</w:t>
      </w:r>
      <w:r>
        <w:rPr>
          <w:rFonts w:hint="default" w:ascii="Times New Roman" w:hAnsi="Times New Roman" w:eastAsia="仿宋_GB2312" w:cs="Times New Roman"/>
          <w:b w:val="0"/>
          <w:bCs w:val="0"/>
          <w:color w:val="000000"/>
          <w:kern w:val="0"/>
          <w:sz w:val="32"/>
          <w:szCs w:val="32"/>
          <w:shd w:val="clear" w:color="auto" w:fill="FFFFFF"/>
          <w:lang w:val="en-US" w:eastAsia="zh-CN"/>
        </w:rPr>
        <w:t>基本支出</w:t>
      </w:r>
      <w:r>
        <w:rPr>
          <w:rFonts w:hint="eastAsia" w:eastAsia="仿宋_GB2312" w:cs="Times New Roman"/>
          <w:b w:val="0"/>
          <w:bCs w:val="0"/>
          <w:color w:val="000000"/>
          <w:kern w:val="0"/>
          <w:sz w:val="32"/>
          <w:szCs w:val="32"/>
          <w:shd w:val="clear" w:color="auto" w:fill="FFFFFF"/>
          <w:lang w:val="en-US" w:eastAsia="zh-CN"/>
        </w:rPr>
        <w:t>648.65</w:t>
      </w:r>
      <w:r>
        <w:rPr>
          <w:rFonts w:hint="default" w:ascii="Times New Roman" w:hAnsi="Times New Roman" w:eastAsia="仿宋_GB2312" w:cs="Times New Roman"/>
          <w:b w:val="0"/>
          <w:bCs w:val="0"/>
          <w:color w:val="000000"/>
          <w:kern w:val="0"/>
          <w:sz w:val="32"/>
          <w:szCs w:val="32"/>
          <w:shd w:val="clear" w:color="auto" w:fill="FFFFFF"/>
          <w:lang w:val="en-US" w:eastAsia="zh-CN"/>
        </w:rPr>
        <w:t>万元，项目支出</w:t>
      </w:r>
      <w:r>
        <w:rPr>
          <w:rFonts w:hint="eastAsia" w:eastAsia="仿宋_GB2312" w:cs="Times New Roman"/>
          <w:b w:val="0"/>
          <w:bCs w:val="0"/>
          <w:color w:val="000000"/>
          <w:kern w:val="0"/>
          <w:sz w:val="32"/>
          <w:szCs w:val="32"/>
          <w:shd w:val="clear" w:color="auto" w:fill="FFFFFF"/>
          <w:lang w:val="en-US" w:eastAsia="zh-CN"/>
        </w:rPr>
        <w:t>1116.43</w:t>
      </w:r>
      <w:r>
        <w:rPr>
          <w:rFonts w:hint="default" w:ascii="Times New Roman" w:hAnsi="Times New Roman" w:eastAsia="仿宋_GB2312" w:cs="Times New Roman"/>
          <w:b w:val="0"/>
          <w:bCs w:val="0"/>
          <w:color w:val="000000"/>
          <w:kern w:val="0"/>
          <w:sz w:val="32"/>
          <w:szCs w:val="32"/>
          <w:shd w:val="clear" w:color="auto" w:fill="FFFFFF"/>
          <w:lang w:val="en-US" w:eastAsia="zh-CN"/>
        </w:rPr>
        <w:t>万元</w:t>
      </w:r>
    </w:p>
    <w:p w14:paraId="7F441FC8">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val="0"/>
          <w:bCs w:val="0"/>
          <w:color w:val="000000"/>
          <w:kern w:val="0"/>
          <w:sz w:val="32"/>
          <w:szCs w:val="32"/>
          <w:highlight w:val="none"/>
          <w:shd w:val="clear" w:color="auto" w:fill="FFFFFF"/>
          <w:lang w:val="zh-CN" w:eastAsia="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w:t>
      </w:r>
      <w:r>
        <w:rPr>
          <w:rFonts w:hint="eastAsia" w:eastAsia="楷体_GB2312" w:cs="Times New Roman"/>
          <w:b w:val="0"/>
          <w:bCs w:val="0"/>
          <w:color w:val="000000"/>
          <w:kern w:val="0"/>
          <w:sz w:val="32"/>
          <w:szCs w:val="32"/>
          <w:highlight w:val="none"/>
          <w:shd w:val="clear" w:color="auto" w:fill="FFFFFF"/>
          <w:lang w:val="zh-CN"/>
        </w:rPr>
        <w:t>三</w:t>
      </w:r>
      <w:r>
        <w:rPr>
          <w:rFonts w:hint="default" w:ascii="Times New Roman" w:hAnsi="Times New Roman" w:eastAsia="楷体_GB2312" w:cs="Times New Roman"/>
          <w:b w:val="0"/>
          <w:bCs w:val="0"/>
          <w:color w:val="000000"/>
          <w:kern w:val="0"/>
          <w:sz w:val="32"/>
          <w:szCs w:val="32"/>
          <w:highlight w:val="none"/>
          <w:shd w:val="clear" w:color="auto" w:fill="FFFFFF"/>
          <w:lang w:val="zh-CN"/>
        </w:rPr>
        <w:t>）</w:t>
      </w:r>
      <w:r>
        <w:rPr>
          <w:rFonts w:hint="default" w:ascii="Times New Roman" w:hAnsi="Times New Roman" w:eastAsia="楷体_GB2312" w:cs="Times New Roman"/>
          <w:b w:val="0"/>
          <w:bCs w:val="0"/>
          <w:sz w:val="32"/>
          <w:szCs w:val="32"/>
        </w:rPr>
        <w:t>结余分配和结转结余情况</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b w:val="0"/>
          <w:bCs w:val="0"/>
          <w:color w:val="000000"/>
          <w:kern w:val="0"/>
          <w:sz w:val="32"/>
          <w:szCs w:val="32"/>
          <w:shd w:val="clear" w:color="auto" w:fill="FFFFFF"/>
          <w:lang w:val="en-US" w:eastAsia="zh-CN"/>
        </w:rPr>
        <w:t>大竹县市政工程管理处</w:t>
      </w:r>
      <w:r>
        <w:rPr>
          <w:rFonts w:hint="eastAsia" w:eastAsia="仿宋_GB2312" w:cs="Times New Roman"/>
          <w:sz w:val="32"/>
          <w:szCs w:val="32"/>
          <w:lang w:val="en-US" w:eastAsia="zh-CN"/>
        </w:rPr>
        <w:t>2023年</w:t>
      </w:r>
      <w:r>
        <w:rPr>
          <w:rFonts w:hint="eastAsia" w:ascii="Times New Roman" w:hAnsi="Times New Roman" w:eastAsia="仿宋_GB2312" w:cs="Times New Roman"/>
          <w:sz w:val="32"/>
          <w:szCs w:val="32"/>
          <w:lang w:val="en-US" w:eastAsia="zh-CN"/>
        </w:rPr>
        <w:t>决算报表</w:t>
      </w:r>
      <w:r>
        <w:rPr>
          <w:rFonts w:hint="eastAsia" w:eastAsia="仿宋_GB2312" w:cs="Times New Roman"/>
          <w:sz w:val="32"/>
          <w:szCs w:val="32"/>
          <w:lang w:val="en-US" w:eastAsia="zh-CN"/>
        </w:rPr>
        <w:t>无</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结转结余</w:t>
      </w:r>
      <w:r>
        <w:rPr>
          <w:rFonts w:hint="eastAsia" w:eastAsia="仿宋_GB2312" w:cs="Times New Roman"/>
          <w:b w:val="0"/>
          <w:bCs w:val="0"/>
          <w:color w:val="000000"/>
          <w:kern w:val="0"/>
          <w:sz w:val="32"/>
          <w:szCs w:val="32"/>
          <w:highlight w:val="none"/>
          <w:shd w:val="clear" w:color="auto" w:fill="FFFFFF"/>
          <w:lang w:val="en-US" w:eastAsia="zh-CN"/>
        </w:rPr>
        <w:t>情况</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w:t>
      </w:r>
    </w:p>
    <w:p w14:paraId="3DFECDA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 w:val="32"/>
          <w:szCs w:val="32"/>
          <w:highlight w:val="none"/>
          <w:shd w:val="clear" w:color="auto" w:fill="FFFFFF"/>
        </w:rPr>
        <w:t>三、</w:t>
      </w:r>
      <w:r>
        <w:rPr>
          <w:rFonts w:hint="default" w:ascii="Times New Roman" w:hAnsi="Times New Roman" w:eastAsia="黑体" w:cs="Times New Roman"/>
          <w:color w:val="000000"/>
          <w:kern w:val="0"/>
          <w:sz w:val="32"/>
          <w:szCs w:val="32"/>
          <w:highlight w:val="none"/>
          <w:u w:val="none"/>
          <w:shd w:val="clear" w:color="auto" w:fill="FFFFFF"/>
        </w:rPr>
        <w:t>部门</w:t>
      </w:r>
      <w:r>
        <w:rPr>
          <w:rFonts w:hint="default" w:ascii="Times New Roman" w:hAnsi="Times New Roman" w:eastAsia="黑体" w:cs="Times New Roman"/>
          <w:color w:val="000000"/>
          <w:kern w:val="0"/>
          <w:sz w:val="32"/>
          <w:szCs w:val="32"/>
          <w:highlight w:val="none"/>
          <w:u w:val="none"/>
          <w:shd w:val="clear" w:color="auto" w:fill="FFFFFF"/>
          <w:lang w:eastAsia="zh-CN"/>
        </w:rPr>
        <w:t>预算</w:t>
      </w:r>
      <w:r>
        <w:rPr>
          <w:rFonts w:hint="default" w:ascii="Times New Roman" w:hAnsi="Times New Roman" w:eastAsia="黑体" w:cs="Times New Roman"/>
          <w:color w:val="000000"/>
          <w:kern w:val="0"/>
          <w:sz w:val="32"/>
          <w:szCs w:val="32"/>
          <w:highlight w:val="none"/>
          <w:u w:val="none"/>
          <w:shd w:val="clear" w:color="auto" w:fill="FFFFFF"/>
        </w:rPr>
        <w:t>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p>
    <w:p w14:paraId="36B36F2C">
      <w:pPr>
        <w:keepNext w:val="0"/>
        <w:keepLines w:val="0"/>
        <w:pageBreakBefore w:val="0"/>
        <w:widowControl/>
        <w:numPr>
          <w:ilvl w:val="0"/>
          <w:numId w:val="0"/>
        </w:numPr>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（一）</w:t>
      </w:r>
      <w:r>
        <w:rPr>
          <w:rFonts w:hint="eastAsia" w:eastAsia="楷体_GB2312" w:cs="Times New Roman"/>
          <w:b w:val="0"/>
          <w:bCs w:val="0"/>
          <w:color w:val="000000"/>
          <w:kern w:val="0"/>
          <w:sz w:val="32"/>
          <w:szCs w:val="32"/>
          <w:highlight w:val="none"/>
          <w:shd w:val="clear" w:color="auto" w:fill="FFFFFF"/>
          <w:lang w:val="zh-CN"/>
        </w:rPr>
        <w:t>部门预算</w:t>
      </w:r>
      <w:r>
        <w:rPr>
          <w:rFonts w:hint="default" w:ascii="Times New Roman" w:hAnsi="Times New Roman" w:eastAsia="楷体_GB2312" w:cs="Times New Roman"/>
          <w:b w:val="0"/>
          <w:bCs w:val="0"/>
          <w:color w:val="000000"/>
          <w:kern w:val="0"/>
          <w:sz w:val="32"/>
          <w:szCs w:val="32"/>
          <w:highlight w:val="none"/>
          <w:shd w:val="clear" w:color="auto" w:fill="FFFFFF"/>
          <w:lang w:val="zh-CN"/>
        </w:rPr>
        <w:t>总体绩效分析。</w:t>
      </w:r>
    </w:p>
    <w:p w14:paraId="5DECFCA8">
      <w:pPr>
        <w:keepNext w:val="0"/>
        <w:keepLines w:val="0"/>
        <w:pageBreakBefore w:val="0"/>
        <w:widowControl/>
        <w:numPr>
          <w:ilvl w:val="0"/>
          <w:numId w:val="0"/>
        </w:numPr>
        <w:kinsoku/>
        <w:wordWrap/>
        <w:overflowPunct/>
        <w:topLinePunct w:val="0"/>
        <w:autoSpaceDE/>
        <w:autoSpaceDN/>
        <w:bidi w:val="0"/>
        <w:adjustRightInd/>
        <w:snapToGrid/>
        <w:spacing w:line="552" w:lineRule="exact"/>
        <w:ind w:firstLine="640" w:firstLineChars="200"/>
        <w:textAlignment w:val="auto"/>
        <w:rPr>
          <w:rFonts w:hint="default" w:ascii="仿宋_GB2312" w:hAnsi="仿宋_GB2312" w:eastAsia="仿宋_GB2312" w:cs="仿宋_GB2312"/>
          <w:sz w:val="32"/>
          <w:szCs w:val="32"/>
          <w:lang w:val="en-US" w:eastAsia="zh-CN"/>
        </w:rPr>
      </w:pPr>
      <w:r>
        <w:rPr>
          <w:rFonts w:hint="eastAsia" w:eastAsia="仿宋_GB2312" w:cs="Times New Roman"/>
          <w:b w:val="0"/>
          <w:bCs w:val="0"/>
          <w:color w:val="000000"/>
          <w:kern w:val="0"/>
          <w:sz w:val="32"/>
          <w:szCs w:val="32"/>
          <w:highlight w:val="none"/>
          <w:shd w:val="clear" w:color="auto" w:fill="FFFFFF"/>
          <w:lang w:val="zh-CN"/>
        </w:rPr>
        <w:t>我部门</w:t>
      </w:r>
      <w:r>
        <w:rPr>
          <w:rFonts w:hint="default" w:ascii="Times New Roman" w:hAnsi="Times New Roman" w:eastAsia="仿宋_GB2312" w:cs="Times New Roman"/>
          <w:color w:val="000000"/>
          <w:kern w:val="0"/>
          <w:sz w:val="32"/>
          <w:szCs w:val="32"/>
          <w:highlight w:val="none"/>
          <w:shd w:val="clear" w:color="auto" w:fill="FFFFFF"/>
          <w:lang w:val="zh-CN"/>
        </w:rPr>
        <w:t>根据部门预算绩效评价指标体系“总体绩效”涉及</w:t>
      </w:r>
      <w:r>
        <w:rPr>
          <w:rFonts w:hint="eastAsia" w:ascii="Times New Roman" w:hAnsi="Times New Roman" w:eastAsia="仿宋_GB2312" w:cs="Times New Roman"/>
          <w:color w:val="000000"/>
          <w:kern w:val="0"/>
          <w:sz w:val="32"/>
          <w:szCs w:val="32"/>
          <w:highlight w:val="none"/>
          <w:shd w:val="clear" w:color="auto" w:fill="FFFFFF"/>
          <w:lang w:val="zh-CN"/>
        </w:rPr>
        <w:t>二、三级</w:t>
      </w:r>
      <w:r>
        <w:rPr>
          <w:rFonts w:hint="default" w:ascii="Times New Roman" w:hAnsi="Times New Roman" w:eastAsia="仿宋_GB2312" w:cs="Times New Roman"/>
          <w:color w:val="000000"/>
          <w:kern w:val="0"/>
          <w:sz w:val="32"/>
          <w:szCs w:val="32"/>
          <w:highlight w:val="none"/>
          <w:shd w:val="clear" w:color="auto" w:fill="FFFFFF"/>
          <w:lang w:val="zh-CN"/>
        </w:rPr>
        <w:t>指标</w:t>
      </w:r>
      <w:r>
        <w:rPr>
          <w:rFonts w:hint="eastAsia" w:eastAsia="仿宋_GB2312" w:cs="Times New Roman"/>
          <w:color w:val="000000"/>
          <w:kern w:val="0"/>
          <w:sz w:val="32"/>
          <w:szCs w:val="32"/>
          <w:highlight w:val="none"/>
          <w:shd w:val="clear" w:color="auto" w:fill="FFFFFF"/>
          <w:lang w:val="zh-CN"/>
        </w:rPr>
        <w:t>，</w:t>
      </w:r>
      <w:r>
        <w:rPr>
          <w:rFonts w:hint="eastAsia" w:ascii="仿宋_GB2312" w:hAnsi="仿宋_GB2312" w:eastAsia="仿宋_GB2312" w:cs="仿宋_GB2312"/>
          <w:sz w:val="32"/>
          <w:szCs w:val="32"/>
          <w:lang w:val="en-US" w:eastAsia="zh-CN"/>
        </w:rPr>
        <w:t>逐指标进行推敲靠实，确保自评结果客观、准确。具体情况如下：</w:t>
      </w:r>
    </w:p>
    <w:p w14:paraId="581C1921">
      <w:pPr>
        <w:keepNext w:val="0"/>
        <w:keepLines w:val="0"/>
        <w:pageBreakBefore w:val="0"/>
        <w:widowControl w:val="0"/>
        <w:numPr>
          <w:ilvl w:val="0"/>
          <w:numId w:val="5"/>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zh-CN"/>
        </w:rPr>
        <w:t>履职效能。我部门从</w:t>
      </w:r>
      <w:r>
        <w:rPr>
          <w:rFonts w:hint="eastAsia" w:ascii="Times New Roman" w:hAnsi="Times New Roman" w:eastAsia="仿宋_GB2312" w:cs="Times New Roman"/>
          <w:color w:val="000000"/>
          <w:kern w:val="0"/>
          <w:sz w:val="32"/>
          <w:szCs w:val="32"/>
          <w:highlight w:val="none"/>
          <w:shd w:val="clear" w:color="auto" w:fill="FFFFFF"/>
          <w:lang w:val="zh-CN"/>
        </w:rPr>
        <w:t>整体绩效目标中选定</w:t>
      </w:r>
      <w:r>
        <w:rPr>
          <w:rFonts w:hint="eastAsia" w:eastAsia="仿宋_GB2312" w:cs="Times New Roman"/>
          <w:color w:val="000000"/>
          <w:kern w:val="0"/>
          <w:sz w:val="32"/>
          <w:szCs w:val="32"/>
          <w:highlight w:val="none"/>
          <w:shd w:val="clear" w:color="auto" w:fill="FFFFFF"/>
          <w:lang w:val="zh-CN"/>
        </w:rPr>
        <w:t>时效率、群众满意率、可持续发展、完成率、合格率五个</w:t>
      </w:r>
      <w:r>
        <w:rPr>
          <w:rFonts w:hint="eastAsia" w:ascii="Times New Roman" w:hAnsi="Times New Roman" w:eastAsia="仿宋_GB2312" w:cs="Times New Roman"/>
          <w:color w:val="000000"/>
          <w:kern w:val="0"/>
          <w:sz w:val="32"/>
          <w:szCs w:val="32"/>
          <w:highlight w:val="none"/>
          <w:shd w:val="clear" w:color="auto" w:fill="FFFFFF"/>
          <w:lang w:val="zh-CN"/>
        </w:rPr>
        <w:t>核心职能目标</w:t>
      </w:r>
      <w:r>
        <w:rPr>
          <w:rFonts w:hint="eastAsia" w:eastAsia="仿宋_GB2312" w:cs="Times New Roman"/>
          <w:color w:val="000000"/>
          <w:kern w:val="0"/>
          <w:sz w:val="32"/>
          <w:szCs w:val="32"/>
          <w:highlight w:val="none"/>
          <w:shd w:val="clear" w:color="auto" w:fill="FFFFFF"/>
          <w:lang w:val="zh-CN"/>
        </w:rPr>
        <w:t>，对</w:t>
      </w:r>
      <w:r>
        <w:rPr>
          <w:rFonts w:hint="eastAsia" w:eastAsia="仿宋_GB2312" w:cs="Times New Roman"/>
          <w:color w:val="000000"/>
          <w:kern w:val="0"/>
          <w:sz w:val="32"/>
          <w:szCs w:val="32"/>
          <w:highlight w:val="none"/>
          <w:shd w:val="clear" w:color="auto" w:fill="FFFFFF"/>
          <w:lang w:val="en-US" w:eastAsia="zh-CN"/>
        </w:rPr>
        <w:t>2023年度各预算项目进行分析，得出我单位年初设定目标数量与年终履职效果数量一致。</w:t>
      </w:r>
    </w:p>
    <w:p w14:paraId="61D02986">
      <w:pPr>
        <w:keepNext w:val="0"/>
        <w:keepLines w:val="0"/>
        <w:pageBreakBefore w:val="0"/>
        <w:widowControl w:val="0"/>
        <w:numPr>
          <w:ilvl w:val="0"/>
          <w:numId w:val="5"/>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default" w:ascii="楷体_GB2312" w:hAnsi="楷体_GB2312" w:eastAsia="楷体_GB2312" w:cs="楷体_GB2312"/>
          <w:color w:val="000000"/>
          <w:kern w:val="0"/>
          <w:sz w:val="32"/>
          <w:szCs w:val="32"/>
          <w:highlight w:val="none"/>
          <w:shd w:val="clear" w:color="auto" w:fill="FFFFFF"/>
          <w:lang w:val="zh-CN"/>
        </w:rPr>
        <w:t>预算管理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仿宋_GB2312" w:hAnsi="仿宋_GB2312" w:eastAsia="仿宋_GB2312" w:cs="仿宋_GB2312"/>
          <w:color w:val="000000"/>
          <w:kern w:val="0"/>
          <w:sz w:val="32"/>
          <w:szCs w:val="32"/>
          <w:highlight w:val="none"/>
          <w:shd w:val="clear" w:color="auto" w:fill="FFFFFF"/>
          <w:lang w:val="zh-CN"/>
        </w:rPr>
        <w:t>我部门能严格按照县财政要求编制年初部门预算，年初预算编制具备科学性和准确性；部门无自有收入；单位支出</w:t>
      </w:r>
      <w:r>
        <w:rPr>
          <w:rFonts w:hint="eastAsia" w:ascii="仿宋_GB2312" w:hAnsi="仿宋_GB2312" w:eastAsia="仿宋_GB2312" w:cs="仿宋_GB2312"/>
          <w:color w:val="000000"/>
          <w:kern w:val="0"/>
          <w:sz w:val="32"/>
          <w:szCs w:val="32"/>
          <w:highlight w:val="none"/>
          <w:shd w:val="clear" w:color="auto" w:fill="FFFFFF"/>
          <w:lang w:val="en-US" w:eastAsia="zh-CN"/>
        </w:rPr>
        <w:t>1-6月份，1-10月份支出进度根据指标得分计算最终得4.04分；部门整体年终预算无结余；我部门严控一般性支出，2022年三公经费预算12.5万元，2023年三公经费预算12.45万元，有所压减。另2023年差旅费也有所压减，故此项不扣分。</w:t>
      </w:r>
    </w:p>
    <w:p w14:paraId="45F558E1">
      <w:pPr>
        <w:keepNext w:val="0"/>
        <w:keepLines w:val="0"/>
        <w:pageBreakBefore w:val="0"/>
        <w:widowControl w:val="0"/>
        <w:numPr>
          <w:ilvl w:val="0"/>
          <w:numId w:val="5"/>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default"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财务管理</w:t>
      </w:r>
      <w:r>
        <w:rPr>
          <w:rFonts w:hint="eastAsia"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w:t>
      </w:r>
      <w:r>
        <w:rPr>
          <w:rFonts w:hint="eastAsia" w:ascii="仿宋_GB2312" w:hAnsi="仿宋_GB2312" w:eastAsia="仿宋_GB2312" w:cs="仿宋_GB2312"/>
          <w:color w:val="000000"/>
          <w:kern w:val="0"/>
          <w:sz w:val="32"/>
          <w:szCs w:val="32"/>
          <w:highlight w:val="none"/>
          <w:shd w:val="clear" w:color="auto" w:fill="FFFFFF"/>
          <w:lang w:val="en-US" w:eastAsia="zh-CN"/>
        </w:rPr>
        <w:t>2023年我部门已制定内部财务管理制度等制度机制，且财务管理制度得到落实；我部门财务股会计、出纳岗位设置合理，明确职责权限，并严格实行不相容岗位分离；部门资金使用符合相关财务管理制度规定。</w:t>
      </w:r>
    </w:p>
    <w:p w14:paraId="46F01D86">
      <w:pPr>
        <w:keepNext w:val="0"/>
        <w:keepLines w:val="0"/>
        <w:pageBreakBefore w:val="0"/>
        <w:widowControl w:val="0"/>
        <w:numPr>
          <w:ilvl w:val="0"/>
          <w:numId w:val="5"/>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default"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资产管理</w:t>
      </w:r>
      <w:r>
        <w:rPr>
          <w:rFonts w:hint="eastAsia"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kern w:val="0"/>
          <w:sz w:val="32"/>
          <w:szCs w:val="32"/>
          <w:highlight w:val="none"/>
          <w:shd w:val="clear" w:color="auto" w:fill="FFFFFF"/>
          <w:lang w:val="en-US" w:eastAsia="zh-CN"/>
        </w:rPr>
        <w:t>023年我部门无闲置资产，不存在资产盘活。</w:t>
      </w:r>
    </w:p>
    <w:p w14:paraId="3A90F884">
      <w:pPr>
        <w:keepNext w:val="0"/>
        <w:keepLines w:val="0"/>
        <w:pageBreakBefore w:val="0"/>
        <w:widowControl w:val="0"/>
        <w:numPr>
          <w:ilvl w:val="0"/>
          <w:numId w:val="5"/>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9"/>
        <w:rPr>
          <w:rFonts w:hint="default" w:ascii="楷体_GB2312" w:hAnsi="楷体_GB2312" w:eastAsia="楷体_GB2312" w:cs="楷体_GB2312"/>
          <w:color w:val="000000" w:themeColor="text1"/>
          <w:kern w:val="0"/>
          <w:sz w:val="32"/>
          <w:szCs w:val="32"/>
          <w:highlight w:val="none"/>
          <w:shd w:val="clear" w:color="auto" w:fill="FFFFFF"/>
          <w:lang w:val="en-US"/>
          <w14:textFill>
            <w14:solidFill>
              <w14:schemeClr w14:val="tx1"/>
            </w14:solidFill>
          </w14:textFill>
        </w:rPr>
      </w:pPr>
      <w:r>
        <w:rPr>
          <w:rFonts w:hint="default"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采购管理</w:t>
      </w:r>
      <w:r>
        <w:rPr>
          <w:rFonts w:hint="eastAsia"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w:t>
      </w:r>
      <w:r>
        <w:rPr>
          <w:rFonts w:hint="eastAsia" w:ascii="仿宋_GB2312" w:hAnsi="仿宋_GB2312" w:eastAsia="仿宋_GB2312" w:cs="仿宋_GB2312"/>
          <w:color w:val="000000"/>
          <w:kern w:val="0"/>
          <w:sz w:val="32"/>
          <w:szCs w:val="32"/>
          <w:highlight w:val="none"/>
          <w:shd w:val="clear" w:color="auto" w:fill="FFFFFF"/>
          <w:lang w:val="en-US" w:eastAsia="zh-CN"/>
        </w:rPr>
        <w:t>2023年我部门无政府采购。</w:t>
      </w:r>
    </w:p>
    <w:p w14:paraId="0C9DC04A">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themeColor="text1"/>
          <w:kern w:val="0"/>
          <w:sz w:val="32"/>
          <w:szCs w:val="32"/>
          <w:highlight w:val="none"/>
          <w:shd w:val="clear" w:color="auto" w:fill="FFFFFF"/>
          <w:lang w:val="zh-CN"/>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shd w:val="clear" w:color="auto" w:fill="FFFFFF"/>
          <w:lang w:val="zh-CN"/>
          <w14:textFill>
            <w14:solidFill>
              <w14:schemeClr w14:val="tx1"/>
            </w14:solidFill>
          </w14:textFill>
        </w:rPr>
        <w:t>部门预算项目绩效分析。</w:t>
      </w:r>
    </w:p>
    <w:p w14:paraId="6EBB999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pPr>
      <w:r>
        <w:rPr>
          <w:rFonts w:hint="default"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常年项目绩效分析。</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该类项目总数</w:t>
      </w:r>
      <w:r>
        <w:rPr>
          <w:rFonts w:hint="eastAsia"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20</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个，涉及预算总金额</w:t>
      </w:r>
      <w:r>
        <w:rPr>
          <w:rFonts w:hint="default"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eastAsia"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1118.24</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万元，</w:t>
      </w:r>
      <w:r>
        <w:rPr>
          <w:rFonts w:hint="default" w:eastAsia="仿宋_GB2312" w:cs="Times New Roman"/>
          <w:color w:val="000000" w:themeColor="text1"/>
          <w:kern w:val="0"/>
          <w:sz w:val="32"/>
          <w:szCs w:val="32"/>
          <w:highlight w:val="none"/>
          <w:shd w:val="clear" w:color="auto" w:fill="FFFFFF"/>
          <w:lang w:val="zh-CN"/>
          <w14:textFill>
            <w14:solidFill>
              <w14:schemeClr w14:val="tx1"/>
            </w14:solidFill>
          </w14:textFill>
        </w:rPr>
        <w:t>1</w:t>
      </w:r>
      <w:r>
        <w:rPr>
          <w:rFonts w:hint="eastAsia"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w:t>
      </w:r>
      <w:r>
        <w:rPr>
          <w:rFonts w:hint="default" w:eastAsia="仿宋_GB2312" w:cs="Times New Roman"/>
          <w:color w:val="000000" w:themeColor="text1"/>
          <w:kern w:val="0"/>
          <w:sz w:val="32"/>
          <w:szCs w:val="32"/>
          <w:highlight w:val="none"/>
          <w:shd w:val="clear" w:color="auto" w:fill="FFFFFF"/>
          <w:lang w:val="zh-CN"/>
          <w14:textFill>
            <w14:solidFill>
              <w14:schemeClr w14:val="tx1"/>
            </w14:solidFill>
          </w14:textFill>
        </w:rPr>
        <w:t>1</w:t>
      </w:r>
      <w:r>
        <w:rPr>
          <w:rFonts w:hint="default"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2</w:t>
      </w:r>
      <w:r>
        <w:rPr>
          <w:rFonts w:hint="default" w:eastAsia="仿宋_GB2312" w:cs="Times New Roman"/>
          <w:color w:val="000000" w:themeColor="text1"/>
          <w:kern w:val="0"/>
          <w:sz w:val="32"/>
          <w:szCs w:val="32"/>
          <w:highlight w:val="none"/>
          <w:shd w:val="clear" w:color="auto" w:fill="FFFFFF"/>
          <w:lang w:val="zh-CN"/>
          <w14:textFill>
            <w14:solidFill>
              <w14:schemeClr w14:val="tx1"/>
            </w14:solidFill>
          </w14:textFill>
        </w:rPr>
        <w:t>月预算执行总体进度为</w:t>
      </w:r>
      <w:r>
        <w:rPr>
          <w:rFonts w:hint="eastAsia"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100</w:t>
      </w:r>
      <w:r>
        <w:rPr>
          <w:rFonts w:hint="default" w:eastAsia="仿宋_GB2312" w:cs="Times New Roman"/>
          <w:color w:val="000000" w:themeColor="text1"/>
          <w:kern w:val="0"/>
          <w:sz w:val="32"/>
          <w:szCs w:val="32"/>
          <w:highlight w:val="none"/>
          <w:shd w:val="clear" w:color="auto" w:fill="FFFFFF"/>
          <w:lang w:val="zh-CN"/>
          <w14:textFill>
            <w14:solidFill>
              <w14:schemeClr w14:val="tx1"/>
            </w14:solidFill>
          </w14:textFill>
        </w:rPr>
        <w:t>%，其中：</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预算结余率大于</w:t>
      </w:r>
      <w:r>
        <w:rPr>
          <w:rFonts w:hint="default"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10%</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的项目共计</w:t>
      </w:r>
      <w:r>
        <w:rPr>
          <w:rFonts w:hint="eastAsia"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0</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个。</w:t>
      </w:r>
    </w:p>
    <w:p w14:paraId="52BE53D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pPr>
      <w:r>
        <w:rPr>
          <w:rFonts w:hint="default"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阶段</w:t>
      </w:r>
      <w:r>
        <w:rPr>
          <w:rFonts w:hint="eastAsia"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w:t>
      </w:r>
      <w:r>
        <w:rPr>
          <w:rFonts w:hint="default"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一次性</w:t>
      </w:r>
      <w:r>
        <w:rPr>
          <w:rFonts w:hint="eastAsia"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w:t>
      </w:r>
      <w:r>
        <w:rPr>
          <w:rFonts w:hint="default"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项目绩效分析。</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该类项目总数</w:t>
      </w:r>
      <w:r>
        <w:rPr>
          <w:rFonts w:hint="eastAsia"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4</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个，涉及预算总金额</w:t>
      </w:r>
      <w:r>
        <w:rPr>
          <w:rFonts w:hint="eastAsia"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853.2</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万元，</w:t>
      </w:r>
      <w:r>
        <w:rPr>
          <w:rFonts w:hint="default" w:eastAsia="仿宋_GB2312" w:cs="Times New Roman"/>
          <w:color w:val="000000" w:themeColor="text1"/>
          <w:kern w:val="0"/>
          <w:sz w:val="32"/>
          <w:szCs w:val="32"/>
          <w:highlight w:val="none"/>
          <w:shd w:val="clear" w:color="auto" w:fill="FFFFFF"/>
          <w:lang w:val="zh-CN"/>
          <w14:textFill>
            <w14:solidFill>
              <w14:schemeClr w14:val="tx1"/>
            </w14:solidFill>
          </w14:textFill>
        </w:rPr>
        <w:t>1</w:t>
      </w:r>
      <w:r>
        <w:rPr>
          <w:rFonts w:hint="eastAsia"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w:t>
      </w:r>
      <w:r>
        <w:rPr>
          <w:rFonts w:hint="default" w:eastAsia="仿宋_GB2312" w:cs="Times New Roman"/>
          <w:color w:val="000000" w:themeColor="text1"/>
          <w:kern w:val="0"/>
          <w:sz w:val="32"/>
          <w:szCs w:val="32"/>
          <w:highlight w:val="none"/>
          <w:shd w:val="clear" w:color="auto" w:fill="FFFFFF"/>
          <w:lang w:val="zh-CN"/>
          <w14:textFill>
            <w14:solidFill>
              <w14:schemeClr w14:val="tx1"/>
            </w14:solidFill>
          </w14:textFill>
        </w:rPr>
        <w:t>1</w:t>
      </w:r>
      <w:r>
        <w:rPr>
          <w:rFonts w:hint="default"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2</w:t>
      </w:r>
      <w:r>
        <w:rPr>
          <w:rFonts w:hint="default" w:eastAsia="仿宋_GB2312" w:cs="Times New Roman"/>
          <w:color w:val="000000" w:themeColor="text1"/>
          <w:kern w:val="0"/>
          <w:sz w:val="32"/>
          <w:szCs w:val="32"/>
          <w:highlight w:val="none"/>
          <w:shd w:val="clear" w:color="auto" w:fill="FFFFFF"/>
          <w:lang w:val="zh-CN"/>
          <w14:textFill>
            <w14:solidFill>
              <w14:schemeClr w14:val="tx1"/>
            </w14:solidFill>
          </w14:textFill>
        </w:rPr>
        <w:t>月预算执行总体进度为</w:t>
      </w:r>
      <w:r>
        <w:rPr>
          <w:rFonts w:hint="eastAsia"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0.13</w:t>
      </w:r>
      <w:r>
        <w:rPr>
          <w:rFonts w:hint="default" w:eastAsia="仿宋_GB2312" w:cs="Times New Roman"/>
          <w:color w:val="000000" w:themeColor="text1"/>
          <w:kern w:val="0"/>
          <w:sz w:val="32"/>
          <w:szCs w:val="32"/>
          <w:highlight w:val="none"/>
          <w:shd w:val="clear" w:color="auto" w:fill="FFFFFF"/>
          <w:lang w:val="zh-CN"/>
          <w14:textFill>
            <w14:solidFill>
              <w14:schemeClr w14:val="tx1"/>
            </w14:solidFill>
          </w14:textFill>
        </w:rPr>
        <w:t>%，其中：</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预算结余率大于</w:t>
      </w:r>
      <w:r>
        <w:rPr>
          <w:rFonts w:hint="default"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10%</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的项目共计</w:t>
      </w:r>
      <w:r>
        <w:rPr>
          <w:rFonts w:hint="eastAsia"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0</w:t>
      </w:r>
      <w:r>
        <w:rPr>
          <w:rFonts w:hint="default" w:eastAsia="仿宋_GB2312" w:cs="Times New Roman"/>
          <w:color w:val="000000" w:themeColor="text1"/>
          <w:kern w:val="0"/>
          <w:sz w:val="32"/>
          <w:szCs w:val="32"/>
          <w:highlight w:val="none"/>
          <w:shd w:val="clear" w:color="auto" w:fill="FFFFFF"/>
          <w:lang w:val="zh-CN" w:eastAsia="zh-CN"/>
          <w14:textFill>
            <w14:solidFill>
              <w14:schemeClr w14:val="tx1"/>
            </w14:solidFill>
          </w14:textFill>
        </w:rPr>
        <w:t>个。</w:t>
      </w:r>
    </w:p>
    <w:p w14:paraId="43DCE56B">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项目决策。我</w:t>
      </w:r>
      <w:r>
        <w:rPr>
          <w:rFonts w:hint="eastAsia" w:ascii="Times New Roman" w:hAnsi="Times New Roman" w:eastAsia="仿宋_GB2312" w:cs="Times New Roman"/>
          <w:color w:val="000000" w:themeColor="text1"/>
          <w:kern w:val="0"/>
          <w:sz w:val="32"/>
          <w:szCs w:val="32"/>
          <w:highlight w:val="none"/>
          <w:shd w:val="clear" w:color="auto" w:fill="FFFFFF"/>
          <w:lang w:val="zh-CN"/>
          <w14:textFill>
            <w14:solidFill>
              <w14:schemeClr w14:val="tx1"/>
            </w14:solidFill>
          </w14:textFill>
        </w:rPr>
        <w:t>部门预算项目绩效目标与计划期内的任务量、预算安排的资金量</w:t>
      </w:r>
      <w:r>
        <w:rPr>
          <w:rFonts w:hint="eastAsia" w:eastAsia="仿宋_GB2312" w:cs="Times New Roman"/>
          <w:color w:val="000000" w:themeColor="text1"/>
          <w:kern w:val="0"/>
          <w:sz w:val="32"/>
          <w:szCs w:val="32"/>
          <w:highlight w:val="none"/>
          <w:shd w:val="clear" w:color="auto" w:fill="FFFFFF"/>
          <w:lang w:val="zh-CN"/>
          <w14:textFill>
            <w14:solidFill>
              <w14:schemeClr w14:val="tx1"/>
            </w14:solidFill>
          </w14:textFill>
        </w:rPr>
        <w:t>相匹配，</w:t>
      </w:r>
      <w:r>
        <w:rPr>
          <w:rFonts w:hint="eastAsia" w:ascii="Times New Roman" w:hAnsi="Times New Roman" w:eastAsia="仿宋_GB2312" w:cs="Times New Roman"/>
          <w:color w:val="000000" w:themeColor="text1"/>
          <w:kern w:val="0"/>
          <w:sz w:val="32"/>
          <w:szCs w:val="32"/>
          <w:highlight w:val="none"/>
          <w:shd w:val="clear" w:color="auto" w:fill="FFFFFF"/>
          <w:lang w:val="zh-CN"/>
          <w14:textFill>
            <w14:solidFill>
              <w14:schemeClr w14:val="tx1"/>
            </w14:solidFill>
          </w14:textFill>
        </w:rPr>
        <w:t>绩效目标设置科学合理、规范完整、量化细化、预算匹配</w:t>
      </w:r>
      <w:r>
        <w:rPr>
          <w:rFonts w:hint="eastAsia" w:eastAsia="仿宋_GB2312" w:cs="Times New Roman"/>
          <w:color w:val="000000" w:themeColor="text1"/>
          <w:kern w:val="0"/>
          <w:sz w:val="32"/>
          <w:szCs w:val="32"/>
          <w:highlight w:val="none"/>
          <w:shd w:val="clear" w:color="auto" w:fill="FFFFFF"/>
          <w:lang w:val="zh-CN"/>
          <w14:textFill>
            <w14:solidFill>
              <w14:schemeClr w14:val="tx1"/>
            </w14:solidFill>
          </w14:textFill>
        </w:rPr>
        <w:t>。部门预算项目能在规定时间完成项目入库。</w:t>
      </w:r>
    </w:p>
    <w:p w14:paraId="1D32B8A0">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shd w:val="clear" w:color="auto" w:fill="FFFFFF"/>
          <w:lang w:val="en-US" w:eastAsia="zh-CN"/>
          <w14:textFill>
            <w14:solidFill>
              <w14:schemeClr w14:val="tx1"/>
            </w14:solidFill>
          </w14:textFill>
        </w:rPr>
        <w:t>项目执行</w:t>
      </w:r>
      <w:r>
        <w:rPr>
          <w:rFonts w:hint="eastAsia"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。我部门预算项目实际列支内容能与绩效目标设置方向相符，</w:t>
      </w:r>
      <w:r>
        <w:rPr>
          <w:rFonts w:hint="eastAsia" w:ascii="楷体_GB2312" w:hAnsi="楷体_GB2312" w:eastAsia="楷体_GB2312" w:cs="楷体_GB2312"/>
          <w:color w:val="000000" w:themeColor="text1"/>
          <w:kern w:val="0"/>
          <w:sz w:val="32"/>
          <w:szCs w:val="32"/>
          <w:highlight w:val="none"/>
          <w:shd w:val="clear" w:color="auto" w:fill="FFFFFF"/>
          <w:lang w:val="en-US" w:eastAsia="zh-CN"/>
          <w14:textFill>
            <w14:solidFill>
              <w14:schemeClr w14:val="tx1"/>
            </w14:solidFill>
          </w14:textFill>
        </w:rPr>
        <w:t>2023年我部门无预算结余。</w:t>
      </w:r>
    </w:p>
    <w:p w14:paraId="1460C85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楷体_GB2312" w:hAnsi="楷体_GB2312" w:eastAsia="楷体_GB2312" w:cs="楷体_GB2312"/>
          <w:color w:val="000000" w:themeColor="text1"/>
          <w:kern w:val="0"/>
          <w:sz w:val="32"/>
          <w:szCs w:val="32"/>
          <w:highlight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shd w:val="clear" w:color="auto" w:fill="FFFFFF"/>
          <w:lang w:val="en-US" w:eastAsia="zh-CN"/>
          <w14:textFill>
            <w14:solidFill>
              <w14:schemeClr w14:val="tx1"/>
            </w14:solidFill>
          </w14:textFill>
        </w:rPr>
        <w:t>3.</w:t>
      </w:r>
      <w:r>
        <w:rPr>
          <w:rFonts w:hint="eastAsia" w:ascii="楷体_GB2312" w:hAnsi="楷体_GB2312" w:eastAsia="楷体_GB2312" w:cs="楷体_GB2312"/>
          <w:color w:val="000000" w:themeColor="text1"/>
          <w:kern w:val="0"/>
          <w:sz w:val="32"/>
          <w:szCs w:val="32"/>
          <w:highlight w:val="none"/>
          <w:shd w:val="clear" w:color="auto" w:fill="FFFFFF"/>
          <w:lang w:val="zh-CN"/>
          <w14:textFill>
            <w14:solidFill>
              <w14:schemeClr w14:val="tx1"/>
            </w14:solidFill>
          </w14:textFill>
        </w:rPr>
        <w:t>目标实现。我部门</w:t>
      </w:r>
      <w:r>
        <w:rPr>
          <w:rFonts w:hint="eastAsia" w:ascii="楷体_GB2312" w:hAnsi="楷体_GB2312" w:eastAsia="楷体_GB2312" w:cs="楷体_GB2312"/>
          <w:color w:val="000000" w:themeColor="text1"/>
          <w:kern w:val="0"/>
          <w:sz w:val="32"/>
          <w:szCs w:val="32"/>
          <w:highlight w:val="none"/>
          <w:shd w:val="clear" w:color="auto" w:fill="FFFFFF"/>
          <w:lang w:val="en-US" w:eastAsia="zh-CN"/>
          <w14:textFill>
            <w14:solidFill>
              <w14:schemeClr w14:val="tx1"/>
            </w14:solidFill>
          </w14:textFill>
        </w:rPr>
        <w:t>2024年预算项目合计24个，完成21个。</w:t>
      </w:r>
    </w:p>
    <w:p w14:paraId="4908927E">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_GB2312" w:hAnsi="仿宋_GB2312" w:eastAsia="仿宋_GB2312" w:cs="仿宋_GB2312"/>
          <w:color w:val="000000"/>
          <w:kern w:val="0"/>
          <w:sz w:val="32"/>
          <w:szCs w:val="32"/>
          <w:highlight w:val="none"/>
          <w:shd w:val="clear" w:color="auto" w:fill="FFFFFF"/>
          <w:lang w:val="en-US" w:eastAsia="zh-CN"/>
        </w:rPr>
      </w:pPr>
      <w:r>
        <w:rPr>
          <w:rFonts w:hint="default" w:ascii="Times New Roman" w:hAnsi="Times New Roman" w:eastAsia="楷体_GB2312" w:cs="Times New Roman"/>
          <w:b w:val="0"/>
          <w:bCs w:val="0"/>
          <w:color w:val="000000" w:themeColor="text1"/>
          <w:kern w:val="0"/>
          <w:sz w:val="32"/>
          <w:szCs w:val="32"/>
          <w:highlight w:val="none"/>
          <w:shd w:val="clear" w:color="auto" w:fill="FFFFFF"/>
          <w:lang w:val="zh-CN"/>
          <w14:textFill>
            <w14:solidFill>
              <w14:schemeClr w14:val="tx1"/>
            </w14:solidFill>
          </w14:textFill>
        </w:rPr>
        <w:t>（</w:t>
      </w:r>
      <w:r>
        <w:rPr>
          <w:rFonts w:hint="eastAsia" w:eastAsia="楷体_GB2312" w:cs="Times New Roman"/>
          <w:b w:val="0"/>
          <w:bCs w:val="0"/>
          <w:color w:val="000000" w:themeColor="text1"/>
          <w:kern w:val="0"/>
          <w:sz w:val="32"/>
          <w:szCs w:val="32"/>
          <w:highlight w:val="none"/>
          <w:shd w:val="clear" w:color="auto" w:fill="FFFFFF"/>
          <w:lang w:val="zh-CN"/>
          <w14:textFill>
            <w14:solidFill>
              <w14:schemeClr w14:val="tx1"/>
            </w14:solidFill>
          </w14:textFill>
        </w:rPr>
        <w:t>三</w:t>
      </w:r>
      <w:r>
        <w:rPr>
          <w:rFonts w:hint="default" w:ascii="Times New Roman" w:hAnsi="Times New Roman" w:eastAsia="楷体_GB2312" w:cs="Times New Roman"/>
          <w:b w:val="0"/>
          <w:bCs w:val="0"/>
          <w:color w:val="000000" w:themeColor="text1"/>
          <w:kern w:val="0"/>
          <w:sz w:val="32"/>
          <w:szCs w:val="32"/>
          <w:highlight w:val="none"/>
          <w:shd w:val="clear" w:color="auto" w:fill="FFFFFF"/>
          <w:lang w:val="zh-CN"/>
          <w14:textFill>
            <w14:solidFill>
              <w14:schemeClr w14:val="tx1"/>
            </w14:solidFill>
          </w14:textFill>
        </w:rPr>
        <w:t>）</w:t>
      </w:r>
      <w:r>
        <w:rPr>
          <w:rFonts w:hint="default" w:ascii="Times New Roman" w:hAnsi="Times New Roman" w:eastAsia="楷体_GB2312" w:cs="Times New Roman"/>
          <w:b w:val="0"/>
          <w:bCs w:val="0"/>
          <w:color w:val="000000" w:themeColor="text1"/>
          <w:kern w:val="0"/>
          <w:sz w:val="32"/>
          <w:szCs w:val="32"/>
          <w:highlight w:val="none"/>
          <w:shd w:val="clear" w:color="auto" w:fill="FFFFFF"/>
          <w:lang w:val="zh-CN" w:eastAsia="zh-CN"/>
          <w14:textFill>
            <w14:solidFill>
              <w14:schemeClr w14:val="tx1"/>
            </w14:solidFill>
          </w14:textFill>
        </w:rPr>
        <w:t>重点领域</w:t>
      </w:r>
      <w:r>
        <w:rPr>
          <w:rFonts w:hint="default" w:ascii="Times New Roman" w:hAnsi="Times New Roman" w:eastAsia="楷体_GB2312" w:cs="Times New Roman"/>
          <w:b w:val="0"/>
          <w:bCs w:val="0"/>
          <w:color w:val="000000" w:themeColor="text1"/>
          <w:kern w:val="0"/>
          <w:sz w:val="32"/>
          <w:szCs w:val="32"/>
          <w:highlight w:val="none"/>
          <w:shd w:val="clear" w:color="auto" w:fill="FFFFFF"/>
          <w:lang w:val="zh-CN"/>
          <w14:textFill>
            <w14:solidFill>
              <w14:schemeClr w14:val="tx1"/>
            </w14:solidFill>
          </w14:textFill>
        </w:rPr>
        <w:t>绩效分析</w:t>
      </w:r>
      <w:r>
        <w:rPr>
          <w:rFonts w:hint="default" w:ascii="Times New Roman" w:hAnsi="Times New Roman" w:eastAsia="楷体_GB2312" w:cs="Times New Roman"/>
          <w:b/>
          <w:bCs/>
          <w:color w:val="000000" w:themeColor="text1"/>
          <w:kern w:val="0"/>
          <w:sz w:val="32"/>
          <w:szCs w:val="32"/>
          <w:highlight w:val="none"/>
          <w:shd w:val="clear" w:color="auto" w:fill="FFFFFF"/>
          <w:lang w:val="zh-CN" w:eastAsia="zh-CN"/>
          <w14:textFill>
            <w14:solidFill>
              <w14:schemeClr w14:val="tx1"/>
            </w14:solidFill>
          </w14:textFill>
        </w:rPr>
        <w:t>。</w:t>
      </w:r>
      <w:r>
        <w:rPr>
          <w:rFonts w:hint="eastAsia" w:ascii="仿宋_GB2312" w:hAnsi="仿宋_GB2312" w:eastAsia="仿宋_GB2312" w:cs="仿宋_GB2312"/>
          <w:color w:val="000000"/>
          <w:kern w:val="0"/>
          <w:sz w:val="32"/>
          <w:szCs w:val="32"/>
          <w:highlight w:val="none"/>
          <w:shd w:val="clear" w:color="auto" w:fill="FFFFFF"/>
          <w:lang w:val="zh-CN" w:eastAsia="zh-CN"/>
        </w:rPr>
        <w:t>无</w:t>
      </w:r>
    </w:p>
    <w:p w14:paraId="75877A22">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themeColor="text1"/>
          <w:sz w:val="32"/>
          <w:szCs w:val="32"/>
          <w:lang w:val="zh-CN"/>
          <w14:textFill>
            <w14:solidFill>
              <w14:schemeClr w14:val="tx1"/>
            </w14:solidFill>
          </w14:textFill>
        </w:rPr>
        <w:t>（四）绩效结果应用情况</w:t>
      </w:r>
      <w:r>
        <w:rPr>
          <w:rFonts w:hint="eastAsia" w:ascii="Times New Roman" w:hAnsi="Times New Roman" w:eastAsia="楷体_GB2312" w:cs="Times New Roman"/>
          <w:b/>
          <w:bCs/>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kern w:val="0"/>
          <w:sz w:val="32"/>
          <w:szCs w:val="32"/>
          <w:highlight w:val="none"/>
          <w:shd w:val="clear" w:color="auto" w:fill="FFFFFF"/>
          <w:lang w:val="zh-CN" w:eastAsia="zh-CN"/>
        </w:rPr>
        <w:t>本</w:t>
      </w:r>
      <w:r>
        <w:rPr>
          <w:rFonts w:hint="default" w:ascii="仿宋_GB2312" w:hAnsi="仿宋_GB2312" w:eastAsia="仿宋_GB2312" w:cs="仿宋_GB2312"/>
          <w:color w:val="000000"/>
          <w:kern w:val="0"/>
          <w:sz w:val="32"/>
          <w:szCs w:val="32"/>
          <w:highlight w:val="none"/>
          <w:shd w:val="clear" w:color="auto" w:fill="FFFFFF"/>
          <w:lang w:val="zh-CN"/>
        </w:rPr>
        <w:t>部门绩效目标要素完整</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default" w:ascii="仿宋_GB2312" w:hAnsi="仿宋_GB2312" w:eastAsia="仿宋_GB2312" w:cs="仿宋_GB2312"/>
          <w:color w:val="000000"/>
          <w:kern w:val="0"/>
          <w:sz w:val="32"/>
          <w:szCs w:val="32"/>
          <w:highlight w:val="none"/>
          <w:shd w:val="clear" w:color="auto" w:fill="FFFFFF"/>
          <w:lang w:val="zh-CN"/>
        </w:rPr>
        <w:t>部门绩效目标实际实现程度与预期目标</w:t>
      </w:r>
      <w:r>
        <w:rPr>
          <w:rFonts w:hint="default" w:ascii="仿宋_GB2312" w:hAnsi="仿宋_GB2312" w:eastAsia="仿宋_GB2312" w:cs="仿宋_GB2312"/>
          <w:color w:val="000000"/>
          <w:kern w:val="0"/>
          <w:sz w:val="32"/>
          <w:szCs w:val="32"/>
          <w:highlight w:val="none"/>
          <w:shd w:val="clear" w:color="auto" w:fill="FFFFFF"/>
          <w:lang w:val="zh-CN" w:eastAsia="zh-CN"/>
        </w:rPr>
        <w:t>无</w:t>
      </w:r>
      <w:r>
        <w:rPr>
          <w:rFonts w:hint="default" w:ascii="仿宋_GB2312" w:hAnsi="仿宋_GB2312" w:eastAsia="仿宋_GB2312" w:cs="仿宋_GB2312"/>
          <w:color w:val="000000"/>
          <w:kern w:val="0"/>
          <w:sz w:val="32"/>
          <w:szCs w:val="32"/>
          <w:highlight w:val="none"/>
          <w:shd w:val="clear" w:color="auto" w:fill="FFFFFF"/>
          <w:lang w:val="zh-CN"/>
        </w:rPr>
        <w:t>偏离度。年初预算编制科学准确</w:t>
      </w:r>
      <w:r>
        <w:rPr>
          <w:rFonts w:hint="default" w:ascii="仿宋_GB2312" w:hAnsi="仿宋_GB2312" w:eastAsia="仿宋_GB2312" w:cs="仿宋_GB2312"/>
          <w:color w:val="000000"/>
          <w:kern w:val="0"/>
          <w:sz w:val="32"/>
          <w:szCs w:val="32"/>
          <w:highlight w:val="none"/>
          <w:shd w:val="clear" w:color="auto" w:fill="FFFFFF"/>
          <w:lang w:val="zh-CN" w:eastAsia="zh-CN"/>
        </w:rPr>
        <w:t>，</w:t>
      </w:r>
      <w:r>
        <w:rPr>
          <w:rFonts w:hint="default" w:ascii="仿宋_GB2312" w:hAnsi="仿宋_GB2312" w:eastAsia="仿宋_GB2312" w:cs="仿宋_GB2312"/>
          <w:color w:val="000000"/>
          <w:kern w:val="0"/>
          <w:sz w:val="32"/>
          <w:szCs w:val="32"/>
          <w:highlight w:val="none"/>
          <w:shd w:val="clear" w:color="auto" w:fill="FFFFFF"/>
          <w:lang w:val="zh-CN"/>
        </w:rPr>
        <w:t>部门公用经费及非定额公用支出控制情况</w:t>
      </w:r>
      <w:r>
        <w:rPr>
          <w:rFonts w:hint="default" w:ascii="仿宋_GB2312" w:hAnsi="仿宋_GB2312" w:eastAsia="仿宋_GB2312" w:cs="仿宋_GB2312"/>
          <w:color w:val="000000"/>
          <w:kern w:val="0"/>
          <w:sz w:val="32"/>
          <w:szCs w:val="32"/>
          <w:highlight w:val="none"/>
          <w:shd w:val="clear" w:color="auto" w:fill="FFFFFF"/>
          <w:lang w:val="zh-CN" w:eastAsia="zh-CN"/>
        </w:rPr>
        <w:t>较好</w:t>
      </w:r>
      <w:r>
        <w:rPr>
          <w:rFonts w:hint="default" w:ascii="仿宋_GB2312" w:hAnsi="仿宋_GB2312" w:eastAsia="仿宋_GB2312" w:cs="仿宋_GB2312"/>
          <w:color w:val="000000"/>
          <w:kern w:val="0"/>
          <w:sz w:val="32"/>
          <w:szCs w:val="32"/>
          <w:highlight w:val="none"/>
          <w:shd w:val="clear" w:color="auto" w:fill="FFFFFF"/>
          <w:lang w:val="zh-CN"/>
        </w:rPr>
        <w:t>。部门开展绩效运行监控后，将绩效监控结果应用到预算调整的情况</w:t>
      </w:r>
      <w:r>
        <w:rPr>
          <w:rFonts w:hint="default" w:ascii="仿宋_GB2312" w:hAnsi="仿宋_GB2312" w:eastAsia="仿宋_GB2312" w:cs="仿宋_GB2312"/>
          <w:color w:val="000000"/>
          <w:kern w:val="0"/>
          <w:sz w:val="32"/>
          <w:szCs w:val="32"/>
          <w:highlight w:val="none"/>
          <w:shd w:val="clear" w:color="auto" w:fill="FFFFFF"/>
          <w:lang w:val="zh-CN" w:eastAsia="zh-CN"/>
        </w:rPr>
        <w:t>有待加强</w:t>
      </w:r>
      <w:r>
        <w:rPr>
          <w:rFonts w:hint="default" w:ascii="仿宋_GB2312" w:hAnsi="仿宋_GB2312" w:eastAsia="仿宋_GB2312" w:cs="仿宋_GB2312"/>
          <w:color w:val="000000"/>
          <w:kern w:val="0"/>
          <w:sz w:val="32"/>
          <w:szCs w:val="32"/>
          <w:highlight w:val="none"/>
          <w:shd w:val="clear" w:color="auto" w:fill="FFFFFF"/>
          <w:lang w:val="zh-CN"/>
        </w:rPr>
        <w:t>。审计监督、财政检查</w:t>
      </w:r>
      <w:r>
        <w:rPr>
          <w:rFonts w:hint="default" w:ascii="仿宋_GB2312" w:hAnsi="仿宋_GB2312" w:eastAsia="仿宋_GB2312" w:cs="仿宋_GB2312"/>
          <w:color w:val="000000"/>
          <w:kern w:val="0"/>
          <w:sz w:val="32"/>
          <w:szCs w:val="32"/>
          <w:highlight w:val="none"/>
          <w:shd w:val="clear" w:color="auto" w:fill="FFFFFF"/>
          <w:lang w:val="zh-CN" w:eastAsia="zh-CN"/>
        </w:rPr>
        <w:t>未发现</w:t>
      </w:r>
      <w:r>
        <w:rPr>
          <w:rFonts w:hint="eastAsia" w:ascii="仿宋_GB2312" w:hAnsi="仿宋_GB2312" w:eastAsia="仿宋_GB2312" w:cs="仿宋_GB2312"/>
          <w:color w:val="000000"/>
          <w:kern w:val="0"/>
          <w:sz w:val="32"/>
          <w:szCs w:val="32"/>
          <w:highlight w:val="none"/>
          <w:shd w:val="clear" w:color="auto" w:fill="FFFFFF"/>
          <w:lang w:val="zh-CN" w:eastAsia="zh-CN"/>
        </w:rPr>
        <w:t>本</w:t>
      </w:r>
      <w:r>
        <w:rPr>
          <w:rFonts w:hint="default" w:ascii="仿宋_GB2312" w:hAnsi="仿宋_GB2312" w:eastAsia="仿宋_GB2312" w:cs="仿宋_GB2312"/>
          <w:color w:val="000000"/>
          <w:kern w:val="0"/>
          <w:sz w:val="32"/>
          <w:szCs w:val="32"/>
          <w:highlight w:val="none"/>
          <w:shd w:val="clear" w:color="auto" w:fill="FFFFFF"/>
          <w:lang w:val="zh-CN"/>
        </w:rPr>
        <w:t>部门上一年度预算管理</w:t>
      </w:r>
      <w:r>
        <w:rPr>
          <w:rFonts w:hint="default" w:ascii="仿宋_GB2312" w:hAnsi="仿宋_GB2312" w:eastAsia="仿宋_GB2312" w:cs="仿宋_GB2312"/>
          <w:color w:val="000000"/>
          <w:kern w:val="0"/>
          <w:sz w:val="32"/>
          <w:szCs w:val="32"/>
          <w:highlight w:val="none"/>
          <w:shd w:val="clear" w:color="auto" w:fill="FFFFFF"/>
          <w:lang w:val="zh-CN" w:eastAsia="zh-CN"/>
        </w:rPr>
        <w:t>不</w:t>
      </w:r>
      <w:r>
        <w:rPr>
          <w:rFonts w:hint="default" w:ascii="仿宋_GB2312" w:hAnsi="仿宋_GB2312" w:eastAsia="仿宋_GB2312" w:cs="仿宋_GB2312"/>
          <w:color w:val="000000"/>
          <w:kern w:val="0"/>
          <w:sz w:val="32"/>
          <w:szCs w:val="32"/>
          <w:highlight w:val="none"/>
          <w:shd w:val="clear" w:color="auto" w:fill="FFFFFF"/>
          <w:lang w:val="zh-CN"/>
        </w:rPr>
        <w:t>合规。</w:t>
      </w:r>
    </w:p>
    <w:p w14:paraId="111EF510">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shd w:val="clear" w:color="auto" w:fill="FFFFFF"/>
          <w:lang w:eastAsia="zh-CN"/>
          <w14:textFill>
            <w14:solidFill>
              <w14:schemeClr w14:val="tx1"/>
            </w14:solidFill>
          </w14:textFill>
        </w:rPr>
        <w:t>四、</w:t>
      </w:r>
      <w:r>
        <w:rPr>
          <w:rFonts w:hint="default" w:ascii="Times New Roman" w:hAnsi="Times New Roman" w:eastAsia="黑体" w:cs="Times New Roman"/>
          <w:color w:val="000000" w:themeColor="text1"/>
          <w:kern w:val="0"/>
          <w:sz w:val="32"/>
          <w:szCs w:val="32"/>
          <w:highlight w:val="none"/>
          <w:shd w:val="clear" w:color="auto" w:fill="FFFFFF"/>
          <w14:textFill>
            <w14:solidFill>
              <w14:schemeClr w14:val="tx1"/>
            </w14:solidFill>
          </w14:textFill>
        </w:rPr>
        <w:t>评价结论及建议</w:t>
      </w:r>
    </w:p>
    <w:p w14:paraId="68ABF82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b w:val="0"/>
          <w:bCs w:val="0"/>
          <w:sz w:val="32"/>
          <w:szCs w:val="32"/>
          <w:lang w:val="en-US" w:eastAsia="zh-CN"/>
        </w:rPr>
      </w:pPr>
      <w:r>
        <w:rPr>
          <w:rFonts w:hint="default" w:ascii="Times New Roman" w:hAnsi="Times New Roman" w:eastAsia="楷体_GB2312" w:cs="Times New Roman"/>
          <w:b/>
          <w:bCs/>
          <w:color w:val="000000" w:themeColor="text1"/>
          <w:kern w:val="0"/>
          <w:sz w:val="32"/>
          <w:szCs w:val="32"/>
          <w:highlight w:val="none"/>
          <w:shd w:val="clear" w:color="auto" w:fill="FFFFFF"/>
          <w:lang w:val="zh-CN"/>
          <w14:textFill>
            <w14:solidFill>
              <w14:schemeClr w14:val="tx1"/>
            </w14:solidFill>
          </w14:textFill>
        </w:rPr>
        <w:t>（一）</w:t>
      </w:r>
      <w:r>
        <w:rPr>
          <w:rFonts w:hint="default" w:ascii="Times New Roman" w:hAnsi="Times New Roman" w:eastAsia="楷体_GB2312" w:cs="Times New Roman"/>
          <w:b w:val="0"/>
          <w:bCs w:val="0"/>
          <w:color w:val="000000" w:themeColor="text1"/>
          <w:kern w:val="0"/>
          <w:sz w:val="32"/>
          <w:szCs w:val="32"/>
          <w:highlight w:val="none"/>
          <w:shd w:val="clear" w:color="auto" w:fill="FFFFFF"/>
          <w:lang w:val="zh-CN"/>
          <w14:textFill>
            <w14:solidFill>
              <w14:schemeClr w14:val="tx1"/>
            </w14:solidFill>
          </w14:textFill>
        </w:rPr>
        <w:t>评价结论。</w:t>
      </w:r>
      <w:r>
        <w:rPr>
          <w:rFonts w:hint="eastAsia" w:ascii="仿宋_GB2312" w:hAnsi="仿宋_GB2312" w:eastAsia="仿宋_GB2312" w:cs="仿宋_GB2312"/>
          <w:b w:val="0"/>
          <w:bCs w:val="0"/>
          <w:color w:val="000000" w:themeColor="text1"/>
          <w:kern w:val="0"/>
          <w:sz w:val="32"/>
          <w:szCs w:val="32"/>
          <w:highlight w:val="none"/>
          <w:shd w:val="clear" w:color="auto" w:fill="FFFFFF"/>
          <w:lang w:val="zh-CN"/>
          <w14:textFill>
            <w14:solidFill>
              <w14:schemeClr w14:val="tx1"/>
            </w14:solidFill>
          </w14:textFill>
        </w:rPr>
        <w:t>根据部门预算绩效评价指标体系规定的内容，积极履行职责，经我部门认真自评，按照部门预决算编制相关要求，按时完成报送工作。在人员经费支出等方面，严格执行“三公经费”预算，人员运行经费与上年相比明显下降。在项目经费的使用方方面，保证各项任务顺利完成的同时，始终坚持厉行节约的原则，有效压缩不必要的开支。及时公开预算、决算等信息。最终我部门</w:t>
      </w:r>
      <w:r>
        <w:rPr>
          <w:rFonts w:hint="eastAsia" w:ascii="仿宋_GB2312" w:hAnsi="仿宋_GB2312" w:eastAsia="仿宋_GB2312" w:cs="仿宋_GB2312"/>
          <w:b w:val="0"/>
          <w:bCs w:val="0"/>
          <w:sz w:val="32"/>
          <w:szCs w:val="32"/>
          <w:lang w:val="en-US" w:eastAsia="zh-CN"/>
        </w:rPr>
        <w:t>自评得分：93.14分。</w:t>
      </w:r>
    </w:p>
    <w:p w14:paraId="4A586FA3">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b w:val="0"/>
          <w:bCs w:val="0"/>
          <w:color w:val="000000" w:themeColor="text1"/>
          <w:w w:val="95"/>
          <w:kern w:val="0"/>
          <w:position w:val="0"/>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highlight w:val="none"/>
          <w:shd w:val="clear" w:color="auto" w:fill="FFFFFF"/>
          <w:lang w:val="zh-CN"/>
          <w14:textFill>
            <w14:solidFill>
              <w14:schemeClr w14:val="tx1"/>
            </w14:solidFill>
          </w14:textFill>
        </w:rPr>
        <w:t>（二）存在问题。</w:t>
      </w:r>
      <w:r>
        <w:rPr>
          <w:rFonts w:hint="eastAsia" w:ascii="仿宋_GB2312" w:hAnsi="仿宋_GB2312" w:eastAsia="仿宋_GB2312" w:cs="仿宋_GB2312"/>
          <w:b w:val="0"/>
          <w:bCs w:val="0"/>
          <w:color w:val="000000" w:themeColor="text1"/>
          <w:w w:val="95"/>
          <w:kern w:val="0"/>
          <w:position w:val="0"/>
          <w:sz w:val="32"/>
          <w:szCs w:val="32"/>
          <w:highlight w:val="none"/>
          <w:lang w:val="en-US" w:eastAsia="zh-CN" w:bidi="ar-SA"/>
          <w14:textFill>
            <w14:solidFill>
              <w14:schemeClr w14:val="tx1"/>
            </w14:solidFill>
          </w14:textFill>
        </w:rPr>
        <w:t>在编制预算时，严格根据本部门职能职责和年度计划编制。但因财政紧张等原因，在资金安排和使用上存在不可预见性，导致有个别项目预算执行率较低，在实际工作中预决算财务信息质量有待提高。</w:t>
      </w:r>
    </w:p>
    <w:p w14:paraId="1C1A75B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b w:val="0"/>
          <w:bCs w:val="0"/>
          <w:color w:val="000000" w:themeColor="text1"/>
          <w:kern w:val="0"/>
          <w:position w:val="0"/>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highlight w:val="none"/>
          <w:shd w:val="clear" w:color="auto" w:fill="FFFFFF"/>
          <w:lang w:val="zh-CN" w:eastAsia="zh-CN"/>
          <w14:textFill>
            <w14:solidFill>
              <w14:schemeClr w14:val="tx1"/>
            </w14:solidFill>
          </w14:textFill>
        </w:rPr>
        <w:t>（三）改进建议。</w:t>
      </w:r>
      <w:bookmarkStart w:id="50" w:name="_Hlk110546638"/>
      <w:r>
        <w:rPr>
          <w:rFonts w:hint="eastAsia" w:ascii="仿宋_GB2312" w:hAnsi="仿宋_GB2312" w:eastAsia="仿宋_GB2312" w:cs="仿宋_GB2312"/>
          <w:b w:val="0"/>
          <w:bCs w:val="0"/>
          <w:color w:val="000000" w:themeColor="text1"/>
          <w:kern w:val="0"/>
          <w:position w:val="0"/>
          <w:sz w:val="32"/>
          <w:szCs w:val="32"/>
          <w:highlight w:val="none"/>
          <w:lang w:val="en-US" w:eastAsia="zh-CN" w:bidi="ar-SA"/>
          <w14:textFill>
            <w14:solidFill>
              <w14:schemeClr w14:val="tx1"/>
            </w14:solidFill>
          </w14:textFill>
        </w:rPr>
        <w:t>加大对财政资金支出绩效评价工作的培训力度，提高绩效评价工作的认知度，重视目标绩效评价工作，切实提升绩效评价工作水平，并能及时将评价结果运用到工作实施过程中，更好地完成年度目标任务。</w:t>
      </w:r>
    </w:p>
    <w:bookmarkEnd w:id="50"/>
    <w:p w14:paraId="6234C2CC">
      <w:pPr>
        <w:keepNext w:val="0"/>
        <w:keepLines w:val="0"/>
        <w:pageBreakBefore w:val="0"/>
        <w:kinsoku/>
        <w:wordWrap/>
        <w:overflowPunct/>
        <w:topLinePunct w:val="0"/>
        <w:autoSpaceDE/>
        <w:autoSpaceDN/>
        <w:bidi w:val="0"/>
        <w:spacing w:line="578" w:lineRule="exact"/>
        <w:contextualSpacing/>
        <w:textAlignment w:val="auto"/>
        <w:outlineLvl w:val="9"/>
        <w:rPr>
          <w:rFonts w:hint="default" w:ascii="Times New Roman" w:hAnsi="Times New Roman" w:eastAsia="黑体" w:cs="Times New Roman"/>
          <w:sz w:val="32"/>
          <w:szCs w:val="32"/>
          <w:highlight w:val="none"/>
          <w:lang w:val="en-US" w:eastAsia="zh-CN"/>
        </w:rPr>
      </w:pPr>
    </w:p>
    <w:p w14:paraId="21237F4C">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en-US" w:eastAsia="zh-CN"/>
        </w:rPr>
        <w:t>附表：</w:t>
      </w:r>
      <w:r>
        <w:rPr>
          <w:rFonts w:hint="default" w:ascii="Times New Roman" w:hAnsi="Times New Roman" w:eastAsia="仿宋_GB2312" w:cs="Times New Roman"/>
          <w:color w:val="000000"/>
          <w:kern w:val="0"/>
          <w:sz w:val="32"/>
          <w:szCs w:val="32"/>
          <w:highlight w:val="none"/>
          <w:shd w:val="clear" w:color="auto" w:fill="FFFFFF"/>
          <w:lang w:val="en-US" w:eastAsia="zh-CN"/>
        </w:rPr>
        <w:t>部门整体支出绩效目标完成情况自评表</w:t>
      </w:r>
    </w:p>
    <w:p w14:paraId="1CE623E2">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p>
    <w:p w14:paraId="5DADA3E3">
      <w:pPr>
        <w:keepNext w:val="0"/>
        <w:keepLines w:val="0"/>
        <w:pageBreakBefore w:val="0"/>
        <w:kinsoku/>
        <w:wordWrap/>
        <w:overflowPunct/>
        <w:topLinePunct w:val="0"/>
        <w:autoSpaceDE/>
        <w:autoSpaceDN/>
        <w:bidi w:val="0"/>
        <w:spacing w:line="578" w:lineRule="exact"/>
        <w:ind w:firstLine="640" w:firstLineChars="200"/>
        <w:textAlignment w:val="auto"/>
        <w:rPr>
          <w:rFonts w:hint="eastAsia" w:eastAsia="仿宋_GB2312" w:cs="Times New Roman"/>
          <w:color w:val="000000"/>
          <w:kern w:val="0"/>
          <w:sz w:val="32"/>
          <w:szCs w:val="32"/>
          <w:highlight w:val="none"/>
          <w:shd w:val="clear" w:color="auto" w:fill="FFFFFF"/>
          <w:lang w:val="en-US" w:eastAsia="zh-CN"/>
        </w:rPr>
      </w:pPr>
    </w:p>
    <w:p w14:paraId="38E1BCDD">
      <w:pPr>
        <w:keepNext w:val="0"/>
        <w:keepLines w:val="0"/>
        <w:pageBreakBefore w:val="0"/>
        <w:kinsoku/>
        <w:wordWrap/>
        <w:overflowPunct/>
        <w:topLinePunct w:val="0"/>
        <w:autoSpaceDE/>
        <w:autoSpaceDN/>
        <w:bidi w:val="0"/>
        <w:spacing w:line="578" w:lineRule="exact"/>
        <w:ind w:firstLine="4480" w:firstLineChars="1400"/>
        <w:textAlignment w:val="auto"/>
        <w:rPr>
          <w:rFonts w:hint="eastAsia" w:eastAsia="仿宋_GB2312" w:cs="Times New Roman"/>
          <w:color w:val="000000"/>
          <w:kern w:val="0"/>
          <w:sz w:val="32"/>
          <w:szCs w:val="32"/>
          <w:highlight w:val="none"/>
          <w:shd w:val="clear" w:color="auto" w:fill="FFFFFF"/>
          <w:lang w:val="en-US" w:eastAsia="zh-CN"/>
        </w:rPr>
      </w:pPr>
      <w:r>
        <w:rPr>
          <w:rFonts w:hint="eastAsia" w:eastAsia="仿宋_GB2312" w:cs="Times New Roman"/>
          <w:color w:val="000000"/>
          <w:kern w:val="0"/>
          <w:sz w:val="32"/>
          <w:szCs w:val="32"/>
          <w:highlight w:val="none"/>
          <w:shd w:val="clear" w:color="auto" w:fill="FFFFFF"/>
          <w:lang w:val="en-US" w:eastAsia="zh-CN"/>
        </w:rPr>
        <w:t>大竹县市政工程管理处</w:t>
      </w:r>
    </w:p>
    <w:p w14:paraId="420CE489">
      <w:pPr>
        <w:keepNext w:val="0"/>
        <w:keepLines w:val="0"/>
        <w:pageBreakBefore w:val="0"/>
        <w:kinsoku/>
        <w:wordWrap/>
        <w:overflowPunct/>
        <w:topLinePunct w:val="0"/>
        <w:autoSpaceDE/>
        <w:autoSpaceDN/>
        <w:bidi w:val="0"/>
        <w:spacing w:line="578" w:lineRule="exact"/>
        <w:ind w:firstLine="4800" w:firstLineChars="1500"/>
        <w:textAlignment w:val="auto"/>
        <w:rPr>
          <w:rFonts w:hint="default" w:ascii="Times New Roman" w:hAnsi="Times New Roman" w:eastAsia="仿宋_GB2312" w:cs="Times New Roman"/>
          <w:kern w:val="2"/>
          <w:sz w:val="32"/>
          <w:szCs w:val="24"/>
          <w:highlight w:val="none"/>
          <w:lang w:val="en-US" w:eastAsia="zh-CN" w:bidi="ar-SA"/>
        </w:rPr>
      </w:pPr>
      <w:r>
        <w:rPr>
          <w:rFonts w:hint="eastAsia" w:eastAsia="仿宋_GB2312" w:cs="Times New Roman"/>
          <w:color w:val="000000"/>
          <w:kern w:val="0"/>
          <w:sz w:val="32"/>
          <w:szCs w:val="32"/>
          <w:highlight w:val="none"/>
          <w:shd w:val="clear" w:color="auto" w:fill="FFFFFF"/>
          <w:lang w:val="en-US" w:eastAsia="zh-CN"/>
        </w:rPr>
        <w:t>2024年7月24日</w:t>
      </w:r>
      <w:r>
        <w:rPr>
          <w:rFonts w:hint="default" w:ascii="Times New Roman" w:hAnsi="Times New Roman" w:eastAsia="仿宋_GB2312" w:cs="Times New Roman"/>
          <w:color w:val="000000"/>
          <w:kern w:val="0"/>
          <w:sz w:val="32"/>
          <w:szCs w:val="32"/>
          <w:highlight w:val="none"/>
          <w:shd w:val="clear" w:color="auto" w:fill="FFFFFF"/>
          <w:lang w:val="en-US" w:eastAsia="zh-CN"/>
        </w:rPr>
        <w:br w:type="page"/>
      </w:r>
      <w:r>
        <w:rPr>
          <w:rFonts w:hint="eastAsia" w:ascii="黑体" w:hAnsi="黑体" w:eastAsia="黑体" w:cs="黑体"/>
          <w:kern w:val="2"/>
          <w:sz w:val="32"/>
          <w:szCs w:val="24"/>
          <w:highlight w:val="none"/>
          <w:lang w:val="en-US" w:eastAsia="zh-CN" w:bidi="ar-SA"/>
        </w:rPr>
        <w:t>附表</w:t>
      </w:r>
    </w:p>
    <w:tbl>
      <w:tblPr>
        <w:tblStyle w:val="16"/>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019"/>
        <w:gridCol w:w="1354"/>
        <w:gridCol w:w="1144"/>
        <w:gridCol w:w="1"/>
        <w:gridCol w:w="1289"/>
        <w:gridCol w:w="1058"/>
        <w:gridCol w:w="926"/>
        <w:gridCol w:w="1113"/>
      </w:tblGrid>
      <w:tr w14:paraId="1CDD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14:paraId="622957B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1BAD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14:paraId="41940B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22D4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14:paraId="72A1333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12DC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F67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部门名称</w:t>
            </w:r>
          </w:p>
        </w:tc>
        <w:tc>
          <w:tcPr>
            <w:tcW w:w="6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244D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eastAsia" w:eastAsia="宋体" w:cs="Times New Roman"/>
                <w:i w:val="0"/>
                <w:color w:val="000000"/>
                <w:kern w:val="0"/>
                <w:sz w:val="15"/>
                <w:szCs w:val="15"/>
                <w:u w:val="none"/>
                <w:lang w:val="en-US" w:eastAsia="zh-CN" w:bidi="ar"/>
              </w:rPr>
              <w:t>大竹县市政工程管理处</w:t>
            </w:r>
          </w:p>
        </w:tc>
      </w:tr>
      <w:tr w14:paraId="3DF3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DB1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年度部门整体支出预算</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2DB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资金总额</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B9D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1CD7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其他资金</w:t>
            </w:r>
          </w:p>
        </w:tc>
      </w:tr>
      <w:tr w14:paraId="7EBB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080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5"/>
                <w:szCs w:val="15"/>
                <w:u w:val="none"/>
              </w:rPr>
            </w:pP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3C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lang w:val="en-US"/>
              </w:rPr>
            </w:pPr>
            <w:r>
              <w:rPr>
                <w:rFonts w:hint="eastAsia" w:eastAsia="宋体" w:cs="Times New Roman"/>
                <w:i w:val="0"/>
                <w:color w:val="000000"/>
                <w:kern w:val="0"/>
                <w:sz w:val="15"/>
                <w:szCs w:val="15"/>
                <w:u w:val="none"/>
                <w:lang w:val="en-US" w:eastAsia="zh-CN" w:bidi="ar"/>
              </w:rPr>
              <w:t>1972.91</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2B9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lang w:val="en-US"/>
              </w:rPr>
            </w:pPr>
            <w:r>
              <w:rPr>
                <w:rFonts w:hint="eastAsia" w:eastAsia="宋体" w:cs="Times New Roman"/>
                <w:i w:val="0"/>
                <w:color w:val="000000"/>
                <w:kern w:val="0"/>
                <w:sz w:val="15"/>
                <w:szCs w:val="15"/>
                <w:u w:val="none"/>
                <w:lang w:val="en-US" w:eastAsia="zh-CN" w:bidi="ar"/>
              </w:rPr>
              <w:t>1972.91</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56E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eastAsia" w:eastAsia="宋体" w:cs="Times New Roman"/>
                <w:i w:val="0"/>
                <w:color w:val="000000"/>
                <w:kern w:val="0"/>
                <w:sz w:val="15"/>
                <w:szCs w:val="15"/>
                <w:u w:val="none"/>
                <w:lang w:val="en-US" w:eastAsia="zh-CN" w:bidi="ar"/>
              </w:rPr>
              <w:t>0</w:t>
            </w:r>
          </w:p>
        </w:tc>
      </w:tr>
      <w:tr w14:paraId="72EA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4"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F3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年度总体</w:t>
            </w:r>
          </w:p>
          <w:p w14:paraId="347E3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50BA6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目标1：保障市民安全出行、生活秩序；</w:t>
            </w:r>
          </w:p>
          <w:p w14:paraId="3A185A5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目标2：保障建成区内市政道路桥梁、修缮、维护，不断提高市政基础设施建设水平；</w:t>
            </w:r>
          </w:p>
          <w:p w14:paraId="07FCD8B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目标3：高标准、高效率完成民生实事项目；</w:t>
            </w:r>
          </w:p>
        </w:tc>
      </w:tr>
      <w:tr w14:paraId="00E5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74D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年度主要</w:t>
            </w:r>
          </w:p>
          <w:p w14:paraId="27FFC0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任务</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173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任务名称</w:t>
            </w:r>
          </w:p>
        </w:tc>
        <w:tc>
          <w:tcPr>
            <w:tcW w:w="6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AC78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主要内容</w:t>
            </w:r>
          </w:p>
        </w:tc>
      </w:tr>
      <w:tr w14:paraId="601E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CA57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5"/>
                <w:szCs w:val="15"/>
                <w:u w:val="none"/>
              </w:rPr>
            </w:pP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371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市政基础设施维修维护</w:t>
            </w:r>
          </w:p>
        </w:tc>
        <w:tc>
          <w:tcPr>
            <w:tcW w:w="6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5065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市政雨污管网排查维修、建成区内人行道、市政道路、桥梁维修维护</w:t>
            </w:r>
          </w:p>
        </w:tc>
      </w:tr>
      <w:tr w14:paraId="4ABF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FC2D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5"/>
                <w:szCs w:val="15"/>
                <w:u w:val="none"/>
              </w:rPr>
            </w:pP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630E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sz w:val="15"/>
                <w:szCs w:val="15"/>
                <w:u w:val="none"/>
              </w:rPr>
              <w:t>小街小巷民生实事工程</w:t>
            </w:r>
          </w:p>
        </w:tc>
        <w:tc>
          <w:tcPr>
            <w:tcW w:w="6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E0B2F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sz w:val="15"/>
                <w:szCs w:val="15"/>
                <w:u w:val="none"/>
              </w:rPr>
              <w:t>小街小巷场地硬化</w:t>
            </w:r>
          </w:p>
        </w:tc>
      </w:tr>
      <w:tr w14:paraId="097F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91F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年度绩效</w:t>
            </w:r>
          </w:p>
          <w:p w14:paraId="4D2FA9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6D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一级指标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DF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二级指标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4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B54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绩效指标</w:t>
            </w:r>
          </w:p>
          <w:p w14:paraId="674EDB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44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B4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72C64A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CF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实际完成</w:t>
            </w:r>
          </w:p>
          <w:p w14:paraId="138699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指标值</w:t>
            </w:r>
          </w:p>
        </w:tc>
      </w:tr>
      <w:tr w14:paraId="395B6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DEA9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7B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产出指标</w:t>
            </w:r>
          </w:p>
        </w:tc>
        <w:tc>
          <w:tcPr>
            <w:tcW w:w="1019" w:type="dxa"/>
            <w:vMerge w:val="restart"/>
            <w:tcBorders>
              <w:top w:val="single" w:color="000000" w:sz="4" w:space="0"/>
              <w:left w:val="single" w:color="000000" w:sz="4" w:space="0"/>
              <w:right w:val="single" w:color="000000" w:sz="4" w:space="0"/>
            </w:tcBorders>
            <w:shd w:val="clear" w:color="auto" w:fill="auto"/>
            <w:vAlign w:val="center"/>
          </w:tcPr>
          <w:p w14:paraId="7A7455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数量指标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FE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完成市政维修人行道</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A1A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44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人行道11200m2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CE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4D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5</w:t>
            </w:r>
          </w:p>
        </w:tc>
        <w:tc>
          <w:tcPr>
            <w:tcW w:w="1113" w:type="dxa"/>
            <w:tcBorders>
              <w:left w:val="single" w:color="000000" w:sz="4" w:space="0"/>
              <w:bottom w:val="single" w:color="000000" w:sz="4" w:space="0"/>
              <w:right w:val="single" w:color="000000" w:sz="4" w:space="0"/>
            </w:tcBorders>
            <w:shd w:val="clear" w:color="auto" w:fill="auto"/>
            <w:vAlign w:val="center"/>
          </w:tcPr>
          <w:p w14:paraId="14682F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已完成</w:t>
            </w:r>
          </w:p>
        </w:tc>
      </w:tr>
      <w:tr w14:paraId="46D8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3ECE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C916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vMerge w:val="continue"/>
            <w:tcBorders>
              <w:left w:val="single" w:color="000000" w:sz="4" w:space="0"/>
              <w:right w:val="single" w:color="000000" w:sz="4" w:space="0"/>
            </w:tcBorders>
            <w:shd w:val="clear" w:color="auto" w:fill="auto"/>
            <w:vAlign w:val="center"/>
          </w:tcPr>
          <w:p w14:paraId="45EE0DD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346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完成维修、更换路沿石</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C830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664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 xml:space="preserve">路沿石1400米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55CB">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807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76E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eastAsia" w:eastAsia="宋体" w:cs="Times New Roman"/>
                <w:i w:val="0"/>
                <w:color w:val="000000"/>
                <w:sz w:val="13"/>
                <w:szCs w:val="13"/>
                <w:u w:val="none"/>
                <w:lang w:eastAsia="zh-CN"/>
              </w:rPr>
              <w:t>已完成</w:t>
            </w:r>
          </w:p>
        </w:tc>
      </w:tr>
      <w:tr w14:paraId="7D24A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0B6C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2AC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vMerge w:val="continue"/>
            <w:tcBorders>
              <w:left w:val="single" w:color="000000" w:sz="4" w:space="0"/>
              <w:right w:val="single" w:color="000000" w:sz="4" w:space="0"/>
            </w:tcBorders>
            <w:shd w:val="clear" w:color="auto" w:fill="auto"/>
            <w:vAlign w:val="center"/>
          </w:tcPr>
          <w:p w14:paraId="7A99D4B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CE3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完成维修沥青砼道路、维修砼道路</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D814D">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071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沥青砼道路18000m2、砼道路1155m2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722E">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695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24D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eastAsia" w:eastAsia="宋体" w:cs="Times New Roman"/>
                <w:i w:val="0"/>
                <w:color w:val="000000"/>
                <w:sz w:val="13"/>
                <w:szCs w:val="13"/>
                <w:u w:val="none"/>
                <w:lang w:eastAsia="zh-CN"/>
              </w:rPr>
              <w:t>已完成</w:t>
            </w:r>
          </w:p>
        </w:tc>
      </w:tr>
      <w:tr w14:paraId="02301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DEC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0FED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vMerge w:val="continue"/>
            <w:tcBorders>
              <w:left w:val="single" w:color="000000" w:sz="4" w:space="0"/>
              <w:right w:val="single" w:color="000000" w:sz="4" w:space="0"/>
            </w:tcBorders>
            <w:shd w:val="clear" w:color="auto" w:fill="auto"/>
            <w:vAlign w:val="center"/>
          </w:tcPr>
          <w:p w14:paraId="4E668B0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488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清理、疏通市政污水管网米、更换检查井套、雨水井套</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80749">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039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污水管网10000米、检查井480套、雨水井 410套</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3E8E">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4D8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12D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eastAsia" w:eastAsia="宋体" w:cs="Times New Roman"/>
                <w:i w:val="0"/>
                <w:color w:val="000000"/>
                <w:sz w:val="13"/>
                <w:szCs w:val="13"/>
                <w:u w:val="none"/>
                <w:lang w:eastAsia="zh-CN"/>
              </w:rPr>
              <w:t>已完成</w:t>
            </w:r>
          </w:p>
        </w:tc>
      </w:tr>
      <w:tr w14:paraId="200E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E401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2A8A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vMerge w:val="continue"/>
            <w:tcBorders>
              <w:left w:val="single" w:color="000000" w:sz="4" w:space="0"/>
              <w:bottom w:val="single" w:color="000000" w:sz="4" w:space="0"/>
              <w:right w:val="single" w:color="000000" w:sz="4" w:space="0"/>
            </w:tcBorders>
            <w:shd w:val="clear" w:color="auto" w:fill="auto"/>
            <w:vAlign w:val="center"/>
          </w:tcPr>
          <w:p w14:paraId="396CA60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6DC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城区内临时抗洪抢险工作</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FE2A9">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EDA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10万元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DABE">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BF9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A78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eastAsia" w:eastAsia="宋体" w:cs="Times New Roman"/>
                <w:i w:val="0"/>
                <w:color w:val="000000"/>
                <w:sz w:val="13"/>
                <w:szCs w:val="13"/>
                <w:u w:val="none"/>
                <w:lang w:eastAsia="zh-CN"/>
              </w:rPr>
              <w:t>已完成</w:t>
            </w:r>
          </w:p>
        </w:tc>
      </w:tr>
      <w:tr w14:paraId="1A68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9E3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26CD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87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质量指标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047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维护、维修市政人行道、路沿石道路、清理、疏通市政管网 合格、管道排水畅通</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B8B1A">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DB22">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B17A">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5E5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15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85C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优</w:t>
            </w:r>
          </w:p>
        </w:tc>
      </w:tr>
      <w:tr w14:paraId="658E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399D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6D8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18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时效指标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D08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202</w:t>
            </w:r>
            <w:r>
              <w:rPr>
                <w:rFonts w:hint="eastAsia" w:eastAsia="宋体" w:cs="Times New Roman"/>
                <w:i w:val="0"/>
                <w:color w:val="000000"/>
                <w:sz w:val="13"/>
                <w:szCs w:val="13"/>
                <w:u w:val="none"/>
                <w:lang w:val="en-US" w:eastAsia="zh-CN"/>
              </w:rPr>
              <w:t>3</w:t>
            </w:r>
            <w:r>
              <w:rPr>
                <w:rFonts w:hint="default" w:ascii="Times New Roman" w:hAnsi="Times New Roman" w:eastAsia="宋体" w:cs="Times New Roman"/>
                <w:i w:val="0"/>
                <w:color w:val="000000"/>
                <w:sz w:val="13"/>
                <w:szCs w:val="13"/>
                <w:u w:val="none"/>
              </w:rPr>
              <w:t>年1月-202</w:t>
            </w:r>
            <w:r>
              <w:rPr>
                <w:rFonts w:hint="eastAsia" w:eastAsia="宋体" w:cs="Times New Roman"/>
                <w:i w:val="0"/>
                <w:color w:val="000000"/>
                <w:sz w:val="13"/>
                <w:szCs w:val="13"/>
                <w:u w:val="none"/>
                <w:lang w:val="en-US" w:eastAsia="zh-CN"/>
              </w:rPr>
              <w:t>3</w:t>
            </w:r>
            <w:r>
              <w:rPr>
                <w:rFonts w:hint="default" w:ascii="Times New Roman" w:hAnsi="Times New Roman" w:eastAsia="宋体" w:cs="Times New Roman"/>
                <w:i w:val="0"/>
                <w:color w:val="000000"/>
                <w:sz w:val="13"/>
                <w:szCs w:val="13"/>
                <w:u w:val="none"/>
              </w:rPr>
              <w:t>年12月</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B0BCD">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46D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202</w:t>
            </w:r>
            <w:r>
              <w:rPr>
                <w:rFonts w:hint="eastAsia" w:eastAsia="宋体" w:cs="Times New Roman"/>
                <w:i w:val="0"/>
                <w:color w:val="000000"/>
                <w:sz w:val="13"/>
                <w:szCs w:val="13"/>
                <w:u w:val="none"/>
                <w:lang w:val="en-US" w:eastAsia="zh-CN"/>
              </w:rPr>
              <w:t>3</w:t>
            </w:r>
            <w:r>
              <w:rPr>
                <w:rFonts w:hint="default" w:ascii="Times New Roman" w:hAnsi="Times New Roman" w:eastAsia="宋体" w:cs="Times New Roman"/>
                <w:i w:val="0"/>
                <w:color w:val="000000"/>
                <w:sz w:val="13"/>
                <w:szCs w:val="13"/>
                <w:u w:val="none"/>
              </w:rPr>
              <w:t>年1月-202</w:t>
            </w:r>
            <w:r>
              <w:rPr>
                <w:rFonts w:hint="eastAsia" w:eastAsia="宋体" w:cs="Times New Roman"/>
                <w:i w:val="0"/>
                <w:color w:val="000000"/>
                <w:sz w:val="13"/>
                <w:szCs w:val="13"/>
                <w:u w:val="none"/>
                <w:lang w:val="en-US" w:eastAsia="zh-CN"/>
              </w:rPr>
              <w:t>3</w:t>
            </w:r>
            <w:r>
              <w:rPr>
                <w:rFonts w:hint="default" w:ascii="Times New Roman" w:hAnsi="Times New Roman" w:eastAsia="宋体" w:cs="Times New Roman"/>
                <w:i w:val="0"/>
                <w:color w:val="000000"/>
                <w:sz w:val="13"/>
                <w:szCs w:val="13"/>
                <w:u w:val="none"/>
              </w:rPr>
              <w:t>年12月</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6DF3">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A48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CC9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已完成</w:t>
            </w:r>
          </w:p>
        </w:tc>
      </w:tr>
      <w:tr w14:paraId="4AB7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4B02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BC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效益指标</w:t>
            </w:r>
          </w:p>
        </w:tc>
        <w:tc>
          <w:tcPr>
            <w:tcW w:w="1019" w:type="dxa"/>
            <w:tcBorders>
              <w:top w:val="single" w:color="000000" w:sz="4" w:space="0"/>
              <w:left w:val="single" w:color="000000" w:sz="4" w:space="0"/>
              <w:right w:val="single" w:color="000000" w:sz="4" w:space="0"/>
            </w:tcBorders>
            <w:shd w:val="clear" w:color="auto" w:fill="auto"/>
            <w:vAlign w:val="center"/>
          </w:tcPr>
          <w:p w14:paraId="24F5DB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社会效益</w:t>
            </w:r>
          </w:p>
          <w:p w14:paraId="73194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26E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11"/>
                <w:szCs w:val="11"/>
                <w:u w:val="none"/>
              </w:rPr>
              <w:t>为使城市市政设施道路完好对人民群众出行方便、安全，排水畅通</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BB12B">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1B3E">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default" w:ascii="Times New Roman" w:hAnsi="Times New Roman" w:eastAsia="宋体" w:cs="Times New Roman"/>
                <w:i w:val="0"/>
                <w:color w:val="000000"/>
                <w:sz w:val="13"/>
                <w:szCs w:val="13"/>
                <w:u w:val="none"/>
              </w:rPr>
              <w:t>"</w:t>
            </w:r>
            <w:r>
              <w:rPr>
                <w:rFonts w:hint="eastAsia" w:eastAsia="宋体" w:cs="Times New Roman"/>
                <w:i w:val="0"/>
                <w:color w:val="000000"/>
                <w:sz w:val="13"/>
                <w:szCs w:val="13"/>
                <w:u w:val="none"/>
                <w:lang w:eastAsia="zh-CN"/>
              </w:rPr>
              <w:t>好坏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18D6">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9F0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39A1">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好</w:t>
            </w:r>
          </w:p>
        </w:tc>
      </w:tr>
      <w:tr w14:paraId="2E77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B5A1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32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满意度指标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E1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满意度指标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253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人民群众满意度</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0340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192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≥98%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298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F1E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4F9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98%</w:t>
            </w:r>
          </w:p>
        </w:tc>
      </w:tr>
    </w:tbl>
    <w:p w14:paraId="5A1B7AB9">
      <w:pPr>
        <w:widowControl w:val="0"/>
        <w:spacing w:after="120"/>
        <w:ind w:left="0" w:leftChars="0" w:firstLine="0" w:firstLineChars="0"/>
        <w:jc w:val="both"/>
        <w:rPr>
          <w:rFonts w:hint="default" w:ascii="Times New Roman" w:hAnsi="Times New Roman" w:eastAsia="黑体" w:cs="Times New Roman"/>
          <w:kern w:val="2"/>
          <w:sz w:val="24"/>
          <w:szCs w:val="24"/>
          <w:highlight w:val="none"/>
          <w:lang w:val="en-US" w:eastAsia="zh-CN" w:bidi="ar-SA"/>
        </w:rPr>
      </w:pPr>
    </w:p>
    <w:p w14:paraId="18EFBF4D">
      <w:pPr>
        <w:pStyle w:val="6"/>
        <w:rPr>
          <w:rFonts w:hint="default"/>
        </w:rPr>
      </w:pPr>
    </w:p>
    <w:p w14:paraId="0AC23ED5">
      <w:pPr>
        <w:pStyle w:val="6"/>
        <w:rPr>
          <w:rFonts w:hint="default" w:ascii="Times New Roman" w:hAnsi="Times New Roman" w:eastAsia="黑体" w:cs="Times New Roman"/>
          <w:color w:val="auto"/>
          <w:sz w:val="44"/>
          <w:szCs w:val="44"/>
          <w:highlight w:val="none"/>
        </w:rPr>
      </w:pPr>
    </w:p>
    <w:p w14:paraId="5E5C3961">
      <w:pPr>
        <w:pStyle w:val="6"/>
        <w:rPr>
          <w:rFonts w:hint="default" w:ascii="Times New Roman" w:hAnsi="Times New Roman" w:eastAsia="黑体" w:cs="Times New Roman"/>
          <w:color w:val="auto"/>
          <w:sz w:val="44"/>
          <w:szCs w:val="44"/>
          <w:highlight w:val="none"/>
        </w:rPr>
      </w:pPr>
    </w:p>
    <w:p w14:paraId="5D3F87DA">
      <w:pPr>
        <w:spacing w:line="600" w:lineRule="exact"/>
        <w:jc w:val="center"/>
        <w:outlineLvl w:val="0"/>
        <w:rPr>
          <w:rStyle w:val="28"/>
          <w:rFonts w:hint="eastAsia" w:ascii="方正小标宋简体" w:hAnsi="方正小标宋简体" w:eastAsia="方正小标宋简体" w:cs="方正小标宋简体"/>
          <w:b w:val="0"/>
          <w:color w:val="auto"/>
          <w:highlight w:val="none"/>
        </w:rPr>
      </w:pPr>
      <w:r>
        <w:rPr>
          <w:rFonts w:hint="eastAsia" w:ascii="方正小标宋简体" w:hAnsi="方正小标宋简体" w:eastAsia="方正小标宋简体" w:cs="方正小标宋简体"/>
          <w:color w:val="auto"/>
          <w:sz w:val="44"/>
          <w:szCs w:val="44"/>
          <w:highlight w:val="none"/>
        </w:rPr>
        <w:t>第</w:t>
      </w:r>
      <w:r>
        <w:rPr>
          <w:rStyle w:val="28"/>
          <w:rFonts w:hint="eastAsia" w:ascii="方正小标宋简体" w:hAnsi="方正小标宋简体" w:eastAsia="方正小标宋简体" w:cs="方正小标宋简体"/>
          <w:b w:val="0"/>
          <w:color w:val="auto"/>
          <w:highlight w:val="none"/>
        </w:rPr>
        <w:t>五部分 附表</w:t>
      </w:r>
      <w:bookmarkEnd w:id="47"/>
      <w:bookmarkEnd w:id="49"/>
      <w:bookmarkStart w:id="51" w:name="_Toc15396619"/>
    </w:p>
    <w:p w14:paraId="3EF65128">
      <w:pPr>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仿宋" w:cs="Times New Roman"/>
          <w:b w:val="0"/>
          <w:bCs/>
          <w:color w:val="auto"/>
          <w:kern w:val="2"/>
          <w:sz w:val="32"/>
          <w:szCs w:val="32"/>
          <w:highlight w:val="none"/>
          <w:lang w:val="en-US" w:eastAsia="zh-CN" w:bidi="ar-SA"/>
        </w:rPr>
      </w:pPr>
    </w:p>
    <w:bookmarkEnd w:id="51"/>
    <w:p w14:paraId="57F88E7F">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b w:val="0"/>
          <w:color w:val="auto"/>
          <w:highlight w:val="none"/>
        </w:rPr>
        <w:t>一、收</w:t>
      </w:r>
      <w:r>
        <w:rPr>
          <w:rStyle w:val="29"/>
          <w:rFonts w:hint="default" w:ascii="Times New Roman" w:hAnsi="Times New Roman" w:eastAsia="仿宋" w:cs="Times New Roman"/>
          <w:b w:val="0"/>
          <w:bCs w:val="0"/>
          <w:color w:val="auto"/>
          <w:highlight w:val="none"/>
        </w:rPr>
        <w:t>入支出决算总表</w:t>
      </w:r>
    </w:p>
    <w:p w14:paraId="6F873232">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highlight w:val="none"/>
        </w:rPr>
      </w:pPr>
      <w:bookmarkStart w:id="52" w:name="_Toc15396620"/>
      <w:r>
        <w:rPr>
          <w:rFonts w:hint="default" w:ascii="Times New Roman" w:hAnsi="Times New Roman" w:eastAsia="仿宋" w:cs="Times New Roman"/>
          <w:b w:val="0"/>
          <w:color w:val="auto"/>
          <w:highlight w:val="none"/>
        </w:rPr>
        <w:t>二、收</w:t>
      </w:r>
      <w:r>
        <w:rPr>
          <w:rStyle w:val="29"/>
          <w:rFonts w:hint="default" w:ascii="Times New Roman" w:hAnsi="Times New Roman" w:eastAsia="仿宋" w:cs="Times New Roman"/>
          <w:b w:val="0"/>
          <w:bCs w:val="0"/>
          <w:color w:val="auto"/>
          <w:highlight w:val="none"/>
        </w:rPr>
        <w:t>入决算表</w:t>
      </w:r>
      <w:bookmarkEnd w:id="52"/>
    </w:p>
    <w:p w14:paraId="6A1A0870">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highlight w:val="none"/>
        </w:rPr>
      </w:pPr>
      <w:bookmarkStart w:id="53" w:name="_Toc15396621"/>
      <w:r>
        <w:rPr>
          <w:rStyle w:val="29"/>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29"/>
          <w:rFonts w:hint="default" w:ascii="Times New Roman" w:hAnsi="Times New Roman" w:eastAsia="仿宋" w:cs="Times New Roman"/>
          <w:b w:val="0"/>
          <w:bCs w:val="0"/>
          <w:color w:val="auto"/>
          <w:highlight w:val="none"/>
        </w:rPr>
        <w:t>出决算表</w:t>
      </w:r>
      <w:bookmarkEnd w:id="53"/>
    </w:p>
    <w:p w14:paraId="3A35BDF5">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b w:val="0"/>
          <w:color w:val="auto"/>
          <w:highlight w:val="none"/>
        </w:rPr>
      </w:pPr>
      <w:bookmarkStart w:id="54" w:name="_Toc15396622"/>
      <w:r>
        <w:rPr>
          <w:rStyle w:val="29"/>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29"/>
          <w:rFonts w:hint="default" w:ascii="Times New Roman" w:hAnsi="Times New Roman" w:eastAsia="仿宋" w:cs="Times New Roman"/>
          <w:b w:val="0"/>
          <w:bCs w:val="0"/>
          <w:color w:val="auto"/>
          <w:highlight w:val="none"/>
        </w:rPr>
        <w:t>政拨款收入支出决算总表</w:t>
      </w:r>
      <w:bookmarkEnd w:id="54"/>
    </w:p>
    <w:p w14:paraId="6A066BA4">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Style w:val="29"/>
          <w:rFonts w:hint="default" w:ascii="Times New Roman" w:hAnsi="Times New Roman" w:eastAsia="仿宋" w:cs="Times New Roman"/>
          <w:b w:val="0"/>
          <w:bCs w:val="0"/>
          <w:color w:val="auto"/>
          <w:highlight w:val="none"/>
        </w:rPr>
      </w:pPr>
      <w:bookmarkStart w:id="55" w:name="_Toc15396623"/>
      <w:r>
        <w:rPr>
          <w:rStyle w:val="29"/>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29"/>
          <w:rFonts w:hint="default" w:ascii="Times New Roman" w:hAnsi="Times New Roman" w:eastAsia="仿宋" w:cs="Times New Roman"/>
          <w:b w:val="0"/>
          <w:bCs w:val="0"/>
          <w:color w:val="auto"/>
          <w:highlight w:val="none"/>
        </w:rPr>
        <w:t>政拨款支出决算明细表</w:t>
      </w:r>
      <w:bookmarkEnd w:id="55"/>
      <w:bookmarkStart w:id="56" w:name="_Toc15396624"/>
    </w:p>
    <w:p w14:paraId="46B3E20C">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highlight w:val="none"/>
        </w:rPr>
      </w:pPr>
      <w:r>
        <w:rPr>
          <w:rStyle w:val="29"/>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般公共预算财政拨款支出决算表</w:t>
      </w:r>
      <w:bookmarkEnd w:id="56"/>
    </w:p>
    <w:p w14:paraId="206BC5BF">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highlight w:val="none"/>
        </w:rPr>
      </w:pPr>
      <w:bookmarkStart w:id="57" w:name="_Toc15396625"/>
      <w:r>
        <w:rPr>
          <w:rStyle w:val="29"/>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般公共预算财政拨款支出决算明细表</w:t>
      </w:r>
      <w:bookmarkEnd w:id="57"/>
    </w:p>
    <w:p w14:paraId="5E23CBC0">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highlight w:val="none"/>
        </w:rPr>
      </w:pPr>
      <w:bookmarkStart w:id="58" w:name="_Toc15396626"/>
      <w:r>
        <w:rPr>
          <w:rStyle w:val="29"/>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般公共预算财政拨款基本支出决算表</w:t>
      </w:r>
      <w:bookmarkEnd w:id="58"/>
    </w:p>
    <w:p w14:paraId="2BB168DD">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highlight w:val="none"/>
        </w:rPr>
      </w:pPr>
      <w:bookmarkStart w:id="59" w:name="_Toc15396627"/>
      <w:r>
        <w:rPr>
          <w:rStyle w:val="29"/>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般公共预算财政拨款项目支出决算表</w:t>
      </w:r>
      <w:bookmarkEnd w:id="59"/>
    </w:p>
    <w:p w14:paraId="2AAFD240">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highlight w:val="none"/>
        </w:rPr>
      </w:pPr>
      <w:bookmarkStart w:id="60" w:name="_Toc15396628"/>
      <w:r>
        <w:rPr>
          <w:rStyle w:val="29"/>
          <w:rFonts w:hint="default" w:ascii="Times New Roman" w:hAnsi="Times New Roman" w:eastAsia="仿宋" w:cs="Times New Roman"/>
          <w:b w:val="0"/>
          <w:bCs w:val="0"/>
          <w:color w:val="auto"/>
          <w:highlight w:val="none"/>
        </w:rPr>
        <w:t>十、</w:t>
      </w:r>
      <w:bookmarkEnd w:id="60"/>
      <w:r>
        <w:rPr>
          <w:rFonts w:hint="default" w:ascii="Times New Roman" w:hAnsi="Times New Roman" w:eastAsia="仿宋" w:cs="Times New Roman"/>
          <w:b w:val="0"/>
          <w:color w:val="auto"/>
          <w:highlight w:val="none"/>
        </w:rPr>
        <w:t>政</w:t>
      </w:r>
      <w:r>
        <w:rPr>
          <w:rStyle w:val="29"/>
          <w:rFonts w:hint="default" w:ascii="Times New Roman" w:hAnsi="Times New Roman" w:eastAsia="仿宋" w:cs="Times New Roman"/>
          <w:b w:val="0"/>
          <w:bCs w:val="0"/>
          <w:color w:val="auto"/>
          <w:highlight w:val="none"/>
        </w:rPr>
        <w:t>府性基金预算财政拨款收入支出决算表</w:t>
      </w:r>
    </w:p>
    <w:p w14:paraId="42F4DC43">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highlight w:val="none"/>
        </w:rPr>
      </w:pPr>
      <w:bookmarkStart w:id="61" w:name="_Toc15396629"/>
      <w:r>
        <w:rPr>
          <w:rStyle w:val="29"/>
          <w:rFonts w:hint="default" w:ascii="Times New Roman" w:hAnsi="Times New Roman" w:eastAsia="仿宋" w:cs="Times New Roman"/>
          <w:b w:val="0"/>
          <w:bCs w:val="0"/>
          <w:color w:val="auto"/>
          <w:highlight w:val="none"/>
        </w:rPr>
        <w:t>十一、</w:t>
      </w:r>
      <w:bookmarkEnd w:id="61"/>
      <w:r>
        <w:rPr>
          <w:rFonts w:hint="default" w:ascii="Times New Roman" w:hAnsi="Times New Roman" w:eastAsia="仿宋" w:cs="Times New Roman"/>
          <w:b w:val="0"/>
          <w:color w:val="auto"/>
          <w:highlight w:val="none"/>
        </w:rPr>
        <w:t>国</w:t>
      </w:r>
      <w:r>
        <w:rPr>
          <w:rStyle w:val="29"/>
          <w:rFonts w:hint="default" w:ascii="Times New Roman" w:hAnsi="Times New Roman" w:eastAsia="仿宋" w:cs="Times New Roman"/>
          <w:b w:val="0"/>
          <w:bCs w:val="0"/>
          <w:color w:val="auto"/>
          <w:highlight w:val="none"/>
        </w:rPr>
        <w:t>有资本经营预算</w:t>
      </w:r>
      <w:r>
        <w:rPr>
          <w:rStyle w:val="29"/>
          <w:rFonts w:hint="default" w:ascii="Times New Roman" w:hAnsi="Times New Roman" w:eastAsia="仿宋" w:cs="Times New Roman"/>
          <w:b w:val="0"/>
          <w:bCs w:val="0"/>
          <w:color w:val="auto"/>
          <w:highlight w:val="none"/>
          <w:lang w:eastAsia="zh-CN"/>
        </w:rPr>
        <w:t>财政拨款收入</w:t>
      </w:r>
      <w:r>
        <w:rPr>
          <w:rStyle w:val="29"/>
          <w:rFonts w:hint="default" w:ascii="Times New Roman" w:hAnsi="Times New Roman" w:eastAsia="仿宋" w:cs="Times New Roman"/>
          <w:b w:val="0"/>
          <w:bCs w:val="0"/>
          <w:color w:val="auto"/>
          <w:highlight w:val="none"/>
        </w:rPr>
        <w:t>支出决算表</w:t>
      </w:r>
    </w:p>
    <w:p w14:paraId="70A47848">
      <w:pPr>
        <w:pStyle w:val="3"/>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highlight w:val="none"/>
        </w:rPr>
      </w:pPr>
      <w:bookmarkStart w:id="62" w:name="_Toc15396630"/>
      <w:r>
        <w:rPr>
          <w:rStyle w:val="29"/>
          <w:rFonts w:hint="default" w:ascii="Times New Roman" w:hAnsi="Times New Roman" w:eastAsia="仿宋" w:cs="Times New Roman"/>
          <w:b w:val="0"/>
          <w:bCs w:val="0"/>
          <w:color w:val="auto"/>
          <w:highlight w:val="none"/>
        </w:rPr>
        <w:t>十二、</w:t>
      </w:r>
      <w:bookmarkEnd w:id="62"/>
      <w:r>
        <w:rPr>
          <w:rStyle w:val="29"/>
          <w:rFonts w:hint="default" w:ascii="Times New Roman" w:hAnsi="Times New Roman" w:eastAsia="仿宋" w:cs="Times New Roman"/>
          <w:b w:val="0"/>
          <w:bCs w:val="0"/>
          <w:color w:val="auto"/>
          <w:highlight w:val="none"/>
          <w:lang w:eastAsia="zh-CN"/>
        </w:rPr>
        <w:t>国有资本经营预算财政拨款支出决算表</w:t>
      </w:r>
    </w:p>
    <w:p w14:paraId="6E62DEA4">
      <w:pPr>
        <w:ind w:firstLine="420" w:firstLineChars="200"/>
        <w:rPr>
          <w:rFonts w:hint="default" w:ascii="Times New Roman" w:hAnsi="Times New Roman" w:eastAsia="仿宋" w:cs="Times New Roman"/>
          <w:color w:val="auto"/>
          <w:highlight w:val="none"/>
          <w:lang w:eastAsia="zh-CN"/>
        </w:rPr>
      </w:pP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B878">
    <w:pPr>
      <w:pStyle w:val="10"/>
      <w:jc w:val="center"/>
    </w:pPr>
    <w:sdt>
      <w:sdtPr>
        <w:id w:val="-1994781956"/>
      </w:sdtPr>
      <w:sdtContent/>
    </w:sdt>
  </w:p>
  <w:p w14:paraId="0E868F8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08B3">
    <w:pPr>
      <w:pStyle w:val="10"/>
      <w:jc w:val="both"/>
    </w:pPr>
  </w:p>
  <w:p w14:paraId="2DB11E2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977C1">
    <w:pPr>
      <w:pStyle w:val="10"/>
      <w:jc w:val="both"/>
    </w:pPr>
  </w:p>
  <w:p w14:paraId="60C6904E">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62B7F">
    <w:pPr>
      <w:pStyle w:val="10"/>
      <w:jc w:val="both"/>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6D87E">
                          <w:pPr>
                            <w:pStyle w:val="10"/>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76D87E">
                    <w:pPr>
                      <w:pStyle w:val="10"/>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p w14:paraId="76F02E0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0E8A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B057A">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3F12F"/>
    <w:multiLevelType w:val="singleLevel"/>
    <w:tmpl w:val="82A3F12F"/>
    <w:lvl w:ilvl="0" w:tentative="0">
      <w:start w:val="1"/>
      <w:numFmt w:val="chineseCounting"/>
      <w:suff w:val="space"/>
      <w:lvlText w:val="第%1部分"/>
      <w:lvlJc w:val="left"/>
      <w:rPr>
        <w:rFonts w:hint="eastAsia"/>
      </w:rPr>
    </w:lvl>
  </w:abstractNum>
  <w:abstractNum w:abstractNumId="1">
    <w:nsid w:val="92429211"/>
    <w:multiLevelType w:val="singleLevel"/>
    <w:tmpl w:val="92429211"/>
    <w:lvl w:ilvl="0" w:tentative="0">
      <w:start w:val="2"/>
      <w:numFmt w:val="chineseCounting"/>
      <w:suff w:val="nothing"/>
      <w:lvlText w:val="（%1）"/>
      <w:lvlJc w:val="left"/>
      <w:rPr>
        <w:rFonts w:hint="eastAsia"/>
      </w:rPr>
    </w:lvl>
  </w:abstractNum>
  <w:abstractNum w:abstractNumId="2">
    <w:nsid w:val="A41CFACC"/>
    <w:multiLevelType w:val="singleLevel"/>
    <w:tmpl w:val="A41CFACC"/>
    <w:lvl w:ilvl="0" w:tentative="0">
      <w:start w:val="1"/>
      <w:numFmt w:val="decimal"/>
      <w:lvlText w:val="%1."/>
      <w:lvlJc w:val="left"/>
      <w:pPr>
        <w:tabs>
          <w:tab w:val="left" w:pos="312"/>
        </w:tabs>
      </w:pPr>
    </w:lvl>
  </w:abstractNum>
  <w:abstractNum w:abstractNumId="3">
    <w:nsid w:val="E2FA047D"/>
    <w:multiLevelType w:val="singleLevel"/>
    <w:tmpl w:val="E2FA047D"/>
    <w:lvl w:ilvl="0" w:tentative="0">
      <w:start w:val="3"/>
      <w:numFmt w:val="chineseCounting"/>
      <w:suff w:val="space"/>
      <w:lvlText w:val="第%1部分"/>
      <w:lvlJc w:val="left"/>
      <w:rPr>
        <w:rFonts w:hint="eastAsia" w:ascii="方正小标宋简体" w:hAnsi="方正小标宋简体" w:eastAsia="方正小标宋简体" w:cs="方正小标宋简体"/>
        <w:sz w:val="44"/>
        <w:szCs w:val="44"/>
      </w:rPr>
    </w:lvl>
  </w:abstractNum>
  <w:abstractNum w:abstractNumId="4">
    <w:nsid w:val="F795B458"/>
    <w:multiLevelType w:val="singleLevel"/>
    <w:tmpl w:val="F795B458"/>
    <w:lvl w:ilvl="0" w:tentative="0">
      <w:start w:val="4"/>
      <w:numFmt w:val="chineseCounting"/>
      <w:suff w:val="nothing"/>
      <w:lvlText w:val="（%1）"/>
      <w:lvlJc w:val="left"/>
      <w:pPr>
        <w:ind w:left="-10"/>
      </w:pPr>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5AD1B049"/>
    <w:multiLevelType w:val="singleLevel"/>
    <w:tmpl w:val="5AD1B049"/>
    <w:lvl w:ilvl="0" w:tentative="0">
      <w:start w:val="1"/>
      <w:numFmt w:val="decimal"/>
      <w:lvlText w:val="%1."/>
      <w:lvlJc w:val="left"/>
      <w:pPr>
        <w:tabs>
          <w:tab w:val="left" w:pos="312"/>
        </w:tabs>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ZjhiY2RiMDljMGQwN2RiODMxOTYyM2EyOGM0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387C"/>
    <w:rsid w:val="04271E73"/>
    <w:rsid w:val="06A53090"/>
    <w:rsid w:val="0A2032A3"/>
    <w:rsid w:val="0A3D338E"/>
    <w:rsid w:val="0A3F63D5"/>
    <w:rsid w:val="0AF82982"/>
    <w:rsid w:val="0B8A37D8"/>
    <w:rsid w:val="0DDE33A5"/>
    <w:rsid w:val="10C055FF"/>
    <w:rsid w:val="11536ED1"/>
    <w:rsid w:val="118107EC"/>
    <w:rsid w:val="11DD6519"/>
    <w:rsid w:val="16230626"/>
    <w:rsid w:val="16BB723D"/>
    <w:rsid w:val="18015F3F"/>
    <w:rsid w:val="18063ED3"/>
    <w:rsid w:val="18E40C40"/>
    <w:rsid w:val="1A3B4995"/>
    <w:rsid w:val="1BE8440E"/>
    <w:rsid w:val="1D155CEE"/>
    <w:rsid w:val="20D74482"/>
    <w:rsid w:val="20F57F95"/>
    <w:rsid w:val="240371BF"/>
    <w:rsid w:val="25175F0B"/>
    <w:rsid w:val="25C741E6"/>
    <w:rsid w:val="27842671"/>
    <w:rsid w:val="28A137BF"/>
    <w:rsid w:val="29DA0419"/>
    <w:rsid w:val="29FD04D3"/>
    <w:rsid w:val="2ABE7A3E"/>
    <w:rsid w:val="2C76074F"/>
    <w:rsid w:val="2CD43AA9"/>
    <w:rsid w:val="2D0009C2"/>
    <w:rsid w:val="2EFA178C"/>
    <w:rsid w:val="30233FF0"/>
    <w:rsid w:val="30B33A8C"/>
    <w:rsid w:val="30B46D73"/>
    <w:rsid w:val="319F7F4E"/>
    <w:rsid w:val="31E32279"/>
    <w:rsid w:val="3470679A"/>
    <w:rsid w:val="36160449"/>
    <w:rsid w:val="37A058E7"/>
    <w:rsid w:val="37BD5F32"/>
    <w:rsid w:val="39AE70AB"/>
    <w:rsid w:val="39C31265"/>
    <w:rsid w:val="3BF41E69"/>
    <w:rsid w:val="3C0C0783"/>
    <w:rsid w:val="3F5C7D12"/>
    <w:rsid w:val="3F72590C"/>
    <w:rsid w:val="3F9F3A96"/>
    <w:rsid w:val="41426A6D"/>
    <w:rsid w:val="42F223AD"/>
    <w:rsid w:val="493C27E9"/>
    <w:rsid w:val="496F39ED"/>
    <w:rsid w:val="49FF41D3"/>
    <w:rsid w:val="4BE068DB"/>
    <w:rsid w:val="4BF6002B"/>
    <w:rsid w:val="4EB812A7"/>
    <w:rsid w:val="4ECE2238"/>
    <w:rsid w:val="51DB4B86"/>
    <w:rsid w:val="5259501A"/>
    <w:rsid w:val="5266638D"/>
    <w:rsid w:val="55333C3E"/>
    <w:rsid w:val="55501DDF"/>
    <w:rsid w:val="5B226235"/>
    <w:rsid w:val="5B285F89"/>
    <w:rsid w:val="5D6864C7"/>
    <w:rsid w:val="5DE62663"/>
    <w:rsid w:val="5FAC19D9"/>
    <w:rsid w:val="60C636CD"/>
    <w:rsid w:val="612B3CF9"/>
    <w:rsid w:val="615523A0"/>
    <w:rsid w:val="622A6195"/>
    <w:rsid w:val="64CA39A1"/>
    <w:rsid w:val="64F2536B"/>
    <w:rsid w:val="65425D45"/>
    <w:rsid w:val="695344E8"/>
    <w:rsid w:val="6B2A16FC"/>
    <w:rsid w:val="6C4A05C8"/>
    <w:rsid w:val="6CFD06AE"/>
    <w:rsid w:val="6DF700E0"/>
    <w:rsid w:val="71A37E53"/>
    <w:rsid w:val="726B5702"/>
    <w:rsid w:val="72734D90"/>
    <w:rsid w:val="73355D9B"/>
    <w:rsid w:val="743F4ECC"/>
    <w:rsid w:val="75F929C0"/>
    <w:rsid w:val="763444AF"/>
    <w:rsid w:val="763B7887"/>
    <w:rsid w:val="79E7B28D"/>
    <w:rsid w:val="7A21770D"/>
    <w:rsid w:val="7A8A5D97"/>
    <w:rsid w:val="7B4353AB"/>
    <w:rsid w:val="7B4B6285"/>
    <w:rsid w:val="7C723BAD"/>
    <w:rsid w:val="7F9F20EE"/>
    <w:rsid w:val="7FE8315F"/>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2"/>
    <w:qFormat/>
    <w:uiPriority w:val="9"/>
    <w:rPr>
      <w:rFonts w:ascii="Times New Roman" w:hAnsi="Times New Roman"/>
      <w:b/>
      <w:bCs/>
      <w:kern w:val="44"/>
      <w:sz w:val="44"/>
      <w:szCs w:val="44"/>
    </w:rPr>
  </w:style>
  <w:style w:type="character" w:customStyle="1" w:styleId="29">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image" Target="media/image3.png"/><Relationship Id="rId16" Type="http://www.wps.cn/officeDocument/2018/webExtension" Target="webExtensions/webExtension3.xml"/><Relationship Id="rId15" Type="http://schemas.openxmlformats.org/officeDocument/2006/relationships/image" Target="media/image2.png"/><Relationship Id="rId14" Type="http://www.wps.cn/officeDocument/2018/webExtension" Target="webExtensions/webExtension2.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png"/><Relationship Id="rId10" Type="http://www.wps.cn/officeDocument/2018/webExtension" Target="webExtensions/webExtension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80989364725312"/>
                  <c:y val="0.03435452601243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1026.87</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r>
                      <a:rPr lang="en-US" altLang="zh-CN"/>
                      <a:t>58.18</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141375"/>
                      <c:h val="0.1765"/>
                    </c:manualLayout>
                  </c15:layout>
                </c:ext>
              </c:extLst>
            </c:dLbl>
            <c:dLbl>
              <c:idx val="1"/>
              <c:layout>
                <c:manualLayout>
                  <c:x val="0.178764766452936"/>
                  <c:y val="0.026664635058872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738.21</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r>
                      <a:rPr lang="en-US" altLang="zh-CN"/>
                      <a:t>41.82</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148375"/>
                      <c:h val="0.13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一般公共预算收入</c:v>
                </c:pt>
                <c:pt idx="1">
                  <c:v>政府性基金预算收入</c:v>
                </c:pt>
              </c:strCache>
            </c:strRef>
          </c:cat>
          <c:val>
            <c:numRef>
              <c:f>Sheet1!$B$2:$B$5</c:f>
              <c:numCache>
                <c:formatCode>General</c:formatCode>
                <c:ptCount val="4"/>
                <c:pt idx="0">
                  <c:v>738.21</c:v>
                </c:pt>
                <c:pt idx="1">
                  <c:v>1028.87</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28537767486619"/>
                  <c:y val="0.14716627773937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648.453</a:t>
                    </a:r>
                    <a:r>
                      <a:rPr lang="en-US" altLang="zh-CN"/>
                      <a:t>6.75</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153134091510182"/>
                      <c:h val="0.204964539007092"/>
                    </c:manualLayout>
                  </c15:layout>
                </c:ext>
              </c:extLst>
            </c:dLbl>
            <c:dLbl>
              <c:idx val="1"/>
              <c:layout>
                <c:manualLayout>
                  <c:x val="0.149297140388772"/>
                  <c:y val="-0.18514733256397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1116.4363</a:t>
                    </a:r>
                    <a:r>
                      <a:rPr lang="en-US" altLang="zh-CN"/>
                      <a:t>.25</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16175"/>
                      <c:h val="0.13466666666666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648.45</c:v>
                </c:pt>
                <c:pt idx="1">
                  <c:v>1116.43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3673125"/>
          <c:y val="0.904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0933723910655438"/>
          <c:y val="0.0258852258852259"/>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51601458362624"/>
                  <c:y val="-0.0249300441708318"/>
                </c:manualLayout>
              </c:layout>
              <c:dLblPos val="bestFit"/>
              <c:showLegendKey val="0"/>
              <c:showVal val="1"/>
              <c:showCatName val="0"/>
              <c:showSerName val="0"/>
              <c:showPercent val="0"/>
              <c:showBubbleSize val="0"/>
              <c:separator>
</c:separator>
              <c:extLst>
                <c:ext xmlns:c15="http://schemas.microsoft.com/office/drawing/2012/chart" uri="{CE6537A1-D6FC-4f65-9D91-7224C49458BB}">
                  <c15:layout/>
                </c:ext>
              </c:extLst>
            </c:dLbl>
            <c:dLbl>
              <c:idx val="1"/>
              <c:layout>
                <c:manualLayout>
                  <c:x val="-0.00810290332022694"/>
                  <c:y val="-0.229414710646371"/>
                </c:manualLayout>
              </c:layout>
              <c:dLblPos val="bestFit"/>
              <c:showLegendKey val="0"/>
              <c:showVal val="1"/>
              <c:showCatName val="0"/>
              <c:showSerName val="0"/>
              <c:showPercent val="0"/>
              <c:showBubbleSize val="0"/>
              <c:separator>
</c:separator>
              <c:extLst>
                <c:ext xmlns:c15="http://schemas.microsoft.com/office/drawing/2012/chart" uri="{CE6537A1-D6FC-4f65-9D91-7224C49458BB}">
                  <c15:layout/>
                </c:ext>
              </c:extLst>
            </c:dLbl>
            <c:dLbl>
              <c:idx val="2"/>
              <c:layout>
                <c:manualLayout>
                  <c:x val="-0.0206158900665771"/>
                  <c:y val="-0.042190608797095"/>
                </c:manualLayout>
              </c:layout>
              <c:dLblPos val="bestFit"/>
              <c:showLegendKey val="0"/>
              <c:showVal val="1"/>
              <c:showCatName val="0"/>
              <c:showSerName val="0"/>
              <c:showPercent val="0"/>
              <c:showBubbleSize val="0"/>
              <c:separator>
</c:separator>
              <c:extLst>
                <c:ext xmlns:c15="http://schemas.microsoft.com/office/drawing/2012/chart" uri="{CE6537A1-D6FC-4f65-9D91-7224C49458BB}">
                  <c15:layout/>
                </c:ext>
              </c:extLst>
            </c:dLbl>
            <c:dLbl>
              <c:idx val="3"/>
              <c:layout>
                <c:manualLayout>
                  <c:x val="0.010353496815145"/>
                  <c:y val="-0.0836730374424347"/>
                </c:manualLayout>
              </c:layout>
              <c:dLblPos val="bestFit"/>
              <c:showLegendKey val="0"/>
              <c:showVal val="1"/>
              <c:showCatName val="0"/>
              <c:showSerName val="0"/>
              <c:showPercent val="0"/>
              <c:showBubbleSize val="0"/>
              <c:separator>
</c:separator>
              <c:extLst>
                <c:ext xmlns:c15="http://schemas.microsoft.com/office/drawing/2012/chart" uri="{CE6537A1-D6FC-4f65-9D91-7224C49458BB}">
                  <c15:layout/>
                </c:ext>
              </c:extLst>
            </c:dLbl>
            <c:dLbl>
              <c:idx val="4"/>
              <c:layout>
                <c:manualLayout>
                  <c:x val="0.0643516054671482"/>
                  <c:y val="-0.0853941507581526"/>
                </c:manualLayout>
              </c:layout>
              <c:dLblPos val="bestFit"/>
              <c:showLegendKey val="0"/>
              <c:showVal val="1"/>
              <c:showCatName val="0"/>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c:v>
                </c:pt>
                <c:pt idx="1">
                  <c:v>城乡社区支出</c:v>
                </c:pt>
                <c:pt idx="2">
                  <c:v>住房保障支出</c:v>
                </c:pt>
                <c:pt idx="3">
                  <c:v>卫生健康支出</c:v>
                </c:pt>
                <c:pt idx="4">
                  <c:v>项目支出</c:v>
                </c:pt>
              </c:strCache>
            </c:strRef>
          </c:cat>
          <c:val>
            <c:numRef>
              <c:f>Sheet1!$B$2:$B$6</c:f>
              <c:numCache>
                <c:formatCode>General</c:formatCode>
                <c:ptCount val="5"/>
                <c:pt idx="0">
                  <c:v>93.8</c:v>
                </c:pt>
                <c:pt idx="1">
                  <c:v>494.45</c:v>
                </c:pt>
                <c:pt idx="2">
                  <c:v>42.54</c:v>
                </c:pt>
                <c:pt idx="3">
                  <c:v>17.87</c:v>
                </c:pt>
                <c:pt idx="4">
                  <c:v>89.56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04357378249725"/>
          <c:y val="0.896214896214896"/>
          <c:w val="0.821310875137312"/>
          <c:h val="0.081318681318681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03066314276845"/>
                  <c:y val="-0.329357154804616"/>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0972167777342219"/>
                      <c:h val="0.198836949228361"/>
                    </c:manualLayout>
                  </c15:layout>
                </c:ext>
              </c:extLst>
            </c:dLbl>
            <c:dLbl>
              <c:idx val="1"/>
              <c:layout>
                <c:manualLayout>
                  <c:x val="0.0228158559713346"/>
                  <c:y val="0.162296263120514"/>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069625"/>
                      <c:h val="0.132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公务用车运行维护费</c:v>
                </c:pt>
                <c:pt idx="1">
                  <c:v>公务接待费</c:v>
                </c:pt>
              </c:strCache>
            </c:strRef>
          </c:cat>
          <c:val>
            <c:numRef>
              <c:f>Sheet1!$B$2:$B$5</c:f>
              <c:numCache>
                <c:formatCode>General</c:formatCode>
                <c:ptCount val="4"/>
                <c:pt idx="0">
                  <c:v>9.42</c:v>
                </c:pt>
                <c:pt idx="1">
                  <c:v>0.45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5.xlsx"/></Relationships>
</file>

<file path=word/webExtensions/_rels/webExtension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6.xlsx"/></Relationships>
</file>

<file path=word/webExtensions/_rels/webExtension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package" Target="../embeddings/Workbook7.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单位：万元&quot;,&quot;&quot;],[&quot;2023年收入支出总体情况&quot;,&quot;1765.08&quot;],[&quot;2022年收入支出总体情况&quot;,&quot;1947&quot;]]],&quot;dataType&quot;:&quot;obejct-table&quot;,&quot;download&quot;:false,&quot;srcType&quot;:&quot;local&quot;,&quot;url&quot;:&quot;&quot;},&quot;function_type&quot;:[&quot;柱形图&quot;],&quot;gif&quot;:&quot;//web.docer.wpscdn.cn/docer/ds-page/images/444734748594536323.gif?imageView2/2/w/500/quality/90&quot;,&quot;isDocNotWatermark&quot;:true,&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color&quot;:&quot;#a1a1a1&quot;,&quot;grid&quot;:{&quot;color&quot;:&quot;#ccc&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FFFFFF&quot;,&quot;colors&quot;:{&quot;colorControlers&quot;:[&quot;multiple&quot;],&quot;list&quot;:[0],&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fals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18.46153846153845,&quot;ratio&quot;:&quot;&quot;,&quot;rotate&quot;:0,&quot;width&quot;:502.3076923076923},&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7&quot;,&quot;show&quot;:tru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4&quot;,&quot;templateSwitch&quot;:&quot;cross&quot;,&quot;theme&quot;:{&quot;_id&quot;:17,&quot;axis&quot;:{&quot;color&quot;:&quot;#a1a1a1&quot;},&quot;backgroundColor&quot;:&quot;#FFFFFF&quot;,&quot;card_color&quot;:&quot;#FEF5EF&quot;,&quot;colors&quot;:[&quot;#4150d8&quot;,&quot;#28bf7e&quot;,&quot;#ed7c2f&quot;,&quot;#f2a93b&quot;,&quot;#f9cf36&quot;,&quot;#4a5bdc&quot;,&quot;#4cd698&quot;,&quot;#f4914e&quot;,&quot;#fcb75b&quot;,&quot;#ffe180&quot;,&quot;#b6c2ff&quot;,&quot;#96edc1&quot;,&quot;#ffbe92&quot;,&quot;#ffd6ae&quot;,&quot;#ffecb6&quot;],&quot;fonts&quot;:{&quot;accessoryColor&quot;:&quot;#878787&quot;,&quot;color&quot;:&quot;#545454&quot;,&quot;fontFamily&quot;:&quot;阿里巴巴普惠体 常规&quot;,&quot;fontSize&quot;:&quot;14&quot;},&quot;grid&quot;:{&quot;color&quot;:&quot;#ccc&quot;},&quot;name&quot;:&quot;煦色韶光&quot;,&quot;price&quot;:&quot;0.0&quot;,&quot;shapeColor&quot;:1,&quot;themeId&quot;:&quot;17&quot;,&quot;thumb&quot;:&quot;https://ss1.dydata.io/v2/themes/17.png&quot;,&quot;titleFont&quot;:{&quot;color&quot;:&quot;#4c4c4c&quot;,&quot;fontFamily&quot;:&quot;阿里巴巴普惠体 常规&quot;,&quot;fontSize&quot;:&quot;36&quot;},&quot;typeDycharts&quot;:{}},&quot;thumb&quot;:&quot;./images/444734748594536323-4.png&quot;,&quot;title&quot;:&quot;基础柱状图&quot;,&quot;type&quot;:&quot;chart&quot;},&quot;dschart_id&quot;:&quot;444734748594536323-4&quot;,&quot;flag&quot;:&quot;1003&quot;,&quot;id&quot;:&quot;331&quot;}"/>
    <wpswe:property key="isUseCommonErrorPage" value="false"/>
    <wpswe:property key="loadingImage" value="res:/icons/DsWebShapeDefaultPage.svg"/>
  </wpswe:properties>
  <wpswe:watchingCache>
    <wpswe:linkPath>C:/Users/Administrator/AppData/Local/Temp/wps.tXBjgA/Workbook5.xlsx</wpswe:linkPath>
  </wpswe:watchingCache>
  <wpswe:snapshot xmlns:r="http://schemas.openxmlformats.org/officeDocument/2006/relationships" r:embed="rId2"/>
  <wpswe:externalData xmlns:r="http://schemas.openxmlformats.org/officeDocument/2006/relationships" r:id="rId1"/>
  <wpswe:url>https://clientweb.docer.wps.cn/ds/1.0.0/webShapeView?id=331&amp;dschart_id=444734748594536323&amp;from=chartwins&amp;productEntry=insert&amp;sceneEntry=rec&amp;flag=1003</wpswe:url>
  <wpswe:constantSnapshot>false</wpswe:constantSnapshot>
</wpswe:webExtension>
</file>

<file path=word/webExtensions/webExtension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单位：万元&quot;,&quot;&quot;],[&quot;2023年收入支出总体情况&quot;,&quot;1765.08&quot;],[&quot;2022年收入支出总体情况&quot;,&quot;1947&quot;]]],&quot;dataType&quot;:&quot;obejct-table&quot;,&quot;download&quot;:false,&quot;srcType&quot;:&quot;local&quot;,&quot;url&quot;:&quot;&quot;},&quot;function_type&quot;:[&quot;柱形图&quot;],&quot;gif&quot;:&quot;//web.docer.wpscdn.cn/docer/ds-page/images/444734748594536323.gif?imageView2/2/w/500/quality/90&quot;,&quot;isDocNotWatermark&quot;:true,&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color&quot;:&quot;#a1a1a1&quot;,&quot;grid&quot;:{&quot;color&quot;:&quot;#ccc&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FFFFFF&quot;,&quot;colors&quot;:{&quot;colorControlers&quot;:[&quot;multiple&quot;],&quot;list&quot;:[0],&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fals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63.6363636363636,&quot;ratio&quot;:&quot;&quot;,&quot;rotate&quot;:0,&quot;width&quot;:522.2222222222223},&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7&quot;,&quot;show&quot;:tru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4&quot;,&quot;templateSwitch&quot;:&quot;cross&quot;,&quot;theme&quot;:{&quot;_id&quot;:17,&quot;axis&quot;:{&quot;color&quot;:&quot;#a1a1a1&quot;},&quot;backgroundColor&quot;:&quot;#FFFFFF&quot;,&quot;card_color&quot;:&quot;#FEF5EF&quot;,&quot;colors&quot;:[&quot;#4150d8&quot;,&quot;#28bf7e&quot;,&quot;#ed7c2f&quot;,&quot;#f2a93b&quot;,&quot;#f9cf36&quot;,&quot;#4a5bdc&quot;,&quot;#4cd698&quot;,&quot;#f4914e&quot;,&quot;#fcb75b&quot;,&quot;#ffe180&quot;,&quot;#b6c2ff&quot;,&quot;#96edc1&quot;,&quot;#ffbe92&quot;,&quot;#ffd6ae&quot;,&quot;#ffecb6&quot;],&quot;fonts&quot;:{&quot;accessoryColor&quot;:&quot;#878787&quot;,&quot;color&quot;:&quot;#545454&quot;,&quot;fontFamily&quot;:&quot;阿里巴巴普惠体 常规&quot;,&quot;fontSize&quot;:&quot;14&quot;},&quot;grid&quot;:{&quot;color&quot;:&quot;#ccc&quot;},&quot;name&quot;:&quot;煦色韶光&quot;,&quot;price&quot;:&quot;0.0&quot;,&quot;shapeColor&quot;:1,&quot;themeId&quot;:&quot;17&quot;,&quot;thumb&quot;:&quot;https://ss1.dydata.io/v2/themes/17.png&quot;,&quot;titleFont&quot;:{&quot;color&quot;:&quot;#4c4c4c&quot;,&quot;fontFamily&quot;:&quot;阿里巴巴普惠体 常规&quot;,&quot;fontSize&quot;:&quot;36&quot;},&quot;typeDycharts&quot;:{}},&quot;thumb&quot;:&quot;./images/444734748594536323-4.png&quot;,&quot;title&quot;:&quot;基础柱状图&quot;,&quot;type&quot;:&quot;chart&quot;},&quot;dschart_id&quot;:&quot;444734748594536323-4&quot;,&quot;flag&quot;:&quot;1003&quot;,&quot;page&quot;:&quot;editor&quot;}"/>
    <wpswe:property key="isUseCommonErrorPage" value="false"/>
    <wpswe:property key="loadingImage" value="res:/icons/DsWebShapeDefaultPage.svg"/>
  </wpswe:properties>
  <wpswe:watchingCache>
    <wpswe:linkPath>C:/Users/Administrator/AppData/Local/Temp/wps.UrhJwS/Workbook6.xlsx</wpswe:linkPath>
  </wpswe:watchingCache>
  <wpswe:snapshot xmlns:r="http://schemas.openxmlformats.org/officeDocument/2006/relationships" r:embed="rId2"/>
  <wpswe:externalData xmlns:r="http://schemas.openxmlformats.org/officeDocument/2006/relationships" r:id="rId1"/>
  <wpswe:url>https://clientweb.docer.wps.cn/ds/1.0.0/webShapeView?id=331&amp;dschart_id=444734748594536323&amp;from=chartwins&amp;productEntry=insert&amp;sceneEntry=rec&amp;flag=1003</wpswe:url>
  <wpswe:constantSnapshot>false</wpswe:constantSnapshot>
</wpswe:webExtension>
</file>

<file path=word/webExtensions/webExtension3.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单位：万元&quot;,&quot;&quot;],[&quot;2023年一般公共预算财政拨款支出&quot;,&quot;738.21&quot;],[&quot;2022年一般公共预算财政拨款支出&quot;,&quot;969.31&quot;]]],&quot;dataType&quot;:&quot;obejct-table&quot;,&quot;download&quot;:false,&quot;srcType&quot;:&quot;local&quot;,&quot;url&quot;:&quot;&quot;},&quot;function_type&quot;:[&quot;柱形图&quot;],&quot;gif&quot;:&quot;//web.docer.wpscdn.cn/docer/ds-page/images/444734748594536323.gif?imageView2/2/w/500/quality/90&quot;,&quot;isDocNotWatermark&quot;:true,&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color&quot;:&quot;#a1a1a1&quot;,&quot;grid&quot;:{&quot;color&quot;:&quot;#ccc&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FFFFFF&quot;,&quot;colors&quot;:{&quot;colorControlers&quot;:[&quot;multiple&quot;],&quot;list&quot;:[0],&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fals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91.7647058823529,&quot;ratio&quot;:&quot;&quot;,&quot;rotate&quot;:0,&quot;width&quot;:525.8823529411765},&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tru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4&quot;,&quot;templateSwitch&quot;:&quot;cross&quot;,&quot;theme&quot;:{&quot;_id&quot;:17,&quot;axis&quot;:{&quot;color&quot;:&quot;#a1a1a1&quot;},&quot;backgroundColor&quot;:&quot;#FFFFFF&quot;,&quot;card_color&quot;:&quot;#FEF5EF&quot;,&quot;colors&quot;:[&quot;#4150d8&quot;,&quot;#28bf7e&quot;,&quot;#ed7c2f&quot;,&quot;#f2a93b&quot;,&quot;#f9cf36&quot;,&quot;#4a5bdc&quot;,&quot;#4cd698&quot;,&quot;#f4914e&quot;,&quot;#fcb75b&quot;,&quot;#ffe180&quot;,&quot;#b6c2ff&quot;,&quot;#96edc1&quot;,&quot;#ffbe92&quot;,&quot;#ffd6ae&quot;,&quot;#ffecb6&quot;],&quot;fonts&quot;:{&quot;accessoryColor&quot;:&quot;#878787&quot;,&quot;color&quot;:&quot;#545454&quot;,&quot;fontFamily&quot;:&quot;阿里巴巴普惠体 常规&quot;,&quot;fontSize&quot;:&quot;14&quot;},&quot;grid&quot;:{&quot;color&quot;:&quot;#ccc&quot;},&quot;name&quot;:&quot;煦色韶光&quot;,&quot;price&quot;:&quot;0.0&quot;,&quot;shapeColor&quot;:1,&quot;themeId&quot;:&quot;17&quot;,&quot;thumb&quot;:&quot;https://ss1.dydata.io/v2/themes/17.png&quot;,&quot;titleFont&quot;:{&quot;color&quot;:&quot;#4c4c4c&quot;,&quot;fontFamily&quot;:&quot;阿里巴巴普惠体 常规&quot;,&quot;fontSize&quot;:&quot;36&quot;},&quot;typeDycharts&quot;:{}},&quot;thumb&quot;:&quot;./images/444734748594536323-4.png&quot;,&quot;title&quot;:&quot;基础柱状图&quot;,&quot;type&quot;:&quot;chart&quot;},&quot;dschart_id&quot;:&quot;444734748594536323-4&quot;,&quot;flag&quot;:&quot;1003&quot;,&quot;id&quot;:&quot;331&quot;}"/>
    <wpswe:property key="isUseCommonErrorPage" value="false"/>
    <wpswe:property key="loadingImage" value="res:/icons/DsWebShapeDefaultPage.svg"/>
  </wpswe:properties>
  <wpswe:watchingCache>
    <wpswe:linkPath>C:/Users/Administrator/AppData/Local/Temp/wps.arZCXT/Workbook7.xlsx</wpswe:linkPath>
  </wpswe:watchingCache>
  <wpswe:snapshot xmlns:r="http://schemas.openxmlformats.org/officeDocument/2006/relationships" r:embed="rId2"/>
  <wpswe:externalData xmlns:r="http://schemas.openxmlformats.org/officeDocument/2006/relationships" r:id="rId1"/>
  <wpswe:url>https://clientweb.docer.wps.cn/ds/1.0.0/webShapeView?id=331&amp;dschart_id=444734748594536323&amp;from=chartwins&amp;productEntry=insert&amp;sceneEntry=rec&amp;flag=1003</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6862</Words>
  <Characters>7622</Characters>
  <Lines>61</Lines>
  <Paragraphs>17</Paragraphs>
  <TotalTime>15</TotalTime>
  <ScaleCrop>false</ScaleCrop>
  <LinksUpToDate>false</LinksUpToDate>
  <CharactersWithSpaces>7684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汤琴</cp:lastModifiedBy>
  <cp:lastPrinted>2022-08-06T02:23:00Z</cp:lastPrinted>
  <dcterms:modified xsi:type="dcterms:W3CDTF">2024-10-23T02:01:40Z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BA1B6C43DA614C1891D65F42338EF89F_13</vt:lpwstr>
  </property>
</Properties>
</file>