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BAEE9">
      <w:pPr>
        <w:spacing w:line="600" w:lineRule="exact"/>
        <w:jc w:val="left"/>
        <w:outlineLvl w:val="0"/>
        <w:rPr>
          <w:rFonts w:ascii="方正小标宋简体" w:hAnsi="宋体" w:eastAsia="方正小标宋简体"/>
          <w:szCs w:val="21"/>
        </w:rPr>
      </w:pPr>
      <w:bookmarkStart w:id="0" w:name="_Toc15306267"/>
    </w:p>
    <w:p w14:paraId="66C71418">
      <w:pPr>
        <w:pStyle w:val="6"/>
        <w:spacing w:before="93"/>
      </w:pPr>
    </w:p>
    <w:p w14:paraId="651926D9">
      <w:pPr>
        <w:spacing w:line="600" w:lineRule="exact"/>
        <w:jc w:val="center"/>
        <w:outlineLvl w:val="0"/>
        <w:rPr>
          <w:rFonts w:ascii="方正小标宋简体" w:hAnsi="宋体" w:eastAsia="方正小标宋简体"/>
          <w:sz w:val="72"/>
          <w:szCs w:val="72"/>
        </w:rPr>
      </w:pPr>
    </w:p>
    <w:p w14:paraId="6DF26BE1">
      <w:pPr>
        <w:spacing w:line="600" w:lineRule="exact"/>
        <w:jc w:val="center"/>
        <w:outlineLvl w:val="0"/>
        <w:rPr>
          <w:rFonts w:ascii="方正小标宋简体" w:hAnsi="宋体" w:eastAsia="方正小标宋简体"/>
          <w:sz w:val="72"/>
          <w:szCs w:val="72"/>
        </w:rPr>
      </w:pPr>
    </w:p>
    <w:p w14:paraId="72667E2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8441"/>
      <w:bookmarkStart w:id="4" w:name="_Toc15396597"/>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5B11A602">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96598"/>
      <w:bookmarkStart w:id="7" w:name="_Toc15396476"/>
      <w:bookmarkStart w:id="8" w:name="_Toc15306268"/>
      <w:bookmarkStart w:id="9" w:name="_Toc15377426"/>
      <w:bookmarkStart w:id="10" w:name="_Toc15378442"/>
      <w:bookmarkStart w:id="11" w:name="_Toc15377194"/>
      <w:r>
        <w:rPr>
          <w:rFonts w:hint="eastAsia" w:ascii="方正小标宋简体" w:hAnsi="方正小标宋简体" w:eastAsia="方正小标宋简体" w:cs="方正小标宋简体"/>
          <w:sz w:val="72"/>
          <w:szCs w:val="72"/>
          <w:lang w:val="en-US" w:eastAsia="zh-CN"/>
        </w:rPr>
        <w:t>大竹县教育服务中心</w:t>
      </w:r>
    </w:p>
    <w:p w14:paraId="4FACAA7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3" w:name="_GoBack"/>
      <w:bookmarkEnd w:id="63"/>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2EFBFF9C">
      <w:pPr>
        <w:widowControl/>
        <w:jc w:val="center"/>
        <w:outlineLvl w:val="2"/>
        <w:rPr>
          <w:rFonts w:hint="eastAsia" w:ascii="黑体" w:hAnsi="黑体" w:eastAsia="黑体"/>
          <w:color w:val="auto"/>
          <w:sz w:val="48"/>
          <w:szCs w:val="48"/>
          <w:highlight w:val="none"/>
        </w:rPr>
        <w:sectPr>
          <w:footerReference r:id="rId4" w:type="first"/>
          <w:footerReference r:id="rId3" w:type="default"/>
          <w:pgSz w:w="11906" w:h="16838"/>
          <w:pgMar w:top="1440" w:right="1800" w:bottom="1440" w:left="1800" w:header="851" w:footer="992" w:gutter="0"/>
          <w:pgNumType w:fmt="decimal" w:start="1"/>
          <w:cols w:space="425" w:num="1"/>
          <w:titlePg/>
          <w:docGrid w:type="lines" w:linePitch="312" w:charSpace="0"/>
        </w:sectPr>
      </w:pPr>
    </w:p>
    <w:p w14:paraId="089AA728">
      <w:pPr>
        <w:widowControl/>
        <w:jc w:val="center"/>
        <w:outlineLvl w:val="2"/>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6A8E498A">
      <w:pPr>
        <w:widowControl/>
        <w:jc w:val="center"/>
        <w:outlineLvl w:val="2"/>
        <w:rPr>
          <w:rFonts w:ascii="黑体" w:hAnsi="黑体" w:eastAsia="黑体" w:cstheme="minorBidi"/>
          <w:color w:val="auto"/>
          <w:sz w:val="28"/>
          <w:szCs w:val="28"/>
          <w:highlight w:val="none"/>
        </w:rPr>
      </w:pPr>
    </w:p>
    <w:p w14:paraId="76DBA93F">
      <w:pPr>
        <w:pStyle w:val="12"/>
        <w:outlineLvl w:val="2"/>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626BAF4D">
      <w:pPr>
        <w:pStyle w:val="13"/>
        <w:tabs>
          <w:tab w:val="right" w:leader="dot" w:pos="8400"/>
        </w:tabs>
        <w:bidi w:val="0"/>
        <w:outlineLvl w:val="2"/>
      </w:pPr>
    </w:p>
    <w:p w14:paraId="3806319B">
      <w:pPr>
        <w:pStyle w:val="13"/>
        <w:tabs>
          <w:tab w:val="right" w:leader="dot" w:pos="8400"/>
        </w:tabs>
        <w:adjustRightInd w:val="0"/>
        <w:snapToGrid w:val="0"/>
        <w:spacing w:line="440" w:lineRule="exact"/>
        <w:ind w:left="0" w:leftChars="0" w:firstLine="0" w:firstLineChars="0"/>
        <w:jc w:val="left"/>
        <w:outlineLvl w:val="2"/>
        <w:rPr>
          <w:rFonts w:hint="eastAsia"/>
          <w:lang w:val="en-US" w:eastAsia="zh-CN"/>
        </w:rPr>
      </w:pPr>
      <w:r>
        <w:rPr>
          <w:rFonts w:hint="eastAsia" w:ascii="仿宋" w:hAnsi="仿宋" w:eastAsia="仿宋" w:cs="Times New Roman"/>
          <w:color w:val="auto"/>
          <w:kern w:val="2"/>
          <w:sz w:val="24"/>
          <w:szCs w:val="28"/>
          <w:highlight w:val="none"/>
          <w:lang w:val="en-US" w:eastAsia="zh-CN" w:bidi="ar-SA"/>
        </w:rPr>
        <w:t>第一部分单位概况</w:t>
      </w:r>
      <w:r>
        <w:rPr>
          <w:rFonts w:hint="eastAsia"/>
          <w:lang w:val="en-US" w:eastAsia="zh-CN"/>
        </w:rPr>
        <w:tab/>
      </w:r>
      <w:r>
        <w:rPr>
          <w:rFonts w:hint="eastAsia"/>
          <w:lang w:val="en-US" w:eastAsia="zh-CN"/>
        </w:rPr>
        <w:t xml:space="preserve">1                                </w:t>
      </w:r>
    </w:p>
    <w:p w14:paraId="113AB6EE">
      <w:pPr>
        <w:pStyle w:val="13"/>
        <w:tabs>
          <w:tab w:val="right" w:leader="dot" w:pos="8400"/>
        </w:tabs>
        <w:adjustRightInd w:val="0"/>
        <w:snapToGrid w:val="0"/>
        <w:spacing w:line="440" w:lineRule="exact"/>
        <w:jc w:val="left"/>
        <w:outlineLvl w:val="2"/>
        <w:rPr>
          <w:rFonts w:hint="eastAsia"/>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 xml:space="preserve"> </w:t>
      </w:r>
      <w:r>
        <w:rPr>
          <w:rFonts w:hint="eastAsia"/>
          <w:color w:val="auto"/>
          <w:sz w:val="24"/>
          <w:highlight w:val="none"/>
          <w:lang w:val="en-US" w:eastAsia="zh-CN"/>
        </w:rPr>
        <w:tab/>
      </w:r>
      <w:r>
        <w:rPr>
          <w:rFonts w:hint="eastAsia"/>
          <w:color w:val="auto"/>
          <w:sz w:val="24"/>
          <w:highlight w:val="none"/>
          <w:lang w:val="en-US" w:eastAsia="zh-CN"/>
        </w:rPr>
        <w:t xml:space="preserve">1                            </w:t>
      </w:r>
    </w:p>
    <w:p w14:paraId="55EF5A44">
      <w:pPr>
        <w:pStyle w:val="13"/>
        <w:tabs>
          <w:tab w:val="right" w:leader="dot" w:pos="8400"/>
        </w:tabs>
        <w:adjustRightInd w:val="0"/>
        <w:snapToGrid w:val="0"/>
        <w:spacing w:line="440" w:lineRule="exact"/>
        <w:jc w:val="left"/>
        <w:outlineLvl w:val="2"/>
        <w:rPr>
          <w:rFonts w:hint="default"/>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 xml:space="preserve"> </w:t>
      </w:r>
      <w:r>
        <w:rPr>
          <w:rFonts w:hint="eastAsia"/>
          <w:lang w:val="en-US" w:eastAsia="zh-CN"/>
        </w:rPr>
        <w:tab/>
      </w:r>
      <w:r>
        <w:rPr>
          <w:rFonts w:hint="eastAsia"/>
          <w:lang w:val="en-US" w:eastAsia="zh-CN"/>
        </w:rPr>
        <w:t xml:space="preserve">1                                          </w:t>
      </w:r>
    </w:p>
    <w:p w14:paraId="557D4D66">
      <w:pPr>
        <w:pStyle w:val="12"/>
        <w:tabs>
          <w:tab w:val="right" w:leader="dot" w:pos="8400"/>
        </w:tabs>
        <w:adjustRightInd w:val="0"/>
        <w:snapToGrid w:val="0"/>
        <w:spacing w:before="0" w:line="440" w:lineRule="exact"/>
        <w:jc w:val="left"/>
        <w:outlineLvl w:val="2"/>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ab/>
      </w:r>
      <w:r>
        <w:rPr>
          <w:rFonts w:hint="eastAsia"/>
          <w:color w:val="auto"/>
          <w:sz w:val="24"/>
          <w:highlight w:val="none"/>
          <w:lang w:val="en-US" w:eastAsia="zh-CN"/>
        </w:rPr>
        <w:t>2</w:t>
      </w:r>
    </w:p>
    <w:p w14:paraId="3159E40F">
      <w:pPr>
        <w:pStyle w:val="13"/>
        <w:tabs>
          <w:tab w:val="right" w:leader="dot" w:pos="8400"/>
        </w:tabs>
        <w:adjustRightInd w:val="0"/>
        <w:snapToGrid w:val="0"/>
        <w:spacing w:line="440" w:lineRule="exact"/>
        <w:jc w:val="left"/>
        <w:outlineLvl w:val="2"/>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ab/>
      </w:r>
      <w:r>
        <w:rPr>
          <w:rFonts w:hint="eastAsia"/>
          <w:color w:val="auto"/>
          <w:sz w:val="24"/>
          <w:highlight w:val="none"/>
          <w:lang w:val="en-US" w:eastAsia="zh-CN"/>
        </w:rPr>
        <w:t>2</w:t>
      </w:r>
    </w:p>
    <w:p w14:paraId="21D1BE38">
      <w:pPr>
        <w:pStyle w:val="13"/>
        <w:tabs>
          <w:tab w:val="right" w:leader="dot" w:pos="8400"/>
        </w:tabs>
        <w:adjustRightInd w:val="0"/>
        <w:snapToGrid w:val="0"/>
        <w:spacing w:line="440" w:lineRule="exact"/>
        <w:jc w:val="left"/>
        <w:outlineLvl w:val="2"/>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ab/>
      </w:r>
      <w:r>
        <w:rPr>
          <w:rFonts w:hint="eastAsia"/>
          <w:color w:val="auto"/>
          <w:sz w:val="24"/>
          <w:highlight w:val="none"/>
          <w:lang w:val="en-US" w:eastAsia="zh-CN"/>
        </w:rPr>
        <w:t>2</w:t>
      </w:r>
    </w:p>
    <w:p w14:paraId="6FBFC18F">
      <w:pPr>
        <w:pStyle w:val="13"/>
        <w:tabs>
          <w:tab w:val="right" w:leader="dot" w:pos="8400"/>
        </w:tabs>
        <w:adjustRightInd w:val="0"/>
        <w:snapToGrid w:val="0"/>
        <w:spacing w:line="440" w:lineRule="exact"/>
        <w:jc w:val="left"/>
        <w:outlineLvl w:val="2"/>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ab/>
      </w:r>
      <w:r>
        <w:rPr>
          <w:rFonts w:hint="eastAsia"/>
          <w:color w:val="auto"/>
          <w:sz w:val="24"/>
          <w:highlight w:val="none"/>
          <w:lang w:val="en-US" w:eastAsia="zh-CN"/>
        </w:rPr>
        <w:t>3</w:t>
      </w:r>
    </w:p>
    <w:p w14:paraId="031AD295">
      <w:pPr>
        <w:pStyle w:val="13"/>
        <w:tabs>
          <w:tab w:val="right" w:leader="dot" w:pos="8400"/>
        </w:tabs>
        <w:adjustRightInd w:val="0"/>
        <w:snapToGrid w:val="0"/>
        <w:spacing w:line="440" w:lineRule="exact"/>
        <w:jc w:val="left"/>
        <w:outlineLvl w:val="2"/>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ab/>
      </w:r>
      <w:r>
        <w:rPr>
          <w:rFonts w:hint="eastAsia"/>
          <w:color w:val="auto"/>
          <w:sz w:val="24"/>
          <w:highlight w:val="none"/>
          <w:lang w:val="en-US" w:eastAsia="zh-CN"/>
        </w:rPr>
        <w:t>4</w:t>
      </w:r>
    </w:p>
    <w:p w14:paraId="27696A4C">
      <w:pPr>
        <w:pStyle w:val="13"/>
        <w:tabs>
          <w:tab w:val="right" w:leader="dot" w:pos="8400"/>
        </w:tabs>
        <w:adjustRightInd w:val="0"/>
        <w:snapToGrid w:val="0"/>
        <w:spacing w:line="440" w:lineRule="exact"/>
        <w:jc w:val="left"/>
        <w:outlineLvl w:val="2"/>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ab/>
      </w:r>
      <w:r>
        <w:rPr>
          <w:rFonts w:hint="eastAsia"/>
          <w:color w:val="auto"/>
          <w:sz w:val="24"/>
          <w:highlight w:val="none"/>
          <w:lang w:val="en-US" w:eastAsia="zh-CN"/>
        </w:rPr>
        <w:t>5</w:t>
      </w:r>
    </w:p>
    <w:p w14:paraId="29F21CA9">
      <w:pPr>
        <w:pStyle w:val="13"/>
        <w:tabs>
          <w:tab w:val="right" w:leader="dot" w:pos="8400"/>
        </w:tabs>
        <w:adjustRightInd w:val="0"/>
        <w:snapToGrid w:val="0"/>
        <w:spacing w:line="440" w:lineRule="exact"/>
        <w:jc w:val="left"/>
        <w:outlineLvl w:val="2"/>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ab/>
      </w:r>
      <w:r>
        <w:rPr>
          <w:rFonts w:hint="eastAsia"/>
          <w:color w:val="auto"/>
          <w:sz w:val="24"/>
          <w:highlight w:val="none"/>
          <w:lang w:val="en-US" w:eastAsia="zh-CN"/>
        </w:rPr>
        <w:t>7</w:t>
      </w:r>
    </w:p>
    <w:p w14:paraId="0777B760">
      <w:pPr>
        <w:pStyle w:val="13"/>
        <w:tabs>
          <w:tab w:val="right" w:leader="dot" w:pos="8400"/>
        </w:tabs>
        <w:adjustRightInd w:val="0"/>
        <w:snapToGrid w:val="0"/>
        <w:spacing w:line="440" w:lineRule="exact"/>
        <w:jc w:val="left"/>
        <w:outlineLvl w:val="2"/>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ab/>
      </w:r>
      <w:r>
        <w:rPr>
          <w:rFonts w:hint="eastAsia"/>
          <w:color w:val="auto"/>
          <w:sz w:val="24"/>
          <w:highlight w:val="none"/>
          <w:lang w:val="en-US" w:eastAsia="zh-CN"/>
        </w:rPr>
        <w:t>8</w:t>
      </w:r>
    </w:p>
    <w:p w14:paraId="4B60530C">
      <w:pPr>
        <w:pStyle w:val="13"/>
        <w:tabs>
          <w:tab w:val="right" w:leader="dot" w:pos="8400"/>
        </w:tabs>
        <w:adjustRightInd w:val="0"/>
        <w:snapToGrid w:val="0"/>
        <w:spacing w:line="440" w:lineRule="exact"/>
        <w:jc w:val="left"/>
        <w:outlineLvl w:val="2"/>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ab/>
      </w:r>
      <w:r>
        <w:rPr>
          <w:rFonts w:hint="eastAsia"/>
          <w:color w:val="auto"/>
          <w:sz w:val="24"/>
          <w:highlight w:val="none"/>
          <w:lang w:val="en-US" w:eastAsia="zh-CN"/>
        </w:rPr>
        <w:t>9</w:t>
      </w:r>
    </w:p>
    <w:p w14:paraId="7EFC15AC">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ab/>
      </w:r>
      <w:r>
        <w:rPr>
          <w:rFonts w:hint="eastAsia"/>
          <w:color w:val="auto"/>
          <w:sz w:val="24"/>
          <w:highlight w:val="none"/>
          <w:lang w:val="en-US" w:eastAsia="zh-CN"/>
        </w:rPr>
        <w:t>10</w:t>
      </w:r>
    </w:p>
    <w:p w14:paraId="7F2C744E">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ab/>
      </w:r>
      <w:r>
        <w:rPr>
          <w:rFonts w:hint="eastAsia"/>
          <w:color w:val="auto"/>
          <w:sz w:val="24"/>
          <w:highlight w:val="none"/>
          <w:lang w:val="en-US" w:eastAsia="zh-CN"/>
        </w:rPr>
        <w:t>10</w:t>
      </w:r>
    </w:p>
    <w:p w14:paraId="31D8093C">
      <w:pPr>
        <w:pStyle w:val="12"/>
        <w:tabs>
          <w:tab w:val="right" w:leader="dot" w:pos="8400"/>
        </w:tabs>
        <w:adjustRightInd w:val="0"/>
        <w:snapToGrid w:val="0"/>
        <w:spacing w:before="0" w:line="440" w:lineRule="exact"/>
        <w:jc w:val="left"/>
        <w:outlineLvl w:val="2"/>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ab/>
      </w:r>
      <w:r>
        <w:rPr>
          <w:rFonts w:hint="eastAsia"/>
          <w:color w:val="auto"/>
          <w:sz w:val="24"/>
          <w:highlight w:val="none"/>
          <w:lang w:val="en-US" w:eastAsia="zh-CN"/>
        </w:rPr>
        <w:t>12</w:t>
      </w:r>
    </w:p>
    <w:p w14:paraId="5A5E1214">
      <w:pPr>
        <w:pStyle w:val="12"/>
        <w:tabs>
          <w:tab w:val="right" w:leader="dot" w:pos="8400"/>
        </w:tabs>
        <w:adjustRightInd w:val="0"/>
        <w:snapToGrid w:val="0"/>
        <w:spacing w:before="0" w:line="440" w:lineRule="exact"/>
        <w:jc w:val="left"/>
        <w:outlineLvl w:val="2"/>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ab/>
      </w:r>
      <w:r>
        <w:rPr>
          <w:rFonts w:hint="eastAsia"/>
          <w:color w:val="auto"/>
          <w:sz w:val="24"/>
          <w:highlight w:val="none"/>
          <w:lang w:val="en-US" w:eastAsia="zh-CN"/>
        </w:rPr>
        <w:t>14</w:t>
      </w:r>
    </w:p>
    <w:p w14:paraId="19E0F0E6">
      <w:pPr>
        <w:pStyle w:val="12"/>
        <w:tabs>
          <w:tab w:val="right" w:leader="dot" w:pos="8400"/>
        </w:tabs>
        <w:adjustRightInd w:val="0"/>
        <w:snapToGrid w:val="0"/>
        <w:spacing w:before="0" w:line="440" w:lineRule="exact"/>
        <w:jc w:val="left"/>
        <w:outlineLvl w:val="2"/>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ab/>
      </w:r>
      <w:r>
        <w:rPr>
          <w:rFonts w:hint="eastAsia"/>
          <w:color w:val="auto"/>
          <w:sz w:val="24"/>
          <w:highlight w:val="none"/>
          <w:lang w:val="en-US" w:eastAsia="zh-CN"/>
        </w:rPr>
        <w:t>15</w:t>
      </w:r>
    </w:p>
    <w:p w14:paraId="208B5D1C">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ab/>
      </w:r>
      <w:r>
        <w:rPr>
          <w:rFonts w:hint="eastAsia"/>
          <w:color w:val="auto"/>
          <w:sz w:val="24"/>
          <w:highlight w:val="none"/>
          <w:lang w:val="en-US" w:eastAsia="zh-CN"/>
        </w:rPr>
        <w:t>15</w:t>
      </w:r>
    </w:p>
    <w:p w14:paraId="42F22B76">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ab/>
      </w:r>
      <w:r>
        <w:rPr>
          <w:rFonts w:hint="eastAsia"/>
          <w:color w:val="auto"/>
          <w:sz w:val="24"/>
          <w:highlight w:val="none"/>
          <w:lang w:val="en-US" w:eastAsia="zh-CN"/>
        </w:rPr>
        <w:t>15</w:t>
      </w:r>
    </w:p>
    <w:p w14:paraId="5BDA2E7E">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ab/>
      </w:r>
      <w:r>
        <w:rPr>
          <w:rFonts w:hint="eastAsia"/>
          <w:color w:val="auto"/>
          <w:sz w:val="24"/>
          <w:highlight w:val="none"/>
          <w:lang w:val="en-US" w:eastAsia="zh-CN"/>
        </w:rPr>
        <w:t>15</w:t>
      </w:r>
    </w:p>
    <w:p w14:paraId="061BDEFE">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ab/>
      </w:r>
      <w:r>
        <w:rPr>
          <w:rFonts w:hint="eastAsia"/>
          <w:color w:val="auto"/>
          <w:sz w:val="24"/>
          <w:highlight w:val="none"/>
          <w:lang w:val="en-US" w:eastAsia="zh-CN"/>
        </w:rPr>
        <w:t>15</w:t>
      </w:r>
    </w:p>
    <w:p w14:paraId="2C9F7BE7">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ab/>
      </w:r>
      <w:r>
        <w:rPr>
          <w:rFonts w:hint="eastAsia"/>
          <w:color w:val="auto"/>
          <w:sz w:val="24"/>
          <w:highlight w:val="none"/>
          <w:lang w:val="en-US" w:eastAsia="zh-CN"/>
        </w:rPr>
        <w:t>15</w:t>
      </w:r>
    </w:p>
    <w:p w14:paraId="28E2576E">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ab/>
      </w:r>
      <w:r>
        <w:rPr>
          <w:rFonts w:hint="eastAsia"/>
          <w:color w:val="auto"/>
          <w:sz w:val="24"/>
          <w:highlight w:val="none"/>
          <w:lang w:val="en-US" w:eastAsia="zh-CN"/>
        </w:rPr>
        <w:t>15</w:t>
      </w:r>
    </w:p>
    <w:p w14:paraId="39D77C89">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ab/>
      </w:r>
      <w:r>
        <w:rPr>
          <w:rFonts w:hint="eastAsia"/>
          <w:color w:val="auto"/>
          <w:sz w:val="24"/>
          <w:highlight w:val="none"/>
          <w:lang w:val="en-US" w:eastAsia="zh-CN"/>
        </w:rPr>
        <w:t>15</w:t>
      </w:r>
    </w:p>
    <w:p w14:paraId="2A24F9B7">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ab/>
      </w:r>
      <w:r>
        <w:rPr>
          <w:rFonts w:hint="eastAsia"/>
          <w:color w:val="auto"/>
          <w:sz w:val="24"/>
          <w:highlight w:val="none"/>
          <w:lang w:val="en-US" w:eastAsia="zh-CN"/>
        </w:rPr>
        <w:t>15</w:t>
      </w:r>
    </w:p>
    <w:p w14:paraId="3F314E56">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ab/>
      </w:r>
      <w:r>
        <w:rPr>
          <w:rFonts w:hint="eastAsia"/>
          <w:color w:val="auto"/>
          <w:sz w:val="24"/>
          <w:highlight w:val="none"/>
          <w:lang w:val="en-US" w:eastAsia="zh-CN"/>
        </w:rPr>
        <w:t>15</w:t>
      </w:r>
    </w:p>
    <w:p w14:paraId="539ADA89">
      <w:pPr>
        <w:pStyle w:val="13"/>
        <w:tabs>
          <w:tab w:val="right" w:leader="dot" w:pos="8400"/>
        </w:tabs>
        <w:adjustRightInd w:val="0"/>
        <w:snapToGrid w:val="0"/>
        <w:spacing w:line="440" w:lineRule="exact"/>
        <w:jc w:val="left"/>
        <w:outlineLvl w:val="2"/>
        <w:rPr>
          <w:rFonts w:hint="eastAsia"/>
          <w:color w:val="auto"/>
          <w:sz w:val="24"/>
          <w:highlight w:val="none"/>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14:paraId="443C9A3C">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ab/>
      </w:r>
      <w:r>
        <w:rPr>
          <w:rFonts w:hint="eastAsia"/>
          <w:color w:val="auto"/>
          <w:sz w:val="24"/>
          <w:highlight w:val="none"/>
          <w:lang w:val="en-US" w:eastAsia="zh-CN"/>
        </w:rPr>
        <w:t>15</w:t>
      </w:r>
    </w:p>
    <w:p w14:paraId="42E39CD1">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ab/>
      </w:r>
      <w:r>
        <w:rPr>
          <w:rFonts w:hint="eastAsia"/>
          <w:color w:val="auto"/>
          <w:sz w:val="24"/>
          <w:highlight w:val="none"/>
          <w:lang w:val="en-US" w:eastAsia="zh-CN"/>
        </w:rPr>
        <w:t>15</w:t>
      </w:r>
    </w:p>
    <w:p w14:paraId="337B5A13">
      <w:pPr>
        <w:pStyle w:val="13"/>
        <w:tabs>
          <w:tab w:val="right" w:leader="dot" w:pos="8400"/>
        </w:tabs>
        <w:adjustRightInd w:val="0"/>
        <w:snapToGrid w:val="0"/>
        <w:spacing w:line="440" w:lineRule="exact"/>
        <w:jc w:val="left"/>
        <w:outlineLvl w:val="2"/>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olor w:val="auto"/>
          <w:sz w:val="24"/>
          <w:highlight w:val="none"/>
          <w:lang w:val="en-US" w:eastAsia="zh-CN"/>
        </w:rPr>
        <w:tab/>
      </w:r>
      <w:r>
        <w:rPr>
          <w:rFonts w:hint="eastAsia"/>
          <w:color w:val="auto"/>
          <w:sz w:val="24"/>
          <w:highlight w:val="none"/>
          <w:lang w:val="en-US" w:eastAsia="zh-CN"/>
        </w:rPr>
        <w:t>15</w:t>
      </w:r>
    </w:p>
    <w:p w14:paraId="3D86DF74">
      <w:pPr>
        <w:pStyle w:val="13"/>
        <w:tabs>
          <w:tab w:val="right" w:leader="dot" w:pos="8400"/>
        </w:tabs>
        <w:adjustRightInd w:val="0"/>
        <w:snapToGrid w:val="0"/>
        <w:spacing w:line="440" w:lineRule="exact"/>
        <w:jc w:val="left"/>
        <w:outlineLvl w:val="2"/>
        <w:rPr>
          <w:rFonts w:hint="default" w:eastAsia="宋体"/>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ab/>
      </w:r>
      <w:r>
        <w:rPr>
          <w:rFonts w:hint="eastAsia"/>
          <w:color w:val="auto"/>
          <w:sz w:val="24"/>
          <w:highlight w:val="none"/>
          <w:lang w:val="en-US" w:eastAsia="zh-CN"/>
        </w:rPr>
        <w:t>15</w:t>
      </w:r>
    </w:p>
    <w:p w14:paraId="7E8801B6">
      <w:pPr>
        <w:widowControl/>
        <w:adjustRightInd w:val="0"/>
        <w:snapToGrid w:val="0"/>
        <w:spacing w:line="440" w:lineRule="exact"/>
        <w:ind w:firstLine="1320" w:firstLineChars="550"/>
        <w:jc w:val="left"/>
        <w:rPr>
          <w:rFonts w:ascii="仿宋" w:hAnsi="仿宋" w:eastAsia="仿宋"/>
          <w:sz w:val="24"/>
        </w:rPr>
      </w:pPr>
    </w:p>
    <w:p w14:paraId="358E234C">
      <w:pPr>
        <w:pStyle w:val="3"/>
        <w:jc w:val="center"/>
        <w:rPr>
          <w:rFonts w:hint="eastAsia" w:ascii="黑体" w:hAnsi="黑体" w:eastAsia="黑体"/>
          <w:b w:val="0"/>
          <w:color w:val="auto"/>
          <w:highlight w:val="none"/>
        </w:rPr>
        <w:sectPr>
          <w:footerReference r:id="rId9" w:type="first"/>
          <w:headerReference r:id="rId7" w:type="default"/>
          <w:footerReference r:id="rId8" w:type="default"/>
          <w:pgSz w:w="11906" w:h="16838"/>
          <w:pgMar w:top="1440" w:right="1800" w:bottom="1440" w:left="1800" w:header="851" w:footer="992" w:gutter="0"/>
          <w:pgNumType w:fmt="decimal" w:start="1"/>
          <w:cols w:space="425" w:num="1"/>
          <w:titlePg/>
          <w:docGrid w:type="lines" w:linePitch="312" w:charSpace="0"/>
        </w:sectPr>
      </w:pPr>
    </w:p>
    <w:p w14:paraId="75B6A336">
      <w:pPr>
        <w:pStyle w:val="3"/>
        <w:jc w:val="center"/>
        <w:rPr>
          <w:rStyle w:val="33"/>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33"/>
          <w:rFonts w:hint="eastAsia" w:ascii="黑体" w:hAnsi="黑体" w:eastAsia="黑体"/>
          <w:b w:val="0"/>
          <w:bCs w:val="0"/>
          <w:color w:val="auto"/>
          <w:highlight w:val="none"/>
        </w:rPr>
        <w:t>概况</w:t>
      </w:r>
    </w:p>
    <w:p w14:paraId="2871FEF2">
      <w:pPr>
        <w:bidi w:val="0"/>
      </w:pPr>
    </w:p>
    <w:p w14:paraId="09C7BAB1">
      <w:pPr>
        <w:pStyle w:val="4"/>
        <w:numPr>
          <w:ilvl w:val="0"/>
          <w:numId w:val="1"/>
        </w:numPr>
        <w:rPr>
          <w:rStyle w:val="34"/>
          <w:rFonts w:hint="eastAsia" w:ascii="黑体" w:hAnsi="黑体" w:eastAsia="黑体"/>
          <w:b w:val="0"/>
          <w:bCs w:val="0"/>
          <w:color w:val="auto"/>
          <w:highlight w:val="none"/>
          <w:lang w:eastAsia="zh-CN"/>
        </w:rPr>
      </w:pPr>
      <w:bookmarkStart w:id="12" w:name="_Toc15396600"/>
      <w:bookmarkStart w:id="13" w:name="_Toc15377197"/>
      <w:r>
        <w:rPr>
          <w:rStyle w:val="34"/>
          <w:rFonts w:hint="eastAsia" w:ascii="黑体" w:hAnsi="黑体" w:eastAsia="黑体"/>
          <w:b w:val="0"/>
          <w:bCs w:val="0"/>
          <w:color w:val="auto"/>
          <w:highlight w:val="none"/>
          <w:lang w:eastAsia="zh-CN"/>
        </w:rPr>
        <w:t>主要职责</w:t>
      </w:r>
    </w:p>
    <w:p w14:paraId="3750325D">
      <w:pPr>
        <w:ind w:firstLine="600" w:firstLineChars="200"/>
        <w:rPr>
          <w:rFonts w:hint="eastAsia"/>
          <w:lang w:eastAsia="zh-CN"/>
        </w:rPr>
      </w:pPr>
      <w:r>
        <w:rPr>
          <w:rFonts w:hint="eastAsia" w:ascii="仿宋_GB2312" w:eastAsia="仿宋_GB2312"/>
          <w:color w:val="000000"/>
          <w:sz w:val="30"/>
          <w:szCs w:val="30"/>
        </w:rPr>
        <w:t>大竹县教育服务中心</w:t>
      </w:r>
      <w:r>
        <w:rPr>
          <w:rFonts w:hint="eastAsia" w:ascii="仿宋_GB2312" w:eastAsia="仿宋_GB2312"/>
          <w:color w:val="000000"/>
          <w:sz w:val="30"/>
          <w:szCs w:val="30"/>
          <w:lang w:val="en-US" w:eastAsia="zh-CN"/>
        </w:rPr>
        <w:t>工作</w:t>
      </w:r>
      <w:r>
        <w:rPr>
          <w:rFonts w:hint="eastAsia" w:ascii="仿宋_GB2312" w:eastAsia="仿宋_GB2312"/>
          <w:color w:val="000000"/>
          <w:sz w:val="30"/>
          <w:szCs w:val="30"/>
        </w:rPr>
        <w:t>职能</w:t>
      </w:r>
      <w:r>
        <w:rPr>
          <w:rFonts w:hint="eastAsia" w:ascii="仿宋_GB2312" w:eastAsia="仿宋_GB2312"/>
          <w:color w:val="000000"/>
          <w:sz w:val="30"/>
          <w:szCs w:val="30"/>
          <w:lang w:val="en-US" w:eastAsia="zh-CN"/>
        </w:rPr>
        <w:t>及主要工作</w:t>
      </w:r>
      <w:r>
        <w:rPr>
          <w:rFonts w:hint="eastAsia" w:ascii="仿宋_GB2312" w:eastAsia="仿宋_GB2312"/>
          <w:color w:val="000000"/>
          <w:sz w:val="30"/>
          <w:szCs w:val="30"/>
        </w:rPr>
        <w:t>是制定和实施中小学勤工俭学和校办产业发展的长远规划，组织指导各校勤工俭学工作的管理部门。</w:t>
      </w:r>
      <w:r>
        <w:rPr>
          <w:rFonts w:hint="eastAsia" w:ascii="仿宋_GB2312" w:eastAsia="仿宋_GB2312"/>
          <w:b/>
          <w:bCs/>
          <w:color w:val="FF0000"/>
          <w:sz w:val="30"/>
          <w:szCs w:val="30"/>
        </w:rPr>
        <w:t xml:space="preserve"> </w:t>
      </w:r>
      <w:r>
        <w:rPr>
          <w:rFonts w:hint="eastAsia" w:ascii="仿宋" w:hAnsi="仿宋" w:eastAsia="仿宋"/>
          <w:bCs/>
          <w:color w:val="000000"/>
          <w:kern w:val="0"/>
          <w:sz w:val="32"/>
          <w:szCs w:val="32"/>
        </w:rPr>
        <w:t>加强学校后勤服务规范管理，确保学校后勤的安全与稳定。</w:t>
      </w:r>
    </w:p>
    <w:p w14:paraId="4775AA21">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14:paraId="34ACE3F7">
      <w:pPr>
        <w:numPr>
          <w:ilvl w:val="0"/>
          <w:numId w:val="0"/>
        </w:numPr>
        <w:ind w:leftChars="0"/>
        <w:rPr>
          <w:rFonts w:hint="eastAsia"/>
          <w:lang w:val="en-US" w:eastAsia="zh-CN"/>
        </w:rPr>
      </w:pPr>
    </w:p>
    <w:bookmarkEnd w:id="12"/>
    <w:bookmarkEnd w:id="13"/>
    <w:p w14:paraId="38514157">
      <w:pPr>
        <w:pStyle w:val="6"/>
        <w:adjustRightInd w:val="0"/>
        <w:snapToGrid w:val="0"/>
        <w:spacing w:before="93" w:line="360" w:lineRule="auto"/>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教育服务中心下级预算单位0个，其中行政单位0个，参照公务员法管理的事业单位0个，其他事业单位0个。</w:t>
      </w:r>
    </w:p>
    <w:p w14:paraId="46CAB1E9">
      <w:pPr>
        <w:pStyle w:val="6"/>
        <w:adjustRightInd w:val="0"/>
        <w:snapToGrid w:val="0"/>
        <w:spacing w:before="93" w:line="360" w:lineRule="auto"/>
        <w:ind w:firstLine="672" w:firstLineChars="210"/>
        <w:outlineLvl w:val="2"/>
        <w:rPr>
          <w:rFonts w:hint="eastAsia" w:ascii="仿宋" w:hAnsi="仿宋" w:eastAsia="仿宋" w:cs="Times New Roman"/>
          <w:b w:val="0"/>
          <w:bCs/>
          <w:color w:val="000000"/>
          <w:kern w:val="0"/>
          <w:sz w:val="32"/>
          <w:szCs w:val="32"/>
          <w:lang w:val="en-US" w:eastAsia="zh-CN" w:bidi="ar-SA"/>
        </w:rPr>
      </w:pPr>
      <w:r>
        <w:rPr>
          <w:rFonts w:hint="eastAsia" w:ascii="仿宋" w:hAnsi="仿宋" w:eastAsia="仿宋" w:cs="Times New Roman"/>
          <w:b w:val="0"/>
          <w:bCs/>
          <w:color w:val="000000"/>
          <w:kern w:val="0"/>
          <w:sz w:val="32"/>
          <w:szCs w:val="32"/>
          <w:lang w:val="en-US" w:eastAsia="zh-CN" w:bidi="ar-SA"/>
        </w:rPr>
        <w:t>纳入大竹县教育服务中心2023年度部门决算编制范围的二级预算单位包括：无。</w:t>
      </w:r>
    </w:p>
    <w:p w14:paraId="67557FAC">
      <w:pPr>
        <w:widowControl/>
        <w:jc w:val="left"/>
        <w:rPr>
          <w:rFonts w:ascii="仿宋" w:hAnsi="仿宋" w:eastAsia="仿宋"/>
          <w:kern w:val="0"/>
          <w:sz w:val="32"/>
          <w:szCs w:val="32"/>
        </w:rPr>
        <w:sectPr>
          <w:footerReference r:id="rId11" w:type="first"/>
          <w:footerReference r:id="rId10" w:type="default"/>
          <w:pgSz w:w="11906" w:h="16838"/>
          <w:pgMar w:top="1440" w:right="1800" w:bottom="1440" w:left="1800" w:header="851" w:footer="992" w:gutter="0"/>
          <w:pgNumType w:fmt="decimal" w:start="1"/>
          <w:cols w:space="425" w:num="1"/>
          <w:titlePg/>
          <w:docGrid w:type="lines" w:linePitch="312" w:charSpace="0"/>
        </w:sectPr>
      </w:pPr>
    </w:p>
    <w:p w14:paraId="71F99F9B">
      <w:pPr>
        <w:pStyle w:val="6"/>
      </w:pPr>
    </w:p>
    <w:p w14:paraId="4038C511">
      <w:pPr>
        <w:pStyle w:val="3"/>
        <w:ind w:right="440"/>
        <w:jc w:val="both"/>
        <w:rPr>
          <w:rStyle w:val="27"/>
          <w:rFonts w:ascii="黑体" w:hAnsi="黑体" w:eastAsia="黑体"/>
          <w:b w:val="0"/>
          <w:bCs/>
        </w:rPr>
      </w:pPr>
      <w:bookmarkStart w:id="14" w:name="_Toc15377204"/>
      <w:bookmarkStart w:id="15"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4"/>
      <w:bookmarkEnd w:id="15"/>
    </w:p>
    <w:p w14:paraId="54168719"/>
    <w:p w14:paraId="2BE423BB">
      <w:pPr>
        <w:pStyle w:val="26"/>
        <w:numPr>
          <w:ilvl w:val="0"/>
          <w:numId w:val="2"/>
        </w:numPr>
        <w:spacing w:line="600" w:lineRule="exact"/>
        <w:ind w:firstLineChars="0"/>
        <w:outlineLvl w:val="1"/>
        <w:rPr>
          <w:rStyle w:val="28"/>
          <w:rFonts w:ascii="黑体" w:hAnsi="黑体" w:eastAsia="黑体"/>
          <w:b w:val="0"/>
        </w:rPr>
      </w:pPr>
      <w:bookmarkStart w:id="16" w:name="_Toc15396603"/>
      <w:bookmarkStart w:id="17"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6"/>
      <w:bookmarkEnd w:id="17"/>
    </w:p>
    <w:p w14:paraId="1015909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360.35</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129.06</w:t>
      </w:r>
      <w:r>
        <w:rPr>
          <w:rFonts w:hint="eastAsia" w:ascii="仿宋" w:hAnsi="仿宋" w:eastAsia="仿宋"/>
          <w:sz w:val="32"/>
          <w:szCs w:val="32"/>
        </w:rPr>
        <w:t>万元，增长</w:t>
      </w:r>
      <w:r>
        <w:rPr>
          <w:rFonts w:hint="eastAsia" w:ascii="仿宋" w:hAnsi="仿宋" w:eastAsia="仿宋"/>
          <w:sz w:val="32"/>
          <w:szCs w:val="32"/>
          <w:lang w:val="en-US" w:eastAsia="zh-CN"/>
        </w:rPr>
        <w:t>64.18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单位人员新增</w:t>
      </w:r>
      <w:r>
        <w:rPr>
          <w:rFonts w:hint="eastAsia" w:ascii="仿宋" w:hAnsi="仿宋" w:eastAsia="仿宋"/>
          <w:sz w:val="32"/>
          <w:szCs w:val="32"/>
        </w:rPr>
        <w:t>。</w:t>
      </w:r>
    </w:p>
    <w:p w14:paraId="63B7039B">
      <w:pPr>
        <w:pStyle w:val="6"/>
      </w:pPr>
      <w:r>
        <w:rPr>
          <w:rFonts w:hint="eastAsia" w:eastAsiaTheme="minorEastAsia"/>
          <w:lang w:eastAsia="zh-CN"/>
        </w:rPr>
        <w:drawing>
          <wp:inline distT="0" distB="0" distL="114300" distR="114300">
            <wp:extent cx="5080000" cy="3415030"/>
            <wp:effectExtent l="4445" t="4445" r="20955" b="9525"/>
            <wp:docPr id="4" name="图表 4" title="收、支决算总计变动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498C9B">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0CC360A2">
      <w:pPr>
        <w:spacing w:line="600" w:lineRule="exact"/>
        <w:ind w:firstLine="640" w:firstLineChars="200"/>
        <w:jc w:val="left"/>
        <w:rPr>
          <w:rFonts w:ascii="仿宋_GB2312" w:eastAsia="仿宋_GB2312"/>
          <w:sz w:val="32"/>
          <w:szCs w:val="32"/>
        </w:rPr>
      </w:pPr>
    </w:p>
    <w:p w14:paraId="7C1AE9E4">
      <w:pPr>
        <w:pStyle w:val="26"/>
        <w:numPr>
          <w:ilvl w:val="0"/>
          <w:numId w:val="2"/>
        </w:numPr>
        <w:spacing w:line="600" w:lineRule="exact"/>
        <w:ind w:firstLineChars="0"/>
        <w:outlineLvl w:val="1"/>
        <w:rPr>
          <w:rStyle w:val="28"/>
          <w:rFonts w:ascii="黑体" w:hAnsi="黑体" w:eastAsia="黑体"/>
          <w:b w:val="0"/>
        </w:rPr>
      </w:pPr>
      <w:bookmarkStart w:id="18" w:name="_Toc15377206"/>
      <w:bookmarkStart w:id="19" w:name="_Toc15396604"/>
      <w:r>
        <w:rPr>
          <w:rFonts w:hint="eastAsia" w:ascii="黑体" w:hAnsi="黑体" w:eastAsia="黑体"/>
          <w:sz w:val="32"/>
          <w:szCs w:val="32"/>
        </w:rPr>
        <w:t>收</w:t>
      </w:r>
      <w:r>
        <w:rPr>
          <w:rStyle w:val="28"/>
          <w:rFonts w:hint="eastAsia" w:ascii="黑体" w:hAnsi="黑体" w:eastAsia="黑体"/>
          <w:b w:val="0"/>
        </w:rPr>
        <w:t>入决算情况说明</w:t>
      </w:r>
      <w:bookmarkEnd w:id="18"/>
      <w:bookmarkEnd w:id="19"/>
    </w:p>
    <w:p w14:paraId="082ECCC0">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354.85</w:t>
      </w:r>
      <w:r>
        <w:rPr>
          <w:rFonts w:hint="eastAsia" w:ascii="仿宋" w:hAnsi="仿宋" w:eastAsia="仿宋"/>
          <w:sz w:val="32"/>
          <w:szCs w:val="32"/>
        </w:rPr>
        <w:t>万元，其中：一般公共预算财政拨款收入</w:t>
      </w:r>
      <w:r>
        <w:rPr>
          <w:rFonts w:ascii="仿宋" w:hAnsi="仿宋" w:eastAsia="仿宋"/>
          <w:b/>
          <w:sz w:val="32"/>
          <w:szCs w:val="32"/>
        </w:rPr>
        <w:t>354.85</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p>
    <w:p w14:paraId="5E2C0EA9">
      <w:pPr>
        <w:pStyle w:val="6"/>
        <w:rPr>
          <w:rFonts w:hint="eastAsia" w:eastAsia="仿宋"/>
          <w:lang w:eastAsia="zh-CN"/>
        </w:rPr>
        <w:sectPr>
          <w:footerReference r:id="rId13" w:type="first"/>
          <w:footerReference r:id="rId12" w:type="default"/>
          <w:pgSz w:w="11906" w:h="16838"/>
          <w:pgMar w:top="1440" w:right="1800" w:bottom="1440" w:left="1800" w:header="851" w:footer="992" w:gutter="0"/>
          <w:pgNumType w:fmt="decimal" w:start="2"/>
          <w:cols w:space="425" w:num="1"/>
          <w:titlePg/>
          <w:docGrid w:type="lines" w:linePitch="312" w:charSpace="0"/>
        </w:sectPr>
      </w:pPr>
    </w:p>
    <w:p w14:paraId="6D63D5AE">
      <w:pPr>
        <w:pStyle w:val="6"/>
        <w:rPr>
          <w:rStyle w:val="34"/>
          <w:rFonts w:ascii="黑体" w:hAnsi="黑体" w:eastAsia="黑体"/>
          <w:b w:val="0"/>
          <w:color w:val="auto"/>
          <w:highlight w:val="none"/>
        </w:rPr>
      </w:pPr>
      <w:r>
        <w:rPr>
          <w:rFonts w:hint="eastAsia" w:eastAsia="仿宋"/>
          <w:lang w:eastAsia="zh-CN"/>
        </w:rPr>
        <w:drawing>
          <wp:inline distT="0" distB="0" distL="114300" distR="114300">
            <wp:extent cx="5256530" cy="3597275"/>
            <wp:effectExtent l="5080" t="4445" r="15240" b="177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49C8EB9">
      <w:pPr>
        <w:pStyle w:val="26"/>
        <w:numPr>
          <w:ilvl w:val="0"/>
          <w:numId w:val="0"/>
        </w:numPr>
        <w:spacing w:line="600" w:lineRule="exact"/>
        <w:jc w:val="center"/>
        <w:outlineLvl w:val="1"/>
        <w:rPr>
          <w:rFonts w:hint="eastAsia" w:ascii="仿宋" w:hAnsi="仿宋" w:eastAsia="仿宋"/>
          <w:sz w:val="32"/>
          <w:szCs w:val="32"/>
        </w:rPr>
      </w:pPr>
      <w:r>
        <w:rPr>
          <w:rFonts w:hint="eastAsia" w:ascii="仿宋" w:hAnsi="仿宋" w:eastAsia="仿宋"/>
          <w:color w:val="auto"/>
          <w:sz w:val="32"/>
          <w:szCs w:val="32"/>
          <w:highlight w:val="none"/>
        </w:rPr>
        <w:t>（图2：收入决算结构图）</w:t>
      </w:r>
    </w:p>
    <w:p w14:paraId="71F123DB">
      <w:pPr>
        <w:spacing w:line="600" w:lineRule="exact"/>
        <w:rPr>
          <w:rFonts w:ascii="仿宋_GB2312" w:eastAsia="仿宋_GB2312"/>
          <w:sz w:val="32"/>
          <w:szCs w:val="32"/>
        </w:rPr>
      </w:pPr>
    </w:p>
    <w:p w14:paraId="1B50129B">
      <w:pPr>
        <w:pStyle w:val="26"/>
        <w:numPr>
          <w:ilvl w:val="0"/>
          <w:numId w:val="2"/>
        </w:numPr>
        <w:spacing w:line="600" w:lineRule="exact"/>
        <w:ind w:firstLineChars="0"/>
        <w:outlineLvl w:val="1"/>
        <w:rPr>
          <w:rStyle w:val="28"/>
          <w:rFonts w:ascii="黑体" w:hAnsi="黑体" w:eastAsia="黑体"/>
          <w:b w:val="0"/>
        </w:rPr>
      </w:pPr>
      <w:bookmarkStart w:id="20" w:name="_Toc15377207"/>
      <w:bookmarkStart w:id="21" w:name="_Toc15396605"/>
      <w:r>
        <w:rPr>
          <w:rFonts w:hint="eastAsia" w:ascii="黑体" w:hAnsi="黑体" w:eastAsia="黑体"/>
          <w:sz w:val="32"/>
          <w:szCs w:val="32"/>
        </w:rPr>
        <w:t>支</w:t>
      </w:r>
      <w:r>
        <w:rPr>
          <w:rStyle w:val="28"/>
          <w:rFonts w:hint="eastAsia" w:ascii="黑体" w:hAnsi="黑体" w:eastAsia="黑体"/>
          <w:b w:val="0"/>
        </w:rPr>
        <w:t>出决算情况说明</w:t>
      </w:r>
      <w:bookmarkEnd w:id="20"/>
      <w:bookmarkEnd w:id="21"/>
    </w:p>
    <w:p w14:paraId="7C9940A2">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360.35</w:t>
      </w:r>
      <w:r>
        <w:rPr>
          <w:rFonts w:hint="eastAsia" w:ascii="仿宋" w:hAnsi="仿宋" w:eastAsia="仿宋"/>
          <w:sz w:val="32"/>
          <w:szCs w:val="32"/>
        </w:rPr>
        <w:t>万元，其中：基本支出</w:t>
      </w:r>
      <w:r>
        <w:rPr>
          <w:rFonts w:ascii="仿宋" w:hAnsi="仿宋" w:eastAsia="仿宋"/>
          <w:b/>
          <w:sz w:val="32"/>
          <w:szCs w:val="32"/>
        </w:rPr>
        <w:t>352.35</w:t>
      </w:r>
      <w:r>
        <w:rPr>
          <w:rFonts w:hint="eastAsia" w:ascii="仿宋" w:hAnsi="仿宋" w:eastAsia="仿宋"/>
          <w:sz w:val="32"/>
          <w:szCs w:val="32"/>
        </w:rPr>
        <w:t>万元，占</w:t>
      </w:r>
      <w:r>
        <w:rPr>
          <w:rFonts w:ascii="仿宋" w:hAnsi="仿宋" w:eastAsia="仿宋"/>
          <w:b/>
          <w:sz w:val="32"/>
          <w:szCs w:val="32"/>
        </w:rPr>
        <w:t>97.77</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8</w:t>
      </w:r>
      <w:r>
        <w:rPr>
          <w:rFonts w:hint="eastAsia" w:ascii="仿宋" w:hAnsi="仿宋" w:eastAsia="仿宋"/>
          <w:sz w:val="32"/>
          <w:szCs w:val="32"/>
        </w:rPr>
        <w:t>万元，占</w:t>
      </w:r>
      <w:r>
        <w:rPr>
          <w:rFonts w:ascii="仿宋" w:hAnsi="仿宋" w:eastAsia="仿宋"/>
          <w:b/>
          <w:sz w:val="32"/>
          <w:szCs w:val="32"/>
        </w:rPr>
        <w:t>2.22</w:t>
      </w:r>
      <w:r>
        <w:rPr>
          <w:rFonts w:ascii="仿宋" w:hAnsi="仿宋" w:eastAsia="仿宋"/>
          <w:sz w:val="32"/>
          <w:szCs w:val="32"/>
        </w:rPr>
        <w:t>%</w:t>
      </w:r>
      <w:r>
        <w:rPr>
          <w:rFonts w:hint="eastAsia" w:ascii="仿宋" w:hAnsi="仿宋" w:eastAsia="仿宋"/>
          <w:sz w:val="32"/>
          <w:szCs w:val="32"/>
          <w:lang w:eastAsia="zh-CN"/>
        </w:rPr>
        <w:t>。</w:t>
      </w:r>
    </w:p>
    <w:p w14:paraId="1C07705D">
      <w:pPr>
        <w:spacing w:line="600" w:lineRule="exact"/>
        <w:ind w:firstLine="640"/>
        <w:rPr>
          <w:rFonts w:ascii="仿宋" w:hAnsi="仿宋" w:eastAsia="仿宋"/>
          <w:sz w:val="32"/>
          <w:szCs w:val="32"/>
          <w:shd w:val="pct10" w:color="auto" w:fill="FFFFFF"/>
        </w:rPr>
      </w:pPr>
    </w:p>
    <w:p w14:paraId="15E8AACE">
      <w:pPr>
        <w:jc w:val="center"/>
        <w:rPr>
          <w:rFonts w:hint="eastAsia" w:eastAsia="仿宋_GB2312"/>
          <w:lang w:eastAsia="zh-CN"/>
        </w:rPr>
        <w:sectPr>
          <w:footerReference r:id="rId15" w:type="first"/>
          <w:footerReference r:id="rId14" w:type="default"/>
          <w:pgSz w:w="11906" w:h="16838"/>
          <w:pgMar w:top="1440" w:right="1800" w:bottom="1440" w:left="1800" w:header="851" w:footer="992" w:gutter="0"/>
          <w:pgNumType w:fmt="decimal" w:start="3"/>
          <w:cols w:space="425" w:num="1"/>
          <w:docGrid w:type="lines" w:linePitch="312" w:charSpace="0"/>
        </w:sectPr>
      </w:pPr>
    </w:p>
    <w:p w14:paraId="47CF0355">
      <w:pPr>
        <w:jc w:val="center"/>
        <w:rPr>
          <w:rFonts w:ascii="仿宋_GB2312" w:eastAsia="仿宋_GB2312"/>
          <w:color w:val="auto"/>
          <w:sz w:val="32"/>
          <w:szCs w:val="32"/>
          <w:highlight w:val="none"/>
        </w:rPr>
      </w:pPr>
      <w:r>
        <w:rPr>
          <w:rFonts w:hint="eastAsia" w:eastAsia="仿宋_GB2312"/>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hint="eastAsia" w:ascii="仿宋" w:hAnsi="仿宋" w:eastAsia="仿宋"/>
          <w:color w:val="auto"/>
          <w:sz w:val="32"/>
          <w:szCs w:val="32"/>
          <w:highlight w:val="none"/>
        </w:rPr>
        <w:t>（图3：支出决算结构图）</w:t>
      </w:r>
    </w:p>
    <w:p w14:paraId="7EB46FC4">
      <w:pPr>
        <w:spacing w:line="600" w:lineRule="exact"/>
        <w:ind w:firstLine="640" w:firstLineChars="200"/>
        <w:rPr>
          <w:rFonts w:ascii="仿宋_GB2312" w:eastAsia="仿宋_GB2312"/>
          <w:sz w:val="32"/>
          <w:szCs w:val="32"/>
        </w:rPr>
      </w:pPr>
    </w:p>
    <w:p w14:paraId="6DE01F47">
      <w:pPr>
        <w:spacing w:line="600" w:lineRule="exact"/>
        <w:ind w:firstLine="640" w:firstLineChars="200"/>
        <w:outlineLvl w:val="1"/>
        <w:rPr>
          <w:rStyle w:val="28"/>
          <w:rFonts w:ascii="黑体" w:hAnsi="黑体" w:eastAsia="黑体"/>
          <w:b w:val="0"/>
        </w:rPr>
      </w:pPr>
      <w:bookmarkStart w:id="22" w:name="_Toc15396606"/>
      <w:bookmarkStart w:id="23"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2"/>
      <w:bookmarkEnd w:id="23"/>
    </w:p>
    <w:p w14:paraId="164F0B24">
      <w:pPr>
        <w:spacing w:line="600" w:lineRule="exact"/>
        <w:ind w:firstLine="640"/>
        <w:rPr>
          <w:rFonts w:hint="eastAsia"/>
        </w:rPr>
      </w:pPr>
      <w:r>
        <w:rPr>
          <w:rFonts w:hint="eastAsia" w:ascii="仿宋" w:hAnsi="仿宋" w:eastAsia="仿宋"/>
          <w:sz w:val="32"/>
          <w:szCs w:val="32"/>
        </w:rPr>
        <w:t>2023年度财政拨款收、支总计均为</w:t>
      </w:r>
      <w:r>
        <w:rPr>
          <w:rFonts w:ascii="仿宋" w:hAnsi="仿宋" w:eastAsia="仿宋"/>
          <w:b/>
          <w:sz w:val="32"/>
          <w:szCs w:val="32"/>
        </w:rPr>
        <w:t>360.35</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129.06</w:t>
      </w:r>
      <w:r>
        <w:rPr>
          <w:rFonts w:hint="eastAsia" w:ascii="仿宋" w:hAnsi="仿宋" w:eastAsia="仿宋"/>
          <w:sz w:val="32"/>
          <w:szCs w:val="32"/>
        </w:rPr>
        <w:t>万元，增长</w:t>
      </w:r>
      <w:r>
        <w:rPr>
          <w:rFonts w:hint="eastAsia" w:ascii="仿宋" w:hAnsi="仿宋" w:eastAsia="仿宋"/>
          <w:sz w:val="32"/>
          <w:szCs w:val="32"/>
          <w:lang w:val="en-US" w:eastAsia="zh-CN"/>
        </w:rPr>
        <w:t>64.18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单位人员新增。</w:t>
      </w:r>
    </w:p>
    <w:p w14:paraId="43839460">
      <w:pPr>
        <w:rPr>
          <w:rFonts w:ascii="仿宋" w:hAnsi="仿宋" w:eastAsia="仿宋"/>
          <w:color w:val="auto"/>
          <w:sz w:val="32"/>
          <w:szCs w:val="32"/>
          <w:highlight w:val="none"/>
        </w:rPr>
      </w:pPr>
      <w:r>
        <w:rPr>
          <w:rFonts w:hint="eastAsia"/>
        </w:rPr>
        <w:drawing>
          <wp:inline distT="0" distB="0" distL="0" distR="0">
            <wp:extent cx="5080000" cy="2860675"/>
            <wp:effectExtent l="4445" t="4445" r="20955" b="11430"/>
            <wp:docPr id="1" name="对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7FC763F">
      <w:pPr>
        <w:spacing w:line="600" w:lineRule="exact"/>
        <w:ind w:firstLine="640"/>
        <w:rPr>
          <w:rFonts w:hint="eastAsia" w:ascii="黑体" w:hAnsi="黑体" w:eastAsia="黑体"/>
          <w:sz w:val="32"/>
          <w:szCs w:val="32"/>
        </w:rPr>
      </w:pPr>
      <w:r>
        <w:rPr>
          <w:rFonts w:hint="eastAsia" w:ascii="仿宋" w:hAnsi="仿宋" w:eastAsia="仿宋"/>
          <w:color w:val="auto"/>
          <w:sz w:val="32"/>
          <w:szCs w:val="32"/>
          <w:highlight w:val="none"/>
        </w:rPr>
        <w:t>（图4：财政拨款收、支决算总计变动情况）</w:t>
      </w:r>
      <w:bookmarkStart w:id="24" w:name="_Toc15377209"/>
      <w:bookmarkStart w:id="25" w:name="_Toc15396607"/>
    </w:p>
    <w:p w14:paraId="26CF27FC">
      <w:pPr>
        <w:spacing w:line="600" w:lineRule="exact"/>
        <w:ind w:firstLine="640" w:firstLineChars="200"/>
        <w:outlineLvl w:val="1"/>
        <w:rPr>
          <w:rFonts w:hint="eastAsia" w:ascii="黑体" w:hAnsi="黑体" w:eastAsia="黑体"/>
          <w:sz w:val="32"/>
          <w:szCs w:val="32"/>
        </w:rPr>
        <w:sectPr>
          <w:footerReference r:id="rId16" w:type="default"/>
          <w:pgSz w:w="11906" w:h="16838"/>
          <w:pgMar w:top="1440" w:right="1800" w:bottom="1440" w:left="1800" w:header="851" w:footer="992" w:gutter="0"/>
          <w:pgNumType w:fmt="decimal" w:start="3"/>
          <w:cols w:space="425" w:num="1"/>
          <w:docGrid w:type="lines" w:linePitch="312" w:charSpace="0"/>
        </w:sectPr>
      </w:pPr>
    </w:p>
    <w:p w14:paraId="3FA3D87E">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4"/>
      <w:bookmarkEnd w:id="25"/>
    </w:p>
    <w:p w14:paraId="0BECBE04">
      <w:pPr>
        <w:spacing w:line="600" w:lineRule="exact"/>
        <w:ind w:firstLine="643" w:firstLineChars="200"/>
        <w:outlineLvl w:val="2"/>
        <w:rPr>
          <w:rFonts w:ascii="仿宋" w:hAnsi="仿宋" w:eastAsia="仿宋"/>
          <w:b/>
          <w:sz w:val="32"/>
          <w:szCs w:val="32"/>
        </w:rPr>
      </w:pPr>
      <w:bookmarkStart w:id="26" w:name="_Toc15377210"/>
      <w:r>
        <w:rPr>
          <w:rFonts w:hint="eastAsia" w:ascii="仿宋" w:hAnsi="仿宋" w:eastAsia="仿宋"/>
          <w:b/>
          <w:sz w:val="32"/>
          <w:szCs w:val="32"/>
        </w:rPr>
        <w:t>（一）一般公共预算财政拨款支出决算总体情况</w:t>
      </w:r>
      <w:bookmarkEnd w:id="26"/>
    </w:p>
    <w:p w14:paraId="19B6505A">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360.35</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129.06</w:t>
      </w:r>
      <w:r>
        <w:rPr>
          <w:rFonts w:hint="eastAsia" w:ascii="仿宋" w:hAnsi="仿宋" w:eastAsia="仿宋"/>
          <w:sz w:val="32"/>
          <w:szCs w:val="32"/>
        </w:rPr>
        <w:t>万元，增长</w:t>
      </w:r>
      <w:r>
        <w:rPr>
          <w:rFonts w:hint="eastAsia" w:ascii="仿宋" w:hAnsi="仿宋" w:eastAsia="仿宋"/>
          <w:sz w:val="32"/>
          <w:szCs w:val="32"/>
          <w:lang w:val="en-US" w:eastAsia="zh-CN"/>
        </w:rPr>
        <w:t>64.18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单位人员新增。</w:t>
      </w:r>
    </w:p>
    <w:p w14:paraId="017E41F8">
      <w:pPr>
        <w:spacing w:line="600" w:lineRule="exact"/>
        <w:ind w:firstLine="640" w:firstLineChars="200"/>
        <w:rPr>
          <w:rFonts w:ascii="仿宋" w:hAnsi="仿宋" w:eastAsia="仿宋"/>
          <w:sz w:val="32"/>
          <w:szCs w:val="32"/>
        </w:rPr>
      </w:pPr>
    </w:p>
    <w:p w14:paraId="17791DB8">
      <w:pPr>
        <w:rPr>
          <w:rFonts w:hint="eastAsia" w:eastAsiaTheme="minorEastAsia"/>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111760</wp:posOffset>
                </wp:positionV>
                <wp:extent cx="5016500" cy="462280"/>
                <wp:effectExtent l="0" t="0" r="12700" b="13970"/>
                <wp:wrapNone/>
                <wp:docPr id="5" name="文本框 5"/>
                <wp:cNvGraphicFramePr/>
                <a:graphic xmlns:a="http://schemas.openxmlformats.org/drawingml/2006/main">
                  <a:graphicData uri="http://schemas.microsoft.com/office/word/2010/wordprocessingShape">
                    <wps:wsp>
                      <wps:cNvSpPr txBox="1"/>
                      <wps:spPr>
                        <a:xfrm>
                          <a:off x="2685415" y="7596505"/>
                          <a:ext cx="5016500" cy="462280"/>
                        </a:xfrm>
                        <a:prstGeom prst="rect">
                          <a:avLst/>
                        </a:prstGeom>
                        <a:solidFill>
                          <a:srgbClr val="EEECE1"/>
                        </a:solidFill>
                        <a:ln w="6350">
                          <a:noFill/>
                        </a:ln>
                      </wps:spPr>
                      <wps:style>
                        <a:lnRef idx="0">
                          <a:schemeClr val="accent1"/>
                        </a:lnRef>
                        <a:fillRef idx="0">
                          <a:schemeClr val="accent1"/>
                        </a:fillRef>
                        <a:effectRef idx="0">
                          <a:schemeClr val="accent1"/>
                        </a:effectRef>
                        <a:fontRef idx="minor">
                          <a:schemeClr val="dk1"/>
                        </a:fontRef>
                      </wps:style>
                      <wps:txbx>
                        <w:txbxContent>
                          <w:p w14:paraId="786B2FA3">
                            <w:pP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
                                <w:bCs/>
                                <w:color w:val="auto"/>
                                <w:sz w:val="24"/>
                                <w:szCs w:val="24"/>
                                <w:lang w:val="en-US" w:eastAsia="zh-CN"/>
                              </w:rPr>
                              <w:t>2022年至2023年一般公共预算财政收入支出对比图     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8.8pt;height:36.4pt;width:395pt;z-index:251659264;mso-width-relative:page;mso-height-relative:page;" fillcolor="#EEECE1" filled="t" stroked="f" coordsize="21600,21600" o:gfxdata="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10;7jDz1QAAAAcBAAAPAAAAAAAAAAEAIAAAACIAAABkcnMvZG93bnJldi54bWxQSwECFAAUAAAACACH&#10;TuJAkbGUKmACAACbBAAADgAAAAAAAAABACAAAAAkAQAAZHJzL2Uyb0RvYy54bWxQSwUGAAAAAAYA&#10;BgBZAQAA9gUAAAAA&#10;">
                <v:fill on="t" focussize="0,0"/>
                <v:stroke on="f" weight="0.5pt"/>
                <v:imagedata o:title=""/>
                <o:lock v:ext="edit" aspectratio="f"/>
                <v:textbox>
                  <w:txbxContent>
                    <w:p w14:paraId="786B2FA3">
                      <w:pP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
                          <w:bCs/>
                          <w:color w:val="auto"/>
                          <w:sz w:val="24"/>
                          <w:szCs w:val="24"/>
                          <w:lang w:val="en-US" w:eastAsia="zh-CN"/>
                        </w:rPr>
                        <w:t>2022年至2023年一般公共预算财政收入支出对比图     单位：万元</w:t>
                      </w:r>
                    </w:p>
                  </w:txbxContent>
                </v:textbox>
              </v:shape>
            </w:pict>
          </mc:Fallback>
        </mc:AlternateContent>
      </w:r>
      <w:r>
        <w:rPr>
          <w:rFonts w:hint="eastAsia" w:eastAsiaTheme="minorEastAsia"/>
          <w:lang w:eastAsia="zh-CN"/>
        </w:rPr>
        <w:drawing>
          <wp:inline distT="0" distB="0" distL="114300" distR="114300">
            <wp:extent cx="5080000" cy="3672205"/>
            <wp:effectExtent l="4445" t="4445" r="20955"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45E994">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3E3708CE">
      <w:pPr>
        <w:spacing w:line="600" w:lineRule="exact"/>
        <w:ind w:firstLine="640" w:firstLineChars="200"/>
        <w:rPr>
          <w:rFonts w:ascii="仿宋" w:hAnsi="仿宋" w:eastAsia="仿宋"/>
          <w:sz w:val="32"/>
          <w:szCs w:val="32"/>
        </w:rPr>
      </w:pPr>
    </w:p>
    <w:p w14:paraId="57D5B5B1">
      <w:pPr>
        <w:spacing w:line="600" w:lineRule="exact"/>
        <w:ind w:firstLine="643" w:firstLineChars="200"/>
        <w:outlineLvl w:val="2"/>
        <w:rPr>
          <w:rFonts w:ascii="仿宋" w:hAnsi="仿宋" w:eastAsia="仿宋"/>
          <w:b/>
          <w:sz w:val="32"/>
          <w:szCs w:val="32"/>
        </w:rPr>
      </w:pPr>
      <w:bookmarkStart w:id="27" w:name="_Toc15377211"/>
      <w:r>
        <w:rPr>
          <w:rFonts w:hint="eastAsia" w:ascii="仿宋" w:hAnsi="仿宋" w:eastAsia="仿宋"/>
          <w:b/>
          <w:sz w:val="32"/>
          <w:szCs w:val="32"/>
        </w:rPr>
        <w:t>（二）一般公共预算财政拨款支出决算结构情况</w:t>
      </w:r>
      <w:bookmarkEnd w:id="27"/>
    </w:p>
    <w:p w14:paraId="61DCE109">
      <w:pPr>
        <w:spacing w:line="600" w:lineRule="exact"/>
        <w:ind w:firstLine="640"/>
        <w:rPr>
          <w:rFonts w:hint="eastAsia" w:ascii="仿宋" w:hAnsi="仿宋" w:eastAsia="仿宋"/>
          <w:color w:val="auto"/>
          <w:sz w:val="32"/>
          <w:szCs w:val="32"/>
          <w:highlight w:val="none"/>
          <w:lang w:val="en-US" w:eastAsia="zh-CN"/>
        </w:rPr>
        <w:sectPr>
          <w:footerReference r:id="rId17" w:type="default"/>
          <w:pgSz w:w="11906" w:h="16838"/>
          <w:pgMar w:top="1440" w:right="1800" w:bottom="1440" w:left="1800" w:header="851" w:footer="992" w:gutter="0"/>
          <w:pgNumType w:fmt="decimal" w:start="3"/>
          <w:cols w:space="425" w:num="1"/>
          <w:docGrid w:type="lines" w:linePitch="312" w:charSpace="0"/>
        </w:sectPr>
      </w:pPr>
      <w:r>
        <w:rPr>
          <w:rFonts w:hint="eastAsia" w:ascii="仿宋" w:hAnsi="仿宋" w:eastAsia="仿宋"/>
          <w:sz w:val="32"/>
          <w:szCs w:val="32"/>
        </w:rPr>
        <w:t>2023年度一般公共预算财政拨款支出</w:t>
      </w:r>
      <w:r>
        <w:rPr>
          <w:rFonts w:ascii="仿宋" w:hAnsi="仿宋" w:eastAsia="仿宋"/>
          <w:b/>
          <w:sz w:val="32"/>
          <w:szCs w:val="32"/>
        </w:rPr>
        <w:t>360.35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204.94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56.87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131.18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36.40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8.94</w:t>
      </w:r>
    </w:p>
    <w:p w14:paraId="5BC4A8BF">
      <w:pPr>
        <w:spacing w:line="600" w:lineRule="exact"/>
        <w:ind w:firstLine="640"/>
        <w:rPr>
          <w:rFonts w:ascii="仿宋" w:hAnsi="仿宋" w:eastAsia="仿宋"/>
          <w:b/>
          <w:sz w:val="32"/>
          <w:szCs w:val="32"/>
        </w:rPr>
      </w:pP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15.29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4.25</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3110C09A">
      <w:pPr>
        <w:spacing w:line="600" w:lineRule="exact"/>
        <w:ind w:firstLine="640"/>
        <w:rPr>
          <w:rFonts w:ascii="仿宋" w:hAnsi="仿宋" w:eastAsia="仿宋"/>
          <w:sz w:val="32"/>
          <w:szCs w:val="32"/>
        </w:rPr>
      </w:pPr>
    </w:p>
    <w:p w14:paraId="623B535B">
      <w:pPr>
        <w:pStyle w:val="6"/>
        <w:jc w:val="both"/>
        <w:rPr>
          <w:rFonts w:hint="eastAsia" w:ascii="仿宋" w:hAnsi="仿宋" w:eastAsia="仿宋"/>
          <w:color w:val="auto"/>
          <w:sz w:val="32"/>
          <w:szCs w:val="32"/>
          <w:highlight w:val="none"/>
        </w:rPr>
      </w:pPr>
      <w:bookmarkStart w:id="28" w:name="_Toc7040"/>
      <w:r>
        <w:rPr>
          <w:rFonts w:hint="eastAsia" w:eastAsia="仿宋"/>
          <w:lang w:eastAsia="zh-CN"/>
        </w:rPr>
        <w:drawing>
          <wp:inline distT="0" distB="0" distL="114300" distR="114300">
            <wp:extent cx="5256530" cy="2978785"/>
            <wp:effectExtent l="4445" t="4445" r="15875" b="762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bookmarkEnd w:id="28"/>
    </w:p>
    <w:p w14:paraId="0C3CF94C">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4ADE727E">
      <w:pPr>
        <w:spacing w:line="600" w:lineRule="exact"/>
        <w:ind w:firstLine="640" w:firstLineChars="200"/>
        <w:rPr>
          <w:rFonts w:ascii="仿宋" w:hAnsi="仿宋" w:eastAsia="仿宋"/>
          <w:sz w:val="32"/>
          <w:szCs w:val="32"/>
        </w:rPr>
      </w:pPr>
    </w:p>
    <w:p w14:paraId="798F21BF">
      <w:pPr>
        <w:spacing w:line="600" w:lineRule="exact"/>
        <w:ind w:firstLine="643" w:firstLineChars="200"/>
        <w:outlineLvl w:val="2"/>
        <w:rPr>
          <w:rFonts w:ascii="仿宋" w:hAnsi="仿宋" w:eastAsia="仿宋"/>
          <w:b/>
          <w:sz w:val="32"/>
          <w:szCs w:val="32"/>
        </w:rPr>
      </w:pPr>
      <w:bookmarkStart w:id="29" w:name="_Toc15377212"/>
      <w:r>
        <w:rPr>
          <w:rFonts w:hint="eastAsia" w:ascii="仿宋" w:hAnsi="仿宋" w:eastAsia="仿宋"/>
          <w:b/>
          <w:sz w:val="32"/>
          <w:szCs w:val="32"/>
        </w:rPr>
        <w:t>（三）一般公共预算财政拨款支出决算具体情况</w:t>
      </w:r>
      <w:bookmarkEnd w:id="29"/>
    </w:p>
    <w:p w14:paraId="15E6B6AF">
      <w:pPr>
        <w:spacing w:line="600" w:lineRule="exact"/>
        <w:ind w:firstLine="643" w:firstLineChars="200"/>
        <w:outlineLvl w:val="2"/>
        <w:rPr>
          <w:rFonts w:ascii="仿宋" w:hAnsi="仿宋" w:eastAsia="仿宋"/>
          <w:sz w:val="32"/>
          <w:szCs w:val="32"/>
        </w:rPr>
      </w:pPr>
      <w:bookmarkStart w:id="30" w:name="_Toc15377444"/>
      <w:bookmarkStart w:id="31" w:name="_Toc15378460"/>
      <w:bookmarkStart w:id="32" w:name="_Toc15377213"/>
      <w:r>
        <w:rPr>
          <w:rFonts w:hint="eastAsia" w:ascii="仿宋" w:hAnsi="仿宋" w:eastAsia="仿宋"/>
          <w:b/>
          <w:sz w:val="32"/>
          <w:szCs w:val="32"/>
        </w:rPr>
        <w:t>2023年度一般公共预算支出决算数为</w:t>
      </w:r>
      <w:r>
        <w:rPr>
          <w:rFonts w:ascii="仿宋" w:hAnsi="仿宋" w:eastAsia="仿宋"/>
          <w:b/>
          <w:sz w:val="32"/>
          <w:szCs w:val="32"/>
        </w:rPr>
        <w:t>360.35</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0"/>
      <w:bookmarkEnd w:id="31"/>
      <w:bookmarkEnd w:id="32"/>
    </w:p>
    <w:p w14:paraId="73E98FA6">
      <w:pPr>
        <w:numPr>
          <w:ilvl w:val="0"/>
          <w:numId w:val="3"/>
        </w:num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color w:val="000000"/>
          <w:sz w:val="32"/>
          <w:szCs w:val="32"/>
        </w:rPr>
        <w:t>教育（205）教育管理事务(01）其他教育管理事务支出(99)</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204.94</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15C6C022">
      <w:pPr>
        <w:numPr>
          <w:ilvl w:val="0"/>
          <w:numId w:val="3"/>
        </w:num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rPr>
        <w:t>社会保障和就业（208）行政事业单位养老支出（05）</w:t>
      </w:r>
      <w:r>
        <w:rPr>
          <w:rStyle w:val="17"/>
          <w:rFonts w:hint="eastAsia" w:ascii="仿宋" w:hAnsi="仿宋" w:eastAsia="仿宋"/>
          <w:bCs/>
          <w:color w:val="000000"/>
          <w:sz w:val="32"/>
          <w:szCs w:val="32"/>
          <w:lang w:val="en-US" w:eastAsia="zh-CN"/>
        </w:rPr>
        <w:t>事业单位离退休</w:t>
      </w:r>
      <w:r>
        <w:rPr>
          <w:rStyle w:val="17"/>
          <w:rFonts w:hint="eastAsia" w:ascii="仿宋" w:hAnsi="仿宋" w:eastAsia="仿宋"/>
          <w:bCs/>
          <w:color w:val="000000"/>
          <w:sz w:val="32"/>
          <w:szCs w:val="32"/>
        </w:rPr>
        <w:t>支出（</w:t>
      </w:r>
      <w:r>
        <w:rPr>
          <w:rStyle w:val="17"/>
          <w:rFonts w:hint="eastAsia" w:ascii="仿宋" w:hAnsi="仿宋" w:eastAsia="仿宋"/>
          <w:bCs/>
          <w:color w:val="000000"/>
          <w:sz w:val="32"/>
          <w:szCs w:val="32"/>
          <w:lang w:val="en-US" w:eastAsia="zh-CN"/>
        </w:rPr>
        <w:t>02</w:t>
      </w:r>
      <w:r>
        <w:rPr>
          <w:rStyle w:val="17"/>
          <w:rFonts w:hint="eastAsia" w:ascii="仿宋" w:hAnsi="仿宋" w:eastAsia="仿宋"/>
          <w:bCs/>
          <w:color w:val="000000"/>
          <w:sz w:val="32"/>
          <w:szCs w:val="32"/>
        </w:rPr>
        <w:t xml:space="preserve">）: </w:t>
      </w:r>
      <w:r>
        <w:rPr>
          <w:rStyle w:val="17"/>
          <w:rFonts w:hint="eastAsia" w:ascii="仿宋" w:hAnsi="仿宋" w:eastAsia="仿宋"/>
          <w:b w:val="0"/>
          <w:color w:val="000000"/>
          <w:sz w:val="32"/>
          <w:szCs w:val="32"/>
        </w:rPr>
        <w:t>支出决算为</w:t>
      </w:r>
      <w:r>
        <w:rPr>
          <w:rStyle w:val="17"/>
          <w:rFonts w:hint="eastAsia" w:ascii="仿宋" w:hAnsi="仿宋" w:eastAsia="仿宋"/>
          <w:b w:val="0"/>
          <w:color w:val="000000"/>
          <w:sz w:val="32"/>
          <w:szCs w:val="32"/>
          <w:lang w:val="en-US" w:eastAsia="zh-CN"/>
        </w:rPr>
        <w:t>11.83</w:t>
      </w:r>
      <w:r>
        <w:rPr>
          <w:rStyle w:val="17"/>
          <w:rFonts w:hint="eastAsia" w:ascii="仿宋" w:hAnsi="仿宋" w:eastAsia="仿宋"/>
          <w:b w:val="0"/>
          <w:color w:val="000000"/>
          <w:sz w:val="32"/>
          <w:szCs w:val="32"/>
        </w:rPr>
        <w:t>万元，完成预算100%，决算数等于预算数。</w:t>
      </w:r>
    </w:p>
    <w:p w14:paraId="53F114D8">
      <w:pPr>
        <w:numPr>
          <w:ilvl w:val="0"/>
          <w:numId w:val="3"/>
        </w:numPr>
        <w:spacing w:line="600" w:lineRule="exact"/>
        <w:ind w:left="0" w:leftChars="0" w:firstLine="643" w:firstLineChars="200"/>
        <w:rPr>
          <w:rFonts w:ascii="仿宋" w:hAnsi="仿宋" w:eastAsia="仿宋"/>
          <w:b/>
          <w:sz w:val="32"/>
          <w:szCs w:val="32"/>
        </w:rPr>
        <w:sectPr>
          <w:footerReference r:id="rId18" w:type="default"/>
          <w:pgSz w:w="11906" w:h="16838"/>
          <w:pgMar w:top="1440" w:right="1800" w:bottom="1440" w:left="1800" w:header="851" w:footer="992" w:gutter="0"/>
          <w:pgNumType w:fmt="decimal" w:start="3"/>
          <w:cols w:space="425" w:num="1"/>
          <w:docGrid w:type="lines" w:linePitch="312" w:charSpace="0"/>
        </w:sectPr>
      </w:pPr>
      <w:r>
        <w:rPr>
          <w:rStyle w:val="17"/>
          <w:rFonts w:hint="eastAsia" w:ascii="仿宋" w:hAnsi="仿宋" w:eastAsia="仿宋"/>
          <w:bCs/>
          <w:color w:val="000000"/>
          <w:sz w:val="32"/>
          <w:szCs w:val="32"/>
        </w:rPr>
        <w:t>社会保障和就业（208）行政事业单位养老支出（05）</w:t>
      </w:r>
    </w:p>
    <w:p w14:paraId="0CD4C8D2">
      <w:pPr>
        <w:numPr>
          <w:ilvl w:val="0"/>
          <w:numId w:val="3"/>
        </w:numPr>
        <w:spacing w:line="600" w:lineRule="exact"/>
        <w:ind w:left="0" w:leftChars="0" w:firstLine="643" w:firstLineChars="200"/>
        <w:rPr>
          <w:rFonts w:ascii="仿宋" w:hAnsi="仿宋" w:eastAsia="仿宋"/>
          <w:b/>
          <w:sz w:val="32"/>
          <w:szCs w:val="32"/>
        </w:rPr>
      </w:pPr>
      <w:r>
        <w:rPr>
          <w:rStyle w:val="17"/>
          <w:rFonts w:hint="eastAsia" w:ascii="仿宋" w:hAnsi="仿宋" w:eastAsia="仿宋"/>
          <w:bCs/>
          <w:color w:val="000000"/>
          <w:sz w:val="32"/>
          <w:szCs w:val="32"/>
        </w:rPr>
        <w:t xml:space="preserve">机关事业单位基本养老保险缴费支出（05）: </w:t>
      </w:r>
      <w:r>
        <w:rPr>
          <w:rStyle w:val="17"/>
          <w:rFonts w:hint="eastAsia" w:ascii="仿宋" w:hAnsi="仿宋" w:eastAsia="仿宋"/>
          <w:b w:val="0"/>
          <w:color w:val="000000"/>
          <w:sz w:val="32"/>
          <w:szCs w:val="32"/>
        </w:rPr>
        <w:t>支出决算为</w:t>
      </w:r>
      <w:r>
        <w:rPr>
          <w:rStyle w:val="17"/>
          <w:rFonts w:hint="eastAsia" w:ascii="仿宋" w:hAnsi="仿宋" w:eastAsia="仿宋"/>
          <w:b w:val="0"/>
          <w:color w:val="000000"/>
          <w:sz w:val="32"/>
          <w:szCs w:val="32"/>
          <w:lang w:val="en-US" w:eastAsia="zh-CN"/>
        </w:rPr>
        <w:t>11.32</w:t>
      </w:r>
      <w:r>
        <w:rPr>
          <w:rStyle w:val="17"/>
          <w:rFonts w:hint="eastAsia" w:ascii="仿宋" w:hAnsi="仿宋" w:eastAsia="仿宋"/>
          <w:b w:val="0"/>
          <w:color w:val="000000"/>
          <w:sz w:val="32"/>
          <w:szCs w:val="32"/>
        </w:rPr>
        <w:t>万元，完成预算100%，决算数等于预算数。</w:t>
      </w:r>
    </w:p>
    <w:p w14:paraId="090C102E">
      <w:pPr>
        <w:numPr>
          <w:ilvl w:val="0"/>
          <w:numId w:val="3"/>
        </w:numPr>
        <w:spacing w:line="600" w:lineRule="exact"/>
        <w:ind w:left="0" w:leftChars="0" w:firstLine="643" w:firstLineChars="200"/>
        <w:rPr>
          <w:rFonts w:ascii="仿宋" w:hAnsi="仿宋" w:eastAsia="仿宋"/>
          <w:b/>
          <w:sz w:val="32"/>
          <w:szCs w:val="32"/>
        </w:rPr>
      </w:pPr>
      <w:r>
        <w:rPr>
          <w:rStyle w:val="17"/>
          <w:rFonts w:hint="eastAsia" w:ascii="仿宋" w:hAnsi="仿宋" w:eastAsia="仿宋"/>
          <w:bCs/>
          <w:color w:val="000000"/>
          <w:sz w:val="32"/>
          <w:szCs w:val="32"/>
        </w:rPr>
        <w:t>社会保障和就业（208）行政事业单位养老支出（0</w:t>
      </w:r>
      <w:r>
        <w:rPr>
          <w:rStyle w:val="17"/>
          <w:rFonts w:hint="eastAsia" w:ascii="仿宋" w:hAnsi="仿宋" w:eastAsia="仿宋"/>
          <w:bCs/>
          <w:color w:val="000000"/>
          <w:sz w:val="32"/>
          <w:szCs w:val="32"/>
          <w:lang w:val="en-US" w:eastAsia="zh-CN"/>
        </w:rPr>
        <w:t>5</w:t>
      </w:r>
      <w:r>
        <w:rPr>
          <w:rStyle w:val="17"/>
          <w:rFonts w:hint="eastAsia" w:ascii="仿宋" w:hAnsi="仿宋" w:eastAsia="仿宋"/>
          <w:bCs/>
          <w:color w:val="000000"/>
          <w:sz w:val="32"/>
          <w:szCs w:val="32"/>
        </w:rPr>
        <w:t>）机关事业单位职业年金缴费支出（0</w:t>
      </w:r>
      <w:r>
        <w:rPr>
          <w:rStyle w:val="17"/>
          <w:rFonts w:hint="eastAsia" w:ascii="仿宋" w:hAnsi="仿宋" w:eastAsia="仿宋"/>
          <w:bCs/>
          <w:color w:val="000000"/>
          <w:sz w:val="32"/>
          <w:szCs w:val="32"/>
          <w:lang w:val="en-US" w:eastAsia="zh-CN"/>
        </w:rPr>
        <w:t>6</w:t>
      </w:r>
      <w:r>
        <w:rPr>
          <w:rStyle w:val="17"/>
          <w:rFonts w:hint="eastAsia" w:ascii="仿宋" w:hAnsi="仿宋" w:eastAsia="仿宋"/>
          <w:bCs/>
          <w:color w:val="000000"/>
          <w:sz w:val="32"/>
          <w:szCs w:val="32"/>
        </w:rPr>
        <w:t xml:space="preserve">）: </w:t>
      </w:r>
      <w:r>
        <w:rPr>
          <w:rStyle w:val="17"/>
          <w:rFonts w:hint="eastAsia" w:ascii="仿宋" w:hAnsi="仿宋" w:eastAsia="仿宋"/>
          <w:b w:val="0"/>
          <w:color w:val="000000"/>
          <w:sz w:val="32"/>
          <w:szCs w:val="32"/>
        </w:rPr>
        <w:t>支出决算为</w:t>
      </w:r>
      <w:r>
        <w:rPr>
          <w:rStyle w:val="17"/>
          <w:rFonts w:hint="eastAsia" w:ascii="仿宋" w:hAnsi="仿宋" w:eastAsia="仿宋"/>
          <w:b w:val="0"/>
          <w:color w:val="000000"/>
          <w:sz w:val="32"/>
          <w:szCs w:val="32"/>
          <w:lang w:val="en-US" w:eastAsia="zh-CN"/>
        </w:rPr>
        <w:t>17.14</w:t>
      </w:r>
      <w:r>
        <w:rPr>
          <w:rStyle w:val="17"/>
          <w:rFonts w:hint="eastAsia" w:ascii="仿宋" w:hAnsi="仿宋" w:eastAsia="仿宋"/>
          <w:b w:val="0"/>
          <w:color w:val="000000"/>
          <w:sz w:val="32"/>
          <w:szCs w:val="32"/>
        </w:rPr>
        <w:t>万元，完成预算100%，决算数等于预算数。</w:t>
      </w:r>
    </w:p>
    <w:p w14:paraId="6F449003">
      <w:pPr>
        <w:numPr>
          <w:ilvl w:val="0"/>
          <w:numId w:val="3"/>
        </w:numPr>
        <w:spacing w:line="600" w:lineRule="exact"/>
        <w:ind w:left="0" w:leftChars="0" w:firstLine="643" w:firstLineChars="200"/>
        <w:rPr>
          <w:rFonts w:ascii="仿宋" w:hAnsi="仿宋" w:eastAsia="仿宋"/>
          <w:b/>
          <w:sz w:val="32"/>
          <w:szCs w:val="32"/>
        </w:rPr>
      </w:pPr>
      <w:r>
        <w:rPr>
          <w:rStyle w:val="17"/>
          <w:rFonts w:hint="eastAsia" w:ascii="仿宋" w:hAnsi="仿宋" w:eastAsia="仿宋"/>
          <w:bCs/>
          <w:color w:val="000000"/>
          <w:sz w:val="32"/>
          <w:szCs w:val="32"/>
        </w:rPr>
        <w:t>社会保障和就业（208）行政事业单位养老支出（05）其他行政事业单位养老支出（</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rPr>
        <w:t xml:space="preserve">）: </w:t>
      </w:r>
      <w:r>
        <w:rPr>
          <w:rStyle w:val="17"/>
          <w:rFonts w:hint="eastAsia" w:ascii="仿宋" w:hAnsi="仿宋" w:eastAsia="仿宋"/>
          <w:b w:val="0"/>
          <w:color w:val="000000"/>
          <w:sz w:val="32"/>
          <w:szCs w:val="32"/>
        </w:rPr>
        <w:t>支出决算为</w:t>
      </w:r>
      <w:r>
        <w:rPr>
          <w:rStyle w:val="17"/>
          <w:rFonts w:hint="eastAsia" w:ascii="仿宋" w:hAnsi="仿宋" w:eastAsia="仿宋"/>
          <w:b w:val="0"/>
          <w:color w:val="000000"/>
          <w:sz w:val="32"/>
          <w:szCs w:val="32"/>
          <w:lang w:val="en-US" w:eastAsia="zh-CN"/>
        </w:rPr>
        <w:t>72.30</w:t>
      </w:r>
      <w:r>
        <w:rPr>
          <w:rStyle w:val="17"/>
          <w:rFonts w:hint="eastAsia" w:ascii="仿宋" w:hAnsi="仿宋" w:eastAsia="仿宋"/>
          <w:b w:val="0"/>
          <w:color w:val="000000"/>
          <w:sz w:val="32"/>
          <w:szCs w:val="32"/>
        </w:rPr>
        <w:t>万元，完成预算100%，决算数等于预算数。</w:t>
      </w:r>
    </w:p>
    <w:p w14:paraId="0669FFC9">
      <w:pPr>
        <w:numPr>
          <w:ilvl w:val="0"/>
          <w:numId w:val="3"/>
        </w:numPr>
        <w:spacing w:line="600" w:lineRule="exact"/>
        <w:ind w:left="0" w:leftChars="0" w:firstLine="643" w:firstLineChars="200"/>
        <w:rPr>
          <w:rFonts w:ascii="仿宋" w:hAnsi="仿宋" w:eastAsia="仿宋"/>
          <w:b/>
          <w:sz w:val="32"/>
          <w:szCs w:val="32"/>
        </w:rPr>
      </w:pPr>
      <w:r>
        <w:rPr>
          <w:rStyle w:val="17"/>
          <w:rFonts w:hint="eastAsia" w:ascii="仿宋" w:hAnsi="仿宋" w:eastAsia="仿宋"/>
          <w:bCs/>
          <w:color w:val="000000"/>
          <w:sz w:val="32"/>
          <w:szCs w:val="32"/>
        </w:rPr>
        <w:t>社会保障和就业（208）行政事业单位养老支出（0</w:t>
      </w:r>
      <w:r>
        <w:rPr>
          <w:rStyle w:val="17"/>
          <w:rFonts w:hint="eastAsia" w:ascii="仿宋" w:hAnsi="仿宋" w:eastAsia="仿宋"/>
          <w:bCs/>
          <w:color w:val="000000"/>
          <w:sz w:val="32"/>
          <w:szCs w:val="32"/>
          <w:lang w:val="en-US" w:eastAsia="zh-CN"/>
        </w:rPr>
        <w:t>8</w:t>
      </w:r>
      <w:r>
        <w:rPr>
          <w:rStyle w:val="17"/>
          <w:rFonts w:hint="eastAsia" w:ascii="仿宋" w:hAnsi="仿宋" w:eastAsia="仿宋"/>
          <w:bCs/>
          <w:color w:val="000000"/>
          <w:sz w:val="32"/>
          <w:szCs w:val="32"/>
        </w:rPr>
        <w:t>）死亡抚恤（0</w:t>
      </w:r>
      <w:r>
        <w:rPr>
          <w:rStyle w:val="17"/>
          <w:rFonts w:hint="eastAsia" w:ascii="仿宋" w:hAnsi="仿宋" w:eastAsia="仿宋"/>
          <w:bCs/>
          <w:color w:val="000000"/>
          <w:sz w:val="32"/>
          <w:szCs w:val="32"/>
          <w:lang w:val="en-US" w:eastAsia="zh-CN"/>
        </w:rPr>
        <w:t>1</w:t>
      </w:r>
      <w:r>
        <w:rPr>
          <w:rStyle w:val="17"/>
          <w:rFonts w:hint="eastAsia" w:ascii="仿宋" w:hAnsi="仿宋" w:eastAsia="仿宋"/>
          <w:bCs/>
          <w:color w:val="000000"/>
          <w:sz w:val="32"/>
          <w:szCs w:val="32"/>
        </w:rPr>
        <w:t xml:space="preserve">）: </w:t>
      </w:r>
      <w:r>
        <w:rPr>
          <w:rStyle w:val="17"/>
          <w:rFonts w:hint="eastAsia" w:ascii="仿宋" w:hAnsi="仿宋" w:eastAsia="仿宋"/>
          <w:b w:val="0"/>
          <w:color w:val="000000"/>
          <w:sz w:val="32"/>
          <w:szCs w:val="32"/>
        </w:rPr>
        <w:t>支出决算为</w:t>
      </w:r>
      <w:r>
        <w:rPr>
          <w:rStyle w:val="17"/>
          <w:rFonts w:hint="eastAsia" w:ascii="仿宋" w:hAnsi="仿宋" w:eastAsia="仿宋"/>
          <w:b w:val="0"/>
          <w:color w:val="000000"/>
          <w:sz w:val="32"/>
          <w:szCs w:val="32"/>
          <w:lang w:val="en-US" w:eastAsia="zh-CN"/>
        </w:rPr>
        <w:t>18.59</w:t>
      </w:r>
      <w:r>
        <w:rPr>
          <w:rStyle w:val="17"/>
          <w:rFonts w:hint="eastAsia" w:ascii="仿宋" w:hAnsi="仿宋" w:eastAsia="仿宋"/>
          <w:b w:val="0"/>
          <w:color w:val="000000"/>
          <w:sz w:val="32"/>
          <w:szCs w:val="32"/>
        </w:rPr>
        <w:t>万元，完成预算100%，决算数等于预算数。</w:t>
      </w:r>
    </w:p>
    <w:p w14:paraId="144AF9EA">
      <w:pPr>
        <w:numPr>
          <w:ilvl w:val="0"/>
          <w:numId w:val="3"/>
        </w:numPr>
        <w:spacing w:line="600" w:lineRule="exact"/>
        <w:ind w:firstLine="643" w:firstLineChars="200"/>
        <w:rPr>
          <w:rFonts w:ascii="仿宋" w:hAnsi="仿宋" w:eastAsia="仿宋"/>
          <w:b/>
          <w:sz w:val="32"/>
          <w:szCs w:val="32"/>
        </w:rPr>
      </w:pP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（210）行政事业单位医疗（11）事业单位医疗（02）</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8.94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val="0"/>
          <w:color w:val="000000"/>
          <w:sz w:val="32"/>
          <w:szCs w:val="32"/>
        </w:rPr>
        <w:t>，决算数等于预算数。</w:t>
      </w:r>
    </w:p>
    <w:p w14:paraId="50690410">
      <w:pPr>
        <w:numPr>
          <w:ilvl w:val="0"/>
          <w:numId w:val="3"/>
        </w:numPr>
        <w:spacing w:line="600" w:lineRule="exact"/>
        <w:ind w:firstLine="643" w:firstLineChars="200"/>
        <w:rPr>
          <w:rFonts w:ascii="仿宋" w:hAnsi="仿宋" w:eastAsia="仿宋"/>
          <w:b/>
          <w:sz w:val="32"/>
          <w:szCs w:val="32"/>
        </w:rPr>
      </w:pPr>
      <w:r>
        <w:rPr>
          <w:rFonts w:hint="eastAsia" w:ascii="仿宋" w:hAnsi="仿宋" w:eastAsia="仿宋"/>
          <w:b/>
          <w:bCs/>
          <w:color w:val="000000"/>
          <w:sz w:val="32"/>
          <w:szCs w:val="32"/>
        </w:rPr>
        <w:t xml:space="preserve">住房保障支出（221）住房改革支出（02）住房公积金（01）: </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15.29</w:t>
      </w:r>
      <w:r>
        <w:rPr>
          <w:rFonts w:hint="eastAsia" w:ascii="仿宋" w:hAnsi="仿宋" w:eastAsia="仿宋"/>
          <w:color w:val="000000"/>
          <w:sz w:val="32"/>
          <w:szCs w:val="32"/>
        </w:rPr>
        <w:t>万元，完成预算100%</w:t>
      </w:r>
      <w:r>
        <w:rPr>
          <w:rStyle w:val="17"/>
          <w:rFonts w:hint="eastAsia" w:ascii="仿宋" w:hAnsi="仿宋" w:eastAsia="仿宋"/>
          <w:b w:val="0"/>
          <w:color w:val="000000"/>
          <w:sz w:val="32"/>
          <w:szCs w:val="32"/>
        </w:rPr>
        <w:t>，决算数等于预算数。</w:t>
      </w:r>
    </w:p>
    <w:p w14:paraId="1919CC7D">
      <w:pPr>
        <w:spacing w:line="600" w:lineRule="exact"/>
        <w:rPr>
          <w:rFonts w:ascii="仿宋" w:hAnsi="仿宋" w:eastAsia="仿宋"/>
          <w:b/>
          <w:sz w:val="32"/>
          <w:szCs w:val="32"/>
        </w:rPr>
      </w:pPr>
    </w:p>
    <w:p w14:paraId="7C9F6D09">
      <w:pPr>
        <w:tabs>
          <w:tab w:val="right" w:pos="8306"/>
        </w:tabs>
        <w:spacing w:line="600" w:lineRule="exact"/>
        <w:ind w:firstLine="640"/>
        <w:outlineLvl w:val="1"/>
        <w:rPr>
          <w:rStyle w:val="28"/>
        </w:rPr>
      </w:pPr>
      <w:bookmarkStart w:id="33" w:name="_Toc15377214"/>
      <w:bookmarkStart w:id="34"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3"/>
      <w:bookmarkEnd w:id="34"/>
      <w:r>
        <w:rPr>
          <w:rStyle w:val="28"/>
          <w:rFonts w:ascii="黑体" w:hAnsi="黑体" w:eastAsia="黑体"/>
          <w:b w:val="0"/>
        </w:rPr>
        <w:tab/>
      </w:r>
    </w:p>
    <w:p w14:paraId="093F34B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352.35</w:t>
      </w:r>
      <w:r>
        <w:rPr>
          <w:rFonts w:hint="eastAsia" w:ascii="仿宋" w:hAnsi="仿宋" w:eastAsia="仿宋"/>
          <w:sz w:val="32"/>
          <w:szCs w:val="32"/>
        </w:rPr>
        <w:t>万元，其中：</w:t>
      </w:r>
    </w:p>
    <w:p w14:paraId="082B2652">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318.59</w:t>
      </w:r>
      <w:r>
        <w:rPr>
          <w:rFonts w:hint="eastAsia" w:ascii="仿宋" w:hAnsi="仿宋" w:eastAsia="仿宋"/>
          <w:sz w:val="32"/>
          <w:szCs w:val="32"/>
        </w:rPr>
        <w:t>万元，主要包括：基本工资65.84</w:t>
      </w:r>
      <w:r>
        <w:rPr>
          <w:rFonts w:hint="eastAsia" w:ascii="仿宋" w:hAnsi="仿宋" w:eastAsia="仿宋"/>
          <w:sz w:val="32"/>
          <w:szCs w:val="32"/>
          <w:lang w:val="en-US" w:eastAsia="zh-CN"/>
        </w:rPr>
        <w:t>万元</w:t>
      </w:r>
      <w:r>
        <w:rPr>
          <w:rFonts w:hint="eastAsia" w:ascii="仿宋" w:hAnsi="仿宋" w:eastAsia="仿宋"/>
          <w:sz w:val="32"/>
          <w:szCs w:val="32"/>
        </w:rPr>
        <w:t>、津贴补贴</w:t>
      </w:r>
      <w:r>
        <w:rPr>
          <w:rFonts w:hint="eastAsia" w:ascii="仿宋" w:hAnsi="仿宋" w:eastAsia="仿宋"/>
          <w:sz w:val="32"/>
          <w:szCs w:val="32"/>
          <w:lang w:val="en-US" w:eastAsia="zh-CN"/>
        </w:rPr>
        <w:t>1.43万元</w:t>
      </w:r>
      <w:r>
        <w:rPr>
          <w:rFonts w:hint="eastAsia" w:ascii="仿宋" w:hAnsi="仿宋" w:eastAsia="仿宋"/>
          <w:sz w:val="32"/>
          <w:szCs w:val="32"/>
        </w:rPr>
        <w:t>、绩效工资36.01</w:t>
      </w:r>
      <w:r>
        <w:rPr>
          <w:rFonts w:hint="eastAsia" w:ascii="仿宋" w:hAnsi="仿宋" w:eastAsia="仿宋"/>
          <w:sz w:val="32"/>
          <w:szCs w:val="32"/>
          <w:lang w:val="en-US" w:eastAsia="zh-CN"/>
        </w:rPr>
        <w:t>万元</w:t>
      </w:r>
      <w:r>
        <w:rPr>
          <w:rFonts w:hint="eastAsia" w:ascii="仿宋" w:hAnsi="仿宋" w:eastAsia="仿宋"/>
          <w:sz w:val="32"/>
          <w:szCs w:val="32"/>
        </w:rPr>
        <w:t>、机关事业单位基本养老保险缴费11.32</w:t>
      </w:r>
      <w:r>
        <w:rPr>
          <w:rFonts w:hint="eastAsia" w:ascii="仿宋" w:hAnsi="仿宋" w:eastAsia="仿宋"/>
          <w:sz w:val="32"/>
          <w:szCs w:val="32"/>
          <w:lang w:val="en-US" w:eastAsia="zh-CN"/>
        </w:rPr>
        <w:t>万元</w:t>
      </w:r>
      <w:r>
        <w:rPr>
          <w:rFonts w:hint="eastAsia" w:ascii="仿宋" w:hAnsi="仿宋" w:eastAsia="仿宋"/>
          <w:sz w:val="32"/>
          <w:szCs w:val="32"/>
        </w:rPr>
        <w:t>、职业年金缴费17.14</w:t>
      </w:r>
      <w:r>
        <w:rPr>
          <w:rFonts w:hint="eastAsia" w:ascii="仿宋" w:hAnsi="仿宋" w:eastAsia="仿宋"/>
          <w:sz w:val="32"/>
          <w:szCs w:val="32"/>
          <w:lang w:val="en-US" w:eastAsia="zh-CN"/>
        </w:rPr>
        <w:t>万元</w:t>
      </w:r>
      <w:r>
        <w:rPr>
          <w:rFonts w:hint="eastAsia" w:ascii="仿宋" w:hAnsi="仿宋" w:eastAsia="仿宋"/>
          <w:sz w:val="32"/>
          <w:szCs w:val="32"/>
        </w:rPr>
        <w:t>、其他社会保障缴费0.54</w:t>
      </w:r>
      <w:r>
        <w:rPr>
          <w:rFonts w:hint="eastAsia" w:ascii="仿宋" w:hAnsi="仿宋" w:eastAsia="仿宋"/>
          <w:sz w:val="32"/>
          <w:szCs w:val="32"/>
          <w:lang w:val="en-US" w:eastAsia="zh-CN"/>
        </w:rPr>
        <w:t>万元</w:t>
      </w:r>
      <w:r>
        <w:rPr>
          <w:rFonts w:hint="eastAsia" w:ascii="仿宋" w:hAnsi="仿宋" w:eastAsia="仿宋"/>
          <w:sz w:val="32"/>
          <w:szCs w:val="32"/>
        </w:rPr>
        <w:t>、其他工资福利支出59.90</w:t>
      </w:r>
      <w:r>
        <w:rPr>
          <w:rFonts w:hint="eastAsia" w:ascii="仿宋" w:hAnsi="仿宋" w:eastAsia="仿宋"/>
          <w:sz w:val="32"/>
          <w:szCs w:val="32"/>
          <w:lang w:val="en-US" w:eastAsia="zh-CN"/>
        </w:rPr>
        <w:t>万元</w:t>
      </w:r>
      <w:r>
        <w:rPr>
          <w:rFonts w:hint="eastAsia" w:ascii="仿宋" w:hAnsi="仿宋" w:eastAsia="仿宋"/>
          <w:sz w:val="32"/>
          <w:szCs w:val="32"/>
        </w:rPr>
        <w:t>、抚恤金</w:t>
      </w:r>
      <w:r>
        <w:rPr>
          <w:rFonts w:hint="eastAsia" w:ascii="仿宋" w:hAnsi="仿宋" w:eastAsia="仿宋"/>
          <w:sz w:val="32"/>
          <w:szCs w:val="32"/>
          <w:lang w:val="en-US" w:eastAsia="zh-CN"/>
        </w:rPr>
        <w:t>18.59万元</w:t>
      </w:r>
      <w:r>
        <w:rPr>
          <w:rFonts w:hint="eastAsia" w:ascii="仿宋" w:hAnsi="仿宋" w:eastAsia="仿宋"/>
          <w:sz w:val="32"/>
          <w:szCs w:val="32"/>
        </w:rPr>
        <w:t>、生活补助</w:t>
      </w:r>
      <w:r>
        <w:rPr>
          <w:rFonts w:hint="eastAsia" w:ascii="仿宋" w:hAnsi="仿宋" w:eastAsia="仿宋"/>
          <w:sz w:val="32"/>
          <w:szCs w:val="32"/>
          <w:lang w:val="en-US" w:eastAsia="zh-CN"/>
        </w:rPr>
        <w:t>84.13万元</w:t>
      </w:r>
      <w:r>
        <w:rPr>
          <w:rFonts w:hint="eastAsia" w:ascii="仿宋" w:hAnsi="仿宋" w:eastAsia="仿宋"/>
          <w:sz w:val="32"/>
          <w:szCs w:val="32"/>
        </w:rPr>
        <w:t>、医疗费补助8.4</w:t>
      </w:r>
      <w:r>
        <w:rPr>
          <w:rFonts w:hint="eastAsia" w:ascii="仿宋" w:hAnsi="仿宋" w:eastAsia="仿宋"/>
          <w:sz w:val="32"/>
          <w:szCs w:val="32"/>
          <w:lang w:val="en-US" w:eastAsia="zh-CN"/>
        </w:rPr>
        <w:t>万元</w:t>
      </w:r>
      <w:r>
        <w:rPr>
          <w:rFonts w:hint="eastAsia" w:ascii="仿宋" w:hAnsi="仿宋" w:eastAsia="仿宋"/>
          <w:sz w:val="32"/>
          <w:szCs w:val="32"/>
        </w:rPr>
        <w:t>、住房公积金15.29</w:t>
      </w:r>
      <w:r>
        <w:rPr>
          <w:rFonts w:hint="eastAsia" w:ascii="仿宋" w:hAnsi="仿宋" w:eastAsia="仿宋"/>
          <w:sz w:val="32"/>
          <w:szCs w:val="32"/>
          <w:lang w:val="en-US" w:eastAsia="zh-CN"/>
        </w:rPr>
        <w:t>万元</w:t>
      </w:r>
      <w:r>
        <w:rPr>
          <w:rFonts w:hint="eastAsia" w:ascii="仿宋" w:hAnsi="仿宋" w:eastAsia="仿宋"/>
          <w:sz w:val="32"/>
          <w:szCs w:val="32"/>
        </w:rPr>
        <w:t>、</w:t>
      </w:r>
    </w:p>
    <w:p w14:paraId="726D8DB6">
      <w:pPr>
        <w:spacing w:line="600" w:lineRule="exact"/>
        <w:rPr>
          <w:rFonts w:ascii="仿宋" w:hAnsi="仿宋" w:eastAsia="仿宋"/>
          <w:sz w:val="32"/>
          <w:szCs w:val="32"/>
        </w:rPr>
      </w:pPr>
      <w:r>
        <w:rPr>
          <w:rFonts w:hint="eastAsia" w:ascii="仿宋" w:hAnsi="仿宋" w:eastAsia="仿宋"/>
          <w:sz w:val="32"/>
          <w:szCs w:val="32"/>
        </w:rPr>
        <w:t>　　公用经费33.76万元，主要包括：办公费</w:t>
      </w:r>
      <w:r>
        <w:rPr>
          <w:rFonts w:hint="eastAsia" w:ascii="仿宋" w:hAnsi="仿宋" w:eastAsia="仿宋"/>
          <w:sz w:val="32"/>
          <w:szCs w:val="32"/>
          <w:lang w:val="en-US" w:eastAsia="zh-CN"/>
        </w:rPr>
        <w:t>3</w:t>
      </w:r>
      <w:r>
        <w:rPr>
          <w:rFonts w:hint="eastAsia" w:ascii="仿宋" w:hAnsi="仿宋" w:eastAsia="仿宋"/>
          <w:sz w:val="32"/>
          <w:szCs w:val="32"/>
        </w:rPr>
        <w:t>.80</w:t>
      </w:r>
      <w:r>
        <w:rPr>
          <w:rFonts w:hint="eastAsia" w:ascii="仿宋" w:hAnsi="仿宋" w:eastAsia="仿宋"/>
          <w:sz w:val="32"/>
          <w:szCs w:val="32"/>
          <w:lang w:val="en-US" w:eastAsia="zh-CN"/>
        </w:rPr>
        <w:t>万元</w:t>
      </w:r>
      <w:r>
        <w:rPr>
          <w:rFonts w:hint="eastAsia" w:ascii="仿宋" w:hAnsi="仿宋" w:eastAsia="仿宋"/>
          <w:sz w:val="32"/>
          <w:szCs w:val="32"/>
        </w:rPr>
        <w:t>、印刷费、咨询费、手续费、水费0.30</w:t>
      </w:r>
      <w:r>
        <w:rPr>
          <w:rFonts w:hint="eastAsia" w:ascii="仿宋" w:hAnsi="仿宋" w:eastAsia="仿宋"/>
          <w:sz w:val="32"/>
          <w:szCs w:val="32"/>
          <w:lang w:val="en-US" w:eastAsia="zh-CN"/>
        </w:rPr>
        <w:t>万元</w:t>
      </w:r>
      <w:r>
        <w:rPr>
          <w:rFonts w:hint="eastAsia" w:ascii="仿宋" w:hAnsi="仿宋" w:eastAsia="仿宋"/>
          <w:sz w:val="32"/>
          <w:szCs w:val="32"/>
        </w:rPr>
        <w:t>、电费1.00</w:t>
      </w:r>
      <w:r>
        <w:rPr>
          <w:rFonts w:hint="eastAsia" w:ascii="仿宋" w:hAnsi="仿宋" w:eastAsia="仿宋"/>
          <w:sz w:val="32"/>
          <w:szCs w:val="32"/>
          <w:lang w:val="en-US" w:eastAsia="zh-CN"/>
        </w:rPr>
        <w:t>万元</w:t>
      </w:r>
      <w:r>
        <w:rPr>
          <w:rFonts w:hint="eastAsia" w:ascii="仿宋" w:hAnsi="仿宋" w:eastAsia="仿宋"/>
          <w:sz w:val="32"/>
          <w:szCs w:val="32"/>
        </w:rPr>
        <w:t>、邮电费</w:t>
      </w:r>
      <w:r>
        <w:rPr>
          <w:rFonts w:hint="eastAsia" w:ascii="仿宋" w:hAnsi="仿宋" w:eastAsia="仿宋"/>
          <w:sz w:val="32"/>
          <w:szCs w:val="32"/>
          <w:lang w:val="en-US" w:eastAsia="zh-CN"/>
        </w:rPr>
        <w:t>0.60万元</w:t>
      </w:r>
      <w:r>
        <w:rPr>
          <w:rFonts w:hint="eastAsia" w:ascii="仿宋" w:hAnsi="仿宋" w:eastAsia="仿宋"/>
          <w:sz w:val="32"/>
          <w:szCs w:val="32"/>
        </w:rPr>
        <w:t>、差旅费</w:t>
      </w:r>
      <w:r>
        <w:rPr>
          <w:rFonts w:hint="eastAsia" w:ascii="仿宋" w:hAnsi="仿宋" w:eastAsia="仿宋"/>
          <w:sz w:val="32"/>
          <w:szCs w:val="32"/>
          <w:lang w:val="en-US" w:eastAsia="zh-CN"/>
        </w:rPr>
        <w:t>4</w:t>
      </w:r>
      <w:r>
        <w:rPr>
          <w:rFonts w:hint="eastAsia" w:ascii="仿宋" w:hAnsi="仿宋" w:eastAsia="仿宋"/>
          <w:sz w:val="32"/>
          <w:szCs w:val="32"/>
        </w:rPr>
        <w:t>.00</w:t>
      </w:r>
      <w:r>
        <w:rPr>
          <w:rFonts w:hint="eastAsia" w:ascii="仿宋" w:hAnsi="仿宋" w:eastAsia="仿宋"/>
          <w:sz w:val="32"/>
          <w:szCs w:val="32"/>
          <w:lang w:val="en-US" w:eastAsia="zh-CN"/>
        </w:rPr>
        <w:t>万元</w:t>
      </w:r>
      <w:r>
        <w:rPr>
          <w:rFonts w:hint="eastAsia" w:ascii="仿宋" w:hAnsi="仿宋" w:eastAsia="仿宋"/>
          <w:sz w:val="32"/>
          <w:szCs w:val="32"/>
        </w:rPr>
        <w:t>、因公出国（境）费用、维修（护）费0.30</w:t>
      </w:r>
      <w:r>
        <w:rPr>
          <w:rFonts w:hint="eastAsia" w:ascii="仿宋" w:hAnsi="仿宋" w:eastAsia="仿宋"/>
          <w:sz w:val="32"/>
          <w:szCs w:val="32"/>
          <w:lang w:val="en-US" w:eastAsia="zh-CN"/>
        </w:rPr>
        <w:t>万元</w:t>
      </w:r>
      <w:r>
        <w:rPr>
          <w:rFonts w:hint="eastAsia" w:ascii="仿宋" w:hAnsi="仿宋" w:eastAsia="仿宋"/>
          <w:sz w:val="32"/>
          <w:szCs w:val="32"/>
        </w:rPr>
        <w:t>、公务接待费</w:t>
      </w:r>
      <w:r>
        <w:rPr>
          <w:rFonts w:hint="eastAsia" w:ascii="仿宋" w:hAnsi="仿宋" w:eastAsia="仿宋"/>
          <w:sz w:val="32"/>
          <w:szCs w:val="32"/>
          <w:lang w:val="en-US" w:eastAsia="zh-CN"/>
        </w:rPr>
        <w:t>0.20万元</w:t>
      </w:r>
      <w:r>
        <w:rPr>
          <w:rFonts w:hint="eastAsia" w:ascii="仿宋" w:hAnsi="仿宋" w:eastAsia="仿宋"/>
          <w:sz w:val="32"/>
          <w:szCs w:val="32"/>
        </w:rPr>
        <w:t>、工会经费</w:t>
      </w:r>
      <w:r>
        <w:rPr>
          <w:rFonts w:hint="eastAsia" w:ascii="仿宋" w:hAnsi="仿宋" w:eastAsia="仿宋"/>
          <w:sz w:val="32"/>
          <w:szCs w:val="32"/>
          <w:lang w:val="en-US" w:eastAsia="zh-CN"/>
        </w:rPr>
        <w:t>7.54万元</w:t>
      </w:r>
      <w:r>
        <w:rPr>
          <w:rFonts w:hint="eastAsia" w:ascii="仿宋" w:hAnsi="仿宋" w:eastAsia="仿宋"/>
          <w:sz w:val="32"/>
          <w:szCs w:val="32"/>
        </w:rPr>
        <w:t>、福利费</w:t>
      </w:r>
      <w:r>
        <w:rPr>
          <w:rFonts w:hint="eastAsia" w:ascii="仿宋" w:hAnsi="仿宋" w:eastAsia="仿宋"/>
          <w:sz w:val="32"/>
          <w:szCs w:val="32"/>
          <w:lang w:val="en-US" w:eastAsia="zh-CN"/>
        </w:rPr>
        <w:t>6.89万元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9.13万元</w:t>
      </w:r>
      <w:r>
        <w:rPr>
          <w:rFonts w:hint="eastAsia" w:ascii="仿宋" w:hAnsi="仿宋" w:eastAsia="仿宋"/>
          <w:sz w:val="32"/>
          <w:szCs w:val="32"/>
        </w:rPr>
        <w:t>。</w:t>
      </w:r>
    </w:p>
    <w:p w14:paraId="640973EA">
      <w:pPr>
        <w:spacing w:line="600" w:lineRule="exact"/>
        <w:ind w:firstLine="640"/>
        <w:rPr>
          <w:rFonts w:ascii="仿宋" w:hAnsi="仿宋" w:eastAsia="仿宋"/>
          <w:b/>
          <w:sz w:val="32"/>
          <w:szCs w:val="32"/>
        </w:rPr>
      </w:pPr>
    </w:p>
    <w:p w14:paraId="3FCDE028">
      <w:pPr>
        <w:spacing w:line="600" w:lineRule="exact"/>
        <w:ind w:firstLine="640"/>
        <w:outlineLvl w:val="1"/>
        <w:rPr>
          <w:rStyle w:val="28"/>
          <w:rFonts w:ascii="黑体" w:hAnsi="黑体" w:eastAsia="黑体"/>
          <w:b w:val="0"/>
        </w:rPr>
      </w:pPr>
      <w:bookmarkStart w:id="35" w:name="_Toc15377215"/>
      <w:bookmarkStart w:id="36"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5"/>
      <w:bookmarkEnd w:id="36"/>
    </w:p>
    <w:p w14:paraId="5E055C85">
      <w:pPr>
        <w:spacing w:line="600" w:lineRule="exact"/>
        <w:ind w:firstLine="640"/>
        <w:outlineLvl w:val="2"/>
        <w:rPr>
          <w:rFonts w:ascii="仿宋" w:hAnsi="仿宋" w:eastAsia="仿宋"/>
          <w:b/>
          <w:sz w:val="32"/>
          <w:szCs w:val="32"/>
        </w:rPr>
      </w:pPr>
      <w:bookmarkStart w:id="37" w:name="_Toc15377216"/>
      <w:r>
        <w:rPr>
          <w:rFonts w:hint="eastAsia" w:ascii="仿宋" w:hAnsi="仿宋" w:eastAsia="仿宋"/>
          <w:b/>
          <w:sz w:val="32"/>
          <w:szCs w:val="32"/>
        </w:rPr>
        <w:t>（一）“三公”经费财政拨款支出决算总体情况说明</w:t>
      </w:r>
      <w:bookmarkEnd w:id="37"/>
    </w:p>
    <w:p w14:paraId="7FCF0F25">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0.6</w:t>
      </w:r>
      <w:r>
        <w:rPr>
          <w:rFonts w:hint="eastAsia" w:ascii="仿宋" w:hAnsi="仿宋" w:eastAsia="仿宋"/>
          <w:sz w:val="32"/>
          <w:szCs w:val="32"/>
        </w:rPr>
        <w:t>万元，下降</w:t>
      </w:r>
      <w:r>
        <w:rPr>
          <w:rFonts w:hint="eastAsia" w:ascii="仿宋" w:hAnsi="仿宋" w:eastAsia="仿宋"/>
          <w:sz w:val="32"/>
          <w:szCs w:val="32"/>
          <w:lang w:val="en-US" w:eastAsia="zh-CN"/>
        </w:rPr>
        <w:t>75</w:t>
      </w:r>
      <w:r>
        <w:rPr>
          <w:rFonts w:hint="eastAsia" w:ascii="仿宋" w:hAnsi="仿宋" w:eastAsia="仿宋"/>
          <w:sz w:val="32"/>
          <w:szCs w:val="32"/>
        </w:rPr>
        <w:t>%。决算数与预算数持平。</w:t>
      </w:r>
    </w:p>
    <w:p w14:paraId="0B178F08">
      <w:pPr>
        <w:spacing w:line="600" w:lineRule="exact"/>
        <w:ind w:firstLine="640"/>
        <w:outlineLvl w:val="2"/>
        <w:rPr>
          <w:rFonts w:ascii="仿宋" w:hAnsi="仿宋" w:eastAsia="仿宋"/>
          <w:b/>
          <w:sz w:val="32"/>
          <w:szCs w:val="32"/>
        </w:rPr>
      </w:pPr>
      <w:bookmarkStart w:id="38" w:name="_Toc15377217"/>
      <w:r>
        <w:rPr>
          <w:rFonts w:hint="eastAsia" w:ascii="仿宋" w:hAnsi="仿宋" w:eastAsia="仿宋"/>
          <w:b/>
          <w:sz w:val="32"/>
          <w:szCs w:val="32"/>
        </w:rPr>
        <w:t>（二）“三公”经费财政拨款支出决算具体情况说明</w:t>
      </w:r>
      <w:bookmarkEnd w:id="38"/>
    </w:p>
    <w:p w14:paraId="56ABBCB1">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62298B61">
      <w:pPr>
        <w:pStyle w:val="6"/>
        <w:rPr>
          <w:rFonts w:hint="eastAsia" w:ascii="仿宋" w:hAnsi="仿宋" w:eastAsia="仿宋"/>
          <w:b/>
          <w:color w:val="000000"/>
          <w:sz w:val="32"/>
          <w:szCs w:val="32"/>
          <w:lang w:val="en-US" w:eastAsia="zh-CN"/>
        </w:rPr>
        <w:sectPr>
          <w:footerReference r:id="rId19" w:type="default"/>
          <w:pgSz w:w="11906" w:h="16838"/>
          <w:pgMar w:top="1440" w:right="1800" w:bottom="1440" w:left="1800" w:header="851" w:footer="992" w:gutter="0"/>
          <w:pgNumType w:fmt="decimal" w:start="3"/>
          <w:cols w:space="425" w:num="1"/>
          <w:docGrid w:type="lines" w:linePitch="312" w:charSpace="0"/>
        </w:sectPr>
      </w:pPr>
    </w:p>
    <w:p w14:paraId="57AB5225">
      <w:pPr>
        <w:pStyle w:val="6"/>
        <w:rPr>
          <w:rFonts w:ascii="仿宋" w:hAnsi="仿宋" w:eastAsia="仿宋"/>
          <w:sz w:val="32"/>
          <w:szCs w:val="32"/>
        </w:rPr>
      </w:pPr>
      <w:r>
        <w:rPr>
          <w:rFonts w:hint="eastAsia" w:ascii="仿宋" w:hAnsi="仿宋" w:eastAsia="仿宋"/>
          <w:b/>
          <w:color w:val="000000"/>
          <w:sz w:val="32"/>
          <w:szCs w:val="32"/>
        </w:rPr>
        <w:pict>
          <v:shape id="对象 7" o:spid="_x0000_s1028" o:spt="75" type="#_x0000_t75" style="position:absolute;left:0pt;margin-left:7.35pt;margin-top:4.3pt;height:195pt;width:408pt;mso-wrap-distance-bottom:0pt;mso-wrap-distance-left:9pt;mso-wrap-distance-right:9pt;mso-wrap-distance-top:0pt;z-index:251662336;mso-width-relative:page;mso-height-relative:page;" o:ole="t" filled="f" o:preferrelative="t" stroked="f" coordsize="21600,21600" o:gfxdata="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">
            <v:path/>
            <v:fill on="f" focussize="0,0"/>
            <v:stroke on="f" joinstyle="miter"/>
            <v:imagedata r:id="rId40" o:title=""/>
            <o:lock v:ext="edit" aspectratio="t"/>
            <w10:wrap type="square"/>
          </v:shape>
          <o:OLEObject Type="Embed" ProgID="Excel.Sheet.8" ShapeID="对象 7" DrawAspect="Content" ObjectID="_1468075725" r:id="rId39">
            <o:LockedField>false</o:LockedField>
          </o:OLEObject>
        </w:pict>
      </w:r>
      <w:r>
        <w:rPr>
          <w:rFonts w:hint="eastAsia" w:ascii="仿宋" w:hAnsi="仿宋" w:eastAsia="仿宋"/>
          <w:b/>
          <w:color w:val="000000"/>
          <w:sz w:val="32"/>
          <w:szCs w:val="32"/>
          <w:lang w:val="en-US" w:eastAsia="zh-CN"/>
        </w:rPr>
        <w:t xml:space="preserve"> </w:t>
      </w:r>
      <w:r>
        <w:rPr>
          <w:rFonts w:hint="eastAsia" w:ascii="仿宋" w:hAnsi="仿宋" w:eastAsia="仿宋"/>
          <w:sz w:val="32"/>
          <w:szCs w:val="32"/>
        </w:rPr>
        <w:t>（图7：“三公”经费财政拨款支出结构）（饼状图）</w:t>
      </w:r>
    </w:p>
    <w:p w14:paraId="575F6020">
      <w:pPr>
        <w:spacing w:line="600" w:lineRule="exact"/>
        <w:ind w:firstLine="640"/>
        <w:rPr>
          <w:rFonts w:ascii="仿宋_GB2312" w:eastAsia="仿宋_GB2312"/>
          <w:b/>
          <w:sz w:val="32"/>
          <w:szCs w:val="32"/>
        </w:rPr>
      </w:pPr>
      <w:bookmarkStart w:id="39" w:name="_Toc15377218"/>
      <w:bookmarkStart w:id="40" w:name="_Toc15396610"/>
    </w:p>
    <w:p w14:paraId="37A84959">
      <w:pPr>
        <w:spacing w:line="600" w:lineRule="exact"/>
        <w:ind w:firstLine="640"/>
        <w:rPr>
          <w:rFonts w:hint="eastAsia" w:ascii="仿宋" w:hAnsi="仿宋" w:eastAsia="仿宋"/>
          <w:sz w:val="32"/>
          <w:szCs w:val="32"/>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 w:hAnsi="仿宋" w:eastAsia="仿宋"/>
          <w:sz w:val="32"/>
          <w:szCs w:val="32"/>
        </w:rPr>
        <w:t>因公出国（境）支出决算与202</w:t>
      </w:r>
      <w:r>
        <w:rPr>
          <w:rFonts w:hint="eastAsia" w:ascii="仿宋" w:hAnsi="仿宋" w:eastAsia="仿宋"/>
          <w:sz w:val="32"/>
          <w:szCs w:val="32"/>
          <w:lang w:val="en-US" w:eastAsia="zh-CN"/>
        </w:rPr>
        <w:t>2</w:t>
      </w:r>
      <w:r>
        <w:rPr>
          <w:rFonts w:hint="eastAsia" w:ascii="仿宋" w:hAnsi="仿宋" w:eastAsia="仿宋"/>
          <w:sz w:val="32"/>
          <w:szCs w:val="32"/>
        </w:rPr>
        <w:t>年持平。</w:t>
      </w:r>
    </w:p>
    <w:p w14:paraId="358BE140">
      <w:pPr>
        <w:spacing w:line="600" w:lineRule="exact"/>
        <w:ind w:firstLine="640"/>
        <w:rPr>
          <w:rFonts w:hint="eastAsia" w:ascii="仿宋_GB2312" w:eastAsia="仿宋"/>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 w:hAnsi="仿宋" w:eastAsia="仿宋"/>
          <w:sz w:val="32"/>
          <w:szCs w:val="32"/>
        </w:rPr>
        <w:t>公务用车购置及运行维护费支出决算与202</w:t>
      </w:r>
      <w:r>
        <w:rPr>
          <w:rFonts w:hint="eastAsia" w:ascii="仿宋" w:hAnsi="仿宋" w:eastAsia="仿宋"/>
          <w:sz w:val="32"/>
          <w:szCs w:val="32"/>
          <w:lang w:val="en-US" w:eastAsia="zh-CN"/>
        </w:rPr>
        <w:t>2</w:t>
      </w:r>
      <w:r>
        <w:rPr>
          <w:rFonts w:hint="eastAsia" w:ascii="仿宋" w:hAnsi="仿宋" w:eastAsia="仿宋"/>
          <w:sz w:val="32"/>
          <w:szCs w:val="32"/>
        </w:rPr>
        <w:t>年持平</w:t>
      </w:r>
      <w:r>
        <w:rPr>
          <w:rFonts w:hint="eastAsia" w:ascii="仿宋" w:hAnsi="仿宋" w:eastAsia="仿宋"/>
          <w:sz w:val="32"/>
          <w:szCs w:val="32"/>
          <w:lang w:eastAsia="zh-CN"/>
        </w:rPr>
        <w:t>。</w:t>
      </w:r>
    </w:p>
    <w:p w14:paraId="111344FB">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0D844EB1">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28526C3">
      <w:pPr>
        <w:spacing w:line="600" w:lineRule="exact"/>
        <w:ind w:firstLine="640"/>
        <w:rPr>
          <w:rFonts w:hint="eastAsia" w:ascii="仿宋_GB2312" w:eastAsia="仿宋_GB2312"/>
          <w:color w:val="auto"/>
          <w:sz w:val="32"/>
          <w:szCs w:val="32"/>
          <w:highlight w:val="none"/>
        </w:rPr>
        <w:sectPr>
          <w:footerReference r:id="rId20" w:type="default"/>
          <w:pgSz w:w="11906" w:h="16838"/>
          <w:pgMar w:top="1440" w:right="1800" w:bottom="1440" w:left="1800" w:header="851" w:footer="992" w:gutter="0"/>
          <w:pgNumType w:fmt="decimal" w:start="3"/>
          <w:cols w:space="425" w:num="1"/>
          <w:docGrid w:type="lines" w:linePitch="312" w:charSpace="0"/>
        </w:sect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val="en-US" w:eastAsia="zh-CN"/>
        </w:rPr>
        <w:t>减少了公务接待</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rPr>
        <w:t>其中：</w:t>
      </w:r>
      <w:r>
        <w:rPr>
          <w:rFonts w:hint="eastAsia" w:ascii="仿宋_GB2312" w:eastAsia="仿宋_GB2312"/>
          <w:color w:val="auto"/>
          <w:sz w:val="32"/>
          <w:szCs w:val="32"/>
          <w:highlight w:val="none"/>
          <w:lang w:val="en-US" w:eastAsia="zh-CN"/>
        </w:rPr>
        <w:t>国内公务接待支出</w:t>
      </w:r>
      <w:r>
        <w:rPr>
          <w:rFonts w:hint="eastAsia" w:ascii="仿宋" w:hAnsi="仿宋" w:eastAsia="仿宋"/>
          <w:color w:val="auto"/>
          <w:sz w:val="32"/>
          <w:szCs w:val="32"/>
          <w:highlight w:val="none"/>
          <w:lang w:val="en-US" w:eastAsia="zh-CN"/>
        </w:rPr>
        <w:t>0.2</w:t>
      </w:r>
      <w:r>
        <w:rPr>
          <w:rFonts w:hint="eastAsia" w:ascii="仿宋_GB2312" w:eastAsia="仿宋_GB2312"/>
          <w:color w:val="auto"/>
          <w:sz w:val="32"/>
          <w:szCs w:val="32"/>
          <w:highlight w:val="none"/>
        </w:rPr>
        <w:t>万元，主要</w:t>
      </w:r>
    </w:p>
    <w:p w14:paraId="5F562459">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用于执行公务、开展业务活动开支的交通费、住宿费、用餐费等。国内公务接待批次</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80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万元，</w:t>
      </w:r>
    </w:p>
    <w:p w14:paraId="1E809D2E">
      <w:pPr>
        <w:spacing w:line="600" w:lineRule="exact"/>
        <w:ind w:firstLine="640"/>
        <w:outlineLvl w:val="1"/>
        <w:rPr>
          <w:rFonts w:ascii="黑体" w:eastAsia="黑体"/>
          <w:sz w:val="32"/>
          <w:szCs w:val="32"/>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FA06221">
      <w:pPr>
        <w:spacing w:line="600" w:lineRule="exact"/>
        <w:ind w:firstLine="640"/>
        <w:outlineLvl w:val="1"/>
        <w:rPr>
          <w:rFonts w:hint="eastAsia" w:ascii="黑体" w:eastAsia="黑体"/>
          <w:sz w:val="32"/>
          <w:szCs w:val="32"/>
        </w:rPr>
      </w:pPr>
    </w:p>
    <w:p w14:paraId="04F37817">
      <w:pPr>
        <w:spacing w:line="600" w:lineRule="exact"/>
        <w:ind w:firstLine="640"/>
        <w:outlineLvl w:val="1"/>
        <w:rPr>
          <w:rFonts w:hint="eastAsia" w:ascii="黑体" w:eastAsia="黑体"/>
          <w:sz w:val="32"/>
          <w:szCs w:val="32"/>
        </w:rPr>
      </w:pPr>
    </w:p>
    <w:p w14:paraId="19DC6E0B">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9"/>
      <w:bookmarkEnd w:id="40"/>
    </w:p>
    <w:p w14:paraId="7DFE84B2">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6F17CEA">
      <w:pPr>
        <w:spacing w:line="600" w:lineRule="exact"/>
        <w:ind w:firstLine="640"/>
        <w:rPr>
          <w:rFonts w:ascii="仿宋_GB2312" w:eastAsia="仿宋_GB2312"/>
          <w:sz w:val="32"/>
          <w:szCs w:val="32"/>
        </w:rPr>
      </w:pPr>
    </w:p>
    <w:p w14:paraId="307DD6EC">
      <w:pPr>
        <w:numPr>
          <w:ilvl w:val="0"/>
          <w:numId w:val="4"/>
        </w:numPr>
        <w:spacing w:line="600" w:lineRule="exact"/>
        <w:ind w:firstLine="640"/>
        <w:outlineLvl w:val="1"/>
        <w:rPr>
          <w:rStyle w:val="28"/>
          <w:rFonts w:ascii="黑体" w:hAnsi="黑体" w:eastAsia="黑体"/>
          <w:b w:val="0"/>
        </w:rPr>
      </w:pPr>
      <w:bookmarkStart w:id="41" w:name="_Toc15396611"/>
      <w:bookmarkStart w:id="42" w:name="_Toc15377219"/>
      <w:r>
        <w:rPr>
          <w:rStyle w:val="28"/>
          <w:rFonts w:hint="eastAsia" w:ascii="黑体" w:hAnsi="黑体" w:eastAsia="黑体"/>
          <w:b w:val="0"/>
        </w:rPr>
        <w:t>国有资本经营预算支出决算情况说明</w:t>
      </w:r>
      <w:bookmarkEnd w:id="41"/>
      <w:bookmarkEnd w:id="42"/>
    </w:p>
    <w:p w14:paraId="2C9B5465">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882B2D4">
      <w:pPr>
        <w:spacing w:line="580" w:lineRule="exact"/>
        <w:jc w:val="center"/>
        <w:rPr>
          <w:rFonts w:ascii="方正小标宋简体" w:hAnsi="方正小标宋简体" w:eastAsia="方正小标宋简体" w:cs="方正小标宋简体"/>
          <w:sz w:val="44"/>
          <w:szCs w:val="44"/>
        </w:rPr>
      </w:pPr>
    </w:p>
    <w:p w14:paraId="132B7E23">
      <w:pPr>
        <w:numPr>
          <w:ilvl w:val="0"/>
          <w:numId w:val="4"/>
        </w:numPr>
        <w:spacing w:line="600" w:lineRule="exact"/>
        <w:ind w:firstLine="640"/>
        <w:outlineLvl w:val="1"/>
        <w:rPr>
          <w:rStyle w:val="28"/>
          <w:rFonts w:ascii="黑体" w:hAnsi="黑体" w:eastAsia="黑体"/>
          <w:b w:val="0"/>
        </w:rPr>
      </w:pPr>
      <w:bookmarkStart w:id="43" w:name="_Toc15377221"/>
      <w:bookmarkStart w:id="44" w:name="_Toc15396612"/>
      <w:r>
        <w:rPr>
          <w:rStyle w:val="28"/>
          <w:rFonts w:hint="eastAsia" w:ascii="黑体" w:hAnsi="黑体" w:eastAsia="黑体"/>
          <w:b w:val="0"/>
        </w:rPr>
        <w:t>其他重要事项的情况说明</w:t>
      </w:r>
      <w:bookmarkEnd w:id="43"/>
      <w:bookmarkEnd w:id="44"/>
    </w:p>
    <w:p w14:paraId="7062887C">
      <w:pPr>
        <w:spacing w:line="600" w:lineRule="exact"/>
        <w:ind w:firstLine="643" w:firstLineChars="200"/>
        <w:outlineLvl w:val="2"/>
        <w:rPr>
          <w:rFonts w:ascii="仿宋" w:hAnsi="仿宋" w:eastAsia="仿宋"/>
          <w:sz w:val="32"/>
          <w:szCs w:val="32"/>
        </w:rPr>
      </w:pPr>
      <w:bookmarkStart w:id="45" w:name="_Toc15377222"/>
      <w:r>
        <w:rPr>
          <w:rFonts w:hint="eastAsia" w:ascii="仿宋" w:hAnsi="仿宋" w:eastAsia="仿宋"/>
          <w:b/>
          <w:sz w:val="32"/>
          <w:szCs w:val="32"/>
        </w:rPr>
        <w:t>（一）机关运行经费支出情况</w:t>
      </w:r>
      <w:bookmarkEnd w:id="45"/>
    </w:p>
    <w:p w14:paraId="6FDED569">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大竹县教育服务中心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万元，与2022年度决算数持平</w:t>
      </w:r>
    </w:p>
    <w:p w14:paraId="2A4CD7C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3"/>
      <w:r>
        <w:rPr>
          <w:rFonts w:hint="eastAsia" w:ascii="仿宋" w:hAnsi="仿宋" w:eastAsia="仿宋"/>
          <w:b/>
          <w:sz w:val="32"/>
          <w:szCs w:val="32"/>
        </w:rPr>
        <w:t>（二）政府采购支出情况</w:t>
      </w:r>
      <w:bookmarkEnd w:id="46"/>
    </w:p>
    <w:p w14:paraId="126EC87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大竹县教育服务中心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w:t>
      </w:r>
    </w:p>
    <w:p w14:paraId="05476BA1">
      <w:pPr>
        <w:pStyle w:val="6"/>
        <w:rPr>
          <w:rFonts w:hint="eastAsia"/>
        </w:rPr>
        <w:sectPr>
          <w:headerReference r:id="rId21" w:type="default"/>
          <w:footerReference r:id="rId22" w:type="default"/>
          <w:pgSz w:w="11906" w:h="16838"/>
          <w:pgMar w:top="1440" w:right="1800" w:bottom="1440" w:left="1800" w:header="851" w:footer="992" w:gutter="0"/>
          <w:pgNumType w:fmt="decimal" w:start="3"/>
          <w:cols w:space="425" w:num="1"/>
          <w:docGrid w:type="lines" w:linePitch="312" w:charSpace="0"/>
        </w:sectPr>
      </w:pPr>
    </w:p>
    <w:p w14:paraId="51663B66">
      <w:pPr>
        <w:spacing w:line="600" w:lineRule="exact"/>
        <w:ind w:firstLine="640" w:firstLineChars="200"/>
        <w:rPr>
          <w:rFonts w:ascii="仿宋_GB2312" w:eastAsia="仿宋_GB2312"/>
          <w:sz w:val="32"/>
          <w:szCs w:val="32"/>
        </w:rPr>
      </w:pPr>
      <w:r>
        <w:rPr>
          <w:rFonts w:hint="eastAsia" w:ascii="仿宋_GB2312" w:eastAsia="仿宋_GB2312"/>
          <w:sz w:val="32"/>
          <w:szCs w:val="32"/>
        </w:rPr>
        <w:t>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FDE3AD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4"/>
      <w:r>
        <w:rPr>
          <w:rFonts w:hint="eastAsia" w:ascii="仿宋" w:hAnsi="仿宋" w:eastAsia="仿宋"/>
          <w:b/>
          <w:sz w:val="32"/>
          <w:szCs w:val="32"/>
        </w:rPr>
        <w:t>（三）国有资产占有使用情况</w:t>
      </w:r>
      <w:bookmarkEnd w:id="47"/>
    </w:p>
    <w:p w14:paraId="12648319">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大竹县教育服务中心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37C380E0">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524B902">
      <w:pPr>
        <w:pStyle w:val="6"/>
        <w:rPr>
          <w:rFonts w:hint="eastAsia" w:ascii="仿宋_GB2312" w:eastAsia="仿宋_GB2312"/>
          <w:sz w:val="32"/>
          <w:szCs w:val="32"/>
        </w:rPr>
        <w:sectPr>
          <w:headerReference r:id="rId23" w:type="default"/>
          <w:footerReference r:id="rId24" w:type="default"/>
          <w:pgSz w:w="11906" w:h="16838"/>
          <w:pgMar w:top="1440" w:right="1800" w:bottom="1440" w:left="1800" w:header="851" w:footer="992" w:gutter="0"/>
          <w:pgNumType w:fmt="decimal" w:start="3"/>
          <w:cols w:space="425" w:num="1"/>
          <w:docGrid w:type="lines" w:linePitch="312" w:charSpace="0"/>
        </w:sect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项目（项目名称）等</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0</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0</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0</w:t>
      </w:r>
      <w:r>
        <w:rPr>
          <w:rFonts w:hint="eastAsia" w:ascii="仿宋_GB2312" w:eastAsia="仿宋_GB2312"/>
          <w:sz w:val="32"/>
          <w:szCs w:val="32"/>
        </w:rPr>
        <w:t>个项目开展绩效自评，绩效自评表详见第四部分附件。</w:t>
      </w:r>
    </w:p>
    <w:p w14:paraId="71D1C13E">
      <w:pPr>
        <w:numPr>
          <w:ilvl w:val="0"/>
          <w:numId w:val="5"/>
        </w:numPr>
        <w:spacing w:line="600" w:lineRule="exact"/>
        <w:ind w:firstLine="660" w:firstLineChars="150"/>
        <w:jc w:val="center"/>
        <w:outlineLvl w:val="0"/>
        <w:rPr>
          <w:rStyle w:val="33"/>
          <w:rFonts w:ascii="黑体" w:hAnsi="黑体" w:eastAsia="黑体"/>
          <w:b w:val="0"/>
          <w:color w:val="auto"/>
          <w:highlight w:val="none"/>
        </w:rPr>
      </w:pPr>
      <w:bookmarkStart w:id="48" w:name="_Toc15396613"/>
      <w:bookmarkStart w:id="49" w:name="_Toc15377225"/>
      <w:r>
        <w:rPr>
          <w:rFonts w:hint="eastAsia" w:ascii="黑体" w:hAnsi="黑体" w:eastAsia="黑体"/>
          <w:color w:val="auto"/>
          <w:sz w:val="44"/>
          <w:szCs w:val="44"/>
          <w:highlight w:val="none"/>
        </w:rPr>
        <w:t>名</w:t>
      </w:r>
      <w:r>
        <w:rPr>
          <w:rStyle w:val="33"/>
          <w:rFonts w:hint="eastAsia" w:ascii="黑体" w:hAnsi="黑体" w:eastAsia="黑体"/>
          <w:b w:val="0"/>
          <w:color w:val="auto"/>
          <w:highlight w:val="none"/>
        </w:rPr>
        <w:t>词解释</w:t>
      </w:r>
      <w:bookmarkEnd w:id="48"/>
      <w:bookmarkEnd w:id="49"/>
    </w:p>
    <w:p w14:paraId="4CAA3121">
      <w:pPr>
        <w:spacing w:line="600" w:lineRule="exact"/>
        <w:jc w:val="left"/>
        <w:rPr>
          <w:rFonts w:ascii="宋体"/>
          <w:b/>
          <w:color w:val="auto"/>
          <w:sz w:val="44"/>
          <w:szCs w:val="44"/>
          <w:highlight w:val="none"/>
        </w:rPr>
      </w:pPr>
    </w:p>
    <w:p w14:paraId="25978464">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1.财政拨款收入：指单位从同级财政部门取得的财政预算资金。</w:t>
      </w:r>
    </w:p>
    <w:p w14:paraId="0BFEF162">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2.其他收入：指单位取得的除“财政拨款收入”、“事业收入”、“经营收入”等收入以外的各项收入。</w:t>
      </w:r>
    </w:p>
    <w:p w14:paraId="13F60DE5">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 xml:space="preserve">3.年初结转和结余：指以前年度尚未完成、结转到本年按有关规定继续使用的资金。 </w:t>
      </w:r>
    </w:p>
    <w:p w14:paraId="68201A2F">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4.年末结转和结余：指单位按有关规定结转到下年或以后年度继续使用的资金。</w:t>
      </w:r>
    </w:p>
    <w:p w14:paraId="677EE2EB">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 xml:space="preserve">5.教育支出（205类）其他教育支出（99款）其他教育支出（99项）：指其他教育方面的支出。 </w:t>
      </w:r>
    </w:p>
    <w:p w14:paraId="155822B6">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6.社会保障和就业支出（208类）行政事业单位离退休（05款）事业单位离退休（02项）：指单位离退休职工目标奖支出。</w:t>
      </w:r>
    </w:p>
    <w:p w14:paraId="51BE727C">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7.社会保障和就业支出（208类）行政事业单位离退休（05款）机关事业单位基本养老保险缴费支出（05项）：指单位缴纳职工养老保险费支出。</w:t>
      </w:r>
    </w:p>
    <w:p w14:paraId="7C55FBBA">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8.社会保障和就业（208）行政事业单位离退休（05） 机关事业单位职业年金缴费支出（06）：指单位缴纳职工职业年金支出。</w:t>
      </w:r>
    </w:p>
    <w:p w14:paraId="24D1C2B1">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9、卫生健康（210）行政事业单位医疗（11）事业单位医疗（02）：指单位缴纳职工医疗保险支出。</w:t>
      </w:r>
    </w:p>
    <w:p w14:paraId="2B463DDC">
      <w:pPr>
        <w:pStyle w:val="25"/>
        <w:spacing w:line="560" w:lineRule="exact"/>
        <w:ind w:firstLine="640" w:firstLineChars="200"/>
        <w:rPr>
          <w:rFonts w:hint="eastAsia" w:hAnsi="仿宋" w:cs="Times New Roman"/>
          <w:kern w:val="2"/>
          <w:sz w:val="32"/>
          <w:szCs w:val="32"/>
        </w:rPr>
        <w:sectPr>
          <w:footerReference r:id="rId26" w:type="first"/>
          <w:footerReference r:id="rId25" w:type="default"/>
          <w:pgSz w:w="11906" w:h="16838"/>
          <w:pgMar w:top="1440" w:right="1800" w:bottom="1440" w:left="1800" w:header="851" w:footer="992" w:gutter="0"/>
          <w:pgNumType w:start="1"/>
          <w:cols w:space="425" w:num="1"/>
          <w:titlePg/>
          <w:docGrid w:type="lines" w:linePitch="312" w:charSpace="0"/>
        </w:sectPr>
      </w:pPr>
      <w:r>
        <w:rPr>
          <w:rFonts w:hint="eastAsia" w:hAnsi="仿宋" w:cs="Times New Roman"/>
          <w:kern w:val="2"/>
          <w:sz w:val="32"/>
          <w:szCs w:val="32"/>
        </w:rPr>
        <w:t>10、卫生健康（210）行政事业单位医疗（11）其他行</w:t>
      </w:r>
    </w:p>
    <w:p w14:paraId="6ABEFD29">
      <w:pPr>
        <w:pStyle w:val="25"/>
        <w:spacing w:line="560" w:lineRule="exact"/>
        <w:ind w:firstLine="640" w:firstLineChars="200"/>
        <w:rPr>
          <w:rFonts w:hint="eastAsia" w:hAnsi="仿宋" w:cs="Times New Roman"/>
          <w:kern w:val="2"/>
          <w:sz w:val="32"/>
          <w:szCs w:val="32"/>
        </w:rPr>
      </w:pPr>
      <w:r>
        <w:rPr>
          <w:rFonts w:hint="eastAsia" w:hAnsi="仿宋" w:cs="Times New Roman"/>
          <w:kern w:val="2"/>
          <w:sz w:val="32"/>
          <w:szCs w:val="32"/>
        </w:rPr>
        <w:t>政事业单位医疗支出（99）：指单位缴纳职工补充医疗保险。</w:t>
      </w:r>
    </w:p>
    <w:p w14:paraId="593366C0">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11.住房保障支出（221类）住房改革支出（02款）住房公积金（01项）：指单位缴纳职工住房公积金支出。</w:t>
      </w:r>
    </w:p>
    <w:p w14:paraId="0A655394">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12.基本支出：指为保障机构正常运转、完成日常工作任务而发生的人员支出和公用支出。。</w:t>
      </w:r>
    </w:p>
    <w:p w14:paraId="360C0967">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13.项目支出：指在基本支出之外为完成特定行政任务和事业发展目标所发生的支出。</w:t>
      </w:r>
    </w:p>
    <w:p w14:paraId="3B45D973">
      <w:pPr>
        <w:ind w:firstLine="640" w:firstLineChars="200"/>
        <w:rPr>
          <w:rFonts w:hint="eastAsia" w:ascii="宋体" w:eastAsia="仿宋"/>
          <w:b/>
          <w:color w:val="auto"/>
          <w:sz w:val="44"/>
          <w:szCs w:val="44"/>
          <w:highlight w:val="none"/>
          <w:lang w:eastAsia="zh-CN"/>
        </w:rPr>
        <w:sectPr>
          <w:footerReference r:id="rId28" w:type="first"/>
          <w:footerReference r:id="rId27"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olor w:val="000000"/>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olor w:val="000000"/>
          <w:sz w:val="32"/>
          <w:szCs w:val="32"/>
          <w:lang w:eastAsia="zh-CN"/>
        </w:rPr>
        <w:t>。</w:t>
      </w:r>
    </w:p>
    <w:p w14:paraId="73137039">
      <w:pPr>
        <w:numPr>
          <w:ilvl w:val="0"/>
          <w:numId w:val="0"/>
        </w:numPr>
        <w:spacing w:line="600" w:lineRule="exact"/>
        <w:jc w:val="both"/>
        <w:outlineLvl w:val="0"/>
        <w:rPr>
          <w:rFonts w:hint="eastAsia" w:ascii="黑体" w:hAnsi="黑体" w:eastAsia="黑体"/>
          <w:color w:val="auto"/>
          <w:sz w:val="44"/>
          <w:szCs w:val="44"/>
          <w:highlight w:val="none"/>
          <w:lang w:val="en-US" w:eastAsia="zh-CN"/>
        </w:rPr>
      </w:pPr>
      <w:r>
        <w:rPr>
          <w:rFonts w:hint="eastAsia" w:ascii="黑体" w:hAnsi="黑体" w:eastAsia="黑体"/>
          <w:color w:val="auto"/>
          <w:sz w:val="44"/>
          <w:szCs w:val="44"/>
          <w:highlight w:val="none"/>
          <w:lang w:val="en-US" w:eastAsia="zh-CN"/>
        </w:rPr>
        <w:t>附件</w:t>
      </w:r>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983"/>
        <w:gridCol w:w="1530"/>
        <w:gridCol w:w="2895"/>
        <w:gridCol w:w="810"/>
        <w:gridCol w:w="840"/>
        <w:gridCol w:w="795"/>
        <w:gridCol w:w="645"/>
        <w:gridCol w:w="753"/>
      </w:tblGrid>
      <w:tr w14:paraId="4210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14:paraId="6E2CBA9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3582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4DDF70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3A25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2B5287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4EF4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611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AF0D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大竹县教育服务中心</w:t>
            </w:r>
          </w:p>
        </w:tc>
      </w:tr>
      <w:tr w14:paraId="0061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04B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114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87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30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3C35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6D92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019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BC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360.35</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39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360.35</w:t>
            </w:r>
          </w:p>
        </w:tc>
        <w:tc>
          <w:tcPr>
            <w:tcW w:w="30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798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r>
      <w:tr w14:paraId="64BE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7A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64558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55DC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1、完成教育服务市场规范和管理工作，建立并完善了教育服务市场体系。</w:t>
            </w:r>
          </w:p>
          <w:p w14:paraId="4FF340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2、强化了学校后勤服务规范管理，确保学校后勤的安全与稳定。</w:t>
            </w:r>
          </w:p>
        </w:tc>
      </w:tr>
      <w:tr w14:paraId="4134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B38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21C61A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EF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8CB5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2D70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2665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9157">
            <w:pPr>
              <w:keepNext w:val="0"/>
              <w:keepLines w:val="0"/>
              <w:pageBreakBefore w:val="0"/>
              <w:widowControl/>
              <w:suppressLineNumbers w:val="0"/>
              <w:tabs>
                <w:tab w:val="center" w:pos="1295"/>
              </w:tab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后勤服务规范管理</w:t>
            </w:r>
          </w:p>
        </w:tc>
        <w:tc>
          <w:tcPr>
            <w:tcW w:w="6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32AF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加强学校后勤服务规范管理，确保学校后勤的安全与稳定。</w:t>
            </w:r>
          </w:p>
        </w:tc>
      </w:tr>
      <w:tr w14:paraId="7029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F4D7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383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教育市场体系规范和管理</w:t>
            </w:r>
          </w:p>
        </w:tc>
        <w:tc>
          <w:tcPr>
            <w:tcW w:w="6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02664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做好教育市场规范和管理工作，围绕服务教育教学和师生生活建立和发展教育市场体系。</w:t>
            </w:r>
          </w:p>
        </w:tc>
      </w:tr>
      <w:tr w14:paraId="7F45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E00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33CCB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983" w:type="dxa"/>
            <w:tcBorders>
              <w:top w:val="single" w:color="000000" w:sz="4" w:space="0"/>
              <w:left w:val="single" w:color="000000" w:sz="4" w:space="0"/>
              <w:bottom w:val="single" w:color="auto" w:sz="4" w:space="0"/>
              <w:right w:val="single" w:color="000000" w:sz="4" w:space="0"/>
            </w:tcBorders>
            <w:shd w:val="clear" w:color="auto" w:fill="auto"/>
            <w:vAlign w:val="center"/>
          </w:tcPr>
          <w:p w14:paraId="23B13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6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0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DA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2B0496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3D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1E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645" w:type="dxa"/>
            <w:tcBorders>
              <w:top w:val="single" w:color="000000" w:sz="4" w:space="0"/>
              <w:left w:val="single" w:color="000000" w:sz="4" w:space="0"/>
              <w:bottom w:val="single" w:color="000000" w:sz="4" w:space="0"/>
            </w:tcBorders>
            <w:shd w:val="clear" w:color="auto" w:fill="auto"/>
            <w:vAlign w:val="center"/>
          </w:tcPr>
          <w:p w14:paraId="44CF2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F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1C620D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0B18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FD2DEF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0695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530" w:type="dxa"/>
            <w:tcBorders>
              <w:top w:val="single" w:color="000000" w:sz="4" w:space="0"/>
              <w:left w:val="single" w:color="auto" w:sz="4" w:space="0"/>
              <w:bottom w:val="single" w:color="auto" w:sz="4" w:space="0"/>
              <w:right w:val="single" w:color="000000" w:sz="4" w:space="0"/>
            </w:tcBorders>
            <w:shd w:val="clear" w:color="auto" w:fill="auto"/>
            <w:vAlign w:val="center"/>
          </w:tcPr>
          <w:p w14:paraId="58F189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14:paraId="6C0AE4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督查指导次数（每月每所学校）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9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3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8F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15</w:t>
            </w:r>
          </w:p>
        </w:tc>
        <w:tc>
          <w:tcPr>
            <w:tcW w:w="753" w:type="dxa"/>
            <w:tcBorders>
              <w:left w:val="single" w:color="000000" w:sz="4" w:space="0"/>
              <w:bottom w:val="single" w:color="000000" w:sz="4" w:space="0"/>
              <w:right w:val="single" w:color="000000" w:sz="4" w:space="0"/>
            </w:tcBorders>
            <w:shd w:val="clear" w:color="auto" w:fill="auto"/>
            <w:vAlign w:val="center"/>
          </w:tcPr>
          <w:p w14:paraId="4C1AB4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100</w:t>
            </w:r>
          </w:p>
        </w:tc>
      </w:tr>
      <w:tr w14:paraId="4EC0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DD8325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07A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530" w:type="dxa"/>
            <w:tcBorders>
              <w:top w:val="single" w:color="auto" w:sz="4" w:space="0"/>
              <w:left w:val="single" w:color="auto" w:sz="4" w:space="0"/>
              <w:right w:val="single" w:color="000000" w:sz="4" w:space="0"/>
            </w:tcBorders>
            <w:shd w:val="clear" w:color="auto" w:fill="auto"/>
            <w:vAlign w:val="center"/>
          </w:tcPr>
          <w:p w14:paraId="2948136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2895" w:type="dxa"/>
            <w:tcBorders>
              <w:top w:val="single" w:color="auto" w:sz="4" w:space="0"/>
              <w:left w:val="single" w:color="000000" w:sz="4" w:space="0"/>
              <w:right w:val="single" w:color="000000" w:sz="4" w:space="0"/>
            </w:tcBorders>
            <w:shd w:val="clear" w:color="auto" w:fill="auto"/>
            <w:vAlign w:val="center"/>
          </w:tcPr>
          <w:p w14:paraId="6E71F01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督查指导覆盖率</w:t>
            </w:r>
          </w:p>
        </w:tc>
        <w:tc>
          <w:tcPr>
            <w:tcW w:w="810" w:type="dxa"/>
            <w:tcBorders>
              <w:top w:val="single" w:color="000000" w:sz="4" w:space="0"/>
              <w:left w:val="single" w:color="000000" w:sz="4" w:space="0"/>
              <w:right w:val="single" w:color="000000" w:sz="4" w:space="0"/>
            </w:tcBorders>
            <w:shd w:val="clear" w:color="auto" w:fill="auto"/>
            <w:vAlign w:val="center"/>
          </w:tcPr>
          <w:p w14:paraId="793174F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840" w:type="dxa"/>
            <w:tcBorders>
              <w:top w:val="single" w:color="000000" w:sz="4" w:space="0"/>
              <w:left w:val="single" w:color="000000" w:sz="4" w:space="0"/>
              <w:right w:val="single" w:color="000000" w:sz="4" w:space="0"/>
            </w:tcBorders>
            <w:shd w:val="clear" w:color="auto" w:fill="auto"/>
            <w:vAlign w:val="center"/>
          </w:tcPr>
          <w:p w14:paraId="2FA3442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c>
          <w:tcPr>
            <w:tcW w:w="795" w:type="dxa"/>
            <w:tcBorders>
              <w:top w:val="single" w:color="000000" w:sz="4" w:space="0"/>
              <w:left w:val="single" w:color="000000" w:sz="4" w:space="0"/>
              <w:right w:val="single" w:color="000000" w:sz="4" w:space="0"/>
            </w:tcBorders>
            <w:shd w:val="clear" w:color="auto" w:fill="auto"/>
            <w:vAlign w:val="center"/>
          </w:tcPr>
          <w:p w14:paraId="0797C19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645" w:type="dxa"/>
            <w:tcBorders>
              <w:top w:val="single" w:color="000000" w:sz="4" w:space="0"/>
              <w:left w:val="single" w:color="000000" w:sz="4" w:space="0"/>
              <w:right w:val="single" w:color="000000" w:sz="4" w:space="0"/>
            </w:tcBorders>
            <w:shd w:val="clear" w:color="auto" w:fill="auto"/>
            <w:vAlign w:val="center"/>
          </w:tcPr>
          <w:p w14:paraId="30FF60E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8B1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7DC9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73C114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3E6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530" w:type="dxa"/>
            <w:tcBorders>
              <w:top w:val="single" w:color="000000" w:sz="4" w:space="0"/>
              <w:left w:val="single" w:color="auto" w:sz="4" w:space="0"/>
              <w:right w:val="single" w:color="000000" w:sz="4" w:space="0"/>
            </w:tcBorders>
            <w:shd w:val="clear" w:color="auto" w:fill="auto"/>
            <w:vAlign w:val="center"/>
          </w:tcPr>
          <w:p w14:paraId="726B65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时效指标</w:t>
            </w:r>
          </w:p>
          <w:p w14:paraId="4A6193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2895" w:type="dxa"/>
            <w:tcBorders>
              <w:top w:val="single" w:color="000000" w:sz="4" w:space="0"/>
              <w:left w:val="single" w:color="000000" w:sz="4" w:space="0"/>
              <w:right w:val="single" w:color="000000" w:sz="4" w:space="0"/>
            </w:tcBorders>
            <w:shd w:val="clear" w:color="auto" w:fill="auto"/>
            <w:vAlign w:val="center"/>
          </w:tcPr>
          <w:p w14:paraId="2A4EBBE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督查指导按时完成率</w:t>
            </w:r>
          </w:p>
        </w:tc>
        <w:tc>
          <w:tcPr>
            <w:tcW w:w="810" w:type="dxa"/>
            <w:tcBorders>
              <w:top w:val="single" w:color="000000" w:sz="4" w:space="0"/>
              <w:left w:val="single" w:color="000000" w:sz="4" w:space="0"/>
              <w:right w:val="single" w:color="000000" w:sz="4" w:space="0"/>
            </w:tcBorders>
            <w:shd w:val="clear" w:color="auto" w:fill="auto"/>
            <w:vAlign w:val="center"/>
          </w:tcPr>
          <w:p w14:paraId="155EDB0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840" w:type="dxa"/>
            <w:tcBorders>
              <w:top w:val="single" w:color="000000" w:sz="4" w:space="0"/>
              <w:left w:val="single" w:color="000000" w:sz="4" w:space="0"/>
              <w:right w:val="single" w:color="000000" w:sz="4" w:space="0"/>
            </w:tcBorders>
            <w:shd w:val="clear" w:color="auto" w:fill="auto"/>
            <w:vAlign w:val="center"/>
          </w:tcPr>
          <w:p w14:paraId="348DBEF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c>
          <w:tcPr>
            <w:tcW w:w="795" w:type="dxa"/>
            <w:tcBorders>
              <w:top w:val="single" w:color="000000" w:sz="4" w:space="0"/>
              <w:left w:val="single" w:color="000000" w:sz="4" w:space="0"/>
              <w:right w:val="single" w:color="000000" w:sz="4" w:space="0"/>
            </w:tcBorders>
            <w:shd w:val="clear" w:color="auto" w:fill="auto"/>
            <w:vAlign w:val="center"/>
          </w:tcPr>
          <w:p w14:paraId="77AF0DC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645" w:type="dxa"/>
            <w:tcBorders>
              <w:top w:val="single" w:color="000000" w:sz="4" w:space="0"/>
              <w:left w:val="single" w:color="000000" w:sz="4" w:space="0"/>
              <w:right w:val="single" w:color="000000" w:sz="4" w:space="0"/>
            </w:tcBorders>
            <w:shd w:val="clear" w:color="auto" w:fill="auto"/>
            <w:vAlign w:val="center"/>
          </w:tcPr>
          <w:p w14:paraId="1479B89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55B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3DA7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C444EB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83" w:type="dxa"/>
            <w:vMerge w:val="restart"/>
            <w:tcBorders>
              <w:top w:val="single" w:color="auto" w:sz="4" w:space="0"/>
              <w:left w:val="single" w:color="auto" w:sz="4" w:space="0"/>
              <w:right w:val="single" w:color="auto" w:sz="4" w:space="0"/>
            </w:tcBorders>
            <w:shd w:val="clear" w:color="auto" w:fill="auto"/>
            <w:vAlign w:val="center"/>
          </w:tcPr>
          <w:p w14:paraId="78892EE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530" w:type="dxa"/>
            <w:tcBorders>
              <w:top w:val="single" w:color="auto" w:sz="4" w:space="0"/>
              <w:left w:val="single" w:color="auto" w:sz="4" w:space="0"/>
              <w:bottom w:val="single" w:color="auto" w:sz="4" w:space="0"/>
              <w:right w:val="single" w:color="000000" w:sz="4" w:space="0"/>
            </w:tcBorders>
            <w:shd w:val="clear" w:color="auto" w:fill="auto"/>
            <w:vAlign w:val="center"/>
          </w:tcPr>
          <w:p w14:paraId="79BD7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社会效益指标</w:t>
            </w:r>
          </w:p>
        </w:tc>
        <w:tc>
          <w:tcPr>
            <w:tcW w:w="2895" w:type="dxa"/>
            <w:tcBorders>
              <w:top w:val="single" w:color="000000" w:sz="4" w:space="0"/>
              <w:left w:val="single" w:color="000000" w:sz="4" w:space="0"/>
              <w:right w:val="single" w:color="000000" w:sz="4" w:space="0"/>
            </w:tcBorders>
            <w:shd w:val="clear" w:color="auto" w:fill="auto"/>
            <w:vAlign w:val="center"/>
          </w:tcPr>
          <w:p w14:paraId="008324B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督查指导结果公开率</w:t>
            </w:r>
          </w:p>
        </w:tc>
        <w:tc>
          <w:tcPr>
            <w:tcW w:w="810" w:type="dxa"/>
            <w:tcBorders>
              <w:top w:val="single" w:color="000000" w:sz="4" w:space="0"/>
              <w:left w:val="single" w:color="000000" w:sz="4" w:space="0"/>
              <w:right w:val="single" w:color="000000" w:sz="4" w:space="0"/>
            </w:tcBorders>
            <w:shd w:val="clear" w:color="auto" w:fill="auto"/>
            <w:vAlign w:val="center"/>
          </w:tcPr>
          <w:p w14:paraId="2170763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840" w:type="dxa"/>
            <w:tcBorders>
              <w:top w:val="single" w:color="000000" w:sz="4" w:space="0"/>
              <w:left w:val="single" w:color="000000" w:sz="4" w:space="0"/>
              <w:right w:val="single" w:color="000000" w:sz="4" w:space="0"/>
            </w:tcBorders>
            <w:shd w:val="clear" w:color="auto" w:fill="auto"/>
            <w:vAlign w:val="center"/>
          </w:tcPr>
          <w:p w14:paraId="2C559A6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c>
          <w:tcPr>
            <w:tcW w:w="795" w:type="dxa"/>
            <w:tcBorders>
              <w:top w:val="single" w:color="000000" w:sz="4" w:space="0"/>
              <w:left w:val="single" w:color="000000" w:sz="4" w:space="0"/>
              <w:right w:val="single" w:color="000000" w:sz="4" w:space="0"/>
            </w:tcBorders>
            <w:shd w:val="clear" w:color="auto" w:fill="auto"/>
            <w:vAlign w:val="center"/>
          </w:tcPr>
          <w:p w14:paraId="002EBBE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645" w:type="dxa"/>
            <w:tcBorders>
              <w:top w:val="single" w:color="000000" w:sz="4" w:space="0"/>
              <w:left w:val="single" w:color="000000" w:sz="4" w:space="0"/>
              <w:right w:val="single" w:color="000000" w:sz="4" w:space="0"/>
            </w:tcBorders>
            <w:shd w:val="clear" w:color="auto" w:fill="auto"/>
            <w:vAlign w:val="center"/>
          </w:tcPr>
          <w:p w14:paraId="3492A8E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753" w:type="dxa"/>
            <w:tcBorders>
              <w:top w:val="single" w:color="000000" w:sz="4" w:space="0"/>
              <w:left w:val="single" w:color="000000" w:sz="4" w:space="0"/>
              <w:bottom w:val="single" w:color="auto" w:sz="4" w:space="0"/>
              <w:right w:val="single" w:color="000000" w:sz="4" w:space="0"/>
            </w:tcBorders>
            <w:shd w:val="clear" w:color="auto" w:fill="auto"/>
            <w:vAlign w:val="center"/>
          </w:tcPr>
          <w:p w14:paraId="79BEB01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54A1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2F8D50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0E86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530" w:type="dxa"/>
            <w:tcBorders>
              <w:top w:val="single" w:color="auto" w:sz="4" w:space="0"/>
              <w:left w:val="single" w:color="auto" w:sz="4" w:space="0"/>
              <w:right w:val="single" w:color="000000" w:sz="4" w:space="0"/>
            </w:tcBorders>
            <w:shd w:val="clear" w:color="auto" w:fill="auto"/>
            <w:vAlign w:val="center"/>
          </w:tcPr>
          <w:p w14:paraId="683267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可持续发展指标</w:t>
            </w:r>
          </w:p>
        </w:tc>
        <w:tc>
          <w:tcPr>
            <w:tcW w:w="2895" w:type="dxa"/>
            <w:tcBorders>
              <w:top w:val="single" w:color="auto" w:sz="4" w:space="0"/>
              <w:left w:val="single" w:color="000000" w:sz="4" w:space="0"/>
              <w:right w:val="single" w:color="000000" w:sz="4" w:space="0"/>
            </w:tcBorders>
            <w:shd w:val="clear" w:color="auto" w:fill="auto"/>
            <w:vAlign w:val="center"/>
          </w:tcPr>
          <w:p w14:paraId="38EE7A6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问题整改落实率</w:t>
            </w:r>
          </w:p>
        </w:tc>
        <w:tc>
          <w:tcPr>
            <w:tcW w:w="810" w:type="dxa"/>
            <w:tcBorders>
              <w:top w:val="single" w:color="auto" w:sz="4" w:space="0"/>
              <w:left w:val="single" w:color="000000" w:sz="4" w:space="0"/>
              <w:right w:val="single" w:color="000000" w:sz="4" w:space="0"/>
            </w:tcBorders>
            <w:shd w:val="clear" w:color="auto" w:fill="auto"/>
            <w:vAlign w:val="center"/>
          </w:tcPr>
          <w:p w14:paraId="31564CD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840" w:type="dxa"/>
            <w:tcBorders>
              <w:top w:val="single" w:color="auto" w:sz="4" w:space="0"/>
              <w:left w:val="single" w:color="000000" w:sz="4" w:space="0"/>
              <w:right w:val="single" w:color="000000" w:sz="4" w:space="0"/>
            </w:tcBorders>
            <w:shd w:val="clear" w:color="auto" w:fill="auto"/>
            <w:vAlign w:val="center"/>
          </w:tcPr>
          <w:p w14:paraId="57D880A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c>
          <w:tcPr>
            <w:tcW w:w="795" w:type="dxa"/>
            <w:tcBorders>
              <w:top w:val="single" w:color="auto" w:sz="4" w:space="0"/>
              <w:left w:val="single" w:color="000000" w:sz="4" w:space="0"/>
              <w:right w:val="single" w:color="000000" w:sz="4" w:space="0"/>
            </w:tcBorders>
            <w:shd w:val="clear" w:color="auto" w:fill="auto"/>
            <w:vAlign w:val="center"/>
          </w:tcPr>
          <w:p w14:paraId="4D97309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645" w:type="dxa"/>
            <w:tcBorders>
              <w:top w:val="single" w:color="auto" w:sz="4" w:space="0"/>
              <w:left w:val="single" w:color="000000" w:sz="4" w:space="0"/>
              <w:right w:val="single" w:color="000000" w:sz="4" w:space="0"/>
            </w:tcBorders>
            <w:shd w:val="clear" w:color="auto" w:fill="auto"/>
            <w:vAlign w:val="center"/>
          </w:tcPr>
          <w:p w14:paraId="0D70F9F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753" w:type="dxa"/>
            <w:tcBorders>
              <w:top w:val="single" w:color="auto" w:sz="4" w:space="0"/>
              <w:left w:val="single" w:color="000000" w:sz="4" w:space="0"/>
              <w:bottom w:val="single" w:color="000000" w:sz="4" w:space="0"/>
              <w:right w:val="single" w:color="000000" w:sz="4" w:space="0"/>
            </w:tcBorders>
            <w:shd w:val="clear" w:color="auto" w:fill="auto"/>
            <w:vAlign w:val="center"/>
          </w:tcPr>
          <w:p w14:paraId="49AD437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1752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542B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83" w:type="dxa"/>
            <w:tcBorders>
              <w:top w:val="single" w:color="auto" w:sz="4" w:space="0"/>
              <w:left w:val="single" w:color="000000" w:sz="4" w:space="0"/>
              <w:bottom w:val="single" w:color="auto" w:sz="4" w:space="0"/>
              <w:right w:val="single" w:color="000000" w:sz="4" w:space="0"/>
            </w:tcBorders>
            <w:shd w:val="clear" w:color="auto" w:fill="auto"/>
            <w:vAlign w:val="center"/>
          </w:tcPr>
          <w:p w14:paraId="04E8E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14:paraId="59F124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2895" w:type="dxa"/>
            <w:tcBorders>
              <w:top w:val="single" w:color="000000" w:sz="4" w:space="0"/>
              <w:left w:val="single" w:color="000000" w:sz="4" w:space="0"/>
              <w:right w:val="single" w:color="000000" w:sz="4" w:space="0"/>
            </w:tcBorders>
            <w:shd w:val="clear" w:color="auto" w:fill="auto"/>
            <w:vAlign w:val="center"/>
          </w:tcPr>
          <w:p w14:paraId="03AB024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督查指导对象满意率</w:t>
            </w:r>
          </w:p>
        </w:tc>
        <w:tc>
          <w:tcPr>
            <w:tcW w:w="810" w:type="dxa"/>
            <w:tcBorders>
              <w:top w:val="single" w:color="000000" w:sz="4" w:space="0"/>
              <w:left w:val="single" w:color="000000" w:sz="4" w:space="0"/>
              <w:right w:val="single" w:color="000000" w:sz="4" w:space="0"/>
            </w:tcBorders>
            <w:shd w:val="clear" w:color="auto" w:fill="auto"/>
            <w:vAlign w:val="center"/>
          </w:tcPr>
          <w:p w14:paraId="0390BAC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840" w:type="dxa"/>
            <w:tcBorders>
              <w:top w:val="single" w:color="000000" w:sz="4" w:space="0"/>
              <w:left w:val="single" w:color="000000" w:sz="4" w:space="0"/>
              <w:right w:val="single" w:color="000000" w:sz="4" w:space="0"/>
            </w:tcBorders>
            <w:shd w:val="clear" w:color="auto" w:fill="auto"/>
            <w:vAlign w:val="center"/>
          </w:tcPr>
          <w:p w14:paraId="1E8CD2B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95</w:t>
            </w:r>
          </w:p>
        </w:tc>
        <w:tc>
          <w:tcPr>
            <w:tcW w:w="795" w:type="dxa"/>
            <w:tcBorders>
              <w:top w:val="single" w:color="000000" w:sz="4" w:space="0"/>
              <w:left w:val="single" w:color="000000" w:sz="4" w:space="0"/>
              <w:right w:val="single" w:color="000000" w:sz="4" w:space="0"/>
            </w:tcBorders>
            <w:shd w:val="clear" w:color="auto" w:fill="auto"/>
            <w:vAlign w:val="center"/>
          </w:tcPr>
          <w:p w14:paraId="608BB0E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645" w:type="dxa"/>
            <w:tcBorders>
              <w:top w:val="single" w:color="000000" w:sz="4" w:space="0"/>
              <w:left w:val="single" w:color="000000" w:sz="4" w:space="0"/>
              <w:right w:val="single" w:color="000000" w:sz="4" w:space="0"/>
            </w:tcBorders>
            <w:shd w:val="clear" w:color="auto" w:fill="auto"/>
            <w:vAlign w:val="center"/>
          </w:tcPr>
          <w:p w14:paraId="49B874A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C93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5CC9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09E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83" w:type="dxa"/>
            <w:tcBorders>
              <w:top w:val="single" w:color="auto" w:sz="4" w:space="0"/>
              <w:left w:val="single" w:color="000000" w:sz="4" w:space="0"/>
              <w:bottom w:val="single" w:color="auto" w:sz="4" w:space="0"/>
              <w:right w:val="single" w:color="000000" w:sz="4" w:space="0"/>
            </w:tcBorders>
            <w:shd w:val="clear" w:color="auto" w:fill="auto"/>
            <w:vAlign w:val="center"/>
          </w:tcPr>
          <w:p w14:paraId="14B1397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成本指标</w:t>
            </w: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14:paraId="5C8B9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经济成本指标</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14:paraId="046739B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经济成本控制在预算总额内</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14:paraId="2AA3153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000DD9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10EA3E4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14:paraId="750AC9A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25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569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bl>
    <w:p w14:paraId="5CAC5B04">
      <w:pPr>
        <w:pStyle w:val="6"/>
        <w:numPr>
          <w:ilvl w:val="0"/>
          <w:numId w:val="0"/>
        </w:numPr>
        <w:ind w:leftChars="150" w:firstLine="300" w:firstLineChars="100"/>
        <w:rPr>
          <w:rFonts w:hint="eastAsia"/>
          <w:lang w:val="en-US" w:eastAsia="zh-CN"/>
        </w:rPr>
      </w:pPr>
    </w:p>
    <w:p w14:paraId="6D1AF575">
      <w:pPr>
        <w:spacing w:line="600" w:lineRule="exact"/>
        <w:jc w:val="both"/>
        <w:outlineLvl w:val="0"/>
        <w:rPr>
          <w:rFonts w:hint="eastAsia" w:ascii="黑体" w:hAnsi="黑体" w:eastAsia="黑体"/>
          <w:color w:val="auto"/>
          <w:sz w:val="44"/>
          <w:szCs w:val="44"/>
          <w:highlight w:val="none"/>
        </w:rPr>
        <w:sectPr>
          <w:headerReference r:id="rId29" w:type="default"/>
          <w:footerReference r:id="rId30" w:type="default"/>
          <w:pgSz w:w="11906" w:h="16838"/>
          <w:pgMar w:top="1440" w:right="1800" w:bottom="1440" w:left="1800" w:header="851" w:footer="992" w:gutter="0"/>
          <w:pgNumType w:fmt="decimal" w:start="3"/>
          <w:cols w:space="425" w:num="1"/>
          <w:docGrid w:type="lines" w:linePitch="312" w:charSpace="0"/>
        </w:sectPr>
      </w:pPr>
    </w:p>
    <w:p w14:paraId="450B139C">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3"/>
          <w:rFonts w:hint="eastAsia" w:ascii="黑体" w:hAnsi="黑体" w:eastAsia="黑体"/>
          <w:b w:val="0"/>
          <w:color w:val="auto"/>
          <w:highlight w:val="none"/>
        </w:rPr>
        <w:t>五部分 附表</w:t>
      </w:r>
      <w:bookmarkStart w:id="50" w:name="_Toc15396619"/>
    </w:p>
    <w:p w14:paraId="1409D5A9">
      <w:pPr>
        <w:pStyle w:val="4"/>
        <w:rPr>
          <w:rFonts w:ascii="仿宋" w:hAnsi="仿宋" w:eastAsia="仿宋"/>
          <w:color w:val="auto"/>
          <w:highlight w:val="none"/>
        </w:rPr>
      </w:pPr>
      <w:r>
        <w:rPr>
          <w:rFonts w:hint="eastAsia" w:ascii="仿宋" w:hAnsi="仿宋" w:eastAsia="仿宋"/>
          <w:b w:val="0"/>
          <w:color w:val="auto"/>
          <w:highlight w:val="none"/>
        </w:rPr>
        <w:t>一、收</w:t>
      </w:r>
      <w:r>
        <w:rPr>
          <w:rStyle w:val="34"/>
          <w:rFonts w:hint="eastAsia" w:ascii="仿宋" w:hAnsi="仿宋" w:eastAsia="仿宋"/>
          <w:b w:val="0"/>
          <w:bCs w:val="0"/>
          <w:color w:val="auto"/>
          <w:highlight w:val="none"/>
        </w:rPr>
        <w:t>入支出决算总表</w:t>
      </w:r>
      <w:bookmarkEnd w:id="50"/>
    </w:p>
    <w:p w14:paraId="7F00752D">
      <w:pPr>
        <w:pStyle w:val="4"/>
        <w:rPr>
          <w:rFonts w:ascii="仿宋" w:hAnsi="仿宋" w:eastAsia="仿宋"/>
          <w:color w:val="auto"/>
          <w:highlight w:val="none"/>
        </w:rPr>
      </w:pPr>
      <w:bookmarkStart w:id="51" w:name="_Toc15396620"/>
      <w:r>
        <w:rPr>
          <w:rFonts w:hint="eastAsia" w:ascii="仿宋" w:hAnsi="仿宋" w:eastAsia="仿宋"/>
          <w:b w:val="0"/>
          <w:color w:val="auto"/>
          <w:highlight w:val="none"/>
        </w:rPr>
        <w:t>二、收</w:t>
      </w:r>
      <w:r>
        <w:rPr>
          <w:rStyle w:val="34"/>
          <w:rFonts w:hint="eastAsia" w:ascii="仿宋" w:hAnsi="仿宋" w:eastAsia="仿宋"/>
          <w:b w:val="0"/>
          <w:bCs w:val="0"/>
          <w:color w:val="auto"/>
          <w:highlight w:val="none"/>
        </w:rPr>
        <w:t>入决算表</w:t>
      </w:r>
      <w:bookmarkEnd w:id="51"/>
    </w:p>
    <w:p w14:paraId="422578DE">
      <w:pPr>
        <w:pStyle w:val="4"/>
        <w:rPr>
          <w:rFonts w:ascii="仿宋" w:hAnsi="仿宋" w:eastAsia="仿宋"/>
          <w:color w:val="auto"/>
          <w:highlight w:val="none"/>
        </w:rPr>
      </w:pPr>
      <w:bookmarkStart w:id="52" w:name="_Toc15396621"/>
      <w:r>
        <w:rPr>
          <w:rStyle w:val="34"/>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4"/>
          <w:rFonts w:hint="eastAsia" w:ascii="仿宋" w:hAnsi="仿宋" w:eastAsia="仿宋"/>
          <w:b w:val="0"/>
          <w:bCs w:val="0"/>
          <w:color w:val="auto"/>
          <w:highlight w:val="none"/>
        </w:rPr>
        <w:t>出决算表</w:t>
      </w:r>
      <w:bookmarkEnd w:id="52"/>
    </w:p>
    <w:p w14:paraId="127F6D0F">
      <w:pPr>
        <w:pStyle w:val="4"/>
        <w:rPr>
          <w:rFonts w:ascii="仿宋" w:hAnsi="仿宋" w:eastAsia="仿宋"/>
          <w:b w:val="0"/>
          <w:color w:val="auto"/>
          <w:highlight w:val="none"/>
        </w:rPr>
      </w:pPr>
      <w:bookmarkStart w:id="53" w:name="_Toc15396622"/>
      <w:r>
        <w:rPr>
          <w:rStyle w:val="34"/>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4"/>
          <w:rFonts w:hint="eastAsia" w:ascii="仿宋" w:hAnsi="仿宋" w:eastAsia="仿宋"/>
          <w:b w:val="0"/>
          <w:bCs w:val="0"/>
          <w:color w:val="auto"/>
          <w:highlight w:val="none"/>
        </w:rPr>
        <w:t>政拨款收入支出决算总表</w:t>
      </w:r>
      <w:bookmarkEnd w:id="53"/>
    </w:p>
    <w:p w14:paraId="1BD5BAAD">
      <w:pPr>
        <w:pStyle w:val="4"/>
        <w:rPr>
          <w:rStyle w:val="34"/>
          <w:rFonts w:ascii="仿宋" w:hAnsi="仿宋" w:eastAsia="仿宋"/>
          <w:b w:val="0"/>
          <w:bCs w:val="0"/>
          <w:color w:val="auto"/>
          <w:highlight w:val="none"/>
        </w:rPr>
      </w:pPr>
      <w:bookmarkStart w:id="54" w:name="_Toc15396623"/>
      <w:r>
        <w:rPr>
          <w:rStyle w:val="34"/>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4"/>
          <w:rFonts w:hint="eastAsia" w:ascii="仿宋" w:hAnsi="仿宋" w:eastAsia="仿宋"/>
          <w:b w:val="0"/>
          <w:bCs w:val="0"/>
          <w:color w:val="auto"/>
          <w:highlight w:val="none"/>
        </w:rPr>
        <w:t>政拨款支出决算明细表</w:t>
      </w:r>
      <w:bookmarkEnd w:id="54"/>
      <w:bookmarkStart w:id="55" w:name="_Toc15396624"/>
    </w:p>
    <w:p w14:paraId="7DBDF365">
      <w:pPr>
        <w:pStyle w:val="4"/>
        <w:rPr>
          <w:rFonts w:ascii="仿宋" w:hAnsi="仿宋" w:eastAsia="仿宋"/>
          <w:color w:val="auto"/>
          <w:highlight w:val="none"/>
        </w:rPr>
      </w:pPr>
      <w:r>
        <w:rPr>
          <w:rStyle w:val="34"/>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4"/>
          <w:rFonts w:hint="eastAsia" w:ascii="仿宋" w:hAnsi="仿宋" w:eastAsia="仿宋"/>
          <w:b w:val="0"/>
          <w:bCs w:val="0"/>
          <w:color w:val="auto"/>
          <w:highlight w:val="none"/>
        </w:rPr>
        <w:t>般公共预算财政拨款支出决算表</w:t>
      </w:r>
      <w:bookmarkEnd w:id="55"/>
    </w:p>
    <w:p w14:paraId="14CCBDE8">
      <w:pPr>
        <w:pStyle w:val="4"/>
        <w:rPr>
          <w:rFonts w:ascii="仿宋" w:hAnsi="仿宋" w:eastAsia="仿宋"/>
          <w:color w:val="auto"/>
          <w:highlight w:val="none"/>
        </w:rPr>
      </w:pPr>
      <w:bookmarkStart w:id="56" w:name="_Toc15396625"/>
      <w:r>
        <w:rPr>
          <w:rStyle w:val="34"/>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4"/>
          <w:rFonts w:hint="eastAsia" w:ascii="仿宋" w:hAnsi="仿宋" w:eastAsia="仿宋"/>
          <w:b w:val="0"/>
          <w:bCs w:val="0"/>
          <w:color w:val="auto"/>
          <w:highlight w:val="none"/>
        </w:rPr>
        <w:t>般公共预算财政拨款支出决算明细表</w:t>
      </w:r>
      <w:bookmarkEnd w:id="56"/>
    </w:p>
    <w:p w14:paraId="6273EB48">
      <w:pPr>
        <w:pStyle w:val="4"/>
        <w:rPr>
          <w:rFonts w:ascii="仿宋" w:hAnsi="仿宋" w:eastAsia="仿宋"/>
          <w:color w:val="auto"/>
          <w:highlight w:val="none"/>
        </w:rPr>
      </w:pPr>
      <w:bookmarkStart w:id="57" w:name="_Toc15396626"/>
      <w:r>
        <w:rPr>
          <w:rStyle w:val="34"/>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4"/>
          <w:rFonts w:hint="eastAsia" w:ascii="仿宋" w:hAnsi="仿宋" w:eastAsia="仿宋"/>
          <w:b w:val="0"/>
          <w:bCs w:val="0"/>
          <w:color w:val="auto"/>
          <w:highlight w:val="none"/>
        </w:rPr>
        <w:t>般公共预算财政拨款基本支出决算表</w:t>
      </w:r>
      <w:bookmarkEnd w:id="57"/>
    </w:p>
    <w:p w14:paraId="0B9D5EB9">
      <w:pPr>
        <w:pStyle w:val="4"/>
        <w:rPr>
          <w:rFonts w:ascii="仿宋" w:hAnsi="仿宋" w:eastAsia="仿宋"/>
          <w:color w:val="auto"/>
          <w:highlight w:val="none"/>
        </w:rPr>
      </w:pPr>
      <w:bookmarkStart w:id="58" w:name="_Toc15396627"/>
      <w:r>
        <w:rPr>
          <w:rStyle w:val="34"/>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4"/>
          <w:rFonts w:hint="eastAsia" w:ascii="仿宋" w:hAnsi="仿宋" w:eastAsia="仿宋"/>
          <w:b w:val="0"/>
          <w:bCs w:val="0"/>
          <w:color w:val="auto"/>
          <w:highlight w:val="none"/>
        </w:rPr>
        <w:t>般公共预算财政拨款项目支出决算表</w:t>
      </w:r>
      <w:bookmarkEnd w:id="58"/>
    </w:p>
    <w:p w14:paraId="4CA47B51">
      <w:pPr>
        <w:pStyle w:val="4"/>
        <w:rPr>
          <w:rFonts w:ascii="仿宋" w:hAnsi="仿宋" w:eastAsia="仿宋"/>
          <w:color w:val="auto"/>
          <w:highlight w:val="none"/>
        </w:rPr>
      </w:pPr>
      <w:bookmarkStart w:id="59" w:name="_Toc15396628"/>
      <w:r>
        <w:rPr>
          <w:rStyle w:val="34"/>
          <w:rFonts w:hint="eastAsia" w:ascii="仿宋" w:hAnsi="仿宋" w:eastAsia="仿宋"/>
          <w:b w:val="0"/>
          <w:bCs w:val="0"/>
          <w:color w:val="auto"/>
          <w:highlight w:val="none"/>
        </w:rPr>
        <w:t>十、</w:t>
      </w:r>
      <w:bookmarkEnd w:id="59"/>
      <w:r>
        <w:rPr>
          <w:rFonts w:hint="eastAsia" w:ascii="仿宋" w:hAnsi="仿宋" w:eastAsia="仿宋"/>
          <w:b w:val="0"/>
          <w:color w:val="auto"/>
          <w:highlight w:val="none"/>
        </w:rPr>
        <w:t>政</w:t>
      </w:r>
      <w:r>
        <w:rPr>
          <w:rStyle w:val="34"/>
          <w:rFonts w:hint="eastAsia" w:ascii="仿宋" w:hAnsi="仿宋" w:eastAsia="仿宋"/>
          <w:b w:val="0"/>
          <w:bCs w:val="0"/>
          <w:color w:val="auto"/>
          <w:highlight w:val="none"/>
        </w:rPr>
        <w:t>府性基金预算财政拨款收入支出决算表</w:t>
      </w:r>
    </w:p>
    <w:p w14:paraId="4951DA83">
      <w:pPr>
        <w:pStyle w:val="4"/>
        <w:rPr>
          <w:rFonts w:ascii="仿宋" w:hAnsi="仿宋" w:eastAsia="仿宋"/>
          <w:color w:val="auto"/>
          <w:highlight w:val="none"/>
        </w:rPr>
      </w:pPr>
      <w:bookmarkStart w:id="60" w:name="_Toc15396629"/>
      <w:r>
        <w:rPr>
          <w:rStyle w:val="34"/>
          <w:rFonts w:hint="eastAsia" w:ascii="仿宋" w:hAnsi="仿宋" w:eastAsia="仿宋"/>
          <w:b w:val="0"/>
          <w:bCs w:val="0"/>
          <w:color w:val="auto"/>
          <w:highlight w:val="none"/>
        </w:rPr>
        <w:t>十一、</w:t>
      </w:r>
      <w:bookmarkEnd w:id="60"/>
      <w:r>
        <w:rPr>
          <w:rFonts w:hint="eastAsia" w:ascii="仿宋" w:hAnsi="仿宋" w:eastAsia="仿宋"/>
          <w:b w:val="0"/>
          <w:color w:val="auto"/>
          <w:highlight w:val="none"/>
        </w:rPr>
        <w:t>国</w:t>
      </w:r>
      <w:r>
        <w:rPr>
          <w:rStyle w:val="34"/>
          <w:rFonts w:hint="eastAsia" w:ascii="仿宋" w:hAnsi="仿宋" w:eastAsia="仿宋"/>
          <w:b w:val="0"/>
          <w:bCs w:val="0"/>
          <w:color w:val="auto"/>
          <w:highlight w:val="none"/>
        </w:rPr>
        <w:t>有资本经营预算</w:t>
      </w:r>
      <w:r>
        <w:rPr>
          <w:rStyle w:val="34"/>
          <w:rFonts w:hint="eastAsia" w:ascii="仿宋" w:hAnsi="仿宋" w:eastAsia="仿宋"/>
          <w:b w:val="0"/>
          <w:bCs w:val="0"/>
          <w:color w:val="auto"/>
          <w:highlight w:val="none"/>
          <w:lang w:eastAsia="zh-CN"/>
        </w:rPr>
        <w:t>财政拨款收入</w:t>
      </w:r>
      <w:r>
        <w:rPr>
          <w:rStyle w:val="34"/>
          <w:rFonts w:hint="eastAsia" w:ascii="仿宋" w:hAnsi="仿宋" w:eastAsia="仿宋"/>
          <w:b w:val="0"/>
          <w:bCs w:val="0"/>
          <w:color w:val="auto"/>
          <w:highlight w:val="none"/>
        </w:rPr>
        <w:t>支出决算表</w:t>
      </w:r>
    </w:p>
    <w:p w14:paraId="070C0AED">
      <w:pPr>
        <w:pStyle w:val="4"/>
        <w:rPr>
          <w:rFonts w:ascii="仿宋" w:hAnsi="仿宋" w:eastAsia="仿宋"/>
          <w:color w:val="auto"/>
          <w:highlight w:val="none"/>
        </w:rPr>
      </w:pPr>
      <w:bookmarkStart w:id="61" w:name="_Toc15396630"/>
      <w:r>
        <w:rPr>
          <w:rStyle w:val="34"/>
          <w:rFonts w:hint="eastAsia" w:ascii="仿宋" w:hAnsi="仿宋" w:eastAsia="仿宋"/>
          <w:b w:val="0"/>
          <w:bCs w:val="0"/>
          <w:color w:val="auto"/>
          <w:highlight w:val="none"/>
        </w:rPr>
        <w:t>十二、</w:t>
      </w:r>
      <w:bookmarkEnd w:id="61"/>
      <w:r>
        <w:rPr>
          <w:rStyle w:val="34"/>
          <w:rFonts w:hint="eastAsia" w:ascii="仿宋" w:hAnsi="仿宋" w:eastAsia="仿宋"/>
          <w:b w:val="0"/>
          <w:bCs w:val="0"/>
          <w:color w:val="auto"/>
          <w:highlight w:val="none"/>
          <w:lang w:eastAsia="zh-CN"/>
        </w:rPr>
        <w:t>国有资本经营预算财政拨款支出决算表</w:t>
      </w:r>
    </w:p>
    <w:p w14:paraId="33AB9FA0">
      <w:pPr>
        <w:pStyle w:val="4"/>
        <w:rPr>
          <w:rFonts w:hint="eastAsia" w:eastAsia="仿宋"/>
          <w:color w:val="auto"/>
          <w:highlight w:val="none"/>
          <w:lang w:eastAsia="zh-CN"/>
        </w:rPr>
      </w:pPr>
      <w:bookmarkStart w:id="62" w:name="_Toc15396631"/>
      <w:r>
        <w:rPr>
          <w:rStyle w:val="34"/>
          <w:rFonts w:hint="eastAsia" w:ascii="仿宋" w:hAnsi="仿宋" w:eastAsia="仿宋"/>
          <w:b w:val="0"/>
          <w:bCs w:val="0"/>
          <w:color w:val="auto"/>
          <w:highlight w:val="none"/>
        </w:rPr>
        <w:t>十三、</w:t>
      </w:r>
      <w:bookmarkEnd w:id="62"/>
      <w:r>
        <w:rPr>
          <w:rStyle w:val="34"/>
          <w:rFonts w:hint="eastAsia" w:ascii="仿宋" w:hAnsi="仿宋" w:eastAsia="仿宋"/>
          <w:b w:val="0"/>
          <w:bCs w:val="0"/>
          <w:color w:val="auto"/>
          <w:highlight w:val="none"/>
          <w:lang w:eastAsia="zh-CN"/>
        </w:rPr>
        <w:t>财政拨款“三公”经费支出决算表</w:t>
      </w:r>
    </w:p>
    <w:p w14:paraId="4887577F">
      <w:pPr>
        <w:pStyle w:val="6"/>
        <w:rPr>
          <w:rFonts w:hint="eastAsia"/>
        </w:rPr>
      </w:pPr>
    </w:p>
    <w:sectPr>
      <w:footerReference r:id="rId31"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FE4C">
    <w:pPr>
      <w:pStyle w:val="1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4842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6F48426">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4DA511BC">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370D">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AB29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DAB29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853C1">
    <w:pPr>
      <w:pStyle w:val="10"/>
      <w:jc w:val="center"/>
    </w:pPr>
    <w:sdt>
      <w:sdtPr>
        <w:rPr>
          <w:rFonts w:hint="default"/>
          <w:lang w:val="en-US"/>
        </w:rPr>
        <w:id w:val="147481227"/>
      </w:sdtPr>
      <w:sdtEndPr>
        <w:rPr>
          <w:rFonts w:hint="default"/>
          <w:lang w:val="en-US"/>
        </w:rPr>
      </w:sdtEndPr>
      <w:sdtContent>
        <w:r>
          <w:rPr>
            <w:rFonts w:hint="eastAsia"/>
            <w:lang w:val="en-US" w:eastAsia="zh-CN"/>
          </w:rPr>
          <w:t>3</w:t>
        </w:r>
      </w:sdtContent>
    </w:sdt>
  </w:p>
  <w:p w14:paraId="693B3E92">
    <w:pPr>
      <w:pStyle w:val="1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4F0C">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CFE3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8CCFE3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649A">
    <w:pPr>
      <w:pStyle w:val="10"/>
      <w:jc w:val="center"/>
    </w:pPr>
    <w:sdt>
      <w:sdtPr>
        <w:rPr>
          <w:rFonts w:hint="default"/>
          <w:lang w:val="en-US"/>
        </w:rPr>
        <w:id w:val="147456895"/>
      </w:sdtPr>
      <w:sdtEndPr>
        <w:rPr>
          <w:rFonts w:hint="default"/>
          <w:lang w:val="en-US"/>
        </w:rPr>
      </w:sdtEndPr>
      <w:sdtContent>
        <w:r>
          <w:rPr>
            <w:rFonts w:hint="eastAsia"/>
            <w:lang w:val="en-US" w:eastAsia="zh-CN"/>
          </w:rPr>
          <w:t>4</w:t>
        </w:r>
      </w:sdtContent>
    </w:sdt>
  </w:p>
  <w:p w14:paraId="01A4B90B">
    <w:pPr>
      <w:pStyle w:val="1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75F6">
    <w:pPr>
      <w:pStyle w:val="10"/>
      <w:jc w:val="center"/>
    </w:pPr>
    <w:sdt>
      <w:sdtPr>
        <w:rPr>
          <w:rFonts w:hint="default"/>
          <w:lang w:val="en-US"/>
        </w:rPr>
        <w:id w:val="147460879"/>
      </w:sdtPr>
      <w:sdtEndPr>
        <w:rPr>
          <w:rFonts w:hint="default"/>
          <w:lang w:val="en-US"/>
        </w:rPr>
      </w:sdtEndPr>
      <w:sdtContent>
        <w:r>
          <w:rPr>
            <w:rFonts w:hint="eastAsia"/>
            <w:lang w:val="en-US" w:eastAsia="zh-CN"/>
          </w:rPr>
          <w:t>5</w:t>
        </w:r>
      </w:sdtContent>
    </w:sdt>
  </w:p>
  <w:p w14:paraId="67B57A8B">
    <w:pPr>
      <w:pStyle w:val="1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D9EA3">
    <w:pPr>
      <w:pStyle w:val="10"/>
      <w:jc w:val="center"/>
    </w:pPr>
    <w:sdt>
      <w:sdtPr>
        <w:rPr>
          <w:rFonts w:hint="default"/>
          <w:lang w:val="en-US"/>
        </w:rPr>
        <w:id w:val="147466982"/>
      </w:sdtPr>
      <w:sdtEndPr>
        <w:rPr>
          <w:rFonts w:hint="default"/>
          <w:lang w:val="en-US"/>
        </w:rPr>
      </w:sdtEndPr>
      <w:sdtContent>
        <w:r>
          <w:rPr>
            <w:rFonts w:hint="eastAsia"/>
            <w:lang w:val="en-US" w:eastAsia="zh-CN"/>
          </w:rPr>
          <w:t>6</w:t>
        </w:r>
      </w:sdtContent>
    </w:sdt>
  </w:p>
  <w:p w14:paraId="7E1F665E">
    <w:pPr>
      <w:pStyle w:val="1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1792A">
    <w:pPr>
      <w:pStyle w:val="10"/>
      <w:jc w:val="center"/>
    </w:pPr>
    <w:sdt>
      <w:sdtPr>
        <w:rPr>
          <w:rFonts w:hint="default"/>
          <w:lang w:val="en-US"/>
        </w:rPr>
        <w:id w:val="147453529"/>
      </w:sdtPr>
      <w:sdtEndPr>
        <w:rPr>
          <w:rFonts w:hint="default"/>
          <w:lang w:val="en-US"/>
        </w:rPr>
      </w:sdtEndPr>
      <w:sdtContent>
        <w:r>
          <w:rPr>
            <w:rFonts w:hint="eastAsia"/>
            <w:lang w:val="en-US" w:eastAsia="zh-CN"/>
          </w:rPr>
          <w:t>8</w:t>
        </w:r>
      </w:sdtContent>
    </w:sdt>
  </w:p>
  <w:p w14:paraId="792E55D1">
    <w:pPr>
      <w:pStyle w:val="1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1547">
    <w:pPr>
      <w:pStyle w:val="10"/>
      <w:jc w:val="center"/>
    </w:pPr>
    <w:sdt>
      <w:sdtPr>
        <w:rPr>
          <w:rFonts w:hint="default"/>
          <w:lang w:val="en-US"/>
        </w:rPr>
        <w:id w:val="147482475"/>
      </w:sdtPr>
      <w:sdtEndPr>
        <w:rPr>
          <w:rFonts w:hint="default"/>
          <w:lang w:val="en-US"/>
        </w:rPr>
      </w:sdtEndPr>
      <w:sdtContent>
        <w:r>
          <w:rPr>
            <w:rFonts w:hint="eastAsia"/>
            <w:lang w:val="en-US" w:eastAsia="zh-CN"/>
          </w:rPr>
          <w:t>9</w:t>
        </w:r>
      </w:sdtContent>
    </w:sdt>
  </w:p>
  <w:p w14:paraId="18FBA6DA">
    <w:pPr>
      <w:pStyle w:val="1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9E92">
    <w:pPr>
      <w:pStyle w:val="10"/>
      <w:jc w:val="center"/>
      <w:rPr>
        <w:rFonts w:hint="default"/>
        <w:lang w:val="en-US"/>
      </w:rPr>
    </w:pPr>
    <w:sdt>
      <w:sdtPr>
        <w:rPr>
          <w:rFonts w:hint="default"/>
          <w:lang w:val="en-US"/>
        </w:rPr>
        <w:id w:val="147469571"/>
      </w:sdtPr>
      <w:sdtEndPr>
        <w:rPr>
          <w:rFonts w:hint="default"/>
          <w:lang w:val="en-US"/>
        </w:rPr>
      </w:sdtEndPr>
      <w:sdtContent>
        <w:r>
          <w:rPr>
            <w:rFonts w:hint="eastAsia"/>
            <w:lang w:val="en-US" w:eastAsia="zh-CN"/>
          </w:rPr>
          <w:t>10</w:t>
        </w:r>
      </w:sdtContent>
    </w:sdt>
  </w:p>
  <w:p w14:paraId="2352324C">
    <w:pPr>
      <w:pStyle w:val="1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C7C9">
    <w:pPr>
      <w:pStyle w:val="10"/>
      <w:jc w:val="center"/>
      <w:rPr>
        <w:rFonts w:hint="default"/>
        <w:lang w:val="en-US"/>
      </w:rPr>
    </w:pPr>
    <w:sdt>
      <w:sdtPr>
        <w:rPr>
          <w:rFonts w:hint="default"/>
          <w:lang w:val="en-US"/>
        </w:rPr>
        <w:id w:val="147478691"/>
      </w:sdtPr>
      <w:sdtEndPr>
        <w:rPr>
          <w:rFonts w:hint="default"/>
          <w:lang w:val="en-US"/>
        </w:rPr>
      </w:sdtEndPr>
      <w:sdtContent>
        <w:r>
          <w:rPr>
            <w:rFonts w:hint="eastAsia"/>
            <w:lang w:val="en-US" w:eastAsia="zh-CN"/>
          </w:rPr>
          <w:t>11</w:t>
        </w:r>
      </w:sdtContent>
    </w:sdt>
  </w:p>
  <w:p w14:paraId="1A104BE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DDC6">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2381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612381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B104">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89"/>
                          </w:sdtPr>
                          <w:sdtContent>
                            <w:p w14:paraId="781B0865">
                              <w:pPr>
                                <w:pStyle w:val="10"/>
                                <w:jc w:val="center"/>
                              </w:pPr>
                              <w:r>
                                <w:fldChar w:fldCharType="begin"/>
                              </w:r>
                              <w:r>
                                <w:instrText xml:space="preserve">PAGE   \* MERGEFORMAT</w:instrText>
                              </w:r>
                              <w:r>
                                <w:fldChar w:fldCharType="separate"/>
                              </w:r>
                              <w:r>
                                <w:rPr>
                                  <w:lang w:val="zh-CN"/>
                                </w:rPr>
                                <w:t>8</w:t>
                              </w:r>
                              <w:r>
                                <w:fldChar w:fldCharType="end"/>
                              </w:r>
                            </w:p>
                          </w:sdtContent>
                        </w:sdt>
                        <w:p w14:paraId="10AE36A4">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sdt>
                    <w:sdtPr>
                      <w:id w:val="147471389"/>
                    </w:sdtPr>
                    <w:sdtContent>
                      <w:p w14:paraId="781B0865">
                        <w:pPr>
                          <w:pStyle w:val="10"/>
                          <w:jc w:val="center"/>
                        </w:pPr>
                        <w:r>
                          <w:fldChar w:fldCharType="begin"/>
                        </w:r>
                        <w:r>
                          <w:instrText xml:space="preserve">PAGE   \* MERGEFORMAT</w:instrText>
                        </w:r>
                        <w:r>
                          <w:fldChar w:fldCharType="separate"/>
                        </w:r>
                        <w:r>
                          <w:rPr>
                            <w:lang w:val="zh-CN"/>
                          </w:rPr>
                          <w:t>8</w:t>
                        </w:r>
                        <w:r>
                          <w:fldChar w:fldCharType="end"/>
                        </w:r>
                      </w:p>
                    </w:sdtContent>
                  </w:sdt>
                  <w:p w14:paraId="10AE36A4">
                    <w:pPr>
                      <w:pStyle w:val="6"/>
                    </w:pPr>
                  </w:p>
                </w:txbxContent>
              </v:textbox>
            </v:shape>
          </w:pict>
        </mc:Fallback>
      </mc:AlternateContent>
    </w:r>
  </w:p>
  <w:p w14:paraId="5BC99910">
    <w:pPr>
      <w:pStyle w:val="1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E33F">
    <w:pPr>
      <w:pStyle w:val="10"/>
    </w:pPr>
    <w:r>
      <w:rPr>
        <w:sz w:val="18"/>
      </w:rPr>
      <mc:AlternateContent>
        <mc:Choice Requires="wps">
          <w:drawing>
            <wp:anchor distT="0" distB="0" distL="114300" distR="114300" simplePos="0" relativeHeight="251664384" behindDoc="0" locked="0" layoutInCell="1" allowOverlap="1">
              <wp:simplePos x="0" y="0"/>
              <wp:positionH relativeFrom="margin">
                <wp:posOffset>2703195</wp:posOffset>
              </wp:positionH>
              <wp:positionV relativeFrom="paragraph">
                <wp:posOffset>38735</wp:posOffset>
              </wp:positionV>
              <wp:extent cx="220980" cy="13652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220980" cy="136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9DD37">
                          <w:pPr>
                            <w:pStyle w:val="10"/>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2</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2.85pt;margin-top:3.05pt;height:10.75pt;width:17.4pt;mso-position-horizontal-relative:margin;z-index:251664384;mso-width-relative:page;mso-height-relative:page;" filled="f" stroked="f" coordsize="21600,21600" o:gfxdata="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oA7sN2AAAAAgBAAAPAAAAAAAAAAEAIAAAACIAAABkcnMvZG93&#10;bnJldi54bWxQSwECFAAUAAAACACHTuJA9nfSmjkCAABjBAAADgAAAAAAAAABACAAAAAnAQAAZHJz&#10;L2Uyb0RvYy54bWxQSwUGAAAAAAYABgBZAQAA0gUAAAAA&#10;">
              <v:fill on="f" focussize="0,0"/>
              <v:stroke on="f" weight="0.5pt"/>
              <v:imagedata o:title=""/>
              <o:lock v:ext="edit" aspectratio="f"/>
              <v:textbox inset="0mm,0mm,0mm,0mm">
                <w:txbxContent>
                  <w:p w14:paraId="6FD9DD37">
                    <w:pPr>
                      <w:pStyle w:val="10"/>
                      <w:rPr>
                        <w:rFonts w:hint="eastAsia"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2</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8A62">
    <w:pPr>
      <w:pStyle w:val="10"/>
      <w:jc w:val="center"/>
    </w:pPr>
  </w:p>
  <w:p w14:paraId="2DEEFA80">
    <w:pPr>
      <w:pStyle w:val="1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BCF0">
    <w:pPr>
      <w:pStyle w:val="10"/>
      <w:ind w:firstLine="4140" w:firstLineChars="2300"/>
      <w:rPr>
        <w:rFonts w:hint="default" w:eastAsia="宋体"/>
        <w:lang w:val="en-US" w:eastAsia="zh-CN"/>
      </w:rPr>
    </w:pPr>
    <w:r>
      <w:rPr>
        <w:rFonts w:hint="eastAsia"/>
        <w:lang w:val="en-US" w:eastAsia="zh-CN"/>
      </w:rPr>
      <w:t>13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8999">
    <w:pPr>
      <w:pStyle w:val="10"/>
      <w:jc w:val="center"/>
      <w:rPr>
        <w:rFonts w:hint="default"/>
        <w:lang w:val="en-US"/>
      </w:rPr>
    </w:pPr>
    <w:sdt>
      <w:sdtPr>
        <w:rPr>
          <w:rFonts w:hint="default"/>
          <w:lang w:val="en-US"/>
        </w:rPr>
        <w:id w:val="147459058"/>
      </w:sdtPr>
      <w:sdtEndPr>
        <w:rPr>
          <w:rFonts w:hint="default"/>
          <w:lang w:val="en-US"/>
        </w:rPr>
      </w:sdtEndPr>
      <w:sdtContent>
        <w:r>
          <w:rPr>
            <w:rFonts w:hint="eastAsia"/>
            <w:lang w:val="en-US" w:eastAsia="zh-CN"/>
          </w:rPr>
          <w:t>14</w:t>
        </w:r>
      </w:sdtContent>
    </w:sdt>
  </w:p>
  <w:p w14:paraId="04638413">
    <w:pPr>
      <w:pStyle w:val="1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47B7">
    <w:pPr>
      <w:pStyle w:val="10"/>
      <w:jc w:val="center"/>
      <w:rPr>
        <w:rFonts w:hint="default"/>
        <w:lang w:val="en-US"/>
      </w:rPr>
    </w:pPr>
    <w:sdt>
      <w:sdtPr>
        <w:rPr>
          <w:rFonts w:hint="default"/>
          <w:lang w:val="en-US"/>
        </w:rPr>
        <w:id w:val="147471797"/>
      </w:sdtPr>
      <w:sdtEndPr>
        <w:rPr>
          <w:rFonts w:hint="default"/>
          <w:lang w:val="en-US"/>
        </w:rPr>
      </w:sdtEndPr>
      <w:sdtContent>
        <w:r>
          <w:rPr>
            <w:rFonts w:hint="eastAsia"/>
            <w:lang w:val="en-US" w:eastAsia="zh-CN"/>
          </w:rPr>
          <w:t>15</w:t>
        </w:r>
      </w:sdtContent>
    </w:sdt>
  </w:p>
  <w:p w14:paraId="1EA95FA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38BD1">
    <w:pPr>
      <w:pStyle w:val="1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888B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B4888B0">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725C276A">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4749">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076C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0C076C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170F">
    <w:pPr>
      <w:pStyle w:val="10"/>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7E3C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3BA7E3C8">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lang w:val="en-US"/>
        </w:rPr>
        <w:id w:val="-1994781956"/>
      </w:sdtPr>
      <w:sdtEndPr>
        <w:rPr>
          <w:rFonts w:hint="default"/>
          <w:lang w:val="en-US"/>
        </w:rPr>
      </w:sdtEndPr>
      <w:sdtContent>
        <w:r>
          <w:rPr>
            <w:rFonts w:hint="eastAsia"/>
            <w:lang w:val="en-US" w:eastAsia="zh-CN"/>
          </w:rPr>
          <w:t>1</w:t>
        </w:r>
      </w:sdtContent>
    </w:sdt>
  </w:p>
  <w:p w14:paraId="37888F81">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FA22">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13ED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52F13ED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1ACE">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0817D">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7C0817D">
                    <w:pPr>
                      <w:pStyle w:val="10"/>
                    </w:pPr>
                    <w:r>
                      <w:fldChar w:fldCharType="begin"/>
                    </w:r>
                    <w:r>
                      <w:instrText xml:space="preserve"> PAGE  \* MERGEFORMAT </w:instrText>
                    </w:r>
                    <w:r>
                      <w:fldChar w:fldCharType="separate"/>
                    </w:r>
                    <w:r>
                      <w:t>2</w:t>
                    </w:r>
                    <w:r>
                      <w:fldChar w:fldCharType="end"/>
                    </w:r>
                  </w:p>
                </w:txbxContent>
              </v:textbox>
            </v:shape>
          </w:pict>
        </mc:Fallback>
      </mc:AlternateContent>
    </w:r>
    <w:sdt>
      <w:sdtPr>
        <w:rPr>
          <w:rFonts w:hint="default"/>
          <w:lang w:val="en-US"/>
        </w:rPr>
        <w:id w:val="147477511"/>
      </w:sdtPr>
      <w:sdtEndPr>
        <w:rPr>
          <w:rFonts w:hint="default"/>
          <w:lang w:val="en-US"/>
        </w:rPr>
      </w:sdtEndPr>
      <w:sdtContent>
        <w:r>
          <w:rPr>
            <w:rFonts w:hint="eastAsia"/>
            <w:lang w:val="en-US" w:eastAsia="zh-CN"/>
          </w:rPr>
          <w:t>1</w:t>
        </w:r>
      </w:sdtContent>
    </w:sdt>
  </w:p>
  <w:p w14:paraId="7702CC00">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4B4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EF78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DEF78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356CC">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A39B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C8A39B1">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lang w:val="en-US"/>
        </w:rPr>
        <w:id w:val="147478474"/>
      </w:sdtPr>
      <w:sdtEndPr>
        <w:rPr>
          <w:rFonts w:hint="default"/>
          <w:lang w:val="en-US"/>
        </w:rPr>
      </w:sdtEndPr>
      <w:sdtContent>
        <w:r>
          <w:rPr>
            <w:rFonts w:hint="eastAsia"/>
            <w:lang w:val="en-US" w:eastAsia="zh-CN"/>
          </w:rPr>
          <w:t>1</w:t>
        </w:r>
      </w:sdtContent>
    </w:sdt>
  </w:p>
  <w:p w14:paraId="0F7EEFC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234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9818">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60F1">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C72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0E01CCE"/>
    <w:multiLevelType w:val="singleLevel"/>
    <w:tmpl w:val="10E01CCE"/>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A803056"/>
    <w:rsid w:val="0B8A37D8"/>
    <w:rsid w:val="0F5FFB2F"/>
    <w:rsid w:val="0FFFCF60"/>
    <w:rsid w:val="10C055FF"/>
    <w:rsid w:val="118107EC"/>
    <w:rsid w:val="11DD6519"/>
    <w:rsid w:val="16BB723D"/>
    <w:rsid w:val="18015F3F"/>
    <w:rsid w:val="1A3E10A3"/>
    <w:rsid w:val="1BE8440E"/>
    <w:rsid w:val="1D155CEE"/>
    <w:rsid w:val="1F074FDB"/>
    <w:rsid w:val="1FDBBF84"/>
    <w:rsid w:val="20F57F95"/>
    <w:rsid w:val="240371BF"/>
    <w:rsid w:val="25711CC6"/>
    <w:rsid w:val="25C741E6"/>
    <w:rsid w:val="26A46AAE"/>
    <w:rsid w:val="276F80C0"/>
    <w:rsid w:val="27842671"/>
    <w:rsid w:val="293D29A5"/>
    <w:rsid w:val="29FD04D3"/>
    <w:rsid w:val="2ABE7A3E"/>
    <w:rsid w:val="2AFF09B6"/>
    <w:rsid w:val="2CA234A8"/>
    <w:rsid w:val="2EFA178C"/>
    <w:rsid w:val="2EFDF86C"/>
    <w:rsid w:val="2F9D17E1"/>
    <w:rsid w:val="30B46D73"/>
    <w:rsid w:val="319F7F4E"/>
    <w:rsid w:val="356A28F1"/>
    <w:rsid w:val="357C035A"/>
    <w:rsid w:val="368E000D"/>
    <w:rsid w:val="37D605FC"/>
    <w:rsid w:val="38233382"/>
    <w:rsid w:val="383D272C"/>
    <w:rsid w:val="39AE70AB"/>
    <w:rsid w:val="3A4DCE41"/>
    <w:rsid w:val="3BCB56FA"/>
    <w:rsid w:val="3BE86CFC"/>
    <w:rsid w:val="3C0C0783"/>
    <w:rsid w:val="3EE7C2F4"/>
    <w:rsid w:val="3F371B56"/>
    <w:rsid w:val="3F792ED8"/>
    <w:rsid w:val="3F9F3A96"/>
    <w:rsid w:val="3FECA4B2"/>
    <w:rsid w:val="3FF58C48"/>
    <w:rsid w:val="42FF6694"/>
    <w:rsid w:val="44D80031"/>
    <w:rsid w:val="471B73A3"/>
    <w:rsid w:val="475E2707"/>
    <w:rsid w:val="48BF60AB"/>
    <w:rsid w:val="493C27E9"/>
    <w:rsid w:val="496F39ED"/>
    <w:rsid w:val="49FF41D3"/>
    <w:rsid w:val="4A445F48"/>
    <w:rsid w:val="4BE068DB"/>
    <w:rsid w:val="4BF6002B"/>
    <w:rsid w:val="4BFFC6BE"/>
    <w:rsid w:val="4ECE2238"/>
    <w:rsid w:val="51DB4B86"/>
    <w:rsid w:val="51F64DB0"/>
    <w:rsid w:val="55333C3E"/>
    <w:rsid w:val="5F67802D"/>
    <w:rsid w:val="5F7DC4F2"/>
    <w:rsid w:val="5F853143"/>
    <w:rsid w:val="5FB36814"/>
    <w:rsid w:val="5FBB8E56"/>
    <w:rsid w:val="5FFB5535"/>
    <w:rsid w:val="60D20857"/>
    <w:rsid w:val="61152B27"/>
    <w:rsid w:val="6443445A"/>
    <w:rsid w:val="648F205A"/>
    <w:rsid w:val="64CA39A1"/>
    <w:rsid w:val="69630ADE"/>
    <w:rsid w:val="69BD5F13"/>
    <w:rsid w:val="69FB0B4B"/>
    <w:rsid w:val="6BFFE1FB"/>
    <w:rsid w:val="6C4A05C8"/>
    <w:rsid w:val="6C5B062A"/>
    <w:rsid w:val="6D3B1A89"/>
    <w:rsid w:val="6D452D6D"/>
    <w:rsid w:val="6DB7D8A3"/>
    <w:rsid w:val="6EC78701"/>
    <w:rsid w:val="6EDF3AED"/>
    <w:rsid w:val="6F7A5481"/>
    <w:rsid w:val="6FFE07A9"/>
    <w:rsid w:val="71BF4EC2"/>
    <w:rsid w:val="72734D90"/>
    <w:rsid w:val="73E75B71"/>
    <w:rsid w:val="7412278C"/>
    <w:rsid w:val="746C382D"/>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304929"/>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1 Char"/>
    <w:basedOn w:val="16"/>
    <w:link w:val="3"/>
    <w:qFormat/>
    <w:uiPriority w:val="9"/>
    <w:rPr>
      <w:rFonts w:ascii="Times New Roman" w:hAnsi="Times New Roman"/>
      <w:b/>
      <w:bCs/>
      <w:kern w:val="44"/>
      <w:sz w:val="44"/>
      <w:szCs w:val="44"/>
    </w:rPr>
  </w:style>
  <w:style w:type="character" w:customStyle="1" w:styleId="34">
    <w:name w:val="标题 2 Char"/>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png"/><Relationship Id="rId4" Type="http://schemas.openxmlformats.org/officeDocument/2006/relationships/footer" Target="footer2.xml"/><Relationship Id="rId39" Type="http://schemas.openxmlformats.org/officeDocument/2006/relationships/oleObject" Target="embeddings/oleObject1.bin"/><Relationship Id="rId38" Type="http://schemas.openxmlformats.org/officeDocument/2006/relationships/chart" Target="charts/chart6.xml"/><Relationship Id="rId37" Type="http://schemas.openxmlformats.org/officeDocument/2006/relationships/chart" Target="charts/chart5.xml"/><Relationship Id="rId36" Type="http://schemas.openxmlformats.org/officeDocument/2006/relationships/chart" Target="charts/chart4.xml"/><Relationship Id="rId35" Type="http://schemas.openxmlformats.org/officeDocument/2006/relationships/chart" Target="charts/chart3.xml"/><Relationship Id="rId34" Type="http://schemas.openxmlformats.org/officeDocument/2006/relationships/chart" Target="charts/chart2.xml"/><Relationship Id="rId33" Type="http://schemas.openxmlformats.org/officeDocument/2006/relationships/chart" Target="charts/chart1.xml"/><Relationship Id="rId32" Type="http://schemas.openxmlformats.org/officeDocument/2006/relationships/theme" Target="theme/theme1.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er" Target="footer1.xml"/><Relationship Id="rId29" Type="http://schemas.openxmlformats.org/officeDocument/2006/relationships/header" Target="header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header" Target="header3.xml"/><Relationship Id="rId22" Type="http://schemas.openxmlformats.org/officeDocument/2006/relationships/footer" Target="footer18.xml"/><Relationship Id="rId21" Type="http://schemas.openxmlformats.org/officeDocument/2006/relationships/header" Target="header2.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825"/>
          <c:y val="0.213648196355523"/>
          <c:w val="0.808425"/>
          <c:h val="0.692153216809223"/>
        </c:manualLayout>
      </c:layout>
      <c:barChart>
        <c:barDir val="col"/>
        <c:grouping val="clustered"/>
        <c:varyColors val="0"/>
        <c:ser>
          <c:idx val="0"/>
          <c:order val="0"/>
          <c:tx>
            <c:strRef>
              <c:f>Sheet1!$B$1</c:f>
              <c:strCache>
                <c:ptCount val="1"/>
                <c:pt idx="0">
                  <c:v>收入</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2022年</c:v>
                </c:pt>
                <c:pt idx="1">
                  <c:v>2023年</c:v>
                </c:pt>
              </c:strCache>
            </c:strRef>
          </c:cat>
          <c:val>
            <c:numRef>
              <c:f>Sheet1!$B$2:$B$3</c:f>
              <c:numCache>
                <c:formatCode>General</c:formatCode>
                <c:ptCount val="2"/>
                <c:pt idx="0">
                  <c:v>231.29</c:v>
                </c:pt>
                <c:pt idx="1">
                  <c:v>360.35</c:v>
                </c:pt>
              </c:numCache>
            </c:numRef>
          </c:val>
        </c:ser>
        <c:ser>
          <c:idx val="1"/>
          <c:order val="1"/>
          <c:tx>
            <c:strRef>
              <c:f>Sheet1!$C$1</c:f>
              <c:strCache>
                <c:ptCount val="1"/>
                <c:pt idx="0">
                  <c:v>支出</c:v>
                </c:pt>
              </c:strCache>
            </c:strRef>
          </c:tx>
          <c:spPr>
            <a:solidFill>
              <a:schemeClr val="accent2">
                <a:alpha val="85000"/>
              </a:schemeClr>
            </a:solidFill>
            <a:ln w="9525" cap="flat" cmpd="sng" algn="ctr">
              <a:solidFill>
                <a:schemeClr val="lt1">
                  <a:alpha val="50000"/>
                </a:schemeClr>
              </a:solidFill>
              <a:round/>
            </a:ln>
            <a:effectLst/>
          </c:spPr>
          <c:invertIfNegative val="0"/>
          <c:dPt>
            <c:idx val="0"/>
            <c:invertIfNegative val="0"/>
            <c:bubble3D val="0"/>
          </c:dPt>
          <c:dLbls>
            <c:numFmt formatCode="General"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2022年</c:v>
                </c:pt>
                <c:pt idx="1">
                  <c:v>2023年</c:v>
                </c:pt>
              </c:strCache>
            </c:strRef>
          </c:cat>
          <c:val>
            <c:numRef>
              <c:f>Sheet1!$C$2:$C$3</c:f>
              <c:numCache>
                <c:formatCode>General</c:formatCode>
                <c:ptCount val="2"/>
                <c:pt idx="0">
                  <c:v>231.29</c:v>
                </c:pt>
                <c:pt idx="1">
                  <c:v>360.35</c:v>
                </c:pt>
              </c:numCache>
            </c:numRef>
          </c:val>
        </c:ser>
        <c:ser>
          <c:idx val="2"/>
          <c:order val="2"/>
          <c:tx>
            <c:strRef>
              <c:f>Sheet1!#REF!</c:f>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layout>
                <c:manualLayout>
                  <c:x val="0.136700599315069"/>
                  <c:y val="-0.712100932593854"/>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rPr lang="en-US" altLang="zh-CN" sz="1200">
                        <a:solidFill>
                          <a:sysClr val="windowText" lastClr="000000"/>
                        </a:solidFill>
                      </a:rPr>
                      <a:t>                           2023</a:t>
                    </a:r>
                    <a:r>
                      <a:rPr altLang="en-US" sz="1200">
                        <a:solidFill>
                          <a:sysClr val="windowText" lastClr="000000"/>
                        </a:solidFill>
                      </a:rPr>
                      <a:t>年</a:t>
                    </a:r>
                    <a:r>
                      <a:rPr sz="1200">
                        <a:solidFill>
                          <a:sysClr val="windowText" lastClr="000000"/>
                        </a:solidFill>
                      </a:rPr>
                      <a:t>收、支决算变动表</a:t>
                    </a:r>
                    <a:r>
                      <a:rPr lang="en-US" altLang="zh-CN" sz="1200">
                        <a:solidFill>
                          <a:sysClr val="windowText" lastClr="000000"/>
                        </a:solidFill>
                      </a:rPr>
                      <a:t>                         </a:t>
                    </a:r>
                    <a:r>
                      <a:rPr altLang="en-US" sz="1200">
                        <a:solidFill>
                          <a:sysClr val="windowText" lastClr="000000"/>
                        </a:solidFill>
                      </a:rPr>
                      <a:t>单位：万元</a:t>
                    </a:r>
                    <a:endParaRPr lang="en-US" altLang="zh-CN" sz="1200">
                      <a:solidFill>
                        <a:sysClr val="windowText" lastClr="000000"/>
                      </a:solidFill>
                    </a:endParaRPr>
                  </a:p>
                </c:rich>
              </c:tx>
              <c:dLblPos val="inEnd"/>
              <c:showLegendKey val="0"/>
              <c:showVal val="1"/>
              <c:showCatName val="0"/>
              <c:showSerName val="0"/>
              <c:showPercent val="0"/>
              <c:showBubbleSize val="0"/>
              <c:extLst>
                <c:ext xmlns:c15="http://schemas.microsoft.com/office/drawing/2012/chart" uri="{CE6537A1-D6FC-4f65-9D91-7224C49458BB}">
                  <c15:layout>
                    <c:manualLayout>
                      <c:w val="0.850375"/>
                      <c:h val="0.158609148382298"/>
                    </c:manualLayout>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65"/>
        <c:overlap val="0"/>
        <c:axId val="209809881"/>
        <c:axId val="339288108"/>
      </c:barChart>
      <c:catAx>
        <c:axId val="209809881"/>
        <c:scaling>
          <c:orientation val="minMax"/>
        </c:scaling>
        <c:delete val="0"/>
        <c:axPos val="b"/>
        <c:majorTickMark val="out"/>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339288108"/>
        <c:crosses val="autoZero"/>
        <c:auto val="1"/>
        <c:lblAlgn val="ctr"/>
        <c:lblOffset val="100"/>
        <c:noMultiLvlLbl val="0"/>
      </c:catAx>
      <c:valAx>
        <c:axId val="33928810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209809881"/>
        <c:crosses val="autoZero"/>
        <c:crossBetween val="between"/>
      </c:valAx>
      <c:spPr>
        <a:noFill/>
        <a:ln>
          <a:noFill/>
        </a:ln>
        <a:effectLst/>
      </c:spPr>
    </c:plotArea>
    <c:legend>
      <c:legendPos val="r"/>
      <c:legendEntry>
        <c:idx val="2"/>
        <c:delete val="1"/>
      </c:legendEntry>
      <c:layout/>
      <c:overlay val="0"/>
      <c:spPr>
        <a:solidFill>
          <a:schemeClr val="lt1">
            <a:lumMod val="95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326f8b7b-880e-4eb2-9d04-2c54c8df7467}"/>
      </c:ext>
    </c:extLst>
  </c:chart>
  <c:spPr>
    <a:solidFill>
      <a:schemeClr val="bg2"/>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2023年预算收入</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bbd343-8eff-438d-9cff-03a1d2d35f1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年全年支出饼状图</a:t>
            </a:r>
          </a:p>
        </c:rich>
      </c:tx>
      <c:layout/>
      <c:overlay val="0"/>
      <c:spPr>
        <a:noFill/>
        <a:ln>
          <a:noFill/>
        </a:ln>
        <a:effectLst/>
      </c:spPr>
    </c:title>
    <c:autoTitleDeleted val="0"/>
    <c:plotArea>
      <c:layout/>
      <c:pieChart>
        <c:varyColors val="1"/>
        <c:ser>
          <c:idx val="0"/>
          <c:order val="0"/>
          <c:tx>
            <c:strRef>
              <c:f>Sheet1!$B$1</c:f>
              <c:strCache>
                <c:ptCount val="1"/>
                <c:pt idx="0">
                  <c:v>2023年全年支出饼状图（按支出性质）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0.9777</c:v>
                </c:pt>
                <c:pt idx="1">
                  <c:v>0.0222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0547cf7-cb4a-4ab5-ad7a-db4e3ee48fc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325"/>
          <c:y val="0.145224171539961"/>
          <c:w val="0.808425"/>
          <c:h val="0.736939571150097"/>
        </c:manualLayout>
      </c:layout>
      <c:barChart>
        <c:barDir val="col"/>
        <c:grouping val="clustered"/>
        <c:varyColors val="0"/>
        <c:ser>
          <c:idx val="0"/>
          <c:order val="0"/>
          <c:tx>
            <c:strRef>
              <c:f>Sheet1!$B$1</c:f>
              <c:strCache>
                <c:ptCount val="1"/>
                <c:pt idx="0">
                  <c:v>收入</c:v>
                </c:pt>
              </c:strCache>
            </c:strRef>
          </c:tx>
          <c:spPr>
            <a:solidFill>
              <a:srgbClr val="4F81BD">
                <a:alpha val="85000"/>
              </a:srgbClr>
            </a:solidFill>
            <a:ln w="9525" cap="flat" cmpd="sng" algn="ctr">
              <a:solidFill>
                <a:srgbClr val="FFFFFF">
                  <a:alpha val="50000"/>
                </a:srgb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FFFFFF"/>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rgbClr val="808080">
                          <a:lumMod val="50000"/>
                          <a:lumOff val="50000"/>
                        </a:srgb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231.29</c:v>
                </c:pt>
                <c:pt idx="1">
                  <c:v>360.35</c:v>
                </c:pt>
              </c:numCache>
            </c:numRef>
          </c:val>
        </c:ser>
        <c:ser>
          <c:idx val="1"/>
          <c:order val="1"/>
          <c:tx>
            <c:strRef>
              <c:f>Sheet1!$C$1</c:f>
              <c:strCache>
                <c:ptCount val="1"/>
                <c:pt idx="0">
                  <c:v>支出</c:v>
                </c:pt>
              </c:strCache>
            </c:strRef>
          </c:tx>
          <c:spPr>
            <a:solidFill>
              <a:srgbClr val="C0504D">
                <a:alpha val="85000"/>
              </a:srgbClr>
            </a:solidFill>
            <a:ln w="9525" cap="flat" cmpd="sng" algn="ctr">
              <a:solidFill>
                <a:srgbClr val="FFFFFF">
                  <a:alpha val="50000"/>
                </a:srgbClr>
              </a:solidFill>
              <a:round/>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FFFFFF"/>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rgbClr val="808080">
                          <a:lumMod val="50000"/>
                          <a:lumOff val="50000"/>
                        </a:srgb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231.29</c:v>
                </c:pt>
                <c:pt idx="1">
                  <c:v>360.35</c:v>
                </c:pt>
              </c:numCache>
            </c:numRef>
          </c:val>
        </c:ser>
        <c:ser>
          <c:idx val="2"/>
          <c:order val="2"/>
          <c:tx>
            <c:strRef>
              <c:f>Sheet1!#REF!</c:f>
              <c:strCache>
                <c:ptCount val="1"/>
                <c:pt idx="0">
                  <c:v/>
                </c:pt>
              </c:strCache>
            </c:strRef>
          </c:tx>
          <c:spPr>
            <a:solidFill>
              <a:srgbClr val="9BBB59">
                <a:alpha val="85000"/>
              </a:srgbClr>
            </a:solidFill>
            <a:ln w="9525" cap="flat" cmpd="sng" algn="ctr">
              <a:solidFill>
                <a:srgbClr val="FFFFFF">
                  <a:alpha val="50000"/>
                </a:srgbClr>
              </a:solidFill>
              <a:round/>
            </a:ln>
            <a:effectLst/>
          </c:spPr>
          <c:invertIfNegative val="0"/>
          <c:dLbls>
            <c:dLbl>
              <c:idx val="0"/>
              <c:layout>
                <c:manualLayout>
                  <c:x val="0.04675"/>
                  <c:y val="-0.693928448572411"/>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rgbClr val="FFFFFF"/>
                        </a:solidFill>
                        <a:latin typeface="+mn-lt"/>
                        <a:ea typeface="+mn-ea"/>
                        <a:cs typeface="+mn-cs"/>
                      </a:defRPr>
                    </a:pPr>
                    <a:r>
                      <a:rPr lang="en-US" altLang="zh-CN" sz="1200">
                        <a:solidFill>
                          <a:sysClr val="windowText" lastClr="000000"/>
                        </a:solidFill>
                      </a:rPr>
                      <a:t>                    2022</a:t>
                    </a:r>
                    <a:r>
                      <a:rPr altLang="en-US" sz="1200">
                        <a:solidFill>
                          <a:sysClr val="windowText" lastClr="000000"/>
                        </a:solidFill>
                      </a:rPr>
                      <a:t>年至</a:t>
                    </a:r>
                    <a:r>
                      <a:rPr lang="en-US" altLang="zh-CN" sz="1200">
                        <a:solidFill>
                          <a:sysClr val="windowText" lastClr="000000"/>
                        </a:solidFill>
                      </a:rPr>
                      <a:t>2023</a:t>
                    </a:r>
                    <a:r>
                      <a:rPr altLang="en-US" sz="1200">
                        <a:solidFill>
                          <a:sysClr val="windowText" lastClr="000000"/>
                        </a:solidFill>
                      </a:rPr>
                      <a:t>年收入支出对比图</a:t>
                    </a:r>
                    <a:r>
                      <a:rPr lang="en-US" altLang="zh-CN" sz="1200">
                        <a:solidFill>
                          <a:sysClr val="windowText" lastClr="000000"/>
                        </a:solidFill>
                      </a:rPr>
                      <a:t>                          </a:t>
                    </a:r>
                    <a:r>
                      <a:rPr altLang="en-US" sz="1200">
                        <a:solidFill>
                          <a:sysClr val="windowText" lastClr="000000"/>
                        </a:solidFill>
                      </a:rPr>
                      <a:t>单位：万元</a:t>
                    </a:r>
                    <a:endParaRPr lang="en-US" altLang="en-US" sz="1200">
                      <a:solidFill>
                        <a:sysClr val="windowText" lastClr="000000"/>
                      </a:solidFill>
                    </a:endParaRPr>
                  </a:p>
                </c:rich>
              </c:tx>
              <c:dLblPos val="inEnd"/>
              <c:showLegendKey val="0"/>
              <c:showVal val="1"/>
              <c:showCatName val="0"/>
              <c:showSerName val="0"/>
              <c:showPercent val="0"/>
              <c:showBubbleSize val="0"/>
              <c:extLst>
                <c:ext xmlns:c15="http://schemas.microsoft.com/office/drawing/2012/chart" uri="{CE6537A1-D6FC-4f65-9D91-7224C49458BB}">
                  <c15:layout>
                    <c:manualLayout>
                      <c:w val="0.943875"/>
                      <c:h val="0.146725860155383"/>
                    </c:manualLayout>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FFFFFF"/>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rgbClr val="808080">
                          <a:lumMod val="50000"/>
                          <a:lumOff val="50000"/>
                        </a:srgbClr>
                      </a:solidFill>
                      <a:prstDash val="solid"/>
                      <a:round/>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65"/>
        <c:axId val="175557248"/>
        <c:axId val="183722368"/>
      </c:barChart>
      <c:catAx>
        <c:axId val="175557248"/>
        <c:scaling>
          <c:orientation val="minMax"/>
        </c:scaling>
        <c:delete val="0"/>
        <c:axPos val="b"/>
        <c:majorTickMark val="out"/>
        <c:minorTickMark val="none"/>
        <c:tickLblPos val="nextTo"/>
        <c:spPr>
          <a:noFill/>
          <a:ln w="19050" cap="flat" cmpd="sng" algn="ctr">
            <a:solidFill>
              <a:srgbClr val="404040">
                <a:lumMod val="75000"/>
                <a:lumOff val="25000"/>
              </a:srgbClr>
            </a:solidFill>
            <a:prstDash val="solid"/>
            <a:round/>
          </a:ln>
          <a:effectLst/>
        </c:spPr>
        <c:txPr>
          <a:bodyPr rot="-60000000" spcFirstLastPara="0" vertOverflow="ellipsis" vert="horz" wrap="square" anchor="ctr" anchorCtr="1"/>
          <a:lstStyle/>
          <a:p>
            <a:pPr>
              <a:defRPr lang="zh-CN" sz="900" b="0" i="0" u="none" strike="noStrike" kern="1200" cap="all" baseline="0">
                <a:solidFill>
                  <a:srgbClr val="404040">
                    <a:lumMod val="75000"/>
                    <a:lumOff val="25000"/>
                  </a:srgbClr>
                </a:solidFill>
                <a:latin typeface="+mn-lt"/>
                <a:ea typeface="+mn-ea"/>
                <a:cs typeface="+mn-cs"/>
              </a:defRPr>
            </a:pPr>
          </a:p>
        </c:txPr>
        <c:crossAx val="183722368"/>
        <c:crosses val="autoZero"/>
        <c:auto val="1"/>
        <c:lblAlgn val="ctr"/>
        <c:lblOffset val="100"/>
        <c:noMultiLvlLbl val="0"/>
      </c:catAx>
      <c:valAx>
        <c:axId val="183722368"/>
        <c:scaling>
          <c:orientation val="minMax"/>
        </c:scaling>
        <c:delete val="0"/>
        <c:axPos val="l"/>
        <c:majorGridlines>
          <c:spPr>
            <a:ln w="9525" cap="flat" cmpd="sng" algn="ctr">
              <a:gradFill>
                <a:gsLst>
                  <a:gs pos="100000">
                    <a:srgbClr val="0D0D0D">
                      <a:lumMod val="95000"/>
                      <a:lumOff val="5000"/>
                      <a:alpha val="42000"/>
                    </a:srgbClr>
                  </a:gs>
                  <a:gs pos="0">
                    <a:srgbClr val="BFBFBF">
                      <a:lumMod val="75000"/>
                      <a:alpha val="36000"/>
                    </a:srgbClr>
                  </a:gs>
                </a:gsLst>
                <a:lin ang="5400000" scaled="0"/>
              </a:gra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404040">
                    <a:lumMod val="75000"/>
                    <a:lumOff val="25000"/>
                  </a:srgbClr>
                </a:solidFill>
                <a:latin typeface="+mn-lt"/>
                <a:ea typeface="+mn-ea"/>
                <a:cs typeface="+mn-cs"/>
              </a:defRPr>
            </a:pPr>
          </a:p>
        </c:txPr>
        <c:crossAx val="175557248"/>
        <c:crosses val="autoZero"/>
        <c:crossBetween val="between"/>
      </c:valAx>
      <c:spPr>
        <a:noFill/>
        <a:ln>
          <a:noFill/>
        </a:ln>
        <a:effectLst/>
      </c:spPr>
    </c:plotArea>
    <c:legend>
      <c:legendPos val="r"/>
      <c:legendEntry>
        <c:idx val="2"/>
        <c:delete val="1"/>
      </c:legendEntry>
      <c:layout/>
      <c:overlay val="0"/>
      <c:spPr>
        <a:solidFill>
          <a:srgbClr val="F2F2F2">
            <a:lumMod val="95000"/>
          </a:srgbClr>
        </a:solidFill>
        <a:ln>
          <a:noFill/>
        </a:ln>
        <a:effectLst/>
      </c:spPr>
      <c:txPr>
        <a:bodyPr rot="0" spcFirstLastPara="0" vertOverflow="ellipsis" vert="horz" wrap="square" anchor="ctr" anchorCtr="1"/>
        <a:lstStyle/>
        <a:p>
          <a:pPr>
            <a:defRPr lang="zh-CN" sz="900" b="0" i="0" u="none" strike="noStrike" kern="1200" baseline="0">
              <a:solidFill>
                <a:srgbClr val="404040">
                  <a:lumMod val="75000"/>
                  <a:lumOff val="25000"/>
                </a:srgbClr>
              </a:solidFill>
              <a:latin typeface="+mn-lt"/>
              <a:ea typeface="+mn-ea"/>
              <a:cs typeface="+mn-cs"/>
            </a:defRPr>
          </a:pPr>
        </a:p>
      </c:txPr>
    </c:legend>
    <c:plotVisOnly val="1"/>
    <c:dispBlanksAs val="gap"/>
    <c:showDLblsOverMax val="0"/>
    <c:extLst>
      <c:ext uri="{0b15fc19-7d7d-44ad-8c2d-2c3a37ce22c3}">
        <chartProps xmlns="https://web.wps.cn/et/2018/main" chartId="{0f87f388-a329-4285-9325-bfff47be4f75}"/>
      </c:ext>
    </c:extLst>
  </c:chart>
  <c:spPr>
    <a:solidFill>
      <a:srgbClr val="EEECE1"/>
    </a:solidFill>
    <a:ln w="9525" cap="flat" cmpd="sng" algn="ctr">
      <a:solidFill>
        <a:srgbClr val="BFBFBF">
          <a:lumMod val="25000"/>
          <a:lumOff val="75000"/>
        </a:srgb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325"/>
          <c:y val="0.172056026283936"/>
          <c:w val="0.583425"/>
          <c:h val="0.740515303475705"/>
        </c:manualLayout>
      </c:layout>
      <c:barChart>
        <c:barDir val="col"/>
        <c:grouping val="clustered"/>
        <c:varyColors val="0"/>
        <c:ser>
          <c:idx val="0"/>
          <c:order val="0"/>
          <c:tx>
            <c:strRef>
              <c:f>Sheet1!$B$1</c:f>
              <c:strCache>
                <c:ptCount val="1"/>
                <c:pt idx="0">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2022年</c:v>
                </c:pt>
                <c:pt idx="1">
                  <c:v>2023年</c:v>
                </c:pt>
              </c:strCache>
            </c:strRef>
          </c:cat>
          <c:val>
            <c:numRef>
              <c:f>Sheet1!$B$2:$B$3</c:f>
              <c:numCache>
                <c:formatCode>General</c:formatCode>
                <c:ptCount val="2"/>
              </c:numCache>
            </c:numRef>
          </c:val>
        </c:ser>
        <c:ser>
          <c:idx val="1"/>
          <c:order val="1"/>
          <c:tx>
            <c:strRef>
              <c:f>Sheet1!$C$1</c:f>
              <c:strCache>
                <c:ptCount val="1"/>
                <c:pt idx="0">
                  <c:v>一般公共预算财政拨款支出</c:v>
                </c:pt>
              </c:strCache>
            </c:strRef>
          </c:tx>
          <c:spPr>
            <a:solidFill>
              <a:schemeClr val="accent2">
                <a:alpha val="85000"/>
              </a:schemeClr>
            </a:solidFill>
            <a:ln w="9525" cap="flat" cmpd="sng" algn="ctr">
              <a:solidFill>
                <a:schemeClr val="lt1">
                  <a:alpha val="50000"/>
                </a:schemeClr>
              </a:solidFill>
              <a:round/>
            </a:ln>
            <a:effectLst/>
          </c:spPr>
          <c:invertIfNegative val="0"/>
          <c:dPt>
            <c:idx val="0"/>
            <c:invertIfNegative val="0"/>
            <c:bubble3D val="0"/>
          </c:dPt>
          <c:dLbls>
            <c:numFmt formatCode="General"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2022年</c:v>
                </c:pt>
                <c:pt idx="1">
                  <c:v>2023年</c:v>
                </c:pt>
              </c:strCache>
            </c:strRef>
          </c:cat>
          <c:val>
            <c:numRef>
              <c:f>Sheet1!$C$2:$C$3</c:f>
              <c:numCache>
                <c:formatCode>General</c:formatCode>
                <c:ptCount val="2"/>
                <c:pt idx="0">
                  <c:v>231.29</c:v>
                </c:pt>
                <c:pt idx="1">
                  <c:v>360.35</c:v>
                </c:pt>
              </c:numCache>
            </c:numRef>
          </c:val>
        </c:ser>
        <c:ser>
          <c:idx val="2"/>
          <c:order val="2"/>
          <c:tx>
            <c:strRef>
              <c:f>Sheet1!#REF!</c:f>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65"/>
        <c:overlap val="0"/>
        <c:axId val="209809881"/>
        <c:axId val="339288108"/>
      </c:barChart>
      <c:catAx>
        <c:axId val="209809881"/>
        <c:scaling>
          <c:orientation val="minMax"/>
        </c:scaling>
        <c:delete val="0"/>
        <c:axPos val="b"/>
        <c:majorTickMark val="out"/>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339288108"/>
        <c:crosses val="autoZero"/>
        <c:auto val="1"/>
        <c:lblAlgn val="ctr"/>
        <c:lblOffset val="100"/>
        <c:noMultiLvlLbl val="0"/>
      </c:catAx>
      <c:valAx>
        <c:axId val="33928810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209809881"/>
        <c:crosses val="autoZero"/>
        <c:crossBetween val="between"/>
      </c:valAx>
      <c:spPr>
        <a:noFill/>
        <a:ln>
          <a:noFill/>
        </a:ln>
        <a:effectLst/>
      </c:spPr>
    </c:plotArea>
    <c:legend>
      <c:legendPos val="r"/>
      <c:legendEntry>
        <c:idx val="0"/>
        <c:delete val="1"/>
      </c:legendEntry>
      <c:legendEntry>
        <c:idx val="2"/>
        <c:delete val="1"/>
      </c:legendEntry>
      <c:layout/>
      <c:overlay val="0"/>
      <c:spPr>
        <a:solidFill>
          <a:schemeClr val="lt1">
            <a:lumMod val="95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737214a1-63d8-4b98-8344-35f176063434}"/>
      </c:ext>
    </c:extLst>
  </c:chart>
  <c:spPr>
    <a:solidFill>
      <a:schemeClr val="bg2"/>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年财政拨款支出饼状图</a:t>
            </a:r>
          </a:p>
        </c:rich>
      </c:tx>
      <c:layout/>
      <c:overlay val="0"/>
      <c:spPr>
        <a:noFill/>
        <a:ln>
          <a:noFill/>
        </a:ln>
        <a:effectLst/>
      </c:spPr>
    </c:title>
    <c:autoTitleDeleted val="0"/>
    <c:plotArea>
      <c:layout>
        <c:manualLayout>
          <c:layoutTarget val="inner"/>
          <c:xMode val="edge"/>
          <c:yMode val="edge"/>
          <c:x val="0.327504228074414"/>
          <c:y val="0.300484487887803"/>
          <c:w val="0.34740758637352"/>
          <c:h val="0.611100722481938"/>
        </c:manualLayout>
      </c:layout>
      <c:pieChart>
        <c:varyColors val="1"/>
        <c:ser>
          <c:idx val="0"/>
          <c:order val="0"/>
          <c:tx>
            <c:strRef>
              <c:f>Sheet1!$B$1</c:f>
              <c:strCache>
                <c:ptCount val="1"/>
                <c:pt idx="0">
                  <c:v>2023年财政拨款支出饼状图（按经济分类）</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196267314416266"/>
                  <c:y val="-0.06317446095067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06639536259828"/>
                  <c:y val="0.061522618192345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866151244261899"/>
                      <c:h val="0.0654444681304626"/>
                    </c:manualLayout>
                  </c15:layout>
                </c:ext>
              </c:extLst>
            </c:dLbl>
            <c:dLbl>
              <c:idx val="2"/>
              <c:layout>
                <c:manualLayout>
                  <c:x val="0.00186361456693903"/>
                  <c:y val="0.017073962650549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072965866709"/>
                  <c:y val="-0.001445285091072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0.00%</c:formatCode>
                <c:ptCount val="4"/>
                <c:pt idx="0">
                  <c:v>0.5687</c:v>
                </c:pt>
                <c:pt idx="1">
                  <c:v>0.364</c:v>
                </c:pt>
                <c:pt idx="2">
                  <c:v>0.0248</c:v>
                </c:pt>
                <c:pt idx="3">
                  <c:v>0.0425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3c56519-bf2d-45e3-a341-c07bfd31ff7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3033</Words>
  <Characters>3483</Characters>
  <Lines>54</Lines>
  <Paragraphs>15</Paragraphs>
  <TotalTime>2</TotalTime>
  <ScaleCrop>false</ScaleCrop>
  <LinksUpToDate>false</LinksUpToDate>
  <CharactersWithSpaces>3635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2024-10-23T01:39:00Z</cp:lastPrinted>
  <dcterms:modified xsi:type="dcterms:W3CDTF">2024-10-25T14:11:01Z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5784F3522262499E9F308751411A9D5F_12</vt:lpwstr>
  </property>
</Properties>
</file>