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49C88">
      <w:pPr>
        <w:spacing w:line="600" w:lineRule="exact"/>
        <w:jc w:val="left"/>
        <w:outlineLvl w:val="0"/>
        <w:rPr>
          <w:rFonts w:ascii="方正小标宋简体" w:hAnsi="宋体" w:eastAsia="方正小标宋简体"/>
          <w:szCs w:val="21"/>
        </w:rPr>
      </w:pPr>
      <w:bookmarkStart w:id="0" w:name="_Toc15306267"/>
    </w:p>
    <w:p w14:paraId="65E3E547">
      <w:pPr>
        <w:pStyle w:val="2"/>
        <w:spacing w:before="93"/>
      </w:pPr>
    </w:p>
    <w:p w14:paraId="447AF3F7">
      <w:pPr>
        <w:spacing w:line="600" w:lineRule="exact"/>
        <w:jc w:val="center"/>
        <w:outlineLvl w:val="0"/>
        <w:rPr>
          <w:rFonts w:ascii="方正小标宋简体" w:hAnsi="宋体" w:eastAsia="方正小标宋简体"/>
          <w:sz w:val="72"/>
          <w:szCs w:val="72"/>
        </w:rPr>
      </w:pPr>
    </w:p>
    <w:p w14:paraId="3EC5E014">
      <w:pPr>
        <w:spacing w:line="600" w:lineRule="exact"/>
        <w:jc w:val="center"/>
        <w:outlineLvl w:val="0"/>
        <w:rPr>
          <w:rFonts w:ascii="方正小标宋简体" w:hAnsi="宋体" w:eastAsia="方正小标宋简体"/>
          <w:sz w:val="72"/>
          <w:szCs w:val="72"/>
        </w:rPr>
      </w:pPr>
    </w:p>
    <w:p w14:paraId="1544ADC7">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96475"/>
      <w:bookmarkStart w:id="3" w:name="_Toc15377193"/>
      <w:bookmarkStart w:id="4" w:name="_Toc15396597"/>
      <w:bookmarkStart w:id="5" w:name="_Toc15378441"/>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3</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p>
    <w:bookmarkEnd w:id="0"/>
    <w:p w14:paraId="6AC73E5D">
      <w:pPr>
        <w:adjustRightInd w:val="0"/>
        <w:snapToGrid w:val="0"/>
        <w:spacing w:line="360" w:lineRule="auto"/>
        <w:jc w:val="center"/>
        <w:outlineLvl w:val="0"/>
        <w:rPr>
          <w:rFonts w:ascii="方正小标宋简体" w:hAnsi="方正小标宋简体" w:eastAsia="方正小标宋简体" w:cs="方正小标宋简体"/>
          <w:sz w:val="72"/>
          <w:szCs w:val="72"/>
          <w:highlight w:val="none"/>
        </w:rPr>
      </w:pPr>
      <w:bookmarkStart w:id="6" w:name="_Toc15377194"/>
      <w:bookmarkStart w:id="7" w:name="_Toc15377426"/>
      <w:bookmarkStart w:id="8" w:name="_Toc15396476"/>
      <w:bookmarkStart w:id="9" w:name="_Toc15378442"/>
      <w:bookmarkStart w:id="10" w:name="_Toc15306268"/>
      <w:bookmarkStart w:id="11" w:name="_Toc15396598"/>
      <w:r>
        <w:rPr>
          <w:rFonts w:hint="eastAsia" w:ascii="方正小标宋简体" w:hAnsi="方正小标宋简体" w:eastAsia="方正小标宋简体" w:cs="方正小标宋简体"/>
          <w:color w:val="auto"/>
          <w:sz w:val="72"/>
          <w:szCs w:val="72"/>
          <w:highlight w:val="none"/>
          <w:lang w:eastAsia="zh-CN"/>
        </w:rPr>
        <w:t>大竹县竹阳街道办事处社区卫生服务中心</w:t>
      </w:r>
      <w:r>
        <w:rPr>
          <w:rFonts w:hint="eastAsia" w:ascii="方正小标宋简体" w:hAnsi="方正小标宋简体" w:eastAsia="方正小标宋简体" w:cs="方正小标宋简体"/>
          <w:sz w:val="72"/>
          <w:szCs w:val="72"/>
          <w:highlight w:val="none"/>
        </w:rPr>
        <w:t>决算</w:t>
      </w:r>
      <w:bookmarkEnd w:id="6"/>
      <w:bookmarkEnd w:id="7"/>
      <w:bookmarkEnd w:id="8"/>
      <w:bookmarkEnd w:id="9"/>
      <w:bookmarkEnd w:id="10"/>
      <w:bookmarkEnd w:id="11"/>
    </w:p>
    <w:p w14:paraId="48B22888">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7E91663E">
      <w:pPr>
        <w:widowControl/>
        <w:jc w:val="center"/>
        <w:rPr>
          <w:rFonts w:ascii="黑体" w:hAnsi="黑体" w:eastAsia="黑体" w:cstheme="minorBidi"/>
          <w:sz w:val="28"/>
          <w:szCs w:val="28"/>
        </w:rPr>
      </w:pPr>
    </w:p>
    <w:p w14:paraId="7DF3726F">
      <w:pPr>
        <w:pStyle w:val="11"/>
        <w:rPr>
          <w:rFonts w:hint="default" w:eastAsia="仿宋"/>
          <w:highlight w:val="none"/>
          <w:lang w:val="en-US" w:eastAsia="zh-CN"/>
        </w:rPr>
      </w:pPr>
      <w:r>
        <w:rPr>
          <w:rFonts w:hint="eastAsia"/>
          <w:highlight w:val="none"/>
        </w:rPr>
        <w:t>公开时间：202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w:t>
      </w:r>
    </w:p>
    <w:p w14:paraId="619E5C24">
      <w:pPr>
        <w:rPr>
          <w:highlight w:val="yellow"/>
        </w:rPr>
      </w:pPr>
    </w:p>
    <w:p w14:paraId="26735957">
      <w:pPr>
        <w:pStyle w:val="11"/>
        <w:adjustRightInd w:val="0"/>
        <w:snapToGrid w:val="0"/>
        <w:spacing w:before="0" w:line="440" w:lineRule="exact"/>
        <w:jc w:val="left"/>
        <w:rPr>
          <w:rFonts w:cstheme="minorBidi"/>
          <w:color w:val="auto"/>
          <w:sz w:val="24"/>
          <w:szCs w:val="24"/>
          <w:highlight w:val="none"/>
        </w:rPr>
      </w:pPr>
      <w:r>
        <w:rPr>
          <w:rFonts w:hint="eastAsia"/>
          <w:sz w:val="24"/>
          <w:highlight w:val="none"/>
        </w:rPr>
        <w:t>第一部分</w:t>
      </w:r>
      <w:r>
        <w:rPr>
          <w:sz w:val="24"/>
          <w:highlight w:val="none"/>
        </w:rPr>
        <w:t xml:space="preserve"> </w:t>
      </w:r>
      <w:r>
        <w:rPr>
          <w:rFonts w:hint="eastAsia"/>
          <w:sz w:val="24"/>
          <w:highlight w:val="none"/>
        </w:rPr>
        <w:t>单位概况</w:t>
      </w:r>
      <w:r>
        <w:rPr>
          <w:rFonts w:ascii="宋体" w:hAnsi="宋体" w:eastAsia="宋体" w:cs="宋体"/>
          <w:sz w:val="24"/>
          <w:szCs w:val="24"/>
          <w:highlight w:val="none"/>
        </w:rPr>
        <w:t>...................................................</w:t>
      </w:r>
      <w:r>
        <w:rPr>
          <w:rFonts w:hint="eastAsia"/>
          <w:sz w:val="24"/>
          <w:highlight w:val="none"/>
          <w:lang w:val="en-US" w:eastAsia="zh-CN"/>
        </w:rPr>
        <w:t>4</w:t>
      </w:r>
    </w:p>
    <w:p w14:paraId="31786B61">
      <w:pPr>
        <w:pStyle w:val="12"/>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r>
        <w:rPr>
          <w:rFonts w:ascii="宋体" w:hAnsi="宋体" w:eastAsia="宋体" w:cs="宋体"/>
          <w:sz w:val="24"/>
          <w:szCs w:val="24"/>
          <w:highlight w:val="none"/>
        </w:rPr>
        <w:t>.....................................................</w:t>
      </w:r>
      <w:r>
        <w:rPr>
          <w:rFonts w:hint="eastAsia"/>
          <w:sz w:val="24"/>
          <w:highlight w:val="none"/>
          <w:lang w:val="en-US" w:eastAsia="zh-CN"/>
        </w:rPr>
        <w:t>4</w:t>
      </w:r>
    </w:p>
    <w:p w14:paraId="59E18B1C">
      <w:pPr>
        <w:pStyle w:val="12"/>
        <w:adjustRightInd w:val="0"/>
        <w:snapToGrid w:val="0"/>
        <w:spacing w:line="440" w:lineRule="exact"/>
        <w:jc w:val="left"/>
        <w:rPr>
          <w:rFonts w:cstheme="minorBidi"/>
          <w:sz w:val="24"/>
          <w:szCs w:val="24"/>
          <w:highlight w:val="none"/>
        </w:rPr>
      </w:pPr>
      <w:r>
        <w:rPr>
          <w:rFonts w:hint="eastAsia" w:asciiTheme="minorEastAsia" w:hAnsiTheme="minorEastAsia" w:eastAsiaTheme="minorEastAsia" w:cstheme="minorEastAsia"/>
          <w:color w:val="auto"/>
          <w:sz w:val="24"/>
          <w:highlight w:val="none"/>
          <w:lang w:eastAsia="zh-CN"/>
        </w:rPr>
        <w:t>二、</w:t>
      </w:r>
      <w:r>
        <w:rPr>
          <w:rFonts w:hint="eastAsia"/>
          <w:color w:val="auto"/>
          <w:sz w:val="24"/>
          <w:highlight w:val="none"/>
          <w:lang w:eastAsia="zh-CN"/>
        </w:rPr>
        <w:t>机构设置</w:t>
      </w:r>
      <w:r>
        <w:rPr>
          <w:rFonts w:ascii="宋体" w:hAnsi="宋体" w:eastAsia="宋体" w:cs="宋体"/>
          <w:sz w:val="24"/>
          <w:szCs w:val="24"/>
          <w:highlight w:val="none"/>
        </w:rPr>
        <w:t>....................................................</w:t>
      </w:r>
      <w:r>
        <w:rPr>
          <w:rFonts w:hint="eastAsia" w:ascii="宋体" w:hAnsi="宋体" w:cs="宋体"/>
          <w:sz w:val="24"/>
          <w:szCs w:val="24"/>
          <w:highlight w:val="none"/>
          <w:lang w:val="en-US" w:eastAsia="zh-CN"/>
        </w:rPr>
        <w:t>.</w:t>
      </w:r>
      <w:r>
        <w:rPr>
          <w:rFonts w:hint="eastAsia"/>
          <w:sz w:val="24"/>
          <w:highlight w:val="none"/>
          <w:lang w:val="en-US" w:eastAsia="zh-CN"/>
        </w:rPr>
        <w:t>4</w:t>
      </w:r>
    </w:p>
    <w:p w14:paraId="5E70A02D">
      <w:pPr>
        <w:pStyle w:val="12"/>
        <w:adjustRightInd w:val="0"/>
        <w:snapToGrid w:val="0"/>
        <w:spacing w:line="440" w:lineRule="exact"/>
        <w:ind w:left="0" w:leftChars="0" w:firstLine="0" w:firstLineChars="0"/>
        <w:jc w:val="left"/>
        <w:rPr>
          <w:color w:val="auto"/>
          <w:sz w:val="24"/>
          <w:szCs w:val="24"/>
          <w:highlight w:val="none"/>
        </w:rPr>
      </w:pPr>
      <w:r>
        <w:rPr>
          <w:rFonts w:hint="eastAsia" w:ascii="仿宋" w:hAnsi="仿宋" w:eastAsia="仿宋" w:cs="Times New Roman"/>
          <w:kern w:val="2"/>
          <w:sz w:val="24"/>
          <w:szCs w:val="28"/>
          <w:highlight w:val="none"/>
          <w:lang w:val="en-US" w:eastAsia="zh-CN" w:bidi="ar-SA"/>
        </w:rPr>
        <w:t>第二部分 2023年度单位决算情况说明</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w:t>
      </w:r>
      <w:r>
        <w:rPr>
          <w:rFonts w:ascii="宋体" w:hAnsi="宋体" w:eastAsia="宋体" w:cs="宋体"/>
          <w:sz w:val="24"/>
          <w:szCs w:val="24"/>
          <w:highlight w:val="none"/>
        </w:rPr>
        <w:t>....................</w:t>
      </w:r>
      <w:r>
        <w:rPr>
          <w:rFonts w:hint="eastAsia" w:ascii="宋体" w:hAnsi="宋体" w:cs="宋体"/>
          <w:sz w:val="24"/>
          <w:szCs w:val="24"/>
          <w:highlight w:val="none"/>
          <w:lang w:val="en-US" w:eastAsia="zh-CN"/>
        </w:rPr>
        <w:t>.</w:t>
      </w:r>
      <w:r>
        <w:rPr>
          <w:rFonts w:ascii="宋体" w:hAnsi="宋体" w:eastAsia="宋体" w:cs="宋体"/>
          <w:sz w:val="24"/>
          <w:szCs w:val="24"/>
          <w:highlight w:val="none"/>
        </w:rPr>
        <w:t>...</w:t>
      </w:r>
      <w:r>
        <w:rPr>
          <w:rFonts w:hint="eastAsia"/>
          <w:sz w:val="24"/>
          <w:highlight w:val="none"/>
          <w:lang w:val="en-US" w:eastAsia="zh-CN"/>
        </w:rPr>
        <w:t>5</w:t>
      </w:r>
    </w:p>
    <w:p w14:paraId="7C690196">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r>
        <w:rPr>
          <w:rFonts w:ascii="宋体" w:hAnsi="宋体" w:eastAsia="宋体" w:cs="宋体"/>
          <w:sz w:val="24"/>
          <w:szCs w:val="24"/>
          <w:highlight w:val="none"/>
        </w:rPr>
        <w:t>...........................</w:t>
      </w:r>
      <w:r>
        <w:rPr>
          <w:rFonts w:hint="eastAsia" w:ascii="宋体" w:hAnsi="宋体" w:cs="宋体"/>
          <w:sz w:val="24"/>
          <w:szCs w:val="24"/>
          <w:highlight w:val="none"/>
          <w:lang w:val="en-US" w:eastAsia="zh-CN"/>
        </w:rPr>
        <w:t>..</w:t>
      </w:r>
      <w:r>
        <w:rPr>
          <w:rFonts w:ascii="宋体" w:hAnsi="宋体" w:eastAsia="宋体" w:cs="宋体"/>
          <w:sz w:val="24"/>
          <w:szCs w:val="24"/>
          <w:highlight w:val="none"/>
        </w:rPr>
        <w:t>........</w:t>
      </w:r>
      <w:r>
        <w:rPr>
          <w:rFonts w:hint="eastAsia"/>
          <w:sz w:val="24"/>
          <w:highlight w:val="none"/>
          <w:lang w:val="en-US" w:eastAsia="zh-CN"/>
        </w:rPr>
        <w:t>5</w:t>
      </w:r>
    </w:p>
    <w:p w14:paraId="0A6230DA">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r>
        <w:rPr>
          <w:rFonts w:ascii="宋体" w:hAnsi="宋体" w:eastAsia="宋体" w:cs="宋体"/>
          <w:sz w:val="24"/>
          <w:szCs w:val="24"/>
          <w:highlight w:val="none"/>
        </w:rPr>
        <w:t>.............................................</w:t>
      </w:r>
      <w:r>
        <w:rPr>
          <w:rFonts w:hint="eastAsia"/>
          <w:sz w:val="24"/>
          <w:highlight w:val="none"/>
          <w:lang w:val="en-US" w:eastAsia="zh-CN"/>
        </w:rPr>
        <w:t>5</w:t>
      </w:r>
    </w:p>
    <w:p w14:paraId="6F27A0DF">
      <w:pPr>
        <w:pStyle w:val="12"/>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ascii="宋体" w:hAnsi="宋体" w:eastAsia="宋体" w:cs="宋体"/>
          <w:sz w:val="24"/>
          <w:szCs w:val="24"/>
          <w:highlight w:val="none"/>
        </w:rPr>
        <w:t>.............................................</w:t>
      </w:r>
      <w:r>
        <w:rPr>
          <w:rFonts w:hint="eastAsia"/>
          <w:sz w:val="24"/>
          <w:highlight w:val="none"/>
          <w:lang w:val="en-US" w:eastAsia="zh-CN"/>
        </w:rPr>
        <w:t>6</w:t>
      </w:r>
    </w:p>
    <w:p w14:paraId="76C98C92">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r>
        <w:rPr>
          <w:rFonts w:ascii="宋体" w:hAnsi="宋体" w:eastAsia="宋体" w:cs="宋体"/>
          <w:sz w:val="24"/>
          <w:szCs w:val="24"/>
          <w:highlight w:val="none"/>
        </w:rPr>
        <w:t>.........</w:t>
      </w:r>
      <w:r>
        <w:rPr>
          <w:rFonts w:hint="eastAsia" w:ascii="宋体" w:hAnsi="宋体" w:cs="宋体"/>
          <w:sz w:val="24"/>
          <w:szCs w:val="24"/>
          <w:highlight w:val="none"/>
          <w:lang w:val="en-US" w:eastAsia="zh-CN"/>
        </w:rPr>
        <w:t>.</w:t>
      </w:r>
      <w:r>
        <w:rPr>
          <w:rFonts w:ascii="宋体" w:hAnsi="宋体" w:eastAsia="宋体" w:cs="宋体"/>
          <w:sz w:val="24"/>
          <w:szCs w:val="24"/>
          <w:highlight w:val="none"/>
        </w:rPr>
        <w:t>...................</w:t>
      </w:r>
      <w:r>
        <w:rPr>
          <w:rFonts w:hint="eastAsia"/>
          <w:sz w:val="24"/>
          <w:highlight w:val="none"/>
          <w:lang w:val="en-US" w:eastAsia="zh-CN"/>
        </w:rPr>
        <w:t>7</w:t>
      </w:r>
    </w:p>
    <w:p w14:paraId="276ACAC8">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r>
        <w:rPr>
          <w:rFonts w:ascii="宋体" w:hAnsi="宋体" w:eastAsia="宋体" w:cs="宋体"/>
          <w:sz w:val="24"/>
          <w:szCs w:val="24"/>
          <w:highlight w:val="none"/>
        </w:rPr>
        <w:t>....</w:t>
      </w:r>
      <w:r>
        <w:rPr>
          <w:rFonts w:hint="eastAsia" w:ascii="宋体" w:hAnsi="宋体" w:cs="宋体"/>
          <w:sz w:val="24"/>
          <w:szCs w:val="24"/>
          <w:highlight w:val="none"/>
          <w:lang w:val="en-US" w:eastAsia="zh-CN"/>
        </w:rPr>
        <w:t>.</w:t>
      </w:r>
      <w:r>
        <w:rPr>
          <w:rFonts w:ascii="宋体" w:hAnsi="宋体" w:eastAsia="宋体" w:cs="宋体"/>
          <w:sz w:val="24"/>
          <w:szCs w:val="24"/>
          <w:highlight w:val="none"/>
        </w:rPr>
        <w:t>.....</w:t>
      </w:r>
      <w:r>
        <w:rPr>
          <w:rFonts w:hint="eastAsia" w:ascii="宋体" w:hAnsi="宋体" w:cs="宋体"/>
          <w:sz w:val="24"/>
          <w:szCs w:val="24"/>
          <w:highlight w:val="none"/>
          <w:lang w:val="en-US" w:eastAsia="zh-CN"/>
        </w:rPr>
        <w:t>.</w:t>
      </w:r>
      <w:r>
        <w:rPr>
          <w:rFonts w:ascii="宋体" w:hAnsi="宋体" w:eastAsia="宋体" w:cs="宋体"/>
          <w:sz w:val="24"/>
          <w:szCs w:val="24"/>
          <w:highlight w:val="none"/>
        </w:rPr>
        <w:t>..............</w:t>
      </w:r>
      <w:r>
        <w:rPr>
          <w:rFonts w:hint="eastAsia"/>
          <w:sz w:val="24"/>
          <w:highlight w:val="none"/>
          <w:lang w:val="en-US" w:eastAsia="zh-CN"/>
        </w:rPr>
        <w:t>8</w:t>
      </w:r>
    </w:p>
    <w:p w14:paraId="6AD80A65">
      <w:pPr>
        <w:pStyle w:val="12"/>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六、一般公共预算财政拨款基本支出决算情况说明</w:t>
      </w:r>
      <w:r>
        <w:rPr>
          <w:rFonts w:ascii="宋体" w:hAnsi="宋体" w:eastAsia="宋体" w:cs="宋体"/>
          <w:sz w:val="24"/>
          <w:szCs w:val="24"/>
          <w:highlight w:val="none"/>
        </w:rPr>
        <w:t>.</w:t>
      </w:r>
      <w:r>
        <w:rPr>
          <w:rFonts w:hint="eastAsia" w:ascii="宋体" w:hAnsi="宋体" w:cs="宋体"/>
          <w:sz w:val="24"/>
          <w:szCs w:val="24"/>
          <w:highlight w:val="none"/>
          <w:lang w:val="en-US" w:eastAsia="zh-CN"/>
        </w:rPr>
        <w:t>.</w:t>
      </w:r>
      <w:r>
        <w:rPr>
          <w:rFonts w:ascii="宋体" w:hAnsi="宋体" w:eastAsia="宋体" w:cs="宋体"/>
          <w:sz w:val="24"/>
          <w:szCs w:val="24"/>
          <w:highlight w:val="none"/>
        </w:rPr>
        <w:t>.....</w:t>
      </w:r>
      <w:r>
        <w:rPr>
          <w:rFonts w:hint="eastAsia" w:ascii="宋体" w:hAnsi="宋体" w:cs="宋体"/>
          <w:sz w:val="24"/>
          <w:szCs w:val="24"/>
          <w:highlight w:val="none"/>
          <w:lang w:val="en-US" w:eastAsia="zh-CN"/>
        </w:rPr>
        <w:t>.</w:t>
      </w:r>
      <w:r>
        <w:rPr>
          <w:rFonts w:ascii="宋体" w:hAnsi="宋体" w:eastAsia="宋体" w:cs="宋体"/>
          <w:sz w:val="24"/>
          <w:szCs w:val="24"/>
          <w:highlight w:val="none"/>
        </w:rPr>
        <w:t>............</w:t>
      </w:r>
      <w:r>
        <w:rPr>
          <w:rFonts w:hint="eastAsia"/>
          <w:sz w:val="24"/>
          <w:highlight w:val="none"/>
          <w:lang w:val="en-US" w:eastAsia="zh-CN"/>
        </w:rPr>
        <w:t>10</w:t>
      </w:r>
    </w:p>
    <w:p w14:paraId="58161AF0">
      <w:pPr>
        <w:pStyle w:val="12"/>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ascii="宋体" w:hAnsi="宋体" w:eastAsia="宋体" w:cs="宋体"/>
          <w:sz w:val="24"/>
          <w:szCs w:val="24"/>
          <w:highlight w:val="none"/>
        </w:rPr>
        <w:t>...</w:t>
      </w:r>
      <w:r>
        <w:rPr>
          <w:rFonts w:hint="eastAsia" w:ascii="宋体" w:hAnsi="宋体" w:cs="宋体"/>
          <w:sz w:val="24"/>
          <w:szCs w:val="24"/>
          <w:highlight w:val="none"/>
          <w:lang w:val="en-US" w:eastAsia="zh-CN"/>
        </w:rPr>
        <w:t>.</w:t>
      </w:r>
      <w:r>
        <w:rPr>
          <w:rFonts w:ascii="宋体" w:hAnsi="宋体" w:eastAsia="宋体" w:cs="宋体"/>
          <w:sz w:val="24"/>
          <w:szCs w:val="24"/>
          <w:highlight w:val="none"/>
        </w:rPr>
        <w:t>....................</w:t>
      </w:r>
      <w:r>
        <w:rPr>
          <w:rFonts w:hint="eastAsia"/>
          <w:sz w:val="24"/>
          <w:highlight w:val="none"/>
          <w:lang w:val="en-US" w:eastAsia="zh-CN"/>
        </w:rPr>
        <w:t>11</w:t>
      </w:r>
    </w:p>
    <w:p w14:paraId="2DE80806">
      <w:pPr>
        <w:pStyle w:val="12"/>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八、政府性基金预算支出决算情况说明</w:t>
      </w:r>
      <w:r>
        <w:rPr>
          <w:rFonts w:ascii="宋体" w:hAnsi="宋体" w:eastAsia="宋体" w:cs="宋体"/>
          <w:sz w:val="24"/>
          <w:szCs w:val="24"/>
          <w:highlight w:val="none"/>
        </w:rPr>
        <w:t>..............................</w:t>
      </w:r>
      <w:r>
        <w:rPr>
          <w:rFonts w:hint="eastAsia"/>
          <w:sz w:val="24"/>
          <w:highlight w:val="none"/>
          <w:lang w:val="en-US" w:eastAsia="zh-CN"/>
        </w:rPr>
        <w:t>12</w:t>
      </w:r>
    </w:p>
    <w:p w14:paraId="7863BDD2">
      <w:pPr>
        <w:pStyle w:val="12"/>
        <w:adjustRightInd w:val="0"/>
        <w:snapToGrid w:val="0"/>
        <w:spacing w:line="440" w:lineRule="exact"/>
        <w:jc w:val="left"/>
        <w:rPr>
          <w:rFonts w:hint="default"/>
          <w:color w:val="auto"/>
          <w:sz w:val="24"/>
          <w:highlight w:val="none"/>
          <w:lang w:val="en-US"/>
        </w:rPr>
      </w:pPr>
      <w:r>
        <w:rPr>
          <w:rFonts w:hint="eastAsia"/>
          <w:color w:val="auto"/>
          <w:sz w:val="24"/>
          <w:highlight w:val="none"/>
        </w:rPr>
        <w:t>九、国有资本经营预算支出决算情况说明</w:t>
      </w:r>
      <w:r>
        <w:rPr>
          <w:rFonts w:ascii="宋体" w:hAnsi="宋体" w:eastAsia="宋体" w:cs="宋体"/>
          <w:sz w:val="24"/>
          <w:szCs w:val="24"/>
          <w:highlight w:val="none"/>
        </w:rPr>
        <w:t>............................</w:t>
      </w:r>
      <w:r>
        <w:rPr>
          <w:rFonts w:hint="eastAsia"/>
          <w:sz w:val="24"/>
          <w:highlight w:val="none"/>
          <w:lang w:val="en-US" w:eastAsia="zh-CN"/>
        </w:rPr>
        <w:t>12</w:t>
      </w:r>
    </w:p>
    <w:p w14:paraId="2F66D493">
      <w:pPr>
        <w:pStyle w:val="12"/>
        <w:adjustRightInd w:val="0"/>
        <w:snapToGrid w:val="0"/>
        <w:spacing w:line="440" w:lineRule="exact"/>
        <w:jc w:val="left"/>
        <w:rPr>
          <w:rFonts w:hint="default"/>
          <w:color w:val="auto"/>
          <w:sz w:val="24"/>
          <w:highlight w:val="none"/>
          <w:lang w:val="en-US" w:eastAsia="zh-CN"/>
        </w:rPr>
      </w:pPr>
      <w:r>
        <w:rPr>
          <w:rFonts w:hint="eastAsia"/>
          <w:color w:val="auto"/>
          <w:sz w:val="24"/>
          <w:highlight w:val="none"/>
        </w:rPr>
        <w:t>十、其他重要事项的情况说明</w:t>
      </w:r>
      <w:r>
        <w:rPr>
          <w:rFonts w:ascii="宋体" w:hAnsi="宋体" w:eastAsia="宋体" w:cs="宋体"/>
          <w:sz w:val="24"/>
          <w:szCs w:val="24"/>
          <w:highlight w:val="none"/>
        </w:rPr>
        <w:t>......................................</w:t>
      </w:r>
      <w:r>
        <w:rPr>
          <w:rFonts w:hint="eastAsia"/>
          <w:sz w:val="24"/>
          <w:highlight w:val="none"/>
          <w:lang w:val="en-US" w:eastAsia="zh-CN"/>
        </w:rPr>
        <w:t>13</w:t>
      </w:r>
    </w:p>
    <w:p w14:paraId="39FFECBA">
      <w:pPr>
        <w:pStyle w:val="11"/>
        <w:adjustRightInd w:val="0"/>
        <w:snapToGrid w:val="0"/>
        <w:spacing w:before="0" w:line="440" w:lineRule="exact"/>
        <w:jc w:val="left"/>
        <w:rPr>
          <w:rFonts w:cstheme="minorBidi"/>
          <w:sz w:val="24"/>
          <w:szCs w:val="24"/>
          <w:highlight w:val="none"/>
        </w:rPr>
      </w:pPr>
      <w:r>
        <w:rPr>
          <w:rFonts w:hint="eastAsia"/>
          <w:sz w:val="24"/>
          <w:highlight w:val="none"/>
        </w:rPr>
        <w:t>第三部分</w:t>
      </w:r>
      <w:r>
        <w:rPr>
          <w:sz w:val="24"/>
          <w:highlight w:val="none"/>
        </w:rPr>
        <w:t xml:space="preserve"> </w:t>
      </w:r>
      <w:r>
        <w:rPr>
          <w:rFonts w:hint="eastAsia"/>
          <w:sz w:val="24"/>
          <w:highlight w:val="none"/>
        </w:rPr>
        <w:t>名词解释</w:t>
      </w:r>
      <w:r>
        <w:rPr>
          <w:rFonts w:ascii="宋体" w:hAnsi="宋体" w:eastAsia="宋体" w:cs="宋体"/>
          <w:sz w:val="24"/>
          <w:szCs w:val="24"/>
          <w:highlight w:val="none"/>
        </w:rPr>
        <w:t>..................................................</w:t>
      </w:r>
      <w:r>
        <w:rPr>
          <w:rFonts w:hint="eastAsia" w:ascii="Times New Roman" w:hAnsi="Times New Roman" w:eastAsia="宋体" w:cs="Times New Roman"/>
          <w:kern w:val="2"/>
          <w:sz w:val="24"/>
          <w:szCs w:val="24"/>
          <w:highlight w:val="none"/>
          <w:lang w:val="en-US" w:eastAsia="zh-CN" w:bidi="ar-SA"/>
        </w:rPr>
        <w:t>16</w:t>
      </w:r>
    </w:p>
    <w:p w14:paraId="32591233">
      <w:pPr>
        <w:pStyle w:val="11"/>
        <w:adjustRightInd w:val="0"/>
        <w:snapToGrid w:val="0"/>
        <w:spacing w:before="0" w:line="440" w:lineRule="exact"/>
        <w:jc w:val="left"/>
        <w:rPr>
          <w:rFonts w:cstheme="minorBidi"/>
          <w:sz w:val="24"/>
          <w:szCs w:val="24"/>
          <w:highlight w:val="none"/>
        </w:rPr>
      </w:pPr>
      <w:r>
        <w:rPr>
          <w:rFonts w:hint="eastAsia"/>
          <w:sz w:val="24"/>
          <w:highlight w:val="none"/>
        </w:rPr>
        <w:t>第四部分</w:t>
      </w:r>
      <w:r>
        <w:rPr>
          <w:sz w:val="24"/>
          <w:highlight w:val="none"/>
        </w:rPr>
        <w:t xml:space="preserve"> </w:t>
      </w:r>
      <w:r>
        <w:rPr>
          <w:rFonts w:hint="eastAsia"/>
          <w:sz w:val="24"/>
          <w:highlight w:val="none"/>
        </w:rPr>
        <w:t>附件</w:t>
      </w:r>
      <w:r>
        <w:rPr>
          <w:rFonts w:ascii="宋体" w:hAnsi="宋体" w:eastAsia="宋体" w:cs="宋体"/>
          <w:sz w:val="24"/>
          <w:szCs w:val="24"/>
          <w:highlight w:val="none"/>
        </w:rPr>
        <w:t>......................................................</w:t>
      </w:r>
      <w:r>
        <w:rPr>
          <w:rFonts w:hint="eastAsia" w:ascii="Times New Roman" w:hAnsi="Times New Roman" w:eastAsia="宋体" w:cs="Times New Roman"/>
          <w:kern w:val="2"/>
          <w:sz w:val="24"/>
          <w:szCs w:val="24"/>
          <w:highlight w:val="none"/>
          <w:lang w:val="en-US" w:eastAsia="zh-CN" w:bidi="ar-SA"/>
        </w:rPr>
        <w:t>18</w:t>
      </w:r>
    </w:p>
    <w:p w14:paraId="43710754">
      <w:pPr>
        <w:pStyle w:val="11"/>
        <w:adjustRightInd w:val="0"/>
        <w:snapToGrid w:val="0"/>
        <w:spacing w:before="0" w:line="440" w:lineRule="exact"/>
        <w:jc w:val="left"/>
        <w:rPr>
          <w:rFonts w:hint="default" w:eastAsia="宋体" w:cstheme="minorBidi"/>
          <w:color w:val="auto"/>
          <w:sz w:val="24"/>
          <w:szCs w:val="24"/>
          <w:highlight w:val="none"/>
          <w:lang w:val="en-US" w:eastAsia="zh-CN"/>
        </w:rPr>
      </w:pPr>
      <w:r>
        <w:rPr>
          <w:rFonts w:hint="eastAsia"/>
          <w:sz w:val="24"/>
          <w:highlight w:val="none"/>
        </w:rPr>
        <w:t>第五部分</w:t>
      </w:r>
      <w:r>
        <w:rPr>
          <w:sz w:val="24"/>
          <w:highlight w:val="none"/>
        </w:rPr>
        <w:t xml:space="preserve"> </w:t>
      </w:r>
      <w:r>
        <w:rPr>
          <w:rFonts w:hint="eastAsia"/>
          <w:sz w:val="24"/>
          <w:highlight w:val="none"/>
        </w:rPr>
        <w:t>附表</w:t>
      </w:r>
      <w:r>
        <w:rPr>
          <w:rFonts w:ascii="宋体" w:hAnsi="宋体" w:eastAsia="宋体" w:cs="宋体"/>
          <w:sz w:val="24"/>
          <w:szCs w:val="24"/>
          <w:highlight w:val="none"/>
        </w:rPr>
        <w:t>......................................................</w:t>
      </w:r>
      <w:r>
        <w:rPr>
          <w:rFonts w:hint="eastAsia" w:ascii="Times New Roman" w:hAnsi="Times New Roman" w:eastAsia="宋体" w:cs="Times New Roman"/>
          <w:kern w:val="2"/>
          <w:sz w:val="24"/>
          <w:szCs w:val="24"/>
          <w:highlight w:val="none"/>
          <w:lang w:val="en-US" w:eastAsia="zh-CN" w:bidi="ar-SA"/>
        </w:rPr>
        <w:t>20</w:t>
      </w:r>
    </w:p>
    <w:p w14:paraId="7EB35E37">
      <w:pPr>
        <w:pStyle w:val="12"/>
        <w:pageBreakBefore w:val="0"/>
        <w:kinsoku/>
        <w:wordWrap/>
        <w:overflowPunct/>
        <w:topLinePunct w:val="0"/>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一、收入支出决算总表</w:t>
      </w:r>
      <w:r>
        <w:rPr>
          <w:rFonts w:ascii="宋体" w:hAnsi="宋体" w:eastAsia="宋体" w:cs="宋体"/>
          <w:sz w:val="24"/>
          <w:szCs w:val="24"/>
        </w:rPr>
        <w:t>............................................</w:t>
      </w:r>
      <w:r>
        <w:rPr>
          <w:rFonts w:hint="eastAsia" w:ascii="Times New Roman" w:hAnsi="Times New Roman" w:eastAsia="宋体" w:cs="Times New Roman"/>
          <w:kern w:val="2"/>
          <w:sz w:val="24"/>
          <w:szCs w:val="24"/>
          <w:highlight w:val="none"/>
          <w:lang w:val="en-US" w:eastAsia="zh-CN" w:bidi="ar-SA"/>
        </w:rPr>
        <w:t>20</w:t>
      </w:r>
    </w:p>
    <w:p w14:paraId="61B3204A">
      <w:pPr>
        <w:pStyle w:val="12"/>
        <w:pageBreakBefore w:val="0"/>
        <w:kinsoku/>
        <w:wordWrap/>
        <w:overflowPunct/>
        <w:topLinePunct w:val="0"/>
        <w:bidi w:val="0"/>
        <w:adjustRightInd w:val="0"/>
        <w:snapToGrid w:val="0"/>
        <w:spacing w:line="578" w:lineRule="exact"/>
        <w:jc w:val="left"/>
        <w:textAlignment w:val="auto"/>
        <w:rPr>
          <w:rFonts w:hint="default"/>
          <w:color w:val="auto"/>
          <w:sz w:val="24"/>
          <w:highlight w:val="none"/>
          <w:lang w:val="en-US"/>
        </w:rPr>
      </w:pPr>
      <w:r>
        <w:rPr>
          <w:rFonts w:hint="eastAsia"/>
          <w:color w:val="auto"/>
          <w:sz w:val="24"/>
          <w:highlight w:val="none"/>
        </w:rPr>
        <w:t>二、收入决算表</w:t>
      </w:r>
      <w:r>
        <w:rPr>
          <w:rFonts w:ascii="宋体" w:hAnsi="宋体" w:eastAsia="宋体" w:cs="宋体"/>
          <w:sz w:val="24"/>
          <w:szCs w:val="24"/>
        </w:rPr>
        <w:t>..................................................</w:t>
      </w:r>
      <w:r>
        <w:rPr>
          <w:rFonts w:hint="eastAsia" w:ascii="Times New Roman" w:hAnsi="Times New Roman" w:eastAsia="宋体" w:cs="Times New Roman"/>
          <w:kern w:val="2"/>
          <w:sz w:val="24"/>
          <w:szCs w:val="24"/>
          <w:highlight w:val="none"/>
          <w:lang w:val="en-US" w:eastAsia="zh-CN" w:bidi="ar-SA"/>
        </w:rPr>
        <w:t>20</w:t>
      </w:r>
    </w:p>
    <w:p w14:paraId="66A008D4">
      <w:pPr>
        <w:pStyle w:val="12"/>
        <w:pageBreakBefore w:val="0"/>
        <w:kinsoku/>
        <w:wordWrap/>
        <w:overflowPunct/>
        <w:topLinePunct w:val="0"/>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三、支出决算表</w:t>
      </w:r>
      <w:r>
        <w:rPr>
          <w:rFonts w:ascii="宋体" w:hAnsi="宋体" w:eastAsia="宋体" w:cs="宋体"/>
          <w:sz w:val="24"/>
          <w:szCs w:val="24"/>
        </w:rPr>
        <w:t>..................................................</w:t>
      </w:r>
      <w:r>
        <w:rPr>
          <w:rFonts w:hint="eastAsia" w:ascii="Times New Roman" w:hAnsi="Times New Roman" w:eastAsia="宋体" w:cs="Times New Roman"/>
          <w:kern w:val="2"/>
          <w:sz w:val="24"/>
          <w:szCs w:val="24"/>
          <w:highlight w:val="none"/>
          <w:lang w:val="en-US" w:eastAsia="zh-CN" w:bidi="ar-SA"/>
        </w:rPr>
        <w:t>20</w:t>
      </w:r>
    </w:p>
    <w:p w14:paraId="7060F08E">
      <w:pPr>
        <w:pStyle w:val="12"/>
        <w:pageBreakBefore w:val="0"/>
        <w:kinsoku/>
        <w:wordWrap/>
        <w:overflowPunct/>
        <w:topLinePunct w:val="0"/>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四、财政拨款收入支出决算总表</w:t>
      </w:r>
      <w:r>
        <w:rPr>
          <w:rFonts w:ascii="宋体" w:hAnsi="宋体" w:eastAsia="宋体" w:cs="宋体"/>
          <w:sz w:val="24"/>
          <w:szCs w:val="24"/>
        </w:rPr>
        <w:t>....................................</w:t>
      </w:r>
      <w:r>
        <w:rPr>
          <w:rFonts w:hint="eastAsia" w:ascii="Times New Roman" w:hAnsi="Times New Roman" w:eastAsia="宋体" w:cs="Times New Roman"/>
          <w:kern w:val="2"/>
          <w:sz w:val="24"/>
          <w:szCs w:val="24"/>
          <w:highlight w:val="none"/>
          <w:lang w:val="en-US" w:eastAsia="zh-CN" w:bidi="ar-SA"/>
        </w:rPr>
        <w:t>20</w:t>
      </w:r>
    </w:p>
    <w:p w14:paraId="6AE37C26">
      <w:pPr>
        <w:pStyle w:val="12"/>
        <w:pageBreakBefore w:val="0"/>
        <w:kinsoku/>
        <w:wordWrap/>
        <w:overflowPunct/>
        <w:topLinePunct w:val="0"/>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五、财政拨款支出决算明细表</w:t>
      </w:r>
      <w:r>
        <w:rPr>
          <w:rFonts w:ascii="宋体" w:hAnsi="宋体" w:eastAsia="宋体" w:cs="宋体"/>
          <w:sz w:val="24"/>
          <w:szCs w:val="24"/>
        </w:rPr>
        <w:t>......................................</w:t>
      </w:r>
      <w:r>
        <w:rPr>
          <w:rFonts w:hint="eastAsia" w:ascii="Times New Roman" w:hAnsi="Times New Roman" w:eastAsia="宋体" w:cs="Times New Roman"/>
          <w:kern w:val="2"/>
          <w:sz w:val="24"/>
          <w:szCs w:val="24"/>
          <w:highlight w:val="none"/>
          <w:lang w:val="en-US" w:eastAsia="zh-CN" w:bidi="ar-SA"/>
        </w:rPr>
        <w:t>20</w:t>
      </w:r>
    </w:p>
    <w:p w14:paraId="51000F5F">
      <w:pPr>
        <w:pStyle w:val="12"/>
        <w:pageBreakBefore w:val="0"/>
        <w:kinsoku/>
        <w:wordWrap/>
        <w:overflowPunct/>
        <w:topLinePunct w:val="0"/>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六、一般公共预算财政拨款支出决算表</w:t>
      </w:r>
      <w:r>
        <w:rPr>
          <w:rFonts w:ascii="宋体" w:hAnsi="宋体" w:eastAsia="宋体" w:cs="宋体"/>
          <w:sz w:val="24"/>
          <w:szCs w:val="24"/>
        </w:rPr>
        <w:t>..............................</w:t>
      </w:r>
      <w:r>
        <w:rPr>
          <w:rFonts w:hint="eastAsia" w:ascii="Times New Roman" w:hAnsi="Times New Roman" w:eastAsia="宋体" w:cs="Times New Roman"/>
          <w:kern w:val="2"/>
          <w:sz w:val="24"/>
          <w:szCs w:val="24"/>
          <w:highlight w:val="none"/>
          <w:lang w:val="en-US" w:eastAsia="zh-CN" w:bidi="ar-SA"/>
        </w:rPr>
        <w:t>20</w:t>
      </w:r>
    </w:p>
    <w:p w14:paraId="497C216F">
      <w:pPr>
        <w:pStyle w:val="12"/>
        <w:pageBreakBefore w:val="0"/>
        <w:kinsoku/>
        <w:wordWrap/>
        <w:overflowPunct/>
        <w:topLinePunct w:val="0"/>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七、一般公共预算财政拨款支出决算明细表</w:t>
      </w:r>
      <w:r>
        <w:rPr>
          <w:rFonts w:ascii="宋体" w:hAnsi="宋体" w:eastAsia="宋体" w:cs="宋体"/>
          <w:sz w:val="24"/>
          <w:szCs w:val="24"/>
        </w:rPr>
        <w:t>..........................</w:t>
      </w:r>
      <w:r>
        <w:rPr>
          <w:rFonts w:hint="eastAsia" w:ascii="Times New Roman" w:hAnsi="Times New Roman" w:eastAsia="宋体" w:cs="Times New Roman"/>
          <w:kern w:val="2"/>
          <w:sz w:val="24"/>
          <w:szCs w:val="24"/>
          <w:highlight w:val="none"/>
          <w:lang w:val="en-US" w:eastAsia="zh-CN" w:bidi="ar-SA"/>
        </w:rPr>
        <w:t>20</w:t>
      </w:r>
    </w:p>
    <w:p w14:paraId="15AB85A4">
      <w:pPr>
        <w:pStyle w:val="12"/>
        <w:pageBreakBefore w:val="0"/>
        <w:kinsoku/>
        <w:wordWrap/>
        <w:overflowPunct/>
        <w:topLinePunct w:val="0"/>
        <w:bidi w:val="0"/>
        <w:adjustRightInd w:val="0"/>
        <w:snapToGrid w:val="0"/>
        <w:spacing w:line="578" w:lineRule="exact"/>
        <w:jc w:val="left"/>
        <w:textAlignment w:val="auto"/>
        <w:rPr>
          <w:rFonts w:hint="default"/>
          <w:color w:val="auto"/>
          <w:sz w:val="24"/>
          <w:highlight w:val="none"/>
          <w:lang w:val="en-US"/>
        </w:rPr>
      </w:pPr>
      <w:r>
        <w:rPr>
          <w:rFonts w:hint="eastAsia"/>
          <w:color w:val="auto"/>
          <w:sz w:val="24"/>
          <w:highlight w:val="none"/>
        </w:rPr>
        <w:t>八、一般公共预算财政拨款基本支出决算表</w:t>
      </w:r>
      <w:r>
        <w:rPr>
          <w:rFonts w:ascii="宋体" w:hAnsi="宋体" w:eastAsia="宋体" w:cs="宋体"/>
          <w:sz w:val="24"/>
          <w:szCs w:val="24"/>
        </w:rPr>
        <w:t>..........................</w:t>
      </w:r>
      <w:r>
        <w:rPr>
          <w:rFonts w:hint="eastAsia" w:ascii="Times New Roman" w:hAnsi="Times New Roman" w:eastAsia="宋体" w:cs="Times New Roman"/>
          <w:kern w:val="2"/>
          <w:sz w:val="24"/>
          <w:szCs w:val="24"/>
          <w:highlight w:val="none"/>
          <w:lang w:val="en-US" w:eastAsia="zh-CN" w:bidi="ar-SA"/>
        </w:rPr>
        <w:t>20</w:t>
      </w:r>
    </w:p>
    <w:p w14:paraId="00B777E0">
      <w:pPr>
        <w:pStyle w:val="12"/>
        <w:pageBreakBefore w:val="0"/>
        <w:kinsoku/>
        <w:wordWrap/>
        <w:overflowPunct/>
        <w:topLinePunct w:val="0"/>
        <w:bidi w:val="0"/>
        <w:adjustRightInd w:val="0"/>
        <w:snapToGrid w:val="0"/>
        <w:spacing w:line="578" w:lineRule="exact"/>
        <w:jc w:val="left"/>
        <w:textAlignment w:val="auto"/>
        <w:rPr>
          <w:rFonts w:hint="default"/>
          <w:color w:val="auto"/>
          <w:sz w:val="24"/>
          <w:highlight w:val="none"/>
          <w:lang w:val="en-US"/>
        </w:rPr>
      </w:pPr>
      <w:r>
        <w:rPr>
          <w:rFonts w:hint="eastAsia"/>
          <w:color w:val="auto"/>
          <w:sz w:val="24"/>
          <w:highlight w:val="none"/>
        </w:rPr>
        <w:t>九、一般公共预算财政拨款项目支出决算表</w:t>
      </w:r>
      <w:r>
        <w:rPr>
          <w:rFonts w:ascii="宋体" w:hAnsi="宋体" w:eastAsia="宋体" w:cs="宋体"/>
          <w:sz w:val="24"/>
          <w:szCs w:val="24"/>
        </w:rPr>
        <w:t>..........................</w:t>
      </w:r>
      <w:r>
        <w:rPr>
          <w:rFonts w:hint="eastAsia" w:ascii="Times New Roman" w:hAnsi="Times New Roman" w:eastAsia="宋体" w:cs="Times New Roman"/>
          <w:kern w:val="2"/>
          <w:sz w:val="24"/>
          <w:szCs w:val="24"/>
          <w:highlight w:val="none"/>
          <w:lang w:val="en-US" w:eastAsia="zh-CN" w:bidi="ar-SA"/>
        </w:rPr>
        <w:t>20</w:t>
      </w:r>
    </w:p>
    <w:p w14:paraId="2326FD76">
      <w:pPr>
        <w:pStyle w:val="12"/>
        <w:pageBreakBefore w:val="0"/>
        <w:kinsoku/>
        <w:wordWrap/>
        <w:overflowPunct/>
        <w:topLinePunct w:val="0"/>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十、政府性基金预算财政拨款收入支出决算表</w:t>
      </w:r>
      <w:r>
        <w:rPr>
          <w:rFonts w:ascii="宋体" w:hAnsi="宋体" w:eastAsia="宋体" w:cs="宋体"/>
          <w:sz w:val="24"/>
          <w:szCs w:val="24"/>
          <w:highlight w:val="none"/>
        </w:rPr>
        <w:t>........................</w:t>
      </w:r>
      <w:r>
        <w:rPr>
          <w:rFonts w:hint="eastAsia" w:ascii="Times New Roman" w:hAnsi="Times New Roman" w:eastAsia="宋体" w:cs="Times New Roman"/>
          <w:kern w:val="2"/>
          <w:sz w:val="24"/>
          <w:szCs w:val="24"/>
          <w:highlight w:val="none"/>
          <w:lang w:val="en-US" w:eastAsia="zh-CN" w:bidi="ar-SA"/>
        </w:rPr>
        <w:t>20</w:t>
      </w:r>
    </w:p>
    <w:p w14:paraId="7627E4B7">
      <w:pPr>
        <w:pStyle w:val="12"/>
        <w:pageBreakBefore w:val="0"/>
        <w:kinsoku/>
        <w:wordWrap/>
        <w:overflowPunct/>
        <w:topLinePunct w:val="0"/>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十一、国有资本经营预算财政拨款收入支出决算表</w:t>
      </w:r>
      <w:r>
        <w:rPr>
          <w:rFonts w:ascii="宋体" w:hAnsi="宋体" w:eastAsia="宋体" w:cs="宋体"/>
          <w:sz w:val="24"/>
          <w:szCs w:val="24"/>
          <w:highlight w:val="none"/>
        </w:rPr>
        <w:t>...............</w:t>
      </w:r>
      <w:r>
        <w:rPr>
          <w:rFonts w:hint="eastAsia" w:ascii="宋体" w:hAnsi="宋体" w:cs="宋体"/>
          <w:sz w:val="24"/>
          <w:szCs w:val="24"/>
          <w:highlight w:val="none"/>
          <w:lang w:val="en-US" w:eastAsia="zh-CN"/>
        </w:rPr>
        <w:t>.</w:t>
      </w:r>
      <w:r>
        <w:rPr>
          <w:rFonts w:ascii="宋体" w:hAnsi="宋体" w:eastAsia="宋体" w:cs="宋体"/>
          <w:sz w:val="24"/>
          <w:szCs w:val="24"/>
          <w:highlight w:val="none"/>
        </w:rPr>
        <w:t>....</w:t>
      </w:r>
      <w:r>
        <w:rPr>
          <w:rFonts w:hint="eastAsia" w:ascii="Times New Roman" w:hAnsi="Times New Roman" w:eastAsia="宋体" w:cs="Times New Roman"/>
          <w:kern w:val="2"/>
          <w:sz w:val="24"/>
          <w:szCs w:val="24"/>
          <w:highlight w:val="none"/>
          <w:lang w:val="en-US" w:eastAsia="zh-CN" w:bidi="ar-SA"/>
        </w:rPr>
        <w:t>20</w:t>
      </w:r>
    </w:p>
    <w:p w14:paraId="3572CB17">
      <w:pPr>
        <w:pStyle w:val="12"/>
        <w:pageBreakBefore w:val="0"/>
        <w:kinsoku/>
        <w:wordWrap/>
        <w:overflowPunct/>
        <w:topLinePunct w:val="0"/>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ascii="宋体" w:hAnsi="宋体" w:eastAsia="宋体" w:cs="宋体"/>
          <w:sz w:val="24"/>
          <w:szCs w:val="24"/>
          <w:highlight w:val="none"/>
        </w:rPr>
        <w:t>.....................</w:t>
      </w:r>
      <w:r>
        <w:rPr>
          <w:rFonts w:hint="eastAsia" w:ascii="宋体" w:hAnsi="宋体" w:cs="宋体"/>
          <w:sz w:val="24"/>
          <w:szCs w:val="24"/>
          <w:highlight w:val="none"/>
          <w:lang w:val="en-US" w:eastAsia="zh-CN"/>
        </w:rPr>
        <w:t>.</w:t>
      </w:r>
      <w:r>
        <w:rPr>
          <w:rFonts w:ascii="宋体" w:hAnsi="宋体" w:eastAsia="宋体" w:cs="宋体"/>
          <w:sz w:val="24"/>
          <w:szCs w:val="24"/>
          <w:highlight w:val="none"/>
        </w:rPr>
        <w:t>..</w:t>
      </w:r>
      <w:r>
        <w:rPr>
          <w:rFonts w:hint="eastAsia" w:ascii="Times New Roman" w:hAnsi="Times New Roman" w:eastAsia="宋体" w:cs="Times New Roman"/>
          <w:kern w:val="2"/>
          <w:sz w:val="24"/>
          <w:szCs w:val="24"/>
          <w:highlight w:val="none"/>
          <w:lang w:val="en-US" w:eastAsia="zh-CN" w:bidi="ar-SA"/>
        </w:rPr>
        <w:t>20</w:t>
      </w:r>
    </w:p>
    <w:p w14:paraId="267193A1">
      <w:pPr>
        <w:pStyle w:val="12"/>
        <w:pageBreakBefore w:val="0"/>
        <w:kinsoku/>
        <w:wordWrap/>
        <w:overflowPunct/>
        <w:topLinePunct w:val="0"/>
        <w:bidi w:val="0"/>
        <w:adjustRightInd w:val="0"/>
        <w:snapToGrid w:val="0"/>
        <w:spacing w:line="578" w:lineRule="exact"/>
        <w:jc w:val="left"/>
        <w:textAlignment w:val="auto"/>
        <w:rPr>
          <w:rFonts w:hint="default"/>
          <w:color w:val="auto"/>
          <w:sz w:val="24"/>
          <w:highlight w:val="none"/>
          <w:lang w:val="en-US" w:eastAsia="zh-CN"/>
        </w:rPr>
      </w:pPr>
      <w:r>
        <w:rPr>
          <w:rFonts w:hint="eastAsia"/>
          <w:color w:val="auto"/>
          <w:sz w:val="24"/>
          <w:highlight w:val="none"/>
        </w:rPr>
        <w:t>十三、财政拨款“三公”经费支出决算表</w:t>
      </w:r>
      <w:r>
        <w:rPr>
          <w:rFonts w:ascii="宋体" w:hAnsi="宋体" w:eastAsia="宋体" w:cs="宋体"/>
          <w:sz w:val="24"/>
          <w:szCs w:val="24"/>
          <w:highlight w:val="none"/>
        </w:rPr>
        <w:t>............................</w:t>
      </w:r>
      <w:r>
        <w:rPr>
          <w:rFonts w:hint="eastAsia" w:ascii="Times New Roman" w:hAnsi="Times New Roman" w:eastAsia="宋体" w:cs="Times New Roman"/>
          <w:kern w:val="2"/>
          <w:sz w:val="24"/>
          <w:szCs w:val="24"/>
          <w:highlight w:val="none"/>
          <w:lang w:val="en-US" w:eastAsia="zh-CN" w:bidi="ar-SA"/>
        </w:rPr>
        <w:t>20</w:t>
      </w:r>
    </w:p>
    <w:p w14:paraId="5A27DC23">
      <w:pPr>
        <w:pStyle w:val="12"/>
        <w:adjustRightInd w:val="0"/>
        <w:snapToGrid w:val="0"/>
        <w:spacing w:line="440" w:lineRule="exact"/>
        <w:jc w:val="left"/>
        <w:rPr>
          <w:rFonts w:hint="eastAsia"/>
          <w:color w:val="auto"/>
          <w:sz w:val="24"/>
          <w:highlight w:val="yellow"/>
        </w:rPr>
      </w:pPr>
    </w:p>
    <w:p w14:paraId="3045443D">
      <w:pPr>
        <w:widowControl/>
        <w:adjustRightInd w:val="0"/>
        <w:snapToGrid w:val="0"/>
        <w:spacing w:line="440" w:lineRule="exact"/>
        <w:ind w:firstLine="1320" w:firstLineChars="550"/>
        <w:jc w:val="left"/>
        <w:rPr>
          <w:rFonts w:ascii="仿宋" w:hAnsi="仿宋" w:eastAsia="仿宋"/>
          <w:sz w:val="24"/>
        </w:rPr>
      </w:pPr>
    </w:p>
    <w:p w14:paraId="0836A309">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46B63AEB">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4FBA3B2F">
      <w:pPr>
        <w:widowControl/>
        <w:jc w:val="left"/>
        <w:rPr>
          <w:rFonts w:ascii="黑体" w:eastAsia="黑体"/>
          <w:sz w:val="32"/>
          <w:szCs w:val="32"/>
        </w:rPr>
      </w:pPr>
    </w:p>
    <w:p w14:paraId="38BF3961">
      <w:pPr>
        <w:pStyle w:val="4"/>
        <w:pageBreakBefore w:val="0"/>
        <w:widowControl w:val="0"/>
        <w:numPr>
          <w:ilvl w:val="0"/>
          <w:numId w:val="1"/>
        </w:numPr>
        <w:kinsoku/>
        <w:wordWrap/>
        <w:overflowPunct/>
        <w:topLinePunct w:val="0"/>
        <w:autoSpaceDE/>
        <w:autoSpaceDN/>
        <w:bidi w:val="0"/>
        <w:adjustRightInd/>
        <w:ind w:firstLine="640" w:firstLineChars="200"/>
        <w:textAlignment w:val="auto"/>
        <w:rPr>
          <w:rStyle w:val="28"/>
          <w:rFonts w:ascii="黑体" w:hAnsi="黑体" w:eastAsia="黑体"/>
          <w:b w:val="0"/>
          <w:bCs w:val="0"/>
          <w:highlight w:val="none"/>
        </w:rPr>
      </w:pPr>
      <w:bookmarkStart w:id="14" w:name="_Toc15396600"/>
      <w:bookmarkStart w:id="15" w:name="_Toc15377197"/>
      <w:r>
        <w:rPr>
          <w:rStyle w:val="28"/>
          <w:rFonts w:hint="eastAsia" w:ascii="黑体" w:hAnsi="黑体" w:eastAsia="黑体"/>
          <w:b w:val="0"/>
          <w:bCs w:val="0"/>
          <w:highlight w:val="none"/>
        </w:rPr>
        <w:t>主要职责</w:t>
      </w:r>
    </w:p>
    <w:p w14:paraId="690F3B1A">
      <w:pPr>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一</w:t>
      </w:r>
      <w:r>
        <w:rPr>
          <w:rFonts w:hint="eastAsia" w:ascii="仿宋" w:hAnsi="仿宋" w:eastAsia="仿宋" w:cs="仿宋"/>
          <w:color w:val="auto"/>
          <w:sz w:val="32"/>
          <w:szCs w:val="32"/>
          <w:highlight w:val="none"/>
        </w:rPr>
        <w:t>）负责本</w:t>
      </w:r>
      <w:r>
        <w:rPr>
          <w:rFonts w:hint="eastAsia" w:ascii="仿宋" w:hAnsi="仿宋" w:eastAsia="仿宋" w:cs="仿宋"/>
          <w:color w:val="auto"/>
          <w:sz w:val="32"/>
          <w:szCs w:val="32"/>
          <w:highlight w:val="none"/>
          <w:lang w:eastAsia="zh-CN"/>
        </w:rPr>
        <w:t>辖区</w:t>
      </w:r>
      <w:r>
        <w:rPr>
          <w:rFonts w:hint="eastAsia" w:ascii="仿宋" w:hAnsi="仿宋" w:eastAsia="仿宋" w:cs="仿宋"/>
          <w:color w:val="auto"/>
          <w:sz w:val="32"/>
          <w:szCs w:val="32"/>
          <w:highlight w:val="none"/>
        </w:rPr>
        <w:t>的卫生工作法律、法规、政策的贯彻，卫生事业发展规</w:t>
      </w:r>
      <w:r>
        <w:rPr>
          <w:rFonts w:hint="eastAsia" w:ascii="仿宋" w:hAnsi="仿宋" w:eastAsia="仿宋" w:cs="仿宋"/>
          <w:color w:val="auto"/>
          <w:sz w:val="32"/>
          <w:szCs w:val="32"/>
        </w:rPr>
        <w:t>划和工作计划的制定，社会公共卫生工作的组织和实施。</w:t>
      </w:r>
    </w:p>
    <w:p w14:paraId="47DEB2CA">
      <w:pPr>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）负责本</w:t>
      </w:r>
      <w:r>
        <w:rPr>
          <w:rFonts w:hint="eastAsia" w:ascii="仿宋" w:hAnsi="仿宋" w:eastAsia="仿宋" w:cs="仿宋"/>
          <w:color w:val="auto"/>
          <w:sz w:val="32"/>
          <w:szCs w:val="32"/>
          <w:lang w:eastAsia="zh-CN"/>
        </w:rPr>
        <w:t>辖区</w:t>
      </w:r>
      <w:r>
        <w:rPr>
          <w:rFonts w:hint="eastAsia" w:ascii="仿宋" w:hAnsi="仿宋" w:eastAsia="仿宋" w:cs="仿宋"/>
          <w:color w:val="auto"/>
          <w:sz w:val="32"/>
          <w:szCs w:val="32"/>
        </w:rPr>
        <w:t>的基本医疗服务。</w:t>
      </w:r>
    </w:p>
    <w:p w14:paraId="460EDB48">
      <w:pPr>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）负责本</w:t>
      </w:r>
      <w:r>
        <w:rPr>
          <w:rFonts w:hint="eastAsia" w:ascii="仿宋" w:hAnsi="仿宋" w:eastAsia="仿宋" w:cs="仿宋"/>
          <w:color w:val="auto"/>
          <w:sz w:val="32"/>
          <w:szCs w:val="32"/>
          <w:lang w:eastAsia="zh-CN"/>
        </w:rPr>
        <w:t>辖区</w:t>
      </w:r>
      <w:r>
        <w:rPr>
          <w:rFonts w:hint="eastAsia" w:ascii="仿宋" w:hAnsi="仿宋" w:eastAsia="仿宋" w:cs="仿宋"/>
          <w:color w:val="auto"/>
          <w:sz w:val="32"/>
          <w:szCs w:val="32"/>
        </w:rPr>
        <w:t>内的卫生信息统计、分析、上报。</w:t>
      </w:r>
    </w:p>
    <w:p w14:paraId="09EEFD0A">
      <w:pPr>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）负责本</w:t>
      </w:r>
      <w:r>
        <w:rPr>
          <w:rFonts w:hint="eastAsia" w:ascii="仿宋" w:hAnsi="仿宋" w:eastAsia="仿宋" w:cs="仿宋"/>
          <w:color w:val="auto"/>
          <w:sz w:val="32"/>
          <w:szCs w:val="32"/>
          <w:lang w:eastAsia="zh-CN"/>
        </w:rPr>
        <w:t>辖区</w:t>
      </w:r>
      <w:r>
        <w:rPr>
          <w:rFonts w:hint="eastAsia" w:ascii="仿宋" w:hAnsi="仿宋" w:eastAsia="仿宋" w:cs="仿宋"/>
          <w:color w:val="auto"/>
          <w:sz w:val="32"/>
          <w:szCs w:val="32"/>
        </w:rPr>
        <w:t>村级卫生组织和乡村医生的业务指导和培训。</w:t>
      </w:r>
    </w:p>
    <w:p w14:paraId="14C76D83">
      <w:pPr>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）负责本</w:t>
      </w:r>
      <w:r>
        <w:rPr>
          <w:rFonts w:hint="eastAsia" w:ascii="仿宋" w:hAnsi="仿宋" w:eastAsia="仿宋" w:cs="仿宋"/>
          <w:color w:val="auto"/>
          <w:sz w:val="32"/>
          <w:szCs w:val="32"/>
          <w:lang w:eastAsia="zh-CN"/>
        </w:rPr>
        <w:t>辖区</w:t>
      </w:r>
      <w:r>
        <w:rPr>
          <w:rFonts w:hint="eastAsia" w:ascii="仿宋" w:hAnsi="仿宋" w:eastAsia="仿宋" w:cs="仿宋"/>
          <w:color w:val="auto"/>
          <w:sz w:val="32"/>
          <w:szCs w:val="32"/>
        </w:rPr>
        <w:t>内突发公共卫生事件的报告，并依据上级部门要求组织实施处置。</w:t>
      </w:r>
    </w:p>
    <w:p w14:paraId="1490370D">
      <w:pPr>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）促进中医药事业发展，制定中医药中长期发展规划和政策，并纳入卫生事业发展总体规划和战略目标。</w:t>
      </w:r>
    </w:p>
    <w:p w14:paraId="4BD78C90">
      <w:pPr>
        <w:pageBreakBefore w:val="0"/>
        <w:widowControl w:val="0"/>
        <w:kinsoku/>
        <w:wordWrap/>
        <w:overflowPunct/>
        <w:topLinePunct w:val="0"/>
        <w:autoSpaceDE/>
        <w:autoSpaceDN/>
        <w:bidi w:val="0"/>
        <w:adjustRightInd/>
        <w:snapToGrid w:val="0"/>
        <w:spacing w:line="578" w:lineRule="exact"/>
        <w:ind w:firstLine="640" w:firstLineChars="200"/>
        <w:textAlignment w:val="auto"/>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）负责上级卫生行政部门下达的其他工作。</w:t>
      </w:r>
    </w:p>
    <w:p w14:paraId="0D2CD7BC">
      <w:pPr>
        <w:pStyle w:val="4"/>
        <w:pageBreakBefore w:val="0"/>
        <w:widowControl w:val="0"/>
        <w:kinsoku/>
        <w:wordWrap/>
        <w:overflowPunct/>
        <w:topLinePunct w:val="0"/>
        <w:autoSpaceDE/>
        <w:autoSpaceDN/>
        <w:bidi w:val="0"/>
        <w:adjustRightInd/>
        <w:ind w:firstLine="640" w:firstLineChars="200"/>
        <w:textAlignment w:val="auto"/>
        <w:rPr>
          <w:rFonts w:hint="eastAsia" w:ascii="黑体" w:hAnsi="黑体" w:eastAsia="黑体"/>
          <w:b w:val="0"/>
          <w:highlight w:val="none"/>
        </w:rPr>
      </w:pPr>
      <w:r>
        <w:rPr>
          <w:rFonts w:hint="eastAsia" w:ascii="黑体" w:hAnsi="黑体" w:eastAsia="黑体"/>
          <w:b w:val="0"/>
          <w:highlight w:val="none"/>
        </w:rPr>
        <w:t>二、机构设置</w:t>
      </w:r>
    </w:p>
    <w:p w14:paraId="65DFAE9D">
      <w:pPr>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大竹县竹阳街道社区卫生服务中心</w:t>
      </w:r>
      <w:r>
        <w:rPr>
          <w:rFonts w:hint="eastAsia" w:ascii="仿宋" w:hAnsi="仿宋" w:eastAsia="仿宋" w:cs="仿宋"/>
          <w:color w:val="auto"/>
          <w:sz w:val="32"/>
          <w:szCs w:val="32"/>
        </w:rPr>
        <w:t>下属二级</w:t>
      </w:r>
      <w:r>
        <w:rPr>
          <w:rFonts w:hint="eastAsia" w:ascii="仿宋" w:hAnsi="仿宋" w:eastAsia="仿宋" w:cs="仿宋"/>
          <w:color w:val="auto"/>
          <w:sz w:val="32"/>
          <w:szCs w:val="32"/>
          <w:lang w:eastAsia="zh-CN"/>
        </w:rPr>
        <w:t>预算</w:t>
      </w:r>
      <w:r>
        <w:rPr>
          <w:rFonts w:hint="eastAsia" w:ascii="仿宋" w:hAnsi="仿宋" w:eastAsia="仿宋" w:cs="仿宋"/>
          <w:color w:val="auto"/>
          <w:sz w:val="32"/>
          <w:szCs w:val="32"/>
        </w:rPr>
        <w:t>单位</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个，其中行政单位</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个，参照公务员法管理的事业单位</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个，其他事业单位</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个。</w:t>
      </w:r>
    </w:p>
    <w:p w14:paraId="0CA75C66">
      <w:pPr>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纳入20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年度部门决算编制范围的二级预算单位包括：</w:t>
      </w:r>
      <w:r>
        <w:rPr>
          <w:rFonts w:hint="eastAsia" w:ascii="仿宋" w:hAnsi="仿宋" w:eastAsia="仿宋" w:cs="仿宋"/>
          <w:color w:val="auto"/>
          <w:sz w:val="32"/>
          <w:szCs w:val="32"/>
          <w:lang w:eastAsia="zh-CN"/>
        </w:rPr>
        <w:t>无</w:t>
      </w:r>
    </w:p>
    <w:bookmarkEnd w:id="14"/>
    <w:bookmarkEnd w:id="15"/>
    <w:p w14:paraId="753E9E7F">
      <w:pPr>
        <w:widowControl/>
        <w:jc w:val="left"/>
        <w:rPr>
          <w:rFonts w:ascii="仿宋" w:hAnsi="仿宋" w:eastAsia="仿宋"/>
          <w:kern w:val="0"/>
          <w:sz w:val="32"/>
          <w:szCs w:val="32"/>
          <w:highlight w:val="yellow"/>
        </w:rPr>
      </w:pPr>
      <w:r>
        <w:rPr>
          <w:rFonts w:ascii="仿宋" w:hAnsi="仿宋" w:eastAsia="仿宋"/>
          <w:sz w:val="32"/>
          <w:szCs w:val="32"/>
          <w:highlight w:val="yellow"/>
        </w:rPr>
        <w:br w:type="page"/>
      </w:r>
    </w:p>
    <w:p w14:paraId="5A1428AA">
      <w:pPr>
        <w:pStyle w:val="3"/>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243839E7"/>
    <w:p w14:paraId="74BE66AF">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0FE8C99F">
      <w:pPr>
        <w:spacing w:line="600" w:lineRule="exact"/>
        <w:ind w:firstLine="640" w:firstLineChars="200"/>
        <w:rPr>
          <w:rFonts w:ascii="仿宋" w:hAnsi="仿宋" w:eastAsia="仿宋"/>
          <w:sz w:val="32"/>
          <w:szCs w:val="32"/>
          <w:highlight w:val="yellow"/>
        </w:rPr>
      </w:pPr>
      <w:r>
        <w:rPr>
          <w:rFonts w:hint="eastAsia" w:ascii="仿宋" w:hAnsi="仿宋" w:eastAsia="仿宋"/>
          <w:sz w:val="32"/>
          <w:szCs w:val="32"/>
        </w:rPr>
        <w:t>2023年度总收入</w:t>
      </w:r>
      <w:r>
        <w:rPr>
          <w:rFonts w:hint="eastAsia" w:ascii="仿宋" w:hAnsi="仿宋" w:eastAsia="仿宋"/>
          <w:sz w:val="32"/>
          <w:szCs w:val="32"/>
          <w:lang w:val="en-US" w:eastAsia="zh-CN"/>
        </w:rPr>
        <w:t>2187.42</w:t>
      </w:r>
      <w:r>
        <w:rPr>
          <w:rFonts w:hint="eastAsia" w:ascii="仿宋" w:hAnsi="仿宋" w:eastAsia="仿宋"/>
          <w:sz w:val="32"/>
          <w:szCs w:val="32"/>
        </w:rPr>
        <w:t>万元、总支出</w:t>
      </w:r>
      <w:r>
        <w:rPr>
          <w:rFonts w:hint="eastAsia" w:ascii="仿宋" w:hAnsi="仿宋" w:eastAsia="仿宋"/>
          <w:sz w:val="32"/>
          <w:szCs w:val="32"/>
          <w:lang w:val="en-US" w:eastAsia="zh-CN"/>
        </w:rPr>
        <w:t>2187.42</w:t>
      </w:r>
      <w:r>
        <w:rPr>
          <w:rFonts w:hint="eastAsia" w:ascii="仿宋" w:hAnsi="仿宋" w:eastAsia="仿宋"/>
          <w:sz w:val="32"/>
          <w:szCs w:val="32"/>
        </w:rPr>
        <w:t>万元。与202</w:t>
      </w:r>
      <w:r>
        <w:rPr>
          <w:rFonts w:hint="eastAsia" w:ascii="仿宋" w:hAnsi="仿宋" w:eastAsia="仿宋"/>
          <w:sz w:val="32"/>
          <w:szCs w:val="32"/>
          <w:lang w:val="en-US" w:eastAsia="zh-CN"/>
        </w:rPr>
        <w:t>2</w:t>
      </w:r>
      <w:r>
        <w:rPr>
          <w:rFonts w:hint="eastAsia" w:ascii="仿宋" w:hAnsi="仿宋" w:eastAsia="仿宋"/>
          <w:sz w:val="32"/>
          <w:szCs w:val="32"/>
        </w:rPr>
        <w:t>年相比，收入</w:t>
      </w:r>
      <w:r>
        <w:rPr>
          <w:rFonts w:hint="eastAsia" w:ascii="仿宋" w:hAnsi="仿宋" w:eastAsia="仿宋"/>
          <w:sz w:val="32"/>
          <w:szCs w:val="32"/>
          <w:lang w:val="en-US" w:eastAsia="zh-CN"/>
        </w:rPr>
        <w:t>增加</w:t>
      </w:r>
      <w:r>
        <w:rPr>
          <w:rFonts w:hint="eastAsia" w:ascii="仿宋" w:hAnsi="仿宋" w:eastAsia="仿宋"/>
          <w:sz w:val="32"/>
          <w:szCs w:val="32"/>
        </w:rPr>
        <w:t>了</w:t>
      </w:r>
      <w:r>
        <w:rPr>
          <w:rFonts w:hint="eastAsia" w:ascii="仿宋" w:hAnsi="仿宋" w:eastAsia="仿宋"/>
          <w:sz w:val="32"/>
          <w:szCs w:val="32"/>
          <w:lang w:val="en-US" w:eastAsia="zh-CN"/>
        </w:rPr>
        <w:t>413.42</w:t>
      </w:r>
      <w:r>
        <w:rPr>
          <w:rFonts w:hint="eastAsia" w:ascii="仿宋" w:hAnsi="仿宋" w:eastAsia="仿宋"/>
          <w:sz w:val="32"/>
          <w:szCs w:val="32"/>
        </w:rPr>
        <w:t>万元、</w:t>
      </w:r>
      <w:r>
        <w:rPr>
          <w:rFonts w:hint="eastAsia" w:ascii="仿宋" w:hAnsi="仿宋" w:eastAsia="仿宋"/>
          <w:sz w:val="32"/>
          <w:szCs w:val="32"/>
          <w:lang w:val="en-US" w:eastAsia="zh-CN"/>
        </w:rPr>
        <w:t>增长了23.3</w:t>
      </w:r>
      <w:r>
        <w:rPr>
          <w:rFonts w:hint="eastAsia" w:ascii="仿宋" w:hAnsi="仿宋" w:eastAsia="仿宋"/>
          <w:sz w:val="32"/>
          <w:szCs w:val="32"/>
        </w:rPr>
        <w:t>%，支出</w:t>
      </w:r>
      <w:r>
        <w:rPr>
          <w:rFonts w:hint="eastAsia" w:ascii="仿宋" w:hAnsi="仿宋" w:eastAsia="仿宋"/>
          <w:sz w:val="32"/>
          <w:szCs w:val="32"/>
          <w:lang w:val="en-US" w:eastAsia="zh-CN"/>
        </w:rPr>
        <w:t>增加</w:t>
      </w:r>
      <w:r>
        <w:rPr>
          <w:rFonts w:hint="eastAsia" w:ascii="仿宋" w:hAnsi="仿宋" w:eastAsia="仿宋"/>
          <w:sz w:val="32"/>
          <w:szCs w:val="32"/>
        </w:rPr>
        <w:t>了</w:t>
      </w:r>
      <w:r>
        <w:rPr>
          <w:rFonts w:hint="eastAsia" w:ascii="仿宋" w:hAnsi="仿宋" w:eastAsia="仿宋"/>
          <w:sz w:val="32"/>
          <w:szCs w:val="32"/>
          <w:lang w:val="en-US" w:eastAsia="zh-CN"/>
        </w:rPr>
        <w:t>413.42</w:t>
      </w:r>
      <w:r>
        <w:rPr>
          <w:rFonts w:hint="eastAsia" w:ascii="仿宋" w:hAnsi="仿宋" w:eastAsia="仿宋"/>
          <w:sz w:val="32"/>
          <w:szCs w:val="32"/>
        </w:rPr>
        <w:t>万元，</w:t>
      </w:r>
      <w:r>
        <w:rPr>
          <w:rFonts w:hint="eastAsia" w:ascii="仿宋" w:hAnsi="仿宋" w:eastAsia="仿宋"/>
          <w:sz w:val="32"/>
          <w:szCs w:val="32"/>
          <w:lang w:val="en-US" w:eastAsia="zh-CN"/>
        </w:rPr>
        <w:t>增长了23.3</w:t>
      </w:r>
      <w:r>
        <w:rPr>
          <w:rFonts w:hint="eastAsia" w:ascii="仿宋" w:hAnsi="仿宋" w:eastAsia="仿宋"/>
          <w:sz w:val="32"/>
          <w:szCs w:val="32"/>
        </w:rPr>
        <w:t>%。</w:t>
      </w:r>
      <w:r>
        <w:rPr>
          <w:rFonts w:hint="eastAsia" w:ascii="仿宋" w:hAnsi="仿宋" w:eastAsia="仿宋"/>
          <w:sz w:val="32"/>
          <w:szCs w:val="32"/>
          <w:lang w:val="en-US" w:eastAsia="zh-CN"/>
        </w:rPr>
        <w:t>每月的在职和退休基础绩效奖列入了拨款收入，</w:t>
      </w:r>
      <w:r>
        <w:rPr>
          <w:rFonts w:hint="eastAsia" w:ascii="仿宋" w:hAnsi="仿宋" w:eastAsia="仿宋"/>
          <w:sz w:val="32"/>
          <w:szCs w:val="32"/>
        </w:rPr>
        <w:t>收入</w:t>
      </w:r>
      <w:r>
        <w:rPr>
          <w:rFonts w:hint="eastAsia" w:ascii="仿宋" w:hAnsi="仿宋" w:eastAsia="仿宋"/>
          <w:sz w:val="32"/>
          <w:szCs w:val="32"/>
          <w:lang w:val="en-US" w:eastAsia="zh-CN"/>
        </w:rPr>
        <w:t>增加</w:t>
      </w:r>
      <w:r>
        <w:rPr>
          <w:rFonts w:hint="eastAsia" w:ascii="仿宋" w:hAnsi="仿宋" w:eastAsia="仿宋"/>
          <w:sz w:val="32"/>
          <w:szCs w:val="32"/>
        </w:rPr>
        <w:t>。</w:t>
      </w:r>
    </w:p>
    <w:p w14:paraId="7ADDDE42">
      <w:pPr>
        <w:spacing w:line="600" w:lineRule="exact"/>
        <w:ind w:firstLine="640" w:firstLineChars="200"/>
        <w:rPr>
          <w:rFonts w:ascii="仿宋_GB2312" w:eastAsia="仿宋_GB2312"/>
          <w:sz w:val="32"/>
          <w:szCs w:val="32"/>
        </w:rPr>
      </w:pPr>
      <w:r>
        <w:rPr>
          <w:rFonts w:hint="eastAsia" w:ascii="仿宋_GB2312" w:eastAsia="仿宋_GB2312"/>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300355</wp:posOffset>
            </wp:positionH>
            <wp:positionV relativeFrom="page">
              <wp:posOffset>3814445</wp:posOffset>
            </wp:positionV>
            <wp:extent cx="4424045" cy="2952750"/>
            <wp:effectExtent l="4445" t="4445" r="10160" b="146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：收、支决算总计变动情况图）（柱状图）</w:t>
      </w:r>
    </w:p>
    <w:p w14:paraId="6F101409">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43785D16">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w:t>
      </w:r>
      <w:r>
        <w:rPr>
          <w:rFonts w:hint="eastAsia" w:ascii="仿宋" w:hAnsi="仿宋" w:eastAsia="仿宋"/>
          <w:color w:val="auto"/>
          <w:sz w:val="32"/>
          <w:szCs w:val="32"/>
          <w:highlight w:val="none"/>
        </w:rPr>
        <w:t>本年收入合计</w:t>
      </w:r>
      <w:r>
        <w:rPr>
          <w:rFonts w:hint="eastAsia" w:ascii="仿宋" w:hAnsi="仿宋" w:eastAsia="仿宋"/>
          <w:color w:val="auto"/>
          <w:sz w:val="32"/>
          <w:szCs w:val="32"/>
          <w:highlight w:val="none"/>
          <w:lang w:val="en-US" w:eastAsia="zh-CN"/>
        </w:rPr>
        <w:t>2187.42</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398.67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18.23</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1643.82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75.15</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144.92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6.63</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14:paraId="2FA2D53E">
      <w:pPr>
        <w:spacing w:line="600" w:lineRule="exact"/>
        <w:ind w:firstLine="640" w:firstLineChars="200"/>
      </w:pPr>
      <w:r>
        <w:rPr>
          <w:rFonts w:hint="eastAsia" w:ascii="仿宋" w:hAnsi="仿宋" w:eastAsia="仿宋"/>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161925</wp:posOffset>
            </wp:positionH>
            <wp:positionV relativeFrom="page">
              <wp:posOffset>1866900</wp:posOffset>
            </wp:positionV>
            <wp:extent cx="4576445" cy="3284855"/>
            <wp:effectExtent l="4445" t="5080" r="10160" b="571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highlight w:val="none"/>
        </w:rPr>
        <w:t>（图2：收入决算结构图）（饼状图）</w:t>
      </w:r>
    </w:p>
    <w:p w14:paraId="7A47357B">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4148A2EE">
      <w:pPr>
        <w:spacing w:line="600" w:lineRule="exact"/>
        <w:ind w:firstLine="640" w:firstLineChars="200"/>
        <w:outlineLvl w:val="1"/>
        <w:rPr>
          <w:rFonts w:hint="eastAsia" w:ascii="仿宋" w:hAnsi="仿宋" w:eastAsia="仿宋" w:cs="Times New Roman"/>
          <w:sz w:val="32"/>
          <w:szCs w:val="32"/>
        </w:rPr>
      </w:pPr>
      <w:r>
        <w:rPr>
          <w:rFonts w:hint="eastAsia" w:ascii="仿宋" w:hAnsi="仿宋" w:eastAsia="仿宋"/>
          <w:sz w:val="32"/>
          <w:szCs w:val="32"/>
        </w:rPr>
        <w:t>2023年</w:t>
      </w:r>
      <w:r>
        <w:rPr>
          <w:rFonts w:hint="eastAsia" w:ascii="仿宋" w:hAnsi="仿宋" w:eastAsia="仿宋" w:cs="Times New Roman"/>
          <w:sz w:val="32"/>
          <w:szCs w:val="32"/>
        </w:rPr>
        <w:t>度本年支出合计</w:t>
      </w:r>
      <w:r>
        <w:rPr>
          <w:rFonts w:hint="eastAsia" w:ascii="仿宋" w:hAnsi="仿宋" w:eastAsia="仿宋" w:cs="Times New Roman"/>
          <w:sz w:val="32"/>
          <w:szCs w:val="32"/>
          <w:lang w:val="en-US" w:eastAsia="zh-CN"/>
        </w:rPr>
        <w:t>2187.42</w:t>
      </w:r>
      <w:r>
        <w:rPr>
          <w:rFonts w:hint="eastAsia" w:ascii="仿宋" w:hAnsi="仿宋" w:eastAsia="仿宋" w:cs="Times New Roman"/>
          <w:sz w:val="32"/>
          <w:szCs w:val="32"/>
        </w:rPr>
        <w:t>万元，其中：基本支出</w:t>
      </w:r>
      <w:r>
        <w:rPr>
          <w:rFonts w:hint="eastAsia" w:ascii="仿宋" w:hAnsi="仿宋" w:eastAsia="仿宋" w:cs="Times New Roman"/>
          <w:sz w:val="32"/>
          <w:szCs w:val="32"/>
          <w:lang w:val="en-US" w:eastAsia="zh-CN"/>
        </w:rPr>
        <w:t>2187.42</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rPr>
        <w:t>%；项目支出</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%；上缴上级支出0万元，占0%；经营支出0万元，占0%；对附属单位补助支出0万元，占0%。</w:t>
      </w:r>
    </w:p>
    <w:p w14:paraId="5501479A">
      <w:pPr>
        <w:pStyle w:val="2"/>
        <w:rPr>
          <w:rFonts w:hint="eastAsia" w:ascii="仿宋" w:hAnsi="仿宋" w:eastAsia="仿宋" w:cs="Times New Roman"/>
          <w:sz w:val="32"/>
          <w:szCs w:val="32"/>
        </w:rPr>
      </w:pPr>
    </w:p>
    <w:p w14:paraId="3633CA3B">
      <w:pPr>
        <w:pStyle w:val="2"/>
        <w:rPr>
          <w:rFonts w:hint="eastAsia" w:ascii="仿宋" w:hAnsi="仿宋" w:eastAsia="仿宋" w:cs="Times New Roman"/>
          <w:sz w:val="32"/>
          <w:szCs w:val="32"/>
        </w:rPr>
      </w:pPr>
    </w:p>
    <w:p w14:paraId="65D9E7E3">
      <w:pPr>
        <w:pStyle w:val="2"/>
        <w:rPr>
          <w:rFonts w:hint="eastAsia" w:ascii="仿宋" w:hAnsi="仿宋" w:eastAsia="仿宋" w:cs="Times New Roman"/>
          <w:sz w:val="32"/>
          <w:szCs w:val="32"/>
        </w:rPr>
      </w:pPr>
    </w:p>
    <w:p w14:paraId="767EA3B7">
      <w:pPr>
        <w:pStyle w:val="2"/>
        <w:rPr>
          <w:rFonts w:hint="eastAsia" w:ascii="仿宋" w:hAnsi="仿宋" w:eastAsia="仿宋" w:cs="Times New Roman"/>
          <w:sz w:val="32"/>
          <w:szCs w:val="32"/>
        </w:rPr>
      </w:pPr>
    </w:p>
    <w:p w14:paraId="601B4893">
      <w:pPr>
        <w:spacing w:line="600" w:lineRule="exact"/>
        <w:rPr>
          <w:rFonts w:ascii="仿宋" w:hAnsi="仿宋" w:eastAsia="仿宋"/>
          <w:sz w:val="32"/>
          <w:szCs w:val="32"/>
          <w:shd w:val="pct10" w:color="auto" w:fill="FFFFFF"/>
        </w:rPr>
      </w:pPr>
      <w:r>
        <w:rPr>
          <w:rFonts w:hint="eastAsia" w:ascii="仿宋" w:hAnsi="仿宋" w:eastAsia="仿宋"/>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353695</wp:posOffset>
            </wp:positionH>
            <wp:positionV relativeFrom="page">
              <wp:posOffset>1454150</wp:posOffset>
            </wp:positionV>
            <wp:extent cx="4205605" cy="2836545"/>
            <wp:effectExtent l="4445" t="4445" r="19050" b="1651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38388E60">
      <w:pPr>
        <w:spacing w:line="600" w:lineRule="exact"/>
        <w:ind w:firstLine="640" w:firstLineChars="200"/>
        <w:rPr>
          <w:rFonts w:ascii="仿宋_GB2312" w:eastAsia="仿宋_GB2312"/>
          <w:sz w:val="32"/>
          <w:szCs w:val="32"/>
          <w:highlight w:val="yellow"/>
        </w:rPr>
      </w:pPr>
      <w:r>
        <w:rPr>
          <w:rFonts w:hint="eastAsia" w:ascii="仿宋" w:hAnsi="仿宋" w:eastAsia="仿宋"/>
          <w:sz w:val="32"/>
          <w:szCs w:val="32"/>
          <w:highlight w:val="none"/>
        </w:rPr>
        <w:t>（图3：支出决算结构图）（饼状图）</w:t>
      </w:r>
    </w:p>
    <w:p w14:paraId="337C6EA6">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3486EC9C">
      <w:pPr>
        <w:spacing w:line="600" w:lineRule="exact"/>
        <w:ind w:firstLine="640"/>
        <w:rPr>
          <w:rFonts w:ascii="仿宋" w:hAnsi="仿宋" w:eastAsia="仿宋"/>
          <w:sz w:val="32"/>
          <w:szCs w:val="32"/>
        </w:rPr>
      </w:pPr>
      <w:r>
        <w:rPr>
          <w:rFonts w:hint="eastAsia" w:ascii="仿宋" w:hAnsi="仿宋" w:eastAsia="仿宋"/>
          <w:sz w:val="32"/>
          <w:szCs w:val="32"/>
        </w:rPr>
        <w:t>2023年度</w:t>
      </w:r>
      <w:r>
        <w:rPr>
          <w:rFonts w:hint="eastAsia" w:ascii="仿宋" w:hAnsi="仿宋" w:eastAsia="仿宋"/>
          <w:color w:val="auto"/>
          <w:sz w:val="32"/>
          <w:szCs w:val="32"/>
          <w:highlight w:val="none"/>
        </w:rPr>
        <w:t>财政拨款收、支总计</w:t>
      </w:r>
      <w:r>
        <w:rPr>
          <w:rFonts w:hint="eastAsia" w:ascii="仿宋" w:hAnsi="仿宋" w:eastAsia="仿宋"/>
          <w:color w:val="auto"/>
          <w:sz w:val="32"/>
          <w:szCs w:val="32"/>
          <w:highlight w:val="none"/>
          <w:lang w:val="en-US" w:eastAsia="zh-CN"/>
        </w:rPr>
        <w:t>398.67</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年相比，财政拨款收、支总计各</w:t>
      </w:r>
      <w:r>
        <w:rPr>
          <w:rFonts w:hint="eastAsia" w:ascii="仿宋" w:hAnsi="仿宋" w:eastAsia="仿宋"/>
          <w:color w:val="auto"/>
          <w:sz w:val="32"/>
          <w:szCs w:val="32"/>
          <w:highlight w:val="none"/>
          <w:lang w:val="en-US" w:eastAsia="zh-CN"/>
        </w:rPr>
        <w:t>增加398.67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增长100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每月的基础绩效奖列入了拨款收入</w:t>
      </w:r>
      <w:r>
        <w:rPr>
          <w:rFonts w:hint="eastAsia" w:ascii="仿宋" w:hAnsi="仿宋" w:eastAsia="仿宋"/>
          <w:color w:val="auto"/>
          <w:sz w:val="32"/>
          <w:szCs w:val="32"/>
          <w:highlight w:val="none"/>
          <w:lang w:eastAsia="zh-CN"/>
        </w:rPr>
        <w:t>。</w:t>
      </w:r>
    </w:p>
    <w:p w14:paraId="1CAB3F0C">
      <w:pPr>
        <w:spacing w:line="600" w:lineRule="exact"/>
        <w:ind w:firstLine="640" w:firstLineChars="200"/>
        <w:rPr>
          <w:rFonts w:ascii="仿宋" w:hAnsi="仿宋" w:eastAsia="仿宋"/>
          <w:b/>
          <w:sz w:val="32"/>
          <w:szCs w:val="32"/>
        </w:rPr>
      </w:pPr>
      <w:r>
        <w:rPr>
          <w:rFonts w:hint="eastAsia" w:ascii="仿宋_GB2312" w:eastAsia="仿宋_GB2312"/>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257810</wp:posOffset>
            </wp:positionH>
            <wp:positionV relativeFrom="page">
              <wp:posOffset>6259195</wp:posOffset>
            </wp:positionV>
            <wp:extent cx="4090670" cy="2809875"/>
            <wp:effectExtent l="4445" t="5080" r="19685" b="444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highlight w:val="none"/>
        </w:rPr>
        <w:t>（图4：财政拨款收、支决算总计变动情况）（柱状图）</w:t>
      </w:r>
    </w:p>
    <w:p w14:paraId="2BE01210">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24F2C520">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41700A8C">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w:t>
      </w:r>
      <w:r>
        <w:rPr>
          <w:rFonts w:hint="eastAsia" w:ascii="仿宋" w:hAnsi="仿宋" w:eastAsia="仿宋" w:cs="Times New Roman"/>
          <w:sz w:val="32"/>
          <w:szCs w:val="32"/>
        </w:rPr>
        <w:t>预算财政拨款支出</w:t>
      </w:r>
      <w:r>
        <w:rPr>
          <w:rFonts w:hint="eastAsia" w:ascii="仿宋" w:hAnsi="仿宋" w:eastAsia="仿宋" w:cs="Times New Roman"/>
          <w:sz w:val="32"/>
          <w:szCs w:val="32"/>
          <w:lang w:val="en-US" w:eastAsia="zh-CN"/>
        </w:rPr>
        <w:t>398.67</w:t>
      </w:r>
      <w:r>
        <w:rPr>
          <w:rFonts w:hint="eastAsia" w:ascii="仿宋" w:hAnsi="仿宋" w:eastAsia="仿宋" w:cs="Times New Roman"/>
          <w:sz w:val="32"/>
          <w:szCs w:val="32"/>
        </w:rPr>
        <w:t>万元，占本年支出合计的</w:t>
      </w:r>
      <w:r>
        <w:rPr>
          <w:rFonts w:hint="eastAsia" w:ascii="仿宋" w:hAnsi="仿宋" w:eastAsia="仿宋" w:cs="Times New Roman"/>
          <w:sz w:val="32"/>
          <w:szCs w:val="32"/>
          <w:lang w:val="en-US" w:eastAsia="zh-CN"/>
        </w:rPr>
        <w:t>18.23</w:t>
      </w:r>
      <w:r>
        <w:rPr>
          <w:rFonts w:hint="eastAsia" w:ascii="仿宋" w:hAnsi="仿宋" w:eastAsia="仿宋" w:cs="Times New Roman"/>
          <w:sz w:val="32"/>
          <w:szCs w:val="32"/>
        </w:rPr>
        <w:t>%。与2022年度相比，一般公共预算财政拨款支出增加</w:t>
      </w:r>
      <w:r>
        <w:rPr>
          <w:rFonts w:hint="eastAsia" w:ascii="仿宋" w:hAnsi="仿宋" w:eastAsia="仿宋" w:cs="Times New Roman"/>
          <w:sz w:val="32"/>
          <w:szCs w:val="32"/>
          <w:lang w:val="en-US" w:eastAsia="zh-CN"/>
        </w:rPr>
        <w:t>398.67</w:t>
      </w:r>
      <w:r>
        <w:rPr>
          <w:rFonts w:hint="eastAsia" w:ascii="仿宋" w:hAnsi="仿宋" w:eastAsia="仿宋" w:cs="Times New Roman"/>
          <w:sz w:val="32"/>
          <w:szCs w:val="32"/>
        </w:rPr>
        <w:t>万元，增长</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rPr>
        <w:t>%。主要变动原因是</w:t>
      </w:r>
      <w:r>
        <w:rPr>
          <w:rFonts w:hint="eastAsia" w:ascii="仿宋" w:hAnsi="仿宋" w:eastAsia="仿宋"/>
          <w:color w:val="auto"/>
          <w:sz w:val="32"/>
          <w:szCs w:val="32"/>
          <w:highlight w:val="none"/>
          <w:lang w:val="en-US" w:eastAsia="zh-CN"/>
        </w:rPr>
        <w:t>每月的基础绩效奖列入了拨款收入</w:t>
      </w:r>
      <w:r>
        <w:rPr>
          <w:rFonts w:hint="eastAsia" w:ascii="仿宋" w:hAnsi="仿宋" w:eastAsia="仿宋" w:cs="Times New Roman"/>
          <w:sz w:val="32"/>
          <w:szCs w:val="32"/>
          <w:lang w:val="en-US" w:eastAsia="zh-CN"/>
        </w:rPr>
        <w:t>。</w:t>
      </w:r>
    </w:p>
    <w:p w14:paraId="54E80474">
      <w:pPr>
        <w:spacing w:line="600" w:lineRule="exact"/>
        <w:ind w:firstLine="640" w:firstLineChars="200"/>
        <w:rPr>
          <w:rFonts w:ascii="仿宋" w:hAnsi="仿宋" w:eastAsia="仿宋"/>
          <w:sz w:val="32"/>
          <w:szCs w:val="32"/>
          <w:highlight w:val="yellow"/>
        </w:rPr>
      </w:pPr>
      <w:r>
        <w:rPr>
          <w:rFonts w:hint="eastAsia" w:ascii="仿宋_GB2312" w:eastAsia="仿宋_GB2312"/>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681990</wp:posOffset>
            </wp:positionH>
            <wp:positionV relativeFrom="page">
              <wp:posOffset>3476625</wp:posOffset>
            </wp:positionV>
            <wp:extent cx="4090670" cy="2809875"/>
            <wp:effectExtent l="4445" t="5080" r="19685" b="444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highlight w:val="none"/>
        </w:rPr>
        <w:t>（图5：一般公共预算财政拨款支出决算变动情况）（柱状图）</w:t>
      </w:r>
    </w:p>
    <w:p w14:paraId="6A5C722C">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01BB076C">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hint="eastAsia" w:ascii="仿宋" w:hAnsi="仿宋" w:eastAsia="仿宋" w:cs="Times New Roman"/>
          <w:sz w:val="32"/>
          <w:szCs w:val="32"/>
          <w:lang w:val="en-US" w:eastAsia="zh-CN"/>
        </w:rPr>
        <w:t>398.67</w:t>
      </w:r>
      <w:r>
        <w:rPr>
          <w:rFonts w:hint="eastAsia" w:ascii="仿宋" w:hAnsi="仿宋" w:eastAsia="仿宋"/>
          <w:sz w:val="32"/>
          <w:szCs w:val="32"/>
        </w:rPr>
        <w:t>万元，主要用于以下方面</w:t>
      </w:r>
      <w:r>
        <w:rPr>
          <w:rFonts w:hint="eastAsia" w:ascii="仿宋" w:hAnsi="仿宋" w:eastAsia="仿宋" w:cs="Times New Roman"/>
          <w:sz w:val="32"/>
          <w:szCs w:val="32"/>
        </w:rPr>
        <w:t>:</w:t>
      </w:r>
      <w:r>
        <w:rPr>
          <w:rFonts w:hint="eastAsia" w:ascii="仿宋" w:hAnsi="仿宋" w:eastAsia="仿宋" w:cs="Times New Roman"/>
          <w:b/>
          <w:color w:val="auto"/>
          <w:sz w:val="32"/>
          <w:szCs w:val="32"/>
          <w:highlight w:val="none"/>
        </w:rPr>
        <w:t>一般公共服务支出</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w:t>
      </w:r>
      <w:r>
        <w:rPr>
          <w:rFonts w:hint="eastAsia" w:ascii="仿宋" w:hAnsi="仿宋" w:eastAsia="仿宋" w:cs="Times New Roman"/>
          <w:b/>
          <w:color w:val="auto"/>
          <w:sz w:val="32"/>
          <w:szCs w:val="32"/>
          <w:highlight w:val="none"/>
        </w:rPr>
        <w:t>教育支出</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w:t>
      </w:r>
      <w:r>
        <w:rPr>
          <w:rFonts w:hint="eastAsia" w:ascii="仿宋" w:hAnsi="仿宋" w:eastAsia="仿宋" w:cs="Times New Roman"/>
          <w:b/>
          <w:color w:val="auto"/>
          <w:sz w:val="32"/>
          <w:szCs w:val="32"/>
          <w:highlight w:val="none"/>
        </w:rPr>
        <w:t>科学技术支出</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w:t>
      </w:r>
      <w:r>
        <w:rPr>
          <w:rFonts w:hint="eastAsia" w:ascii="仿宋" w:hAnsi="仿宋" w:eastAsia="仿宋" w:cs="Times New Roman"/>
          <w:b/>
          <w:color w:val="auto"/>
          <w:sz w:val="32"/>
          <w:szCs w:val="32"/>
          <w:highlight w:val="none"/>
        </w:rPr>
        <w:t>文化旅游体育与传媒支出</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w:t>
      </w:r>
      <w:r>
        <w:rPr>
          <w:rFonts w:hint="eastAsia" w:ascii="仿宋" w:hAnsi="仿宋" w:eastAsia="仿宋" w:cs="Times New Roman"/>
          <w:b/>
          <w:color w:val="auto"/>
          <w:sz w:val="32"/>
          <w:szCs w:val="32"/>
          <w:highlight w:val="none"/>
        </w:rPr>
        <w:t>社会保障和就业支出</w:t>
      </w:r>
      <w:r>
        <w:rPr>
          <w:rFonts w:hint="eastAsia" w:ascii="仿宋" w:hAnsi="仿宋" w:eastAsia="仿宋" w:cs="Times New Roman"/>
          <w:sz w:val="32"/>
          <w:szCs w:val="32"/>
          <w:lang w:val="en-US" w:eastAsia="zh-CN"/>
        </w:rPr>
        <w:t>100.52</w:t>
      </w:r>
      <w:r>
        <w:rPr>
          <w:rFonts w:hint="eastAsia" w:ascii="仿宋" w:hAnsi="仿宋" w:eastAsia="仿宋"/>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184150</wp:posOffset>
            </wp:positionH>
            <wp:positionV relativeFrom="page">
              <wp:posOffset>1909445</wp:posOffset>
            </wp:positionV>
            <wp:extent cx="4262120" cy="3093720"/>
            <wp:effectExtent l="4445" t="4445" r="19685" b="698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25.21</w:t>
      </w:r>
      <w:r>
        <w:rPr>
          <w:rFonts w:hint="eastAsia" w:ascii="仿宋" w:hAnsi="仿宋" w:eastAsia="仿宋" w:cs="Times New Roman"/>
          <w:sz w:val="32"/>
          <w:szCs w:val="32"/>
        </w:rPr>
        <w:t>%；</w:t>
      </w:r>
      <w:r>
        <w:rPr>
          <w:rFonts w:hint="eastAsia" w:ascii="仿宋" w:hAnsi="仿宋" w:eastAsia="仿宋" w:cs="Times New Roman"/>
          <w:b/>
          <w:color w:val="auto"/>
          <w:sz w:val="32"/>
          <w:szCs w:val="32"/>
          <w:highlight w:val="none"/>
        </w:rPr>
        <w:t>卫生健康支出</w:t>
      </w:r>
      <w:r>
        <w:rPr>
          <w:rFonts w:hint="eastAsia" w:ascii="仿宋" w:hAnsi="仿宋" w:eastAsia="仿宋" w:cs="Times New Roman"/>
          <w:sz w:val="32"/>
          <w:szCs w:val="32"/>
          <w:lang w:val="en-US" w:eastAsia="zh-CN"/>
        </w:rPr>
        <w:t>298.15</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74.79</w:t>
      </w:r>
      <w:r>
        <w:rPr>
          <w:rFonts w:hint="eastAsia" w:ascii="仿宋" w:hAnsi="仿宋" w:eastAsia="仿宋" w:cs="Times New Roman"/>
          <w:sz w:val="32"/>
          <w:szCs w:val="32"/>
        </w:rPr>
        <w:t>%；</w:t>
      </w:r>
      <w:r>
        <w:rPr>
          <w:rFonts w:hint="eastAsia" w:ascii="仿宋" w:hAnsi="仿宋" w:eastAsia="仿宋" w:cs="Times New Roman"/>
          <w:b/>
          <w:color w:val="auto"/>
          <w:sz w:val="32"/>
          <w:szCs w:val="32"/>
          <w:highlight w:val="none"/>
        </w:rPr>
        <w:t>住房保障支出</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w:t>
      </w:r>
    </w:p>
    <w:p w14:paraId="421F4B05">
      <w:pPr>
        <w:spacing w:line="600" w:lineRule="exact"/>
        <w:ind w:firstLine="640" w:firstLineChars="200"/>
        <w:rPr>
          <w:rFonts w:ascii="仿宋" w:hAnsi="仿宋" w:eastAsia="仿宋"/>
          <w:sz w:val="32"/>
          <w:szCs w:val="32"/>
        </w:rPr>
      </w:pPr>
      <w:r>
        <w:rPr>
          <w:rFonts w:hint="eastAsia" w:ascii="仿宋" w:hAnsi="仿宋" w:eastAsia="仿宋"/>
          <w:sz w:val="32"/>
          <w:szCs w:val="32"/>
          <w:highlight w:val="none"/>
        </w:rPr>
        <w:t>（图6：一般公共预算财政拨款支出决算结构）（饼状图）</w:t>
      </w:r>
    </w:p>
    <w:p w14:paraId="5058542D">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4B6EFE24">
      <w:pPr>
        <w:spacing w:line="600" w:lineRule="exact"/>
        <w:ind w:firstLine="643" w:firstLineChars="200"/>
        <w:outlineLvl w:val="2"/>
        <w:rPr>
          <w:rFonts w:ascii="仿宋" w:hAnsi="仿宋" w:eastAsia="仿宋"/>
          <w:sz w:val="32"/>
          <w:szCs w:val="32"/>
          <w:highlight w:val="none"/>
        </w:rPr>
      </w:pPr>
      <w:bookmarkStart w:id="31" w:name="_Toc15377444"/>
      <w:bookmarkStart w:id="32" w:name="_Toc15377213"/>
      <w:bookmarkStart w:id="33" w:name="_Toc15378460"/>
      <w:r>
        <w:rPr>
          <w:rFonts w:hint="eastAsia" w:ascii="仿宋" w:hAnsi="仿宋" w:eastAsia="仿宋"/>
          <w:b/>
          <w:sz w:val="32"/>
          <w:szCs w:val="32"/>
          <w:highlight w:val="none"/>
        </w:rPr>
        <w:t>2023年度一般公共预算支出决算数为</w:t>
      </w:r>
      <w:r>
        <w:rPr>
          <w:rFonts w:hint="eastAsia" w:ascii="仿宋" w:hAnsi="仿宋" w:eastAsia="仿宋"/>
          <w:b/>
          <w:sz w:val="32"/>
          <w:szCs w:val="32"/>
          <w:highlight w:val="none"/>
          <w:lang w:val="en-US" w:eastAsia="zh-CN"/>
        </w:rPr>
        <w:t>398.67万元</w:t>
      </w:r>
      <w:r>
        <w:rPr>
          <w:rFonts w:hint="eastAsia" w:ascii="仿宋" w:hAnsi="仿宋" w:eastAsia="仿宋"/>
          <w:sz w:val="32"/>
          <w:szCs w:val="32"/>
          <w:highlight w:val="none"/>
        </w:rPr>
        <w:t>，</w:t>
      </w:r>
      <w:r>
        <w:rPr>
          <w:rStyle w:val="16"/>
          <w:rFonts w:hint="eastAsia" w:ascii="仿宋" w:hAnsi="仿宋" w:eastAsia="仿宋"/>
          <w:bCs/>
          <w:sz w:val="32"/>
          <w:szCs w:val="32"/>
          <w:highlight w:val="none"/>
        </w:rPr>
        <w:t>完成预算</w:t>
      </w:r>
      <w:r>
        <w:rPr>
          <w:rStyle w:val="16"/>
          <w:rFonts w:hint="eastAsia" w:ascii="仿宋" w:hAnsi="仿宋" w:eastAsia="仿宋"/>
          <w:bCs/>
          <w:sz w:val="32"/>
          <w:szCs w:val="32"/>
          <w:highlight w:val="none"/>
          <w:lang w:val="en-US" w:eastAsia="zh-CN"/>
        </w:rPr>
        <w:t>100</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。其中：</w:t>
      </w:r>
      <w:bookmarkEnd w:id="31"/>
      <w:bookmarkEnd w:id="32"/>
      <w:bookmarkEnd w:id="33"/>
    </w:p>
    <w:p w14:paraId="798FE600">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1.</w:t>
      </w:r>
      <w:r>
        <w:rPr>
          <w:rStyle w:val="16"/>
          <w:rFonts w:hint="eastAsia" w:ascii="仿宋" w:hAnsi="仿宋" w:eastAsia="仿宋"/>
          <w:bCs/>
          <w:sz w:val="32"/>
          <w:szCs w:val="32"/>
          <w:highlight w:val="none"/>
        </w:rPr>
        <w:t>一般公共服务（类）</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0</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11193F77">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2.</w:t>
      </w:r>
      <w:r>
        <w:rPr>
          <w:rStyle w:val="16"/>
          <w:rFonts w:hint="eastAsia" w:ascii="仿宋" w:hAnsi="仿宋" w:eastAsia="仿宋"/>
          <w:bCs/>
          <w:sz w:val="32"/>
          <w:szCs w:val="32"/>
          <w:highlight w:val="none"/>
        </w:rPr>
        <w:t>教育（类）</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0</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03ADB7ED">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3.</w:t>
      </w:r>
      <w:r>
        <w:rPr>
          <w:rStyle w:val="16"/>
          <w:rFonts w:hint="eastAsia" w:ascii="仿宋" w:hAnsi="仿宋" w:eastAsia="仿宋"/>
          <w:bCs/>
          <w:sz w:val="32"/>
          <w:szCs w:val="32"/>
          <w:highlight w:val="none"/>
        </w:rPr>
        <w:t>科学技术（类）</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0</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6F205A53">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4.</w:t>
      </w:r>
      <w:r>
        <w:rPr>
          <w:rStyle w:val="16"/>
          <w:rFonts w:hint="eastAsia" w:ascii="仿宋" w:hAnsi="仿宋" w:eastAsia="仿宋"/>
          <w:bCs/>
          <w:sz w:val="32"/>
          <w:szCs w:val="32"/>
          <w:highlight w:val="none"/>
        </w:rPr>
        <w:t>文化旅游体育与传媒（类）</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0</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77A4C293">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5.</w:t>
      </w:r>
      <w:r>
        <w:rPr>
          <w:rStyle w:val="16"/>
          <w:rFonts w:hint="eastAsia" w:ascii="仿宋" w:hAnsi="仿宋" w:eastAsia="仿宋"/>
          <w:bCs/>
          <w:sz w:val="32"/>
          <w:szCs w:val="32"/>
          <w:highlight w:val="none"/>
        </w:rPr>
        <w:t>社会保障和就业（</w:t>
      </w:r>
      <w:r>
        <w:rPr>
          <w:rStyle w:val="16"/>
          <w:rFonts w:hint="eastAsia" w:ascii="仿宋" w:hAnsi="仿宋" w:eastAsia="仿宋"/>
          <w:bCs/>
          <w:sz w:val="32"/>
          <w:szCs w:val="32"/>
          <w:highlight w:val="none"/>
          <w:lang w:val="en-US" w:eastAsia="zh-CN"/>
        </w:rPr>
        <w:t>208</w:t>
      </w:r>
      <w:r>
        <w:rPr>
          <w:rStyle w:val="16"/>
          <w:rFonts w:hint="eastAsia" w:ascii="仿宋" w:hAnsi="仿宋" w:eastAsia="仿宋"/>
          <w:bCs/>
          <w:sz w:val="32"/>
          <w:szCs w:val="32"/>
          <w:highlight w:val="none"/>
        </w:rPr>
        <w:t>）行政事业单位养老支出（</w:t>
      </w:r>
      <w:r>
        <w:rPr>
          <w:rStyle w:val="16"/>
          <w:rFonts w:hint="eastAsia" w:ascii="仿宋" w:hAnsi="仿宋" w:eastAsia="仿宋"/>
          <w:bCs/>
          <w:sz w:val="32"/>
          <w:szCs w:val="32"/>
          <w:highlight w:val="none"/>
          <w:lang w:val="en-US" w:eastAsia="zh-CN"/>
        </w:rPr>
        <w:t>05</w:t>
      </w:r>
      <w:r>
        <w:rPr>
          <w:rStyle w:val="16"/>
          <w:rFonts w:hint="eastAsia" w:ascii="仿宋" w:hAnsi="仿宋" w:eastAsia="仿宋"/>
          <w:bCs/>
          <w:sz w:val="32"/>
          <w:szCs w:val="32"/>
          <w:highlight w:val="none"/>
        </w:rPr>
        <w:t>）其他行政事业单位养老支出（</w:t>
      </w:r>
      <w:r>
        <w:rPr>
          <w:rStyle w:val="16"/>
          <w:rFonts w:hint="eastAsia" w:ascii="仿宋" w:hAnsi="仿宋" w:eastAsia="仿宋"/>
          <w:bCs/>
          <w:sz w:val="32"/>
          <w:szCs w:val="32"/>
          <w:highlight w:val="none"/>
          <w:lang w:val="en-US" w:eastAsia="zh-CN"/>
        </w:rPr>
        <w:t>99</w:t>
      </w:r>
      <w:r>
        <w:rPr>
          <w:rStyle w:val="16"/>
          <w:rFonts w:hint="eastAsia" w:ascii="仿宋" w:hAnsi="仿宋" w:eastAsia="仿宋"/>
          <w:bCs/>
          <w:sz w:val="32"/>
          <w:szCs w:val="32"/>
          <w:highlight w:val="none"/>
        </w:rPr>
        <w:t>）</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100.52</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6EA4F7CD">
      <w:pPr>
        <w:spacing w:line="600" w:lineRule="exact"/>
        <w:ind w:firstLine="643" w:firstLineChars="200"/>
        <w:rPr>
          <w:rStyle w:val="16"/>
          <w:rFonts w:hint="eastAsia" w:ascii="仿宋" w:hAnsi="仿宋" w:eastAsia="仿宋"/>
          <w:b w:val="0"/>
          <w:bCs/>
          <w:sz w:val="32"/>
          <w:szCs w:val="32"/>
          <w:highlight w:val="none"/>
        </w:rPr>
      </w:pPr>
      <w:r>
        <w:rPr>
          <w:rStyle w:val="16"/>
          <w:rFonts w:ascii="仿宋" w:hAnsi="仿宋" w:eastAsia="仿宋"/>
          <w:bCs/>
          <w:sz w:val="32"/>
          <w:szCs w:val="32"/>
          <w:highlight w:val="none"/>
        </w:rPr>
        <w:t>6.</w:t>
      </w:r>
      <w:r>
        <w:rPr>
          <w:rFonts w:hint="eastAsia" w:ascii="仿宋" w:hAnsi="仿宋" w:eastAsia="仿宋"/>
          <w:b/>
          <w:bCs/>
          <w:sz w:val="32"/>
          <w:szCs w:val="32"/>
          <w:highlight w:val="none"/>
        </w:rPr>
        <w:t>卫生健康</w:t>
      </w:r>
      <w:r>
        <w:rPr>
          <w:rStyle w:val="16"/>
          <w:rFonts w:hint="eastAsia" w:ascii="仿宋" w:hAnsi="仿宋" w:eastAsia="仿宋"/>
          <w:bCs/>
          <w:sz w:val="32"/>
          <w:szCs w:val="32"/>
          <w:highlight w:val="none"/>
        </w:rPr>
        <w:t>（</w:t>
      </w:r>
      <w:r>
        <w:rPr>
          <w:rStyle w:val="16"/>
          <w:rFonts w:hint="eastAsia" w:ascii="仿宋" w:hAnsi="仿宋" w:eastAsia="仿宋"/>
          <w:bCs/>
          <w:sz w:val="32"/>
          <w:szCs w:val="32"/>
          <w:highlight w:val="none"/>
          <w:lang w:val="en-US" w:eastAsia="zh-CN"/>
        </w:rPr>
        <w:t>210</w:t>
      </w:r>
      <w:r>
        <w:rPr>
          <w:rStyle w:val="16"/>
          <w:rFonts w:hint="eastAsia" w:ascii="仿宋" w:hAnsi="仿宋" w:eastAsia="仿宋"/>
          <w:bCs/>
          <w:sz w:val="32"/>
          <w:szCs w:val="32"/>
          <w:highlight w:val="none"/>
        </w:rPr>
        <w:t>）基层医疗卫生机构（</w:t>
      </w:r>
      <w:r>
        <w:rPr>
          <w:rStyle w:val="16"/>
          <w:rFonts w:hint="eastAsia" w:ascii="仿宋" w:hAnsi="仿宋" w:eastAsia="仿宋"/>
          <w:bCs/>
          <w:sz w:val="32"/>
          <w:szCs w:val="32"/>
          <w:highlight w:val="none"/>
          <w:lang w:val="en-US" w:eastAsia="zh-CN"/>
        </w:rPr>
        <w:t>03</w:t>
      </w:r>
      <w:r>
        <w:rPr>
          <w:rStyle w:val="16"/>
          <w:rFonts w:hint="eastAsia" w:ascii="仿宋" w:hAnsi="仿宋" w:eastAsia="仿宋"/>
          <w:bCs/>
          <w:sz w:val="32"/>
          <w:szCs w:val="32"/>
          <w:highlight w:val="none"/>
        </w:rPr>
        <w:t>）乡镇卫生院（</w:t>
      </w:r>
      <w:r>
        <w:rPr>
          <w:rStyle w:val="16"/>
          <w:rFonts w:hint="eastAsia" w:ascii="仿宋" w:hAnsi="仿宋" w:eastAsia="仿宋"/>
          <w:bCs/>
          <w:sz w:val="32"/>
          <w:szCs w:val="32"/>
          <w:highlight w:val="none"/>
          <w:lang w:val="en-US" w:eastAsia="zh-CN"/>
        </w:rPr>
        <w:t>02</w:t>
      </w:r>
      <w:r>
        <w:rPr>
          <w:rStyle w:val="16"/>
          <w:rFonts w:hint="eastAsia" w:ascii="仿宋" w:hAnsi="仿宋" w:eastAsia="仿宋"/>
          <w:bCs/>
          <w:sz w:val="32"/>
          <w:szCs w:val="32"/>
          <w:highlight w:val="none"/>
        </w:rPr>
        <w:t>）</w:t>
      </w:r>
      <w:r>
        <w:rPr>
          <w:rStyle w:val="16"/>
          <w:rFonts w:ascii="仿宋" w:hAnsi="仿宋" w:eastAsia="仿宋"/>
          <w:bCs/>
          <w:sz w:val="32"/>
          <w:szCs w:val="32"/>
          <w:highlight w:val="none"/>
        </w:rPr>
        <w:t>:</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287.7</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02B9EEDC">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b/>
          <w:sz w:val="32"/>
          <w:szCs w:val="32"/>
        </w:rPr>
      </w:pPr>
      <w:r>
        <w:rPr>
          <w:rStyle w:val="16"/>
          <w:rFonts w:hint="eastAsia" w:ascii="仿宋" w:hAnsi="仿宋" w:eastAsia="仿宋"/>
          <w:bCs/>
          <w:sz w:val="32"/>
          <w:szCs w:val="32"/>
          <w:highlight w:val="none"/>
          <w:lang w:val="en-US" w:eastAsia="zh-CN"/>
        </w:rPr>
        <w:t>7</w:t>
      </w:r>
      <w:r>
        <w:rPr>
          <w:rStyle w:val="16"/>
          <w:rFonts w:ascii="仿宋" w:hAnsi="仿宋" w:eastAsia="仿宋"/>
          <w:bCs/>
          <w:sz w:val="32"/>
          <w:szCs w:val="32"/>
          <w:highlight w:val="none"/>
        </w:rPr>
        <w:t>.</w:t>
      </w:r>
      <w:r>
        <w:rPr>
          <w:rFonts w:hint="eastAsia" w:ascii="仿宋" w:hAnsi="仿宋" w:eastAsia="仿宋"/>
          <w:b/>
          <w:bCs/>
          <w:sz w:val="32"/>
          <w:szCs w:val="32"/>
          <w:highlight w:val="none"/>
        </w:rPr>
        <w:t>卫生健康</w:t>
      </w:r>
      <w:r>
        <w:rPr>
          <w:rStyle w:val="16"/>
          <w:rFonts w:hint="eastAsia" w:ascii="仿宋" w:hAnsi="仿宋" w:eastAsia="仿宋"/>
          <w:bCs/>
          <w:sz w:val="32"/>
          <w:szCs w:val="32"/>
          <w:highlight w:val="none"/>
        </w:rPr>
        <w:t>（</w:t>
      </w:r>
      <w:r>
        <w:rPr>
          <w:rStyle w:val="16"/>
          <w:rFonts w:hint="eastAsia" w:ascii="仿宋" w:hAnsi="仿宋" w:eastAsia="仿宋"/>
          <w:bCs/>
          <w:sz w:val="32"/>
          <w:szCs w:val="32"/>
          <w:highlight w:val="none"/>
          <w:lang w:val="en-US" w:eastAsia="zh-CN"/>
        </w:rPr>
        <w:t>210</w:t>
      </w:r>
      <w:r>
        <w:rPr>
          <w:rStyle w:val="16"/>
          <w:rFonts w:hint="eastAsia" w:ascii="仿宋" w:hAnsi="仿宋" w:eastAsia="仿宋"/>
          <w:bCs/>
          <w:sz w:val="32"/>
          <w:szCs w:val="32"/>
          <w:highlight w:val="none"/>
        </w:rPr>
        <w:t>）基层医疗卫生机构（</w:t>
      </w:r>
      <w:r>
        <w:rPr>
          <w:rStyle w:val="16"/>
          <w:rFonts w:hint="eastAsia" w:ascii="仿宋" w:hAnsi="仿宋" w:eastAsia="仿宋"/>
          <w:bCs/>
          <w:sz w:val="32"/>
          <w:szCs w:val="32"/>
          <w:highlight w:val="none"/>
          <w:lang w:val="en-US" w:eastAsia="zh-CN"/>
        </w:rPr>
        <w:t>03</w:t>
      </w:r>
      <w:r>
        <w:rPr>
          <w:rStyle w:val="16"/>
          <w:rFonts w:hint="eastAsia" w:ascii="仿宋" w:hAnsi="仿宋" w:eastAsia="仿宋"/>
          <w:bCs/>
          <w:sz w:val="32"/>
          <w:szCs w:val="32"/>
          <w:highlight w:val="none"/>
        </w:rPr>
        <w:t>）其他基层医疗卫生机构支出（</w:t>
      </w:r>
      <w:r>
        <w:rPr>
          <w:rStyle w:val="16"/>
          <w:rFonts w:hint="eastAsia" w:ascii="仿宋" w:hAnsi="仿宋" w:eastAsia="仿宋"/>
          <w:bCs/>
          <w:sz w:val="32"/>
          <w:szCs w:val="32"/>
          <w:highlight w:val="none"/>
          <w:lang w:val="en-US" w:eastAsia="zh-CN"/>
        </w:rPr>
        <w:t>99</w:t>
      </w:r>
      <w:r>
        <w:rPr>
          <w:rStyle w:val="16"/>
          <w:rFonts w:hint="eastAsia" w:ascii="仿宋" w:hAnsi="仿宋" w:eastAsia="仿宋"/>
          <w:bCs/>
          <w:sz w:val="32"/>
          <w:szCs w:val="32"/>
          <w:highlight w:val="none"/>
        </w:rPr>
        <w:t>）</w:t>
      </w:r>
      <w:r>
        <w:rPr>
          <w:rStyle w:val="16"/>
          <w:rFonts w:ascii="仿宋" w:hAnsi="仿宋" w:eastAsia="仿宋"/>
          <w:bCs/>
          <w:sz w:val="32"/>
          <w:szCs w:val="32"/>
          <w:highlight w:val="none"/>
        </w:rPr>
        <w:t>:</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10.44</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66DFD6C8">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6EEE15E0">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2023年度一般公共预算财政拨款基本支出398.67万元，其中：</w:t>
      </w:r>
    </w:p>
    <w:p w14:paraId="5B131A0D">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hint="eastAsia" w:ascii="仿宋" w:hAnsi="仿宋" w:eastAsia="仿宋"/>
          <w:b/>
          <w:sz w:val="32"/>
          <w:szCs w:val="32"/>
          <w:highlight w:val="none"/>
          <w:lang w:val="en-US" w:eastAsia="zh-CN"/>
        </w:rPr>
        <w:t>398.67万元</w:t>
      </w:r>
      <w:r>
        <w:rPr>
          <w:rFonts w:hint="eastAsia" w:ascii="仿宋" w:hAnsi="仿宋" w:eastAsia="仿宋"/>
          <w:sz w:val="32"/>
          <w:szCs w:val="32"/>
        </w:rPr>
        <w:t>，主要包括：基本工资298.15</w:t>
      </w:r>
      <w:r>
        <w:rPr>
          <w:rFonts w:hint="eastAsia" w:ascii="仿宋" w:hAnsi="仿宋" w:eastAsia="仿宋"/>
          <w:sz w:val="32"/>
          <w:szCs w:val="32"/>
          <w:lang w:val="en-US" w:eastAsia="zh-CN"/>
        </w:rPr>
        <w:t>万元</w:t>
      </w:r>
      <w:r>
        <w:rPr>
          <w:rFonts w:hint="eastAsia" w:ascii="仿宋" w:hAnsi="仿宋" w:eastAsia="仿宋"/>
          <w:sz w:val="32"/>
          <w:szCs w:val="32"/>
        </w:rPr>
        <w:t>、津贴补贴</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、奖金</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、伙食补助费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、绩效工资</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、机关事业单位基本养老保险缴费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、职业年金缴费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、其他社会保障缴费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、其他工资福利支出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、离休费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、退休费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、抚恤金</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、生活补助100.52</w:t>
      </w:r>
      <w:r>
        <w:rPr>
          <w:rFonts w:hint="eastAsia" w:ascii="仿宋" w:hAnsi="仿宋" w:eastAsia="仿宋"/>
          <w:sz w:val="32"/>
          <w:szCs w:val="32"/>
          <w:lang w:val="en-US" w:eastAsia="zh-CN"/>
        </w:rPr>
        <w:t>万元</w:t>
      </w:r>
      <w:r>
        <w:rPr>
          <w:rFonts w:hint="eastAsia" w:ascii="仿宋" w:hAnsi="仿宋" w:eastAsia="仿宋"/>
          <w:sz w:val="32"/>
          <w:szCs w:val="32"/>
        </w:rPr>
        <w:t>、医疗费补助</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、奖励金</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、住房公积金</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、其他对个人和家庭的补助支出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，主要包括：办公费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、印刷费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、咨询费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、手续费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、水费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、电费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、邮电费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、取暖费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、物业管理费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、差旅费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、因公出国（境）费用</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、维修（护）费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、租赁费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、会议费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、培训费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、公务接待费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、劳务费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、委托业务费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、工会经费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、福利费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、公务用车运行维护费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、其他交通费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、税金及附加费用</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、其他商品和服务支出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、办公设备购置</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、专用设备购置</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、信息网络及软件购置更新</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、其他资本性支出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sz w:val="32"/>
          <w:szCs w:val="32"/>
        </w:rPr>
        <w:t>等。</w:t>
      </w:r>
    </w:p>
    <w:p w14:paraId="7A21F127">
      <w:pPr>
        <w:spacing w:line="600" w:lineRule="exact"/>
        <w:ind w:firstLine="640"/>
        <w:outlineLvl w:val="1"/>
        <w:rPr>
          <w:rStyle w:val="28"/>
          <w:rFonts w:ascii="黑体" w:hAnsi="黑体" w:eastAsia="黑体"/>
          <w:b w:val="0"/>
        </w:rPr>
      </w:pPr>
      <w:bookmarkStart w:id="36" w:name="_Toc15377215"/>
      <w:bookmarkStart w:id="37"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4FC99979">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3DE94B19">
      <w:pPr>
        <w:spacing w:line="600" w:lineRule="exact"/>
        <w:ind w:firstLine="640"/>
        <w:rPr>
          <w:rFonts w:hint="eastAsia" w:ascii="仿宋" w:hAnsi="仿宋" w:eastAsia="仿宋"/>
          <w:b/>
          <w:sz w:val="32"/>
          <w:szCs w:val="32"/>
          <w:lang w:eastAsia="zh-CN"/>
        </w:rPr>
      </w:pPr>
      <w:r>
        <w:rPr>
          <w:rFonts w:hint="eastAsia" w:ascii="仿宋" w:hAnsi="仿宋" w:eastAsia="仿宋"/>
          <w:sz w:val="32"/>
          <w:szCs w:val="32"/>
        </w:rPr>
        <w:t>2023年度“三公”经费财政拨款支出决算为</w:t>
      </w:r>
      <w:r>
        <w:rPr>
          <w:rFonts w:hint="eastAsia" w:ascii="仿宋" w:hAnsi="仿宋" w:eastAsia="仿宋"/>
          <w:b/>
          <w:sz w:val="32"/>
          <w:szCs w:val="32"/>
          <w:lang w:val="en-US" w:eastAsia="zh-CN"/>
        </w:rPr>
        <w:t>0</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lang w:eastAsia="zh-CN"/>
        </w:rPr>
        <w:t>。</w:t>
      </w:r>
    </w:p>
    <w:p w14:paraId="02E45686">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73CC5DBC">
      <w:pPr>
        <w:spacing w:line="600" w:lineRule="exact"/>
        <w:ind w:firstLine="640"/>
        <w:rPr>
          <w:rFonts w:hint="eastAsia" w:ascii="仿宋" w:hAnsi="仿宋" w:eastAsia="仿宋"/>
          <w:sz w:val="32"/>
          <w:szCs w:val="32"/>
          <w:highlight w:val="none"/>
        </w:rPr>
      </w:pPr>
      <w:r>
        <w:rPr>
          <w:rFonts w:hint="eastAsia" w:ascii="仿宋" w:hAnsi="仿宋" w:eastAsia="仿宋"/>
          <w:sz w:val="32"/>
          <w:szCs w:val="32"/>
          <w:highlight w:val="none"/>
        </w:rPr>
        <w:t>2023年度“三公”经费财政拨款支出决算中，因公出国（境）费支出决算</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；公务用车购置及运行维护费支出决算</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；公务接待费支出决算</w:t>
      </w:r>
      <w:r>
        <w:rPr>
          <w:rFonts w:hint="eastAsia" w:ascii="仿宋" w:hAnsi="仿宋" w:eastAsia="仿宋"/>
          <w:b/>
          <w:sz w:val="32"/>
          <w:szCs w:val="32"/>
          <w:highlight w:val="none"/>
          <w:lang w:val="en-US" w:eastAsia="zh-CN"/>
        </w:rPr>
        <w:t>0</w:t>
      </w:r>
      <w:r>
        <w:rPr>
          <w:rFonts w:hint="eastAsia" w:ascii="仿宋" w:hAnsi="仿宋" w:eastAsia="仿宋"/>
          <w:sz w:val="32"/>
          <w:szCs w:val="32"/>
          <w:highlight w:val="none"/>
        </w:rPr>
        <w:t>万元，占</w:t>
      </w:r>
      <w:r>
        <w:rPr>
          <w:rFonts w:ascii="仿宋" w:hAnsi="仿宋" w:eastAsia="仿宋"/>
          <w:b/>
          <w:sz w:val="32"/>
          <w:szCs w:val="32"/>
          <w:highlight w:val="none"/>
        </w:rPr>
        <w:t>100</w:t>
      </w:r>
      <w:r>
        <w:rPr>
          <w:rFonts w:ascii="仿宋" w:hAnsi="仿宋" w:eastAsia="仿宋"/>
          <w:sz w:val="32"/>
          <w:szCs w:val="32"/>
          <w:highlight w:val="none"/>
        </w:rPr>
        <w:t>%</w:t>
      </w:r>
      <w:r>
        <w:rPr>
          <w:rFonts w:hint="eastAsia" w:ascii="仿宋" w:hAnsi="仿宋" w:eastAsia="仿宋"/>
          <w:sz w:val="32"/>
          <w:szCs w:val="32"/>
          <w:highlight w:val="none"/>
        </w:rPr>
        <w:t>。具体情况如下：</w:t>
      </w:r>
    </w:p>
    <w:p w14:paraId="3E639E29">
      <w:pPr>
        <w:pStyle w:val="2"/>
      </w:pPr>
      <w:r>
        <w:drawing>
          <wp:inline distT="0" distB="0" distL="114300" distR="114300">
            <wp:extent cx="4572000" cy="2743200"/>
            <wp:effectExtent l="4445" t="4445" r="14605" b="14605"/>
            <wp:docPr id="1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0106DC">
      <w:pPr>
        <w:spacing w:line="600" w:lineRule="exact"/>
        <w:ind w:firstLine="640"/>
        <w:rPr>
          <w:rFonts w:ascii="仿宋" w:hAnsi="仿宋" w:eastAsia="仿宋"/>
          <w:sz w:val="32"/>
          <w:szCs w:val="32"/>
          <w:highlight w:val="none"/>
        </w:rPr>
      </w:pPr>
      <w:bookmarkStart w:id="67" w:name="_GoBack"/>
      <w:bookmarkEnd w:id="67"/>
      <w:r>
        <w:rPr>
          <w:rFonts w:hint="eastAsia" w:ascii="仿宋" w:hAnsi="仿宋" w:eastAsia="仿宋"/>
          <w:sz w:val="32"/>
          <w:szCs w:val="32"/>
          <w:highlight w:val="none"/>
        </w:rPr>
        <w:t>（图7：“三公”经费财政拨款支出结构）（饼状图）</w:t>
      </w:r>
    </w:p>
    <w:p w14:paraId="7DE6F0C8">
      <w:pPr>
        <w:pageBreakBefore w:val="0"/>
        <w:kinsoku/>
        <w:wordWrap/>
        <w:overflowPunct/>
        <w:topLinePunct w:val="0"/>
        <w:bidi w:val="0"/>
        <w:snapToGrid/>
        <w:spacing w:line="578" w:lineRule="exact"/>
        <w:ind w:firstLine="640"/>
        <w:textAlignment w:val="auto"/>
        <w:rPr>
          <w:rFonts w:hint="eastAsia" w:ascii="仿宋_GB2312" w:eastAsia="仿宋_GB2312"/>
          <w:b/>
          <w:color w:val="FF0000"/>
          <w:sz w:val="32"/>
          <w:szCs w:val="32"/>
          <w:highlight w:val="none"/>
          <w:lang w:eastAsia="zh-CN"/>
        </w:rPr>
      </w:pPr>
      <w:bookmarkStart w:id="40" w:name="_Toc15396610"/>
      <w:bookmarkStart w:id="41" w:name="_Toc15377218"/>
      <w:r>
        <w:rPr>
          <w:rFonts w:ascii="仿宋_GB2312" w:eastAsia="仿宋_GB2312"/>
          <w:b/>
          <w:sz w:val="32"/>
          <w:szCs w:val="32"/>
          <w:highlight w:val="none"/>
        </w:rPr>
        <w:t>1.</w:t>
      </w:r>
      <w:r>
        <w:rPr>
          <w:rFonts w:hint="eastAsia" w:ascii="仿宋_GB2312" w:eastAsia="仿宋_GB2312"/>
          <w:b/>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2C242940">
      <w:pPr>
        <w:pageBreakBefore w:val="0"/>
        <w:kinsoku/>
        <w:wordWrap/>
        <w:overflowPunct/>
        <w:topLinePunct w:val="0"/>
        <w:bidi w:val="0"/>
        <w:snapToGrid/>
        <w:spacing w:line="578" w:lineRule="exact"/>
        <w:ind w:firstLine="64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开支内容包括：</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w:t>
      </w:r>
    </w:p>
    <w:p w14:paraId="46BA223D">
      <w:pPr>
        <w:pageBreakBefore w:val="0"/>
        <w:kinsoku/>
        <w:wordWrap/>
        <w:overflowPunct/>
        <w:topLinePunct w:val="0"/>
        <w:bidi w:val="0"/>
        <w:snapToGrid/>
        <w:spacing w:line="578" w:lineRule="exact"/>
        <w:ind w:firstLine="64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214C0C29">
      <w:pPr>
        <w:pageBreakBefore w:val="0"/>
        <w:kinsoku/>
        <w:wordWrap/>
        <w:overflowPunct/>
        <w:topLinePunct w:val="0"/>
        <w:bidi w:val="0"/>
        <w:snapToGrid/>
        <w:spacing w:line="578" w:lineRule="exact"/>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w:t>
      </w:r>
      <w:r>
        <w:rPr>
          <w:rFonts w:hint="eastAsia" w:ascii="仿宋_GB2312" w:eastAsia="仿宋_GB2312"/>
          <w:color w:val="000000"/>
          <w:sz w:val="32"/>
          <w:szCs w:val="32"/>
          <w:highlight w:val="none"/>
        </w:rPr>
        <w:t>轿车</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辆、越野车</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辆、</w:t>
      </w:r>
      <w:r>
        <w:rPr>
          <w:rFonts w:hint="eastAsia" w:ascii="仿宋_GB2312" w:eastAsia="仿宋_GB2312"/>
          <w:color w:val="000000"/>
          <w:sz w:val="32"/>
          <w:szCs w:val="32"/>
          <w:highlight w:val="none"/>
          <w:lang w:eastAsia="zh-CN"/>
        </w:rPr>
        <w:t>救护车</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辆</w:t>
      </w:r>
      <w:r>
        <w:rPr>
          <w:rFonts w:hint="eastAsia" w:ascii="仿宋_GB2312" w:eastAsia="仿宋_GB2312"/>
          <w:color w:val="auto"/>
          <w:sz w:val="32"/>
          <w:szCs w:val="32"/>
          <w:highlight w:val="none"/>
        </w:rPr>
        <w:t>。</w:t>
      </w:r>
    </w:p>
    <w:p w14:paraId="18328E54">
      <w:pPr>
        <w:spacing w:line="600" w:lineRule="exact"/>
        <w:ind w:firstLine="640"/>
        <w:rPr>
          <w:rFonts w:ascii="仿宋_GB2312" w:eastAsia="仿宋_GB2312"/>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sz w:val="32"/>
          <w:szCs w:val="32"/>
          <w:highlight w:val="none"/>
        </w:rPr>
        <w:t>。</w:t>
      </w:r>
    </w:p>
    <w:p w14:paraId="54D241EF">
      <w:pPr>
        <w:spacing w:line="600" w:lineRule="exact"/>
        <w:ind w:firstLine="640"/>
        <w:rPr>
          <w:rFonts w:hint="eastAsia" w:ascii="仿宋_GB2312" w:eastAsia="仿宋_GB2312"/>
          <w:sz w:val="32"/>
          <w:szCs w:val="32"/>
          <w:highlight w:val="none"/>
        </w:rPr>
      </w:pPr>
      <w:r>
        <w:rPr>
          <w:rFonts w:ascii="仿宋_GB2312" w:eastAsia="仿宋_GB2312"/>
          <w:b/>
          <w:sz w:val="32"/>
          <w:szCs w:val="32"/>
          <w:highlight w:val="none"/>
        </w:rPr>
        <w:t>3.</w:t>
      </w:r>
      <w:r>
        <w:rPr>
          <w:rFonts w:hint="eastAsia" w:ascii="仿宋_GB2312" w:eastAsia="仿宋_GB2312"/>
          <w:b/>
          <w:sz w:val="32"/>
          <w:szCs w:val="32"/>
          <w:highlight w:val="none"/>
        </w:rPr>
        <w:t>公务接待费支出</w:t>
      </w:r>
      <w:r>
        <w:rPr>
          <w:rFonts w:hint="eastAsia" w:ascii="仿宋" w:hAnsi="仿宋" w:eastAsia="仿宋"/>
          <w:b/>
          <w:sz w:val="32"/>
          <w:szCs w:val="32"/>
          <w:highlight w:val="none"/>
          <w:lang w:val="en-US" w:eastAsia="zh-CN"/>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 w:val="0"/>
          <w:bCs/>
          <w:sz w:val="32"/>
          <w:szCs w:val="32"/>
          <w:highlight w:val="none"/>
        </w:rPr>
        <w:t>100%</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公务接待费支出决算比2022年度增加</w:t>
      </w:r>
      <w:r>
        <w:rPr>
          <w:rFonts w:ascii="仿宋_GB2312" w:eastAsia="仿宋_GB2312"/>
          <w:sz w:val="32"/>
          <w:szCs w:val="32"/>
          <w:highlight w:val="none"/>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ascii="仿宋_GB2312" w:eastAsia="仿宋_GB2312"/>
          <w:sz w:val="32"/>
          <w:szCs w:val="32"/>
          <w:highlight w:val="none"/>
        </w:rPr>
        <w:t>/</w:t>
      </w:r>
      <w:r>
        <w:rPr>
          <w:rFonts w:hint="eastAsia" w:ascii="仿宋_GB2312" w:eastAsia="仿宋_GB2312"/>
          <w:sz w:val="32"/>
          <w:szCs w:val="32"/>
          <w:highlight w:val="none"/>
        </w:rPr>
        <w:t>下降</w:t>
      </w:r>
      <w:r>
        <w:rPr>
          <w:rFonts w:hint="eastAsia" w:ascii="仿宋_GB2312" w:eastAsia="仿宋_GB2312"/>
          <w:sz w:val="32"/>
          <w:szCs w:val="32"/>
          <w:highlight w:val="none"/>
          <w:lang w:val="en-US" w:eastAsia="zh-CN"/>
        </w:rPr>
        <w:t>0</w:t>
      </w:r>
      <w:r>
        <w:rPr>
          <w:rFonts w:ascii="仿宋_GB2312" w:eastAsia="仿宋_GB2312"/>
          <w:sz w:val="32"/>
          <w:szCs w:val="32"/>
          <w:highlight w:val="none"/>
        </w:rPr>
        <w:t>%</w:t>
      </w:r>
      <w:r>
        <w:rPr>
          <w:rFonts w:hint="eastAsia" w:ascii="仿宋_GB2312" w:eastAsia="仿宋_GB2312"/>
          <w:sz w:val="32"/>
          <w:szCs w:val="32"/>
          <w:highlight w:val="none"/>
        </w:rPr>
        <w:t>。</w:t>
      </w:r>
    </w:p>
    <w:p w14:paraId="0044F052">
      <w:pPr>
        <w:spacing w:line="600" w:lineRule="exact"/>
        <w:ind w:firstLine="640"/>
        <w:rPr>
          <w:rFonts w:ascii="仿宋_GB2312" w:eastAsia="仿宋_GB2312"/>
          <w:sz w:val="32"/>
          <w:szCs w:val="32"/>
          <w:highlight w:val="none"/>
        </w:rPr>
      </w:pPr>
      <w:r>
        <w:rPr>
          <w:rFonts w:hint="eastAsia" w:ascii="仿宋" w:hAnsi="仿宋" w:eastAsia="仿宋"/>
          <w:b/>
          <w:sz w:val="32"/>
          <w:szCs w:val="32"/>
          <w:highlight w:val="none"/>
        </w:rPr>
        <w:t>国内公务接待支出</w:t>
      </w:r>
      <w:r>
        <w:rPr>
          <w:rFonts w:hint="eastAsia" w:ascii="仿宋" w:hAnsi="仿宋" w:eastAsia="仿宋"/>
          <w:b/>
          <w:sz w:val="32"/>
          <w:szCs w:val="32"/>
          <w:highlight w:val="none"/>
          <w:lang w:val="en-US" w:eastAsia="zh-CN"/>
        </w:rPr>
        <w:t>0</w:t>
      </w:r>
      <w:r>
        <w:rPr>
          <w:rFonts w:hint="eastAsia" w:ascii="仿宋_GB2312" w:eastAsia="仿宋_GB2312"/>
          <w:sz w:val="32"/>
          <w:szCs w:val="32"/>
          <w:highlight w:val="none"/>
        </w:rPr>
        <w:t>万元。</w:t>
      </w:r>
    </w:p>
    <w:p w14:paraId="51E4D764">
      <w:pPr>
        <w:spacing w:line="600" w:lineRule="exact"/>
        <w:ind w:firstLine="643" w:firstLineChars="200"/>
        <w:rPr>
          <w:rFonts w:ascii="黑体" w:eastAsia="黑体"/>
          <w:sz w:val="32"/>
          <w:szCs w:val="32"/>
        </w:rPr>
      </w:pPr>
      <w:r>
        <w:rPr>
          <w:rFonts w:hint="eastAsia" w:ascii="仿宋" w:hAnsi="仿宋" w:eastAsia="仿宋"/>
          <w:b/>
          <w:sz w:val="32"/>
          <w:szCs w:val="32"/>
          <w:highlight w:val="none"/>
        </w:rPr>
        <w:t>外事接待支出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3737D2C6">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3AB7DC73">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6ED71BA8">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6083F17B">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69A5B223">
      <w:pPr>
        <w:spacing w:line="580" w:lineRule="exact"/>
        <w:jc w:val="center"/>
        <w:rPr>
          <w:rFonts w:ascii="方正小标宋简体" w:hAnsi="方正小标宋简体" w:eastAsia="方正小标宋简体" w:cs="方正小标宋简体"/>
          <w:sz w:val="44"/>
          <w:szCs w:val="44"/>
        </w:rPr>
      </w:pPr>
    </w:p>
    <w:p w14:paraId="5B6094C1">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23AD301C">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44CD3584">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2023年</w:t>
      </w:r>
      <w:r>
        <w:rPr>
          <w:rFonts w:hint="eastAsia" w:ascii="仿宋_GB2312" w:hAnsi="Times New Roman" w:eastAsia="仿宋_GB2312" w:cs="Times New Roman"/>
          <w:sz w:val="32"/>
          <w:szCs w:val="32"/>
          <w:highlight w:val="none"/>
        </w:rPr>
        <w:t>度，</w:t>
      </w:r>
      <w:r>
        <w:rPr>
          <w:rFonts w:hint="eastAsia" w:ascii="仿宋_GB2312" w:hAnsi="Times New Roman" w:eastAsia="仿宋_GB2312" w:cs="Times New Roman"/>
          <w:sz w:val="32"/>
          <w:szCs w:val="32"/>
          <w:highlight w:val="none"/>
          <w:lang w:val="en-US" w:eastAsia="zh-CN"/>
        </w:rPr>
        <w:t>大竹县竹阳街道社区卫生服务中心机关运行经费支出0万元，主要原因是我单位是公益一类事业单位，无机关运行经费支出</w:t>
      </w:r>
      <w:r>
        <w:rPr>
          <w:rFonts w:hint="eastAsia" w:ascii="仿宋_GB2312" w:hAnsi="Times New Roman" w:eastAsia="仿宋_GB2312" w:cs="Times New Roman"/>
          <w:sz w:val="32"/>
          <w:szCs w:val="32"/>
          <w:highlight w:val="none"/>
        </w:rPr>
        <w:t>。</w:t>
      </w:r>
    </w:p>
    <w:p w14:paraId="129A3217">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53EE1FDE">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2023年度，</w:t>
      </w:r>
      <w:r>
        <w:rPr>
          <w:rFonts w:hint="eastAsia" w:ascii="仿宋_GB2312" w:hAnsi="Times New Roman" w:eastAsia="仿宋_GB2312" w:cs="Times New Roman"/>
          <w:b/>
          <w:sz w:val="32"/>
          <w:szCs w:val="32"/>
          <w:highlight w:val="none"/>
        </w:rPr>
        <w:t>大竹县竹阳街道社区卫生服务中心</w:t>
      </w:r>
      <w:r>
        <w:rPr>
          <w:rFonts w:hint="eastAsia" w:ascii="仿宋_GB2312" w:eastAsia="仿宋_GB2312"/>
          <w:sz w:val="32"/>
          <w:szCs w:val="32"/>
          <w:highlight w:val="none"/>
        </w:rPr>
        <w:t>政府采购支出总额</w:t>
      </w:r>
      <w:r>
        <w:rPr>
          <w:rFonts w:ascii="仿宋" w:hAnsi="仿宋" w:eastAsia="仿宋"/>
          <w:b/>
          <w:sz w:val="32"/>
          <w:szCs w:val="32"/>
          <w:highlight w:val="none"/>
        </w:rPr>
        <w:t>0</w:t>
      </w:r>
      <w:r>
        <w:rPr>
          <w:rFonts w:hint="eastAsia" w:ascii="仿宋_GB2312" w:eastAsia="仿宋_GB2312"/>
          <w:sz w:val="32"/>
          <w:szCs w:val="32"/>
          <w:highlight w:val="none"/>
        </w:rPr>
        <w:t>万元，其中：政府采购货物支出</w:t>
      </w:r>
      <w:r>
        <w:rPr>
          <w:rFonts w:ascii="仿宋" w:hAnsi="仿宋" w:eastAsia="仿宋"/>
          <w:b/>
          <w:sz w:val="32"/>
          <w:szCs w:val="32"/>
          <w:highlight w:val="none"/>
        </w:rPr>
        <w:t>0</w:t>
      </w:r>
      <w:r>
        <w:rPr>
          <w:rFonts w:hint="eastAsia" w:ascii="仿宋_GB2312" w:eastAsia="仿宋_GB2312"/>
          <w:sz w:val="32"/>
          <w:szCs w:val="32"/>
          <w:highlight w:val="none"/>
        </w:rPr>
        <w:t>万元、政府采购工程支出</w:t>
      </w:r>
      <w:r>
        <w:rPr>
          <w:rFonts w:ascii="仿宋" w:hAnsi="仿宋" w:eastAsia="仿宋"/>
          <w:b/>
          <w:sz w:val="32"/>
          <w:szCs w:val="32"/>
          <w:highlight w:val="none"/>
        </w:rPr>
        <w:t>0</w:t>
      </w:r>
      <w:r>
        <w:rPr>
          <w:rFonts w:hint="eastAsia" w:ascii="仿宋_GB2312" w:eastAsia="仿宋_GB2312"/>
          <w:sz w:val="32"/>
          <w:szCs w:val="32"/>
          <w:highlight w:val="none"/>
        </w:rPr>
        <w:t>万元、政府采购服务支出</w:t>
      </w:r>
      <w:r>
        <w:rPr>
          <w:rFonts w:ascii="仿宋" w:hAnsi="仿宋" w:eastAsia="仿宋"/>
          <w:b/>
          <w:sz w:val="32"/>
          <w:szCs w:val="32"/>
          <w:highlight w:val="none"/>
        </w:rPr>
        <w:t>0</w:t>
      </w:r>
      <w:r>
        <w:rPr>
          <w:rFonts w:hint="eastAsia" w:ascii="仿宋_GB2312" w:eastAsia="仿宋_GB2312"/>
          <w:sz w:val="32"/>
          <w:szCs w:val="32"/>
          <w:highlight w:val="none"/>
        </w:rPr>
        <w:t>万元。授予中小企业合同金额</w:t>
      </w:r>
      <w:r>
        <w:rPr>
          <w:rFonts w:ascii="仿宋" w:hAnsi="仿宋" w:eastAsia="仿宋"/>
          <w:b/>
          <w:sz w:val="32"/>
          <w:szCs w:val="32"/>
          <w:highlight w:val="none"/>
        </w:rPr>
        <w:t>0</w:t>
      </w:r>
      <w:r>
        <w:rPr>
          <w:rFonts w:hint="eastAsia" w:ascii="仿宋_GB2312" w:eastAsia="仿宋_GB2312"/>
          <w:sz w:val="32"/>
          <w:szCs w:val="32"/>
          <w:highlight w:val="none"/>
        </w:rPr>
        <w:t>万元，占政府采购支出总额的</w:t>
      </w:r>
      <w:r>
        <w:rPr>
          <w:rFonts w:ascii="仿宋_GB2312" w:eastAsia="仿宋_GB2312"/>
          <w:sz w:val="32"/>
          <w:szCs w:val="32"/>
          <w:highlight w:val="none"/>
        </w:rPr>
        <w:t>0%</w:t>
      </w:r>
      <w:r>
        <w:rPr>
          <w:rFonts w:hint="eastAsia" w:ascii="仿宋_GB2312" w:eastAsia="仿宋_GB2312"/>
          <w:sz w:val="32"/>
          <w:szCs w:val="32"/>
          <w:highlight w:val="none"/>
        </w:rPr>
        <w:t>，其中：授予小微企业合同金额</w:t>
      </w:r>
      <w:r>
        <w:rPr>
          <w:rFonts w:ascii="仿宋" w:hAnsi="仿宋" w:eastAsia="仿宋"/>
          <w:b/>
          <w:sz w:val="32"/>
          <w:szCs w:val="32"/>
          <w:highlight w:val="none"/>
        </w:rPr>
        <w:t>0</w:t>
      </w:r>
      <w:r>
        <w:rPr>
          <w:rFonts w:hint="eastAsia" w:ascii="仿宋_GB2312" w:eastAsia="仿宋_GB2312"/>
          <w:sz w:val="32"/>
          <w:szCs w:val="32"/>
          <w:highlight w:val="none"/>
        </w:rPr>
        <w:t>万元，占政府采购支出总额的</w:t>
      </w:r>
      <w:r>
        <w:rPr>
          <w:rFonts w:ascii="仿宋_GB2312" w:eastAsia="仿宋_GB2312"/>
          <w:b/>
          <w:sz w:val="32"/>
          <w:szCs w:val="32"/>
          <w:highlight w:val="none"/>
        </w:rPr>
        <w:t>0</w:t>
      </w:r>
      <w:r>
        <w:rPr>
          <w:rFonts w:ascii="仿宋_GB2312" w:eastAsia="仿宋_GB2312"/>
          <w:sz w:val="32"/>
          <w:szCs w:val="32"/>
          <w:highlight w:val="none"/>
        </w:rPr>
        <w:t>%</w:t>
      </w:r>
      <w:r>
        <w:rPr>
          <w:rFonts w:hint="eastAsia" w:ascii="仿宋_GB2312" w:eastAsia="仿宋_GB2312"/>
          <w:sz w:val="32"/>
          <w:szCs w:val="32"/>
          <w:highlight w:val="none"/>
        </w:rPr>
        <w:t>。</w:t>
      </w:r>
    </w:p>
    <w:p w14:paraId="301CBABD">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6E866C3B">
      <w:pPr>
        <w:autoSpaceDE w:val="0"/>
        <w:autoSpaceDN w:val="0"/>
        <w:adjustRightInd w:val="0"/>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截至2023年</w:t>
      </w:r>
      <w:r>
        <w:rPr>
          <w:rFonts w:ascii="仿宋_GB2312" w:eastAsia="仿宋_GB2312"/>
          <w:sz w:val="32"/>
          <w:szCs w:val="32"/>
          <w:highlight w:val="none"/>
        </w:rPr>
        <w:t>12</w:t>
      </w:r>
      <w:r>
        <w:rPr>
          <w:rFonts w:hint="eastAsia" w:ascii="仿宋_GB2312" w:eastAsia="仿宋_GB2312"/>
          <w:sz w:val="32"/>
          <w:szCs w:val="32"/>
          <w:highlight w:val="none"/>
        </w:rPr>
        <w:t>月</w:t>
      </w:r>
      <w:r>
        <w:rPr>
          <w:rFonts w:ascii="仿宋_GB2312" w:eastAsia="仿宋_GB2312"/>
          <w:sz w:val="32"/>
          <w:szCs w:val="32"/>
          <w:highlight w:val="none"/>
        </w:rPr>
        <w:t>31</w:t>
      </w:r>
      <w:r>
        <w:rPr>
          <w:rFonts w:hint="eastAsia" w:ascii="仿宋_GB2312" w:eastAsia="仿宋_GB2312"/>
          <w:sz w:val="32"/>
          <w:szCs w:val="32"/>
          <w:highlight w:val="none"/>
        </w:rPr>
        <w:t>日，</w:t>
      </w:r>
      <w:r>
        <w:rPr>
          <w:rFonts w:hint="eastAsia" w:ascii="仿宋_GB2312" w:eastAsia="仿宋_GB2312"/>
          <w:b/>
          <w:sz w:val="32"/>
          <w:szCs w:val="32"/>
          <w:highlight w:val="none"/>
        </w:rPr>
        <w:t>大竹县竹阳街道社区卫生服务中心</w:t>
      </w:r>
      <w:r>
        <w:rPr>
          <w:rFonts w:hint="eastAsia" w:ascii="仿宋_GB2312" w:eastAsia="仿宋_GB2312"/>
          <w:sz w:val="32"/>
          <w:szCs w:val="32"/>
          <w:highlight w:val="none"/>
        </w:rPr>
        <w:t>共有车辆</w:t>
      </w:r>
      <w:r>
        <w:rPr>
          <w:rFonts w:hint="eastAsia" w:ascii="仿宋_GB2312" w:eastAsia="仿宋_GB2312"/>
          <w:b/>
          <w:sz w:val="32"/>
          <w:szCs w:val="32"/>
          <w:highlight w:val="none"/>
        </w:rPr>
        <w:t>1</w:t>
      </w:r>
      <w:r>
        <w:rPr>
          <w:rFonts w:hint="eastAsia" w:ascii="仿宋_GB2312" w:eastAsia="仿宋_GB2312"/>
          <w:sz w:val="32"/>
          <w:szCs w:val="32"/>
          <w:highlight w:val="none"/>
        </w:rPr>
        <w:t>辆，其中：</w:t>
      </w:r>
      <w:r>
        <w:rPr>
          <w:rFonts w:hint="eastAsia" w:ascii="仿宋" w:hAnsi="仿宋" w:eastAsia="仿宋" w:cs="仿宋"/>
          <w:color w:val="auto"/>
          <w:sz w:val="32"/>
          <w:szCs w:val="32"/>
          <w:highlight w:val="none"/>
        </w:rPr>
        <w:t>主要领导干部用车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辆、机要通信用车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辆、应急保障用车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辆、其他用车</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其他用车主要是用于</w:t>
      </w:r>
      <w:r>
        <w:rPr>
          <w:rFonts w:hint="eastAsia" w:ascii="仿宋" w:hAnsi="仿宋" w:eastAsia="仿宋" w:cs="仿宋"/>
          <w:color w:val="auto"/>
          <w:sz w:val="32"/>
          <w:szCs w:val="32"/>
          <w:highlight w:val="none"/>
          <w:lang w:eastAsia="zh-CN"/>
        </w:rPr>
        <w:t>救护病人及转运，</w:t>
      </w:r>
      <w:r>
        <w:rPr>
          <w:rFonts w:hint="eastAsia" w:ascii="仿宋" w:hAnsi="仿宋" w:eastAsia="仿宋" w:cs="仿宋"/>
          <w:color w:val="auto"/>
          <w:sz w:val="32"/>
          <w:szCs w:val="32"/>
          <w:highlight w:val="none"/>
        </w:rPr>
        <w:t>单价50万元以上通用设备</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台（套），单价100万元以上专用设备</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台（套）</w:t>
      </w:r>
      <w:r>
        <w:rPr>
          <w:rFonts w:hint="eastAsia" w:ascii="仿宋_GB2312" w:eastAsia="仿宋_GB2312"/>
          <w:sz w:val="32"/>
          <w:szCs w:val="32"/>
          <w:highlight w:val="none"/>
        </w:rPr>
        <w:t>。</w:t>
      </w:r>
    </w:p>
    <w:p w14:paraId="3EDDB0B5">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r>
        <w:rPr>
          <w:rFonts w:hint="eastAsia" w:ascii="仿宋" w:hAnsi="仿宋" w:eastAsia="仿宋"/>
          <w:b/>
          <w:sz w:val="32"/>
          <w:szCs w:val="32"/>
          <w:highlight w:val="none"/>
        </w:rPr>
        <w:t>（四）预算绩效管理情况</w:t>
      </w:r>
    </w:p>
    <w:p w14:paraId="63FFFFFF">
      <w:pPr>
        <w:spacing w:line="580" w:lineRule="exact"/>
        <w:ind w:firstLine="640" w:firstLineChars="200"/>
        <w:rPr>
          <w:rFonts w:ascii="仿宋_GB2312" w:hAnsi="仿宋_GB2312" w:eastAsia="仿宋_GB2312" w:cs="仿宋_GB2312"/>
          <w:sz w:val="32"/>
          <w:szCs w:val="32"/>
          <w:highlight w:val="none"/>
        </w:rPr>
      </w:pPr>
      <w:r>
        <w:rPr>
          <w:rFonts w:hint="eastAsia" w:ascii="仿宋_GB2312" w:eastAsia="仿宋_GB2312"/>
          <w:sz w:val="32"/>
          <w:szCs w:val="32"/>
          <w:highlight w:val="none"/>
        </w:rPr>
        <w:t>根据预算绩效管理要求，本单位在2023年度预算编制阶段，</w:t>
      </w:r>
      <w:r>
        <w:rPr>
          <w:rFonts w:hint="eastAsia" w:ascii="仿宋_GB2312" w:hAnsi="仿宋_GB2312" w:eastAsia="仿宋_GB2312" w:cs="仿宋_GB2312"/>
          <w:sz w:val="32"/>
          <w:szCs w:val="32"/>
          <w:highlight w:val="none"/>
        </w:rPr>
        <w:t>组织对</w:t>
      </w:r>
      <w:r>
        <w:rPr>
          <w:rFonts w:hint="eastAsia" w:ascii="仿宋_GB2312" w:hAnsi="仿宋_GB2312" w:eastAsia="仿宋_GB2312" w:cs="仿宋_GB2312"/>
          <w:sz w:val="32"/>
          <w:szCs w:val="32"/>
          <w:highlight w:val="none"/>
          <w:lang w:eastAsia="zh-CN"/>
        </w:rPr>
        <w:t>离退休人员经费</w:t>
      </w:r>
      <w:r>
        <w:rPr>
          <w:rFonts w:hint="eastAsia" w:ascii="仿宋_GB2312" w:hAnsi="仿宋_GB2312" w:eastAsia="仿宋_GB2312" w:cs="仿宋_GB2312"/>
          <w:sz w:val="32"/>
          <w:szCs w:val="32"/>
          <w:highlight w:val="none"/>
          <w:lang w:val="en-US" w:eastAsia="zh-CN"/>
        </w:rPr>
        <w:t>项目、县级单位在编在职人员经费项目</w:t>
      </w:r>
      <w:r>
        <w:rPr>
          <w:rFonts w:hint="eastAsia" w:ascii="仿宋_GB2312" w:hAnsi="仿宋_GB2312" w:eastAsia="仿宋_GB2312" w:cs="仿宋_GB2312"/>
          <w:sz w:val="32"/>
          <w:szCs w:val="32"/>
          <w:highlight w:val="none"/>
        </w:rPr>
        <w:t>开展了预算事前绩效评估，对</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个项目编制了绩效目标，预算执行过程中，选取</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个项目开展绩效监控，年终执行完毕后，对</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个项目开展了绩效目标完成情况自评。</w:t>
      </w:r>
    </w:p>
    <w:p w14:paraId="749F4A15">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本部门按要求对20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年部门整体支出开展绩效自评，从评价情况来看</w:t>
      </w:r>
      <w:r>
        <w:rPr>
          <w:rFonts w:hint="eastAsia" w:ascii="仿宋_GB2312" w:hAnsi="仿宋_GB2312" w:eastAsia="仿宋_GB2312" w:cs="仿宋_GB2312"/>
          <w:sz w:val="32"/>
          <w:szCs w:val="32"/>
          <w:highlight w:val="none"/>
          <w:lang w:eastAsia="zh-CN"/>
        </w:rPr>
        <w:t>，离退休人员经费</w:t>
      </w:r>
      <w:r>
        <w:rPr>
          <w:rFonts w:hint="eastAsia" w:ascii="仿宋_GB2312" w:hAnsi="仿宋_GB2312" w:eastAsia="仿宋_GB2312" w:cs="仿宋_GB2312"/>
          <w:sz w:val="32"/>
          <w:szCs w:val="32"/>
          <w:highlight w:val="none"/>
          <w:lang w:val="en-US" w:eastAsia="zh-CN"/>
        </w:rPr>
        <w:t>项目、县级单位在编在职人员经费项目</w:t>
      </w:r>
      <w:r>
        <w:rPr>
          <w:rFonts w:hint="eastAsia" w:ascii="仿宋_GB2312" w:hAnsi="仿宋_GB2312" w:eastAsia="仿宋_GB2312" w:cs="仿宋_GB2312"/>
          <w:sz w:val="32"/>
          <w:szCs w:val="32"/>
          <w:highlight w:val="none"/>
          <w:lang w:eastAsia="zh-CN"/>
        </w:rPr>
        <w:t>制定了服务项目的实施方案、绩效评价方案，细化了考核指标，并根据项目服务完成数量、质量和实施效果等绩效评价兑现离退休人员、</w:t>
      </w:r>
      <w:r>
        <w:rPr>
          <w:rFonts w:hint="eastAsia" w:ascii="仿宋_GB2312" w:hAnsi="仿宋_GB2312" w:eastAsia="仿宋_GB2312" w:cs="仿宋_GB2312"/>
          <w:sz w:val="32"/>
          <w:szCs w:val="32"/>
          <w:highlight w:val="none"/>
          <w:lang w:val="en-US" w:eastAsia="zh-CN"/>
        </w:rPr>
        <w:t>县级单位在编在职人员</w:t>
      </w:r>
      <w:r>
        <w:rPr>
          <w:rFonts w:hint="eastAsia" w:ascii="仿宋_GB2312" w:hAnsi="仿宋_GB2312" w:eastAsia="仿宋_GB2312" w:cs="仿宋_GB2312"/>
          <w:sz w:val="32"/>
          <w:szCs w:val="32"/>
          <w:highlight w:val="none"/>
          <w:lang w:eastAsia="zh-CN"/>
        </w:rPr>
        <w:t>的相应待遇，使服务补助资金使用效率进一步提高，促进了服务项目实施效果不断提升</w:t>
      </w:r>
      <w:r>
        <w:rPr>
          <w:rFonts w:hint="eastAsia" w:ascii="仿宋_GB2312" w:hAnsi="仿宋_GB2312" w:eastAsia="仿宋_GB2312" w:cs="仿宋_GB2312"/>
          <w:sz w:val="32"/>
          <w:szCs w:val="32"/>
          <w:highlight w:val="none"/>
        </w:rPr>
        <w:t>。</w:t>
      </w:r>
    </w:p>
    <w:p w14:paraId="7CEC255D">
      <w:pPr>
        <w:numPr>
          <w:ilvl w:val="0"/>
          <w:numId w:val="4"/>
        </w:numPr>
        <w:spacing w:line="580" w:lineRule="exact"/>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项目绩效目标完成情况。</w:t>
      </w:r>
    </w:p>
    <w:p w14:paraId="58D8AE56">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本部门在</w:t>
      </w:r>
      <w:r>
        <w:rPr>
          <w:rFonts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年度部门决算中反映</w:t>
      </w:r>
      <w:r>
        <w:rPr>
          <w:rFonts w:hint="eastAsia" w:ascii="仿宋_GB2312" w:hAnsi="仿宋_GB2312" w:eastAsia="仿宋_GB2312" w:cs="仿宋_GB2312"/>
          <w:sz w:val="32"/>
          <w:szCs w:val="32"/>
          <w:highlight w:val="none"/>
          <w:lang w:eastAsia="zh-CN"/>
        </w:rPr>
        <w:t>基本公共卫生服务经费</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个项目绩效目标实际完成情况。</w:t>
      </w:r>
    </w:p>
    <w:p w14:paraId="2F9F3A21">
      <w:pPr>
        <w:numPr>
          <w:ilvl w:val="0"/>
          <w:numId w:val="5"/>
        </w:numPr>
        <w:spacing w:line="580" w:lineRule="exact"/>
        <w:ind w:left="-10" w:leftChars="0" w:firstLine="640" w:firstLineChars="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离退休人员经费项目全年预算数</w:t>
      </w:r>
      <w:r>
        <w:rPr>
          <w:rFonts w:hint="eastAsia" w:ascii="仿宋_GB2312" w:hAnsi="仿宋_GB2312" w:eastAsia="仿宋_GB2312" w:cs="仿宋_GB2312"/>
          <w:sz w:val="32"/>
          <w:szCs w:val="32"/>
          <w:highlight w:val="none"/>
          <w:lang w:val="en-US" w:eastAsia="zh-CN"/>
        </w:rPr>
        <w:t>100.52</w:t>
      </w:r>
      <w:r>
        <w:rPr>
          <w:rFonts w:hint="eastAsia" w:ascii="仿宋_GB2312" w:hAnsi="仿宋_GB2312" w:eastAsia="仿宋_GB2312" w:cs="仿宋_GB2312"/>
          <w:sz w:val="32"/>
          <w:szCs w:val="32"/>
          <w:highlight w:val="none"/>
        </w:rPr>
        <w:t>万元，执行数为</w:t>
      </w:r>
      <w:r>
        <w:rPr>
          <w:rFonts w:hint="eastAsia" w:ascii="仿宋_GB2312" w:hAnsi="仿宋_GB2312" w:eastAsia="仿宋_GB2312" w:cs="仿宋_GB2312"/>
          <w:sz w:val="32"/>
          <w:szCs w:val="32"/>
          <w:highlight w:val="none"/>
          <w:lang w:val="en-US" w:eastAsia="zh-CN"/>
        </w:rPr>
        <w:t>100.52</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100</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w:t>
      </w:r>
    </w:p>
    <w:p w14:paraId="357F9F74">
      <w:pPr>
        <w:spacing w:line="580" w:lineRule="exact"/>
        <w:ind w:firstLine="640" w:firstLineChars="200"/>
        <w:rPr>
          <w:rFonts w:hint="eastAsia"/>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县级单位在编在职人员经费</w:t>
      </w:r>
      <w:r>
        <w:rPr>
          <w:rFonts w:hint="eastAsia" w:ascii="仿宋_GB2312" w:hAnsi="仿宋_GB2312" w:eastAsia="仿宋_GB2312" w:cs="仿宋_GB2312"/>
          <w:sz w:val="32"/>
          <w:szCs w:val="32"/>
          <w:highlight w:val="none"/>
        </w:rPr>
        <w:t>项目全年预算数</w:t>
      </w:r>
      <w:r>
        <w:rPr>
          <w:rFonts w:hint="eastAsia" w:ascii="仿宋_GB2312" w:hAnsi="仿宋_GB2312" w:eastAsia="仿宋_GB2312" w:cs="仿宋_GB2312"/>
          <w:sz w:val="32"/>
          <w:szCs w:val="32"/>
          <w:highlight w:val="none"/>
          <w:lang w:val="en-US" w:eastAsia="zh-CN"/>
        </w:rPr>
        <w:t>298.15</w:t>
      </w:r>
      <w:r>
        <w:rPr>
          <w:rFonts w:hint="eastAsia" w:ascii="仿宋_GB2312" w:hAnsi="仿宋_GB2312" w:eastAsia="仿宋_GB2312" w:cs="仿宋_GB2312"/>
          <w:sz w:val="32"/>
          <w:szCs w:val="32"/>
          <w:highlight w:val="none"/>
        </w:rPr>
        <w:t>万元，执行数为</w:t>
      </w:r>
      <w:r>
        <w:rPr>
          <w:rFonts w:hint="eastAsia" w:ascii="仿宋_GB2312" w:hAnsi="仿宋_GB2312" w:eastAsia="仿宋_GB2312" w:cs="仿宋_GB2312"/>
          <w:sz w:val="32"/>
          <w:szCs w:val="32"/>
          <w:highlight w:val="none"/>
          <w:lang w:val="en-US" w:eastAsia="zh-CN"/>
        </w:rPr>
        <w:t>298.15</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100</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14:paraId="74E5EB8A">
      <w:pPr>
        <w:numPr>
          <w:ilvl w:val="0"/>
          <w:numId w:val="4"/>
        </w:num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本部门在20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年度部门决算中反映“离退休人员经费</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县级单位在编在职人员经费</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个项目绩效目标实际完成情况。</w:t>
      </w:r>
    </w:p>
    <w:p w14:paraId="3B438D9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基本公共卫生服务经费</w:t>
      </w:r>
      <w:r>
        <w:rPr>
          <w:rFonts w:hint="eastAsia" w:ascii="仿宋_GB2312" w:hAnsi="仿宋_GB2312" w:eastAsia="仿宋_GB2312" w:cs="仿宋_GB2312"/>
          <w:sz w:val="32"/>
          <w:szCs w:val="32"/>
          <w:highlight w:val="none"/>
        </w:rPr>
        <w:t>项目绩效目标完成情况综述。项目全年预算数</w:t>
      </w:r>
      <w:r>
        <w:rPr>
          <w:rFonts w:hint="eastAsia" w:ascii="仿宋_GB2312" w:hAnsi="仿宋_GB2312" w:eastAsia="仿宋_GB2312" w:cs="仿宋_GB2312"/>
          <w:sz w:val="32"/>
          <w:szCs w:val="32"/>
          <w:highlight w:val="none"/>
          <w:lang w:val="en-US" w:eastAsia="zh-CN"/>
        </w:rPr>
        <w:t>100.52</w:t>
      </w:r>
      <w:r>
        <w:rPr>
          <w:rFonts w:hint="eastAsia" w:ascii="仿宋_GB2312" w:hAnsi="仿宋_GB2312" w:eastAsia="仿宋_GB2312" w:cs="仿宋_GB2312"/>
          <w:sz w:val="32"/>
          <w:szCs w:val="32"/>
          <w:highlight w:val="none"/>
        </w:rPr>
        <w:t>万元，执行数为</w:t>
      </w:r>
      <w:r>
        <w:rPr>
          <w:rFonts w:hint="eastAsia" w:ascii="仿宋_GB2312" w:hAnsi="仿宋_GB2312" w:eastAsia="仿宋_GB2312" w:cs="仿宋_GB2312"/>
          <w:sz w:val="32"/>
          <w:szCs w:val="32"/>
          <w:highlight w:val="none"/>
          <w:lang w:val="en-US" w:eastAsia="zh-CN"/>
        </w:rPr>
        <w:t>100.52</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100</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。通过项目实施，</w:t>
      </w:r>
      <w:r>
        <w:rPr>
          <w:rFonts w:hint="eastAsia" w:ascii="仿宋_GB2312" w:hAnsi="仿宋_GB2312" w:eastAsia="仿宋_GB2312" w:cs="仿宋_GB2312"/>
          <w:sz w:val="32"/>
          <w:szCs w:val="32"/>
          <w:highlight w:val="none"/>
          <w:lang w:eastAsia="zh-CN"/>
        </w:rPr>
        <w:t>有效提升了</w:t>
      </w:r>
      <w:r>
        <w:rPr>
          <w:rFonts w:hint="eastAsia" w:ascii="仿宋_GB2312" w:hAnsi="仿宋_GB2312" w:eastAsia="仿宋_GB2312" w:cs="仿宋_GB2312"/>
          <w:sz w:val="32"/>
          <w:szCs w:val="32"/>
          <w:highlight w:val="none"/>
          <w:lang w:val="en-US" w:eastAsia="zh-CN"/>
        </w:rPr>
        <w:t>人员经费保障</w:t>
      </w:r>
      <w:r>
        <w:rPr>
          <w:rFonts w:hint="eastAsia" w:ascii="仿宋_GB2312" w:hAnsi="仿宋_GB2312" w:eastAsia="仿宋_GB2312" w:cs="仿宋_GB2312"/>
          <w:sz w:val="32"/>
          <w:szCs w:val="32"/>
          <w:highlight w:val="none"/>
          <w:lang w:eastAsia="zh-CN"/>
        </w:rPr>
        <w:t>能力，</w:t>
      </w:r>
      <w:r>
        <w:rPr>
          <w:rFonts w:hint="eastAsia" w:ascii="仿宋_GB2312" w:hAnsi="仿宋_GB2312" w:eastAsia="仿宋_GB2312" w:cs="仿宋_GB2312"/>
          <w:sz w:val="32"/>
          <w:szCs w:val="32"/>
          <w:highlight w:val="none"/>
        </w:rPr>
        <w:t>保障了离退休人员</w:t>
      </w:r>
      <w:r>
        <w:rPr>
          <w:rFonts w:hint="eastAsia" w:ascii="仿宋_GB2312" w:hAnsi="仿宋_GB2312" w:eastAsia="仿宋_GB2312" w:cs="仿宋_GB2312"/>
          <w:sz w:val="32"/>
          <w:szCs w:val="32"/>
          <w:highlight w:val="none"/>
          <w:lang w:val="en-US" w:eastAsia="zh-CN"/>
        </w:rPr>
        <w:t>经费</w:t>
      </w:r>
      <w:r>
        <w:rPr>
          <w:rFonts w:hint="eastAsia" w:ascii="仿宋_GB2312" w:hAnsi="仿宋_GB2312" w:eastAsia="仿宋_GB2312" w:cs="仿宋_GB2312"/>
          <w:sz w:val="32"/>
          <w:szCs w:val="32"/>
          <w:highlight w:val="none"/>
          <w:lang w:eastAsia="zh-CN"/>
        </w:rPr>
        <w:t>的资金使用效率。</w:t>
      </w:r>
      <w:r>
        <w:rPr>
          <w:rFonts w:hint="eastAsia" w:ascii="仿宋_GB2312" w:hAnsi="仿宋_GB2312" w:eastAsia="仿宋_GB2312" w:cs="仿宋_GB2312"/>
          <w:sz w:val="32"/>
          <w:szCs w:val="32"/>
          <w:highlight w:val="none"/>
        </w:rPr>
        <w:t>发现的主要问题：</w:t>
      </w:r>
      <w:r>
        <w:rPr>
          <w:rFonts w:hint="eastAsia" w:ascii="仿宋_GB2312" w:hAnsi="仿宋_GB2312" w:eastAsia="仿宋_GB2312" w:cs="仿宋_GB2312"/>
          <w:sz w:val="32"/>
          <w:szCs w:val="32"/>
          <w:highlight w:val="none"/>
          <w:lang w:eastAsia="zh-CN"/>
        </w:rPr>
        <w:t>服务项目方案的精细化程度不高</w:t>
      </w:r>
      <w:r>
        <w:rPr>
          <w:rFonts w:hint="eastAsia" w:ascii="仿宋_GB2312" w:hAnsi="仿宋_GB2312" w:eastAsia="仿宋_GB2312" w:cs="仿宋_GB2312"/>
          <w:sz w:val="32"/>
          <w:szCs w:val="32"/>
          <w:highlight w:val="none"/>
        </w:rPr>
        <w:t>。下一步改进措施：</w:t>
      </w:r>
      <w:r>
        <w:rPr>
          <w:rFonts w:hint="eastAsia" w:ascii="仿宋_GB2312" w:hAnsi="仿宋_GB2312" w:eastAsia="仿宋_GB2312" w:cs="仿宋_GB2312"/>
          <w:sz w:val="32"/>
          <w:szCs w:val="32"/>
          <w:highlight w:val="none"/>
          <w:lang w:eastAsia="zh-CN"/>
        </w:rPr>
        <w:t>完善细化分配方案。</w:t>
      </w:r>
    </w:p>
    <w:p w14:paraId="5861D739">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县级单位在编在职人员经费</w:t>
      </w:r>
      <w:r>
        <w:rPr>
          <w:rFonts w:hint="eastAsia" w:ascii="仿宋_GB2312" w:hAnsi="仿宋_GB2312" w:eastAsia="仿宋_GB2312" w:cs="仿宋_GB2312"/>
          <w:sz w:val="32"/>
          <w:szCs w:val="32"/>
          <w:highlight w:val="none"/>
        </w:rPr>
        <w:t>项目全年预算数</w:t>
      </w:r>
      <w:r>
        <w:rPr>
          <w:rFonts w:hint="eastAsia" w:ascii="仿宋_GB2312" w:hAnsi="仿宋_GB2312" w:eastAsia="仿宋_GB2312" w:cs="仿宋_GB2312"/>
          <w:sz w:val="32"/>
          <w:szCs w:val="32"/>
          <w:highlight w:val="none"/>
          <w:lang w:val="en-US" w:eastAsia="zh-CN"/>
        </w:rPr>
        <w:t>298.15</w:t>
      </w:r>
      <w:r>
        <w:rPr>
          <w:rFonts w:hint="eastAsia" w:ascii="仿宋_GB2312" w:hAnsi="仿宋_GB2312" w:eastAsia="仿宋_GB2312" w:cs="仿宋_GB2312"/>
          <w:sz w:val="32"/>
          <w:szCs w:val="32"/>
          <w:highlight w:val="none"/>
        </w:rPr>
        <w:t>万元，执行数为</w:t>
      </w:r>
      <w:r>
        <w:rPr>
          <w:rFonts w:hint="eastAsia" w:ascii="仿宋_GB2312" w:hAnsi="仿宋_GB2312" w:eastAsia="仿宋_GB2312" w:cs="仿宋_GB2312"/>
          <w:sz w:val="32"/>
          <w:szCs w:val="32"/>
          <w:highlight w:val="none"/>
          <w:lang w:val="en-US" w:eastAsia="zh-CN"/>
        </w:rPr>
        <w:t>298.15</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100</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。通过项目实施，</w:t>
      </w:r>
      <w:r>
        <w:rPr>
          <w:rFonts w:hint="eastAsia" w:ascii="仿宋_GB2312" w:hAnsi="仿宋_GB2312" w:eastAsia="仿宋_GB2312" w:cs="仿宋_GB2312"/>
          <w:sz w:val="32"/>
          <w:szCs w:val="32"/>
          <w:highlight w:val="none"/>
          <w:lang w:eastAsia="zh-CN"/>
        </w:rPr>
        <w:t>深化医改，强化医疗卫生服务，</w:t>
      </w:r>
      <w:r>
        <w:rPr>
          <w:rFonts w:hint="eastAsia" w:ascii="仿宋_GB2312" w:hAnsi="仿宋_GB2312" w:eastAsia="仿宋_GB2312" w:cs="仿宋_GB2312"/>
          <w:sz w:val="32"/>
          <w:szCs w:val="32"/>
          <w:highlight w:val="none"/>
        </w:rPr>
        <w:t>保障</w:t>
      </w:r>
      <w:r>
        <w:rPr>
          <w:rFonts w:hint="eastAsia" w:ascii="仿宋_GB2312" w:hAnsi="仿宋_GB2312" w:eastAsia="仿宋_GB2312" w:cs="仿宋_GB2312"/>
          <w:sz w:val="32"/>
          <w:szCs w:val="32"/>
          <w:highlight w:val="none"/>
          <w:lang w:eastAsia="zh-CN"/>
        </w:rPr>
        <w:t>了</w:t>
      </w:r>
      <w:r>
        <w:rPr>
          <w:rFonts w:hint="eastAsia" w:ascii="仿宋_GB2312" w:hAnsi="仿宋_GB2312" w:eastAsia="仿宋_GB2312" w:cs="仿宋_GB2312"/>
          <w:sz w:val="32"/>
          <w:szCs w:val="32"/>
          <w:highlight w:val="none"/>
          <w:lang w:val="en-US" w:eastAsia="zh-CN"/>
        </w:rPr>
        <w:t>单位职工工资足额发放、社保足额缴纳，预算编制科学合理，减少结余资金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发现的主要问题：</w:t>
      </w:r>
      <w:r>
        <w:rPr>
          <w:rFonts w:hint="eastAsia" w:ascii="仿宋_GB2312" w:hAnsi="仿宋_GB2312" w:eastAsia="仿宋_GB2312" w:cs="仿宋_GB2312"/>
          <w:sz w:val="32"/>
          <w:szCs w:val="32"/>
          <w:highlight w:val="none"/>
          <w:lang w:eastAsia="zh-CN"/>
        </w:rPr>
        <w:t>项目成本控制方案的精细化程度不高</w:t>
      </w:r>
      <w:r>
        <w:rPr>
          <w:rFonts w:hint="eastAsia" w:ascii="仿宋_GB2312" w:hAnsi="仿宋_GB2312" w:eastAsia="仿宋_GB2312" w:cs="仿宋_GB2312"/>
          <w:sz w:val="32"/>
          <w:szCs w:val="32"/>
          <w:highlight w:val="none"/>
        </w:rPr>
        <w:t>。下一步改进措施：</w:t>
      </w:r>
      <w:r>
        <w:rPr>
          <w:rFonts w:hint="eastAsia" w:ascii="仿宋_GB2312" w:hAnsi="仿宋_GB2312" w:eastAsia="仿宋_GB2312" w:cs="仿宋_GB2312"/>
          <w:sz w:val="32"/>
          <w:szCs w:val="32"/>
          <w:highlight w:val="none"/>
          <w:lang w:eastAsia="zh-CN"/>
        </w:rPr>
        <w:t>完善细化分配方案。</w:t>
      </w:r>
    </w:p>
    <w:p w14:paraId="434A77B9">
      <w:pPr>
        <w:spacing w:line="600" w:lineRule="exact"/>
        <w:ind w:firstLine="640" w:firstLineChars="200"/>
        <w:rPr>
          <w:rFonts w:ascii="仿宋_GB2312" w:eastAsia="仿宋_GB2312"/>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2023年度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sz w:val="32"/>
          <w:szCs w:val="32"/>
          <w:highlight w:val="none"/>
        </w:rPr>
        <w:t>“离退休人员经费</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县级单位在编在职人员经费</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sz w:val="32"/>
          <w:szCs w:val="32"/>
          <w:highlight w:val="none"/>
        </w:rPr>
        <w:t>“离退休人员经费</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县级单位在编在职人员经费</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个项目</w:t>
      </w:r>
      <w:r>
        <w:rPr>
          <w:rFonts w:hint="eastAsia" w:ascii="仿宋_GB2312" w:hAnsi="仿宋_GB2312" w:eastAsia="仿宋_GB2312" w:cs="仿宋_GB2312"/>
          <w:color w:val="auto"/>
          <w:sz w:val="32"/>
          <w:szCs w:val="32"/>
          <w:highlight w:val="none"/>
        </w:rPr>
        <w:t>编制了绩效目标，预算执行过程中，选取</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2023年特定目标类部门预算项目绩效目标自评表见附件（第四部分）</w:t>
      </w:r>
      <w:r>
        <w:rPr>
          <w:rFonts w:hint="eastAsia" w:ascii="仿宋_GB2312" w:eastAsia="仿宋_GB2312"/>
          <w:sz w:val="32"/>
          <w:szCs w:val="32"/>
          <w:highlight w:val="none"/>
        </w:rPr>
        <w:t>。</w:t>
      </w:r>
    </w:p>
    <w:p w14:paraId="7BC265D6">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155AFB0F">
      <w:pPr>
        <w:numPr>
          <w:ilvl w:val="0"/>
          <w:numId w:val="6"/>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1D51173C">
      <w:pPr>
        <w:spacing w:line="600" w:lineRule="exact"/>
        <w:jc w:val="left"/>
        <w:rPr>
          <w:rFonts w:ascii="宋体"/>
          <w:b/>
          <w:sz w:val="44"/>
          <w:szCs w:val="44"/>
        </w:rPr>
      </w:pPr>
    </w:p>
    <w:p w14:paraId="718FDAA3">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rPr>
        <w:t>1.</w:t>
      </w:r>
      <w:r>
        <w:rPr>
          <w:rFonts w:hint="eastAsia" w:ascii="仿宋_GB2312" w:eastAsia="仿宋_GB2312"/>
          <w:color w:val="auto"/>
          <w:sz w:val="32"/>
          <w:szCs w:val="32"/>
        </w:rPr>
        <w:t>财政拨款收入</w:t>
      </w:r>
      <w:r>
        <w:rPr>
          <w:rFonts w:hint="eastAsia" w:ascii="仿宋_GB2312" w:eastAsia="仿宋_GB2312"/>
          <w:color w:val="auto"/>
          <w:sz w:val="32"/>
          <w:szCs w:val="32"/>
          <w:highlight w:val="none"/>
        </w:rPr>
        <w:t>：指单位从同级财政部门取得的财政预算资金。</w:t>
      </w:r>
    </w:p>
    <w:p w14:paraId="2F1B88DB">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14:paraId="7495C9B3">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14:paraId="56212277">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w:t>
      </w:r>
      <w:r>
        <w:rPr>
          <w:rFonts w:hint="eastAsia" w:ascii="仿宋_GB2312" w:eastAsia="仿宋_GB2312"/>
          <w:sz w:val="32"/>
          <w:szCs w:val="32"/>
          <w:lang w:eastAsia="zh-CN"/>
        </w:rPr>
        <w:t>利息收入</w:t>
      </w:r>
      <w:r>
        <w:rPr>
          <w:rFonts w:hint="eastAsia" w:ascii="仿宋_GB2312" w:eastAsia="仿宋_GB2312"/>
          <w:color w:val="auto"/>
          <w:sz w:val="32"/>
          <w:szCs w:val="32"/>
          <w:highlight w:val="none"/>
        </w:rPr>
        <w:t>等。</w:t>
      </w:r>
      <w:r>
        <w:rPr>
          <w:rFonts w:ascii="仿宋_GB2312" w:eastAsia="仿宋_GB2312"/>
          <w:color w:val="auto"/>
          <w:sz w:val="32"/>
          <w:szCs w:val="32"/>
          <w:highlight w:val="none"/>
        </w:rPr>
        <w:t xml:space="preserve"> </w:t>
      </w:r>
    </w:p>
    <w:p w14:paraId="3CB70B81">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221542A3">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7C5E4DCE">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2F7C5CD9">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14:paraId="69304A4E">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.社会保障和就业支出（2</w:t>
      </w:r>
      <w:r>
        <w:rPr>
          <w:rFonts w:hint="eastAsia" w:ascii="仿宋_GB2312" w:eastAsia="仿宋_GB2312"/>
          <w:color w:val="auto"/>
          <w:sz w:val="32"/>
          <w:szCs w:val="32"/>
          <w:highlight w:val="none"/>
          <w:lang w:val="en-US" w:eastAsia="zh-CN"/>
        </w:rPr>
        <w:t>08</w:t>
      </w:r>
      <w:r>
        <w:rPr>
          <w:rFonts w:hint="eastAsia" w:ascii="仿宋_GB2312" w:eastAsia="仿宋_GB2312"/>
          <w:color w:val="auto"/>
          <w:sz w:val="32"/>
          <w:szCs w:val="32"/>
          <w:highlight w:val="none"/>
        </w:rPr>
        <w:t>）行政事业单位养老支出（</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rPr>
        <w:t>）其他行政事业单位养老支出（</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rPr>
        <w:t>乡镇卫生院</w:t>
      </w:r>
      <w:r>
        <w:rPr>
          <w:rFonts w:hint="eastAsia" w:ascii="仿宋_GB2312" w:eastAsia="仿宋_GB2312"/>
          <w:color w:val="auto"/>
          <w:sz w:val="32"/>
          <w:szCs w:val="32"/>
          <w:highlight w:val="none"/>
          <w:lang w:val="en-US" w:eastAsia="zh-CN"/>
        </w:rPr>
        <w:t>退休人员生活补助。</w:t>
      </w:r>
    </w:p>
    <w:p w14:paraId="093489E9">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卫生健康支出（210）基层医疗卫生机构（</w:t>
      </w:r>
      <w:r>
        <w:rPr>
          <w:rFonts w:hint="eastAsia" w:ascii="仿宋_GB2312" w:eastAsia="仿宋_GB2312"/>
          <w:color w:val="auto"/>
          <w:sz w:val="32"/>
          <w:szCs w:val="32"/>
          <w:highlight w:val="none"/>
          <w:lang w:val="en-US" w:eastAsia="zh-CN"/>
        </w:rPr>
        <w:t>03</w:t>
      </w:r>
      <w:r>
        <w:rPr>
          <w:rFonts w:hint="eastAsia" w:ascii="仿宋_GB2312" w:eastAsia="仿宋_GB2312"/>
          <w:color w:val="auto"/>
          <w:sz w:val="32"/>
          <w:szCs w:val="32"/>
          <w:highlight w:val="none"/>
        </w:rPr>
        <w:t>）其他基层医疗卫生机构支出（</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rPr>
        <w:t>乡镇卫生院</w:t>
      </w:r>
      <w:r>
        <w:rPr>
          <w:rFonts w:hint="eastAsia" w:ascii="仿宋_GB2312" w:eastAsia="仿宋_GB2312"/>
          <w:color w:val="auto"/>
          <w:sz w:val="32"/>
          <w:szCs w:val="32"/>
          <w:highlight w:val="none"/>
          <w:lang w:val="en-US" w:eastAsia="zh-CN"/>
        </w:rPr>
        <w:t>中医</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w:t>
      </w:r>
    </w:p>
    <w:p w14:paraId="1881C0EA">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.卫生健康支出（210）基层医疗卫生机构（</w:t>
      </w:r>
      <w:r>
        <w:rPr>
          <w:rFonts w:hint="eastAsia" w:ascii="仿宋_GB2312" w:eastAsia="仿宋_GB2312"/>
          <w:color w:val="auto"/>
          <w:sz w:val="32"/>
          <w:szCs w:val="32"/>
          <w:highlight w:val="none"/>
          <w:lang w:val="en-US" w:eastAsia="zh-CN"/>
        </w:rPr>
        <w:t>03</w:t>
      </w:r>
      <w:r>
        <w:rPr>
          <w:rFonts w:hint="eastAsia" w:ascii="仿宋_GB2312" w:eastAsia="仿宋_GB2312"/>
          <w:color w:val="auto"/>
          <w:sz w:val="32"/>
          <w:szCs w:val="32"/>
          <w:highlight w:val="none"/>
        </w:rPr>
        <w:t>）乡镇卫生院（</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rPr>
        <w:t>乡镇卫生院</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w:t>
      </w:r>
    </w:p>
    <w:p w14:paraId="615B1FA3">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7E903DF4">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406D145C">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0BC9BE1E">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C954E98">
      <w:pPr>
        <w:spacing w:line="600" w:lineRule="exact"/>
        <w:ind w:firstLine="640"/>
        <w:rPr>
          <w:rFonts w:hint="eastAsia" w:ascii="仿宋" w:hAnsi="仿宋" w:eastAsia="仿宋_GB2312"/>
          <w:b/>
          <w:sz w:val="32"/>
          <w:szCs w:val="32"/>
          <w:lang w:eastAsia="zh-CN"/>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color w:val="auto"/>
          <w:sz w:val="32"/>
          <w:szCs w:val="32"/>
          <w:highlight w:val="none"/>
          <w:lang w:eastAsia="zh-CN"/>
        </w:rPr>
        <w:t>。</w:t>
      </w:r>
    </w:p>
    <w:p w14:paraId="5C900A7F">
      <w:pPr>
        <w:spacing w:line="600" w:lineRule="exact"/>
        <w:jc w:val="center"/>
        <w:outlineLvl w:val="0"/>
        <w:rPr>
          <w:rStyle w:val="27"/>
          <w:rFonts w:hint="eastAsia" w:ascii="黑体" w:hAnsi="黑体" w:eastAsia="黑体"/>
          <w:b w:val="0"/>
          <w:highlight w:val="yellow"/>
        </w:rPr>
      </w:pPr>
      <w:bookmarkStart w:id="51" w:name="_Toc15377226"/>
      <w:r>
        <w:rPr>
          <w:rFonts w:ascii="宋体"/>
          <w:b/>
          <w:sz w:val="44"/>
          <w:szCs w:val="44"/>
        </w:rPr>
        <w:br w:type="page"/>
      </w:r>
      <w:bookmarkStart w:id="52" w:name="_Toc15396614"/>
      <w:r>
        <w:rPr>
          <w:rFonts w:hint="eastAsia" w:ascii="黑体" w:hAnsi="黑体" w:eastAsia="黑体"/>
          <w:sz w:val="44"/>
          <w:szCs w:val="44"/>
          <w:highlight w:val="none"/>
        </w:rPr>
        <w:t>第</w:t>
      </w:r>
      <w:r>
        <w:rPr>
          <w:rStyle w:val="27"/>
          <w:rFonts w:hint="eastAsia" w:ascii="黑体" w:hAnsi="黑体" w:eastAsia="黑体"/>
          <w:b w:val="0"/>
          <w:highlight w:val="none"/>
        </w:rPr>
        <w:t>四部分 附件</w:t>
      </w:r>
      <w:bookmarkEnd w:id="52"/>
    </w:p>
    <w:p w14:paraId="6847954F">
      <w:pPr>
        <w:keepNext w:val="0"/>
        <w:keepLines w:val="0"/>
        <w:pageBreakBefore w:val="0"/>
        <w:kinsoku/>
        <w:wordWrap/>
        <w:overflowPunct/>
        <w:topLinePunct w:val="0"/>
        <w:autoSpaceDE/>
        <w:autoSpaceDN/>
        <w:bidi w:val="0"/>
        <w:spacing w:line="572" w:lineRule="exact"/>
        <w:jc w:val="left"/>
        <w:textAlignment w:val="auto"/>
        <w:outlineLvl w:val="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tbl>
      <w:tblPr>
        <w:tblStyle w:val="14"/>
        <w:tblW w:w="124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218"/>
        <w:gridCol w:w="822"/>
        <w:gridCol w:w="1240"/>
        <w:gridCol w:w="433"/>
        <w:gridCol w:w="486"/>
        <w:gridCol w:w="433"/>
        <w:gridCol w:w="1081"/>
        <w:gridCol w:w="504"/>
        <w:gridCol w:w="454"/>
        <w:gridCol w:w="2488"/>
        <w:gridCol w:w="454"/>
        <w:gridCol w:w="454"/>
        <w:gridCol w:w="454"/>
        <w:gridCol w:w="454"/>
        <w:gridCol w:w="454"/>
        <w:gridCol w:w="454"/>
      </w:tblGrid>
      <w:tr w14:paraId="3619C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2724" w:type="dxa"/>
          <w:trHeight w:val="390" w:hRule="atLeast"/>
        </w:trPr>
        <w:tc>
          <w:tcPr>
            <w:tcW w:w="97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7EEC23">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53"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8125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270" w:hRule="atLeast"/>
        </w:trPr>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F1D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A231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51172421R000000067491-离退休人员经费（大竹）</w:t>
            </w:r>
          </w:p>
        </w:tc>
      </w:tr>
      <w:tr w14:paraId="03BFA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450" w:hRule="atLeast"/>
        </w:trPr>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7AF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141D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81" w:type="dxa"/>
            <w:tcBorders>
              <w:top w:val="nil"/>
              <w:left w:val="nil"/>
              <w:bottom w:val="nil"/>
              <w:right w:val="nil"/>
            </w:tcBorders>
            <w:shd w:val="clear" w:color="auto" w:fill="auto"/>
            <w:vAlign w:val="center"/>
          </w:tcPr>
          <w:p w14:paraId="5EB2A9A1">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417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大竹县竹阳街道社区卫生服务中心</w:t>
            </w:r>
          </w:p>
        </w:tc>
      </w:tr>
      <w:tr w14:paraId="59D5B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27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CD4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232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5A2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BEF0F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7B7B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2724" w:type="dxa"/>
          <w:trHeight w:val="2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ABD20">
            <w:pPr>
              <w:rPr>
                <w:rFonts w:hint="eastAsia" w:ascii="宋体" w:hAnsi="宋体" w:eastAsia="宋体" w:cs="宋体"/>
                <w:i w:val="0"/>
                <w:iCs w:val="0"/>
                <w:color w:val="000000"/>
                <w:sz w:val="18"/>
                <w:szCs w:val="18"/>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52DED">
            <w:pPr>
              <w:rPr>
                <w:rFonts w:hint="eastAsia" w:ascii="宋体" w:hAnsi="宋体" w:eastAsia="宋体" w:cs="宋体"/>
                <w:i w:val="0"/>
                <w:iCs w:val="0"/>
                <w:color w:val="000000"/>
                <w:sz w:val="18"/>
                <w:szCs w:val="18"/>
                <w:u w:val="none"/>
              </w:rPr>
            </w:pPr>
          </w:p>
        </w:tc>
        <w:tc>
          <w:tcPr>
            <w:tcW w:w="3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600F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92D93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保障工资及时、足额发放、足额缴纳，预算编制科学合理，减少结余资金。</w:t>
            </w:r>
          </w:p>
        </w:tc>
      </w:tr>
      <w:tr w14:paraId="40C10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2724" w:type="dxa"/>
          <w:trHeight w:val="45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67B20">
            <w:pP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9C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EA91A6E">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及时、</w:t>
            </w:r>
            <w:r>
              <w:rPr>
                <w:rFonts w:ascii="宋体" w:hAnsi="宋体" w:eastAsia="宋体" w:cs="宋体"/>
                <w:i w:val="0"/>
                <w:iCs w:val="0"/>
                <w:color w:val="000000"/>
                <w:kern w:val="0"/>
                <w:sz w:val="18"/>
                <w:szCs w:val="18"/>
                <w:u w:val="none"/>
                <w:lang w:val="en-US" w:eastAsia="zh-CN" w:bidi="ar"/>
              </w:rPr>
              <w:t>足额发放离退休人员</w:t>
            </w:r>
            <w:r>
              <w:rPr>
                <w:rFonts w:hint="eastAsia" w:ascii="宋体" w:hAnsi="宋体" w:eastAsia="宋体" w:cs="宋体"/>
                <w:i w:val="0"/>
                <w:iCs w:val="0"/>
                <w:color w:val="000000"/>
                <w:kern w:val="0"/>
                <w:sz w:val="18"/>
                <w:szCs w:val="18"/>
                <w:u w:val="none"/>
                <w:lang w:val="en-US" w:eastAsia="zh-CN" w:bidi="ar"/>
              </w:rPr>
              <w:t>生活补助经费。</w:t>
            </w:r>
          </w:p>
        </w:tc>
      </w:tr>
      <w:tr w14:paraId="66FB9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2724" w:type="dxa"/>
          <w:trHeight w:val="45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577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1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2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A0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A92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74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8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6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E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BEC6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2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E6A66">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D5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2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100.52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1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100.52</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52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100.52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A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B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F458">
            <w:pPr>
              <w:jc w:val="center"/>
              <w:rPr>
                <w:rFonts w:hint="eastAsia" w:ascii="宋体" w:hAnsi="宋体" w:eastAsia="宋体" w:cs="宋体"/>
                <w:i w:val="0"/>
                <w:iCs w:val="0"/>
                <w:color w:val="000000"/>
                <w:sz w:val="18"/>
                <w:szCs w:val="18"/>
                <w:u w:val="none"/>
              </w:rPr>
            </w:pPr>
          </w:p>
        </w:tc>
        <w:tc>
          <w:tcPr>
            <w:tcW w:w="2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2423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2915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45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A9120">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D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C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100.52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3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100.52</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FA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100.52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0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B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53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93DEE">
            <w:pPr>
              <w:rPr>
                <w:rFonts w:hint="eastAsia" w:ascii="黑体" w:hAnsi="黑体" w:eastAsia="黑体" w:cs="黑体"/>
                <w:i/>
                <w:iCs/>
                <w:color w:val="000000"/>
                <w:sz w:val="18"/>
                <w:szCs w:val="18"/>
                <w:u w:val="none"/>
              </w:rPr>
            </w:pPr>
          </w:p>
        </w:tc>
      </w:tr>
      <w:tr w14:paraId="28DF5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45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60F4F">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D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D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55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8CF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51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5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C2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0DA2E">
            <w:pPr>
              <w:rPr>
                <w:rFonts w:hint="eastAsia" w:ascii="黑体" w:hAnsi="黑体" w:eastAsia="黑体" w:cs="黑体"/>
                <w:i/>
                <w:iCs/>
                <w:color w:val="000000"/>
                <w:sz w:val="18"/>
                <w:szCs w:val="18"/>
                <w:u w:val="none"/>
              </w:rPr>
            </w:pPr>
          </w:p>
        </w:tc>
      </w:tr>
      <w:tr w14:paraId="6DA56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2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D2583">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99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2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FD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D19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D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31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61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08022">
            <w:pPr>
              <w:rPr>
                <w:rFonts w:hint="eastAsia" w:ascii="黑体" w:hAnsi="黑体" w:eastAsia="黑体" w:cs="黑体"/>
                <w:i/>
                <w:iCs/>
                <w:color w:val="000000"/>
                <w:sz w:val="18"/>
                <w:szCs w:val="18"/>
                <w:u w:val="none"/>
              </w:rPr>
            </w:pPr>
          </w:p>
        </w:tc>
      </w:tr>
      <w:tr w14:paraId="48C16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2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23156">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C1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7C61">
            <w:pPr>
              <w:jc w:val="center"/>
              <w:rPr>
                <w:rFonts w:hint="eastAsia" w:ascii="微软雅黑" w:hAnsi="微软雅黑" w:eastAsia="微软雅黑" w:cs="微软雅黑"/>
                <w:i/>
                <w:iCs/>
                <w:color w:val="000000"/>
                <w:sz w:val="16"/>
                <w:szCs w:val="16"/>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05D0">
            <w:pPr>
              <w:jc w:val="center"/>
              <w:rPr>
                <w:rFonts w:hint="eastAsia" w:ascii="微软雅黑" w:hAnsi="微软雅黑" w:eastAsia="微软雅黑" w:cs="微软雅黑"/>
                <w:i/>
                <w:iCs/>
                <w:color w:val="000000"/>
                <w:sz w:val="16"/>
                <w:szCs w:val="16"/>
                <w:u w:val="none"/>
              </w:rPr>
            </w:pP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26E65">
            <w:pPr>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171F">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8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E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09F23">
            <w:pPr>
              <w:rPr>
                <w:rFonts w:hint="eastAsia" w:ascii="黑体" w:hAnsi="黑体" w:eastAsia="黑体" w:cs="黑体"/>
                <w:i/>
                <w:iCs/>
                <w:color w:val="000000"/>
                <w:sz w:val="18"/>
                <w:szCs w:val="18"/>
                <w:u w:val="none"/>
              </w:rPr>
            </w:pPr>
          </w:p>
        </w:tc>
      </w:tr>
      <w:tr w14:paraId="195F0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45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D60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5A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6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E3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C0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A1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5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CB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0E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B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EE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A04B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45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B61AD">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C1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74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C8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0E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18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3D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423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C4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E23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58</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4128">
            <w:pPr>
              <w:jc w:val="center"/>
              <w:rPr>
                <w:rFonts w:hint="eastAsia" w:ascii="微软雅黑" w:hAnsi="微软雅黑" w:eastAsia="微软雅黑" w:cs="微软雅黑"/>
                <w:i/>
                <w:iCs/>
                <w:color w:val="000000"/>
                <w:sz w:val="16"/>
                <w:szCs w:val="16"/>
                <w:u w:val="none"/>
              </w:rPr>
            </w:pPr>
          </w:p>
        </w:tc>
      </w:tr>
      <w:tr w14:paraId="1CF3A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45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7FD54">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90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75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EA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B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D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7E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145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FA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484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28</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C33F">
            <w:pPr>
              <w:jc w:val="center"/>
              <w:rPr>
                <w:rFonts w:hint="eastAsia" w:ascii="微软雅黑" w:hAnsi="微软雅黑" w:eastAsia="微软雅黑" w:cs="微软雅黑"/>
                <w:i/>
                <w:iCs/>
                <w:color w:val="000000"/>
                <w:sz w:val="16"/>
                <w:szCs w:val="16"/>
                <w:u w:val="none"/>
              </w:rPr>
            </w:pPr>
          </w:p>
        </w:tc>
      </w:tr>
      <w:tr w14:paraId="44310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270" w:hRule="atLeast"/>
        </w:trPr>
        <w:tc>
          <w:tcPr>
            <w:tcW w:w="62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FDA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0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94E7">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96</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8F3F">
            <w:pPr>
              <w:rPr>
                <w:rFonts w:hint="eastAsia" w:ascii="宋体" w:hAnsi="宋体" w:eastAsia="宋体" w:cs="宋体"/>
                <w:i w:val="0"/>
                <w:iCs w:val="0"/>
                <w:color w:val="000000"/>
                <w:sz w:val="18"/>
                <w:szCs w:val="18"/>
                <w:u w:val="none"/>
              </w:rPr>
            </w:pPr>
          </w:p>
        </w:tc>
      </w:tr>
      <w:tr w14:paraId="0360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DD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D425C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项目自评总分</w:t>
            </w:r>
            <w:r>
              <w:rPr>
                <w:rFonts w:hint="eastAsia" w:ascii="宋体" w:hAnsi="宋体" w:cs="宋体"/>
                <w:i w:val="0"/>
                <w:iCs w:val="0"/>
                <w:color w:val="000000"/>
                <w:kern w:val="0"/>
                <w:sz w:val="18"/>
                <w:szCs w:val="18"/>
                <w:u w:val="none"/>
                <w:lang w:val="en-US" w:eastAsia="zh-CN" w:bidi="ar"/>
              </w:rPr>
              <w:t>96</w:t>
            </w:r>
            <w:r>
              <w:rPr>
                <w:rFonts w:hint="eastAsia" w:ascii="宋体" w:hAnsi="宋体" w:eastAsia="宋体" w:cs="宋体"/>
                <w:i w:val="0"/>
                <w:iCs w:val="0"/>
                <w:color w:val="000000"/>
                <w:kern w:val="0"/>
                <w:sz w:val="18"/>
                <w:szCs w:val="18"/>
                <w:u w:val="none"/>
                <w:lang w:val="en-US" w:eastAsia="zh-CN" w:bidi="ar"/>
              </w:rPr>
              <w:t>分，在实施过程中，</w:t>
            </w:r>
            <w:r>
              <w:rPr>
                <w:rFonts w:ascii="宋体" w:hAnsi="宋体" w:eastAsia="宋体" w:cs="宋体"/>
                <w:i w:val="0"/>
                <w:iCs w:val="0"/>
                <w:color w:val="000000"/>
                <w:kern w:val="0"/>
                <w:sz w:val="18"/>
                <w:szCs w:val="18"/>
                <w:u w:val="none"/>
                <w:lang w:val="en-US" w:eastAsia="zh-CN" w:bidi="ar"/>
              </w:rPr>
              <w:t>严格执行相关政策，工资保障及时、足额发</w:t>
            </w:r>
            <w:r>
              <w:rPr>
                <w:rFonts w:hint="eastAsia" w:ascii="宋体" w:hAnsi="宋体" w:eastAsia="宋体" w:cs="宋体"/>
                <w:i w:val="0"/>
                <w:iCs w:val="0"/>
                <w:color w:val="000000"/>
                <w:kern w:val="0"/>
                <w:sz w:val="18"/>
                <w:szCs w:val="18"/>
                <w:u w:val="none"/>
                <w:lang w:val="en-US" w:eastAsia="zh-CN" w:bidi="ar"/>
              </w:rPr>
              <w:t>放</w:t>
            </w:r>
            <w:r>
              <w:rPr>
                <w:rFonts w:ascii="宋体" w:hAnsi="宋体" w:eastAsia="宋体" w:cs="宋体"/>
                <w:i w:val="0"/>
                <w:iCs w:val="0"/>
                <w:color w:val="000000"/>
                <w:kern w:val="0"/>
                <w:sz w:val="18"/>
                <w:szCs w:val="18"/>
                <w:u w:val="none"/>
                <w:lang w:val="en-US" w:eastAsia="zh-CN" w:bidi="ar"/>
              </w:rPr>
              <w:t>、足额缴纳，预算编制科学合理，结余资金</w:t>
            </w:r>
            <w:r>
              <w:rPr>
                <w:rFonts w:hint="eastAsia" w:ascii="宋体" w:hAnsi="宋体" w:eastAsia="宋体" w:cs="宋体"/>
                <w:i w:val="0"/>
                <w:iCs w:val="0"/>
                <w:color w:val="000000"/>
                <w:kern w:val="0"/>
                <w:sz w:val="18"/>
                <w:szCs w:val="18"/>
                <w:u w:val="none"/>
                <w:lang w:val="en-US" w:eastAsia="zh-CN" w:bidi="ar"/>
              </w:rPr>
              <w:t>较少。有效提升了人员经费保障能力，保障了离退休人员经费的资金使用效率。</w:t>
            </w:r>
          </w:p>
        </w:tc>
      </w:tr>
      <w:tr w14:paraId="2432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2724" w:type="dxa"/>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A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D322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服务项目方案的精细化程度不高。</w:t>
            </w:r>
          </w:p>
        </w:tc>
      </w:tr>
      <w:tr w14:paraId="30A4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97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C3D2C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完善细化分配方案。</w:t>
            </w:r>
          </w:p>
        </w:tc>
      </w:tr>
      <w:tr w14:paraId="31296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270" w:hRule="atLeast"/>
        </w:trPr>
        <w:tc>
          <w:tcPr>
            <w:tcW w:w="42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58084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4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144A1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532F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2724" w:type="dxa"/>
          <w:trHeight w:val="270" w:hRule="atLeast"/>
        </w:trPr>
        <w:tc>
          <w:tcPr>
            <w:tcW w:w="1794" w:type="dxa"/>
            <w:gridSpan w:val="2"/>
            <w:tcBorders>
              <w:top w:val="nil"/>
              <w:left w:val="nil"/>
              <w:bottom w:val="nil"/>
              <w:right w:val="nil"/>
            </w:tcBorders>
            <w:shd w:val="clear" w:color="auto" w:fill="auto"/>
            <w:vAlign w:val="center"/>
          </w:tcPr>
          <w:p w14:paraId="17C60304">
            <w:pPr>
              <w:rPr>
                <w:rFonts w:hint="eastAsia" w:ascii="宋体" w:hAnsi="宋体" w:eastAsia="宋体" w:cs="宋体"/>
                <w:i w:val="0"/>
                <w:iCs w:val="0"/>
                <w:color w:val="000000"/>
                <w:sz w:val="18"/>
                <w:szCs w:val="18"/>
                <w:u w:val="none"/>
              </w:rPr>
            </w:pPr>
          </w:p>
          <w:p w14:paraId="57415475">
            <w:pPr>
              <w:rPr>
                <w:rFonts w:hint="eastAsia" w:ascii="宋体" w:hAnsi="宋体" w:eastAsia="宋体" w:cs="宋体"/>
                <w:i w:val="0"/>
                <w:iCs w:val="0"/>
                <w:color w:val="000000"/>
                <w:sz w:val="18"/>
                <w:szCs w:val="18"/>
                <w:u w:val="none"/>
              </w:rPr>
            </w:pPr>
          </w:p>
          <w:p w14:paraId="487D696A">
            <w:pPr>
              <w:rPr>
                <w:rFonts w:hint="eastAsia" w:ascii="宋体" w:hAnsi="宋体" w:eastAsia="宋体" w:cs="宋体"/>
                <w:i w:val="0"/>
                <w:iCs w:val="0"/>
                <w:color w:val="000000"/>
                <w:sz w:val="18"/>
                <w:szCs w:val="18"/>
                <w:u w:val="none"/>
              </w:rPr>
            </w:pPr>
          </w:p>
          <w:p w14:paraId="01E711BA">
            <w:pPr>
              <w:keepNext w:val="0"/>
              <w:keepLines w:val="0"/>
              <w:pageBreakBefore w:val="0"/>
              <w:kinsoku/>
              <w:wordWrap/>
              <w:overflowPunct/>
              <w:topLinePunct w:val="0"/>
              <w:autoSpaceDE/>
              <w:autoSpaceDN/>
              <w:bidi w:val="0"/>
              <w:spacing w:line="572" w:lineRule="exact"/>
              <w:jc w:val="left"/>
              <w:textAlignment w:val="auto"/>
              <w:outlineLvl w:val="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14:paraId="1B6287B4">
            <w:pPr>
              <w:rPr>
                <w:rFonts w:hint="eastAsia" w:ascii="宋体" w:hAnsi="宋体" w:eastAsia="宋体" w:cs="宋体"/>
                <w:i w:val="0"/>
                <w:iCs w:val="0"/>
                <w:color w:val="000000"/>
                <w:sz w:val="18"/>
                <w:szCs w:val="18"/>
                <w:u w:val="none"/>
              </w:rPr>
            </w:pPr>
          </w:p>
        </w:tc>
        <w:tc>
          <w:tcPr>
            <w:tcW w:w="822" w:type="dxa"/>
            <w:tcBorders>
              <w:top w:val="nil"/>
              <w:left w:val="nil"/>
              <w:bottom w:val="nil"/>
              <w:right w:val="nil"/>
            </w:tcBorders>
            <w:shd w:val="clear" w:color="auto" w:fill="auto"/>
            <w:vAlign w:val="center"/>
          </w:tcPr>
          <w:p w14:paraId="00561848">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shd w:val="clear" w:color="auto" w:fill="auto"/>
            <w:vAlign w:val="center"/>
          </w:tcPr>
          <w:p w14:paraId="4EE51508">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shd w:val="clear" w:color="auto" w:fill="auto"/>
            <w:vAlign w:val="center"/>
          </w:tcPr>
          <w:p w14:paraId="4DAA44E6">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3DF07472">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shd w:val="clear" w:color="auto" w:fill="auto"/>
            <w:vAlign w:val="center"/>
          </w:tcPr>
          <w:p w14:paraId="20DF82EF">
            <w:pPr>
              <w:rPr>
                <w:rFonts w:hint="eastAsia" w:ascii="宋体" w:hAnsi="宋体" w:eastAsia="宋体" w:cs="宋体"/>
                <w:i w:val="0"/>
                <w:iCs w:val="0"/>
                <w:color w:val="000000"/>
                <w:sz w:val="18"/>
                <w:szCs w:val="18"/>
                <w:u w:val="none"/>
              </w:rPr>
            </w:pPr>
          </w:p>
        </w:tc>
        <w:tc>
          <w:tcPr>
            <w:tcW w:w="1081" w:type="dxa"/>
            <w:tcBorders>
              <w:top w:val="nil"/>
              <w:left w:val="nil"/>
              <w:bottom w:val="nil"/>
              <w:right w:val="nil"/>
            </w:tcBorders>
            <w:shd w:val="clear" w:color="auto" w:fill="auto"/>
            <w:vAlign w:val="center"/>
          </w:tcPr>
          <w:p w14:paraId="6EBFEB1E">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14:paraId="7ECA6BCF">
            <w:pPr>
              <w:rPr>
                <w:rFonts w:hint="eastAsia" w:ascii="宋体" w:hAnsi="宋体" w:eastAsia="宋体" w:cs="宋体"/>
                <w:i w:val="0"/>
                <w:iCs w:val="0"/>
                <w:color w:val="000000"/>
                <w:sz w:val="18"/>
                <w:szCs w:val="18"/>
                <w:u w:val="none"/>
              </w:rPr>
            </w:pPr>
          </w:p>
        </w:tc>
        <w:tc>
          <w:tcPr>
            <w:tcW w:w="454" w:type="dxa"/>
            <w:tcBorders>
              <w:top w:val="nil"/>
              <w:left w:val="nil"/>
              <w:bottom w:val="nil"/>
              <w:right w:val="nil"/>
            </w:tcBorders>
            <w:shd w:val="clear" w:color="auto" w:fill="auto"/>
            <w:vAlign w:val="center"/>
          </w:tcPr>
          <w:p w14:paraId="22AEF42E">
            <w:pPr>
              <w:rPr>
                <w:rFonts w:hint="eastAsia" w:ascii="宋体" w:hAnsi="宋体" w:eastAsia="宋体" w:cs="宋体"/>
                <w:i w:val="0"/>
                <w:iCs w:val="0"/>
                <w:color w:val="000000"/>
                <w:sz w:val="18"/>
                <w:szCs w:val="18"/>
                <w:u w:val="none"/>
              </w:rPr>
            </w:pPr>
          </w:p>
        </w:tc>
        <w:tc>
          <w:tcPr>
            <w:tcW w:w="2488" w:type="dxa"/>
            <w:tcBorders>
              <w:top w:val="nil"/>
              <w:left w:val="nil"/>
              <w:bottom w:val="nil"/>
              <w:right w:val="nil"/>
            </w:tcBorders>
            <w:shd w:val="clear" w:color="auto" w:fill="auto"/>
            <w:vAlign w:val="center"/>
          </w:tcPr>
          <w:p w14:paraId="08AD20E1">
            <w:pPr>
              <w:rPr>
                <w:rFonts w:hint="eastAsia" w:ascii="宋体" w:hAnsi="宋体" w:eastAsia="宋体" w:cs="宋体"/>
                <w:i w:val="0"/>
                <w:iCs w:val="0"/>
                <w:color w:val="000000"/>
                <w:sz w:val="18"/>
                <w:szCs w:val="18"/>
                <w:u w:val="none"/>
              </w:rPr>
            </w:pPr>
          </w:p>
        </w:tc>
      </w:tr>
      <w:tr w14:paraId="4D6E2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390" w:hRule="atLeast"/>
        </w:trPr>
        <w:tc>
          <w:tcPr>
            <w:tcW w:w="97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95C44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9FAB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2724" w:type="dxa"/>
          <w:trHeight w:val="270" w:hRule="atLeast"/>
        </w:trPr>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7D1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B9F9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51172421R000000068124-县级单位在编在职人员经费（事业）</w:t>
            </w:r>
          </w:p>
        </w:tc>
      </w:tr>
      <w:tr w14:paraId="6BA70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450" w:hRule="atLeast"/>
        </w:trPr>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B18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D1C6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81" w:type="dxa"/>
            <w:tcBorders>
              <w:top w:val="nil"/>
              <w:left w:val="nil"/>
              <w:bottom w:val="nil"/>
              <w:right w:val="nil"/>
            </w:tcBorders>
            <w:shd w:val="clear" w:color="auto" w:fill="auto"/>
            <w:vAlign w:val="center"/>
          </w:tcPr>
          <w:p w14:paraId="76EB4DB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637A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大竹县竹阳街道社区卫生服务中心</w:t>
            </w:r>
          </w:p>
        </w:tc>
      </w:tr>
      <w:tr w14:paraId="7ABED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27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9CB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C70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A9A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8B3A8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660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2724" w:type="dxa"/>
          <w:trHeight w:val="2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6AF6E">
            <w:pPr>
              <w:rPr>
                <w:rFonts w:hint="eastAsia" w:ascii="宋体" w:hAnsi="宋体" w:eastAsia="宋体" w:cs="宋体"/>
                <w:i w:val="0"/>
                <w:iCs w:val="0"/>
                <w:color w:val="000000"/>
                <w:sz w:val="18"/>
                <w:szCs w:val="18"/>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6AFCE">
            <w:pPr>
              <w:rPr>
                <w:rFonts w:hint="eastAsia" w:ascii="宋体" w:hAnsi="宋体" w:eastAsia="宋体" w:cs="宋体"/>
                <w:i w:val="0"/>
                <w:iCs w:val="0"/>
                <w:color w:val="000000"/>
                <w:sz w:val="18"/>
                <w:szCs w:val="18"/>
                <w:u w:val="none"/>
              </w:rPr>
            </w:pPr>
          </w:p>
        </w:tc>
        <w:tc>
          <w:tcPr>
            <w:tcW w:w="3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2508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57FFB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sz w:val="18"/>
                <w:szCs w:val="18"/>
                <w:u w:val="none"/>
              </w:rPr>
              <w:t>保障了单位职工工资足额发放、社保足额缴纳，预算编制科学合理，减少结余资金。</w:t>
            </w:r>
          </w:p>
        </w:tc>
      </w:tr>
      <w:tr w14:paraId="6B2B7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2724" w:type="dxa"/>
          <w:trHeight w:val="45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F36BE">
            <w:pP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0C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042DF6">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及时、</w:t>
            </w:r>
            <w:r>
              <w:rPr>
                <w:rFonts w:ascii="宋体" w:hAnsi="宋体" w:eastAsia="宋体" w:cs="宋体"/>
                <w:i w:val="0"/>
                <w:iCs w:val="0"/>
                <w:color w:val="000000"/>
                <w:kern w:val="0"/>
                <w:sz w:val="18"/>
                <w:szCs w:val="18"/>
                <w:u w:val="none"/>
                <w:lang w:val="en-US" w:eastAsia="zh-CN" w:bidi="ar"/>
              </w:rPr>
              <w:t>足额发放在编在职人员</w:t>
            </w:r>
            <w:r>
              <w:rPr>
                <w:rFonts w:hint="eastAsia" w:ascii="宋体" w:hAnsi="宋体" w:eastAsia="宋体" w:cs="宋体"/>
                <w:i w:val="0"/>
                <w:iCs w:val="0"/>
                <w:color w:val="000000"/>
                <w:kern w:val="0"/>
                <w:sz w:val="18"/>
                <w:szCs w:val="18"/>
                <w:u w:val="none"/>
                <w:lang w:val="en-US" w:eastAsia="zh-CN" w:bidi="ar"/>
              </w:rPr>
              <w:t>绩效工资，</w:t>
            </w:r>
            <w:r>
              <w:rPr>
                <w:rFonts w:hint="eastAsia" w:ascii="黑体" w:hAnsi="黑体" w:eastAsia="黑体" w:cs="黑体"/>
                <w:i w:val="0"/>
                <w:iCs w:val="0"/>
                <w:color w:val="000000"/>
                <w:sz w:val="18"/>
                <w:szCs w:val="18"/>
                <w:u w:val="none"/>
              </w:rPr>
              <w:t>社保足额缴纳</w:t>
            </w:r>
            <w:r>
              <w:rPr>
                <w:rFonts w:hint="eastAsia" w:ascii="宋体" w:hAnsi="宋体" w:eastAsia="宋体" w:cs="宋体"/>
                <w:i w:val="0"/>
                <w:iCs w:val="0"/>
                <w:color w:val="000000"/>
                <w:kern w:val="0"/>
                <w:sz w:val="18"/>
                <w:szCs w:val="18"/>
                <w:u w:val="none"/>
                <w:lang w:val="en-US" w:eastAsia="zh-CN" w:bidi="ar"/>
              </w:rPr>
              <w:t>。</w:t>
            </w:r>
          </w:p>
        </w:tc>
      </w:tr>
      <w:tr w14:paraId="7F5F2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45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91D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B8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E7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2B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D4F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6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B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D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4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1AE1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2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04DA7">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56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D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432.50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2B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298.15</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C5E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298.15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7E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B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72CD">
            <w:pPr>
              <w:jc w:val="center"/>
              <w:rPr>
                <w:rFonts w:hint="eastAsia" w:ascii="宋体" w:hAnsi="宋体" w:eastAsia="宋体" w:cs="宋体"/>
                <w:i w:val="0"/>
                <w:iCs w:val="0"/>
                <w:color w:val="000000"/>
                <w:sz w:val="18"/>
                <w:szCs w:val="18"/>
                <w:u w:val="none"/>
              </w:rPr>
            </w:pPr>
          </w:p>
        </w:tc>
        <w:tc>
          <w:tcPr>
            <w:tcW w:w="2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0BA3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DA5F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45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D9E5E">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8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8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432.50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3C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298.15</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A40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298.15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E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E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E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5D52E">
            <w:pPr>
              <w:rPr>
                <w:rFonts w:hint="eastAsia" w:ascii="黑体" w:hAnsi="黑体" w:eastAsia="黑体" w:cs="黑体"/>
                <w:i/>
                <w:iCs/>
                <w:color w:val="000000"/>
                <w:sz w:val="18"/>
                <w:szCs w:val="18"/>
                <w:u w:val="none"/>
              </w:rPr>
            </w:pPr>
          </w:p>
        </w:tc>
      </w:tr>
      <w:tr w14:paraId="7F32F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45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C7C2B">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E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C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3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60A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E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F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4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F9146">
            <w:pPr>
              <w:rPr>
                <w:rFonts w:hint="eastAsia" w:ascii="黑体" w:hAnsi="黑体" w:eastAsia="黑体" w:cs="黑体"/>
                <w:i/>
                <w:iCs/>
                <w:color w:val="000000"/>
                <w:sz w:val="18"/>
                <w:szCs w:val="18"/>
                <w:u w:val="none"/>
              </w:rPr>
            </w:pPr>
          </w:p>
        </w:tc>
      </w:tr>
      <w:tr w14:paraId="5CDBA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2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8B0AB">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1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2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6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F8B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0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78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F4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F8CD9">
            <w:pPr>
              <w:rPr>
                <w:rFonts w:hint="eastAsia" w:ascii="黑体" w:hAnsi="黑体" w:eastAsia="黑体" w:cs="黑体"/>
                <w:i/>
                <w:iCs/>
                <w:color w:val="000000"/>
                <w:sz w:val="18"/>
                <w:szCs w:val="18"/>
                <w:u w:val="none"/>
              </w:rPr>
            </w:pPr>
          </w:p>
        </w:tc>
      </w:tr>
      <w:tr w14:paraId="308E9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2724" w:type="dxa"/>
          <w:trHeight w:val="2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EEDBA">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89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9F04">
            <w:pPr>
              <w:jc w:val="center"/>
              <w:rPr>
                <w:rFonts w:hint="eastAsia" w:ascii="微软雅黑" w:hAnsi="微软雅黑" w:eastAsia="微软雅黑" w:cs="微软雅黑"/>
                <w:i/>
                <w:iCs/>
                <w:color w:val="000000"/>
                <w:sz w:val="16"/>
                <w:szCs w:val="16"/>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2C23">
            <w:pPr>
              <w:jc w:val="center"/>
              <w:rPr>
                <w:rFonts w:hint="eastAsia" w:ascii="微软雅黑" w:hAnsi="微软雅黑" w:eastAsia="微软雅黑" w:cs="微软雅黑"/>
                <w:i/>
                <w:iCs/>
                <w:color w:val="000000"/>
                <w:sz w:val="16"/>
                <w:szCs w:val="16"/>
                <w:u w:val="none"/>
              </w:rPr>
            </w:pP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8D8FC2">
            <w:pPr>
              <w:jc w:val="center"/>
              <w:rPr>
                <w:rFonts w:hint="eastAsia" w:ascii="微软雅黑" w:hAnsi="微软雅黑" w:eastAsia="微软雅黑" w:cs="微软雅黑"/>
                <w:i/>
                <w:iCs/>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1FF7">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2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E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4658F">
            <w:pPr>
              <w:rPr>
                <w:rFonts w:hint="eastAsia" w:ascii="黑体" w:hAnsi="黑体" w:eastAsia="黑体" w:cs="黑体"/>
                <w:i/>
                <w:iCs/>
                <w:color w:val="000000"/>
                <w:sz w:val="18"/>
                <w:szCs w:val="18"/>
                <w:u w:val="none"/>
              </w:rPr>
            </w:pPr>
          </w:p>
        </w:tc>
      </w:tr>
      <w:tr w14:paraId="04CA3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45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3E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C2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5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2E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1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2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BB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C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0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3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49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D8C2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45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9F138">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2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B5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A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CC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E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59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927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81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F1E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55</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275F">
            <w:pPr>
              <w:jc w:val="center"/>
              <w:rPr>
                <w:rFonts w:hint="eastAsia" w:ascii="微软雅黑" w:hAnsi="微软雅黑" w:eastAsia="微软雅黑" w:cs="微软雅黑"/>
                <w:i/>
                <w:iCs/>
                <w:color w:val="000000"/>
                <w:sz w:val="16"/>
                <w:szCs w:val="16"/>
                <w:u w:val="none"/>
              </w:rPr>
            </w:pPr>
          </w:p>
        </w:tc>
      </w:tr>
      <w:tr w14:paraId="58BCD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2724" w:type="dxa"/>
          <w:trHeight w:val="45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D800E">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9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46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68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5F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B9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A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EA5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D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3D6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25</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D69C">
            <w:pPr>
              <w:jc w:val="center"/>
              <w:rPr>
                <w:rFonts w:hint="eastAsia" w:ascii="微软雅黑" w:hAnsi="微软雅黑" w:eastAsia="微软雅黑" w:cs="微软雅黑"/>
                <w:i/>
                <w:iCs/>
                <w:color w:val="000000"/>
                <w:sz w:val="16"/>
                <w:szCs w:val="16"/>
                <w:u w:val="none"/>
              </w:rPr>
            </w:pPr>
          </w:p>
        </w:tc>
      </w:tr>
      <w:tr w14:paraId="0E6EA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91E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6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6248">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3304">
            <w:pPr>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06D3">
            <w:pPr>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1BBC">
            <w:pPr>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4BB6">
            <w:pPr>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CA95">
            <w:pPr>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2B8C">
            <w:pPr>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7ACC">
            <w:pP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96</w:t>
            </w:r>
          </w:p>
        </w:tc>
      </w:tr>
      <w:tr w14:paraId="76C3F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6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46A17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项目自评总分</w:t>
            </w:r>
            <w:r>
              <w:rPr>
                <w:rFonts w:hint="eastAsia" w:ascii="宋体" w:hAnsi="宋体" w:cs="宋体"/>
                <w:i w:val="0"/>
                <w:iCs w:val="0"/>
                <w:color w:val="000000"/>
                <w:kern w:val="0"/>
                <w:sz w:val="18"/>
                <w:szCs w:val="18"/>
                <w:u w:val="none"/>
                <w:lang w:val="en-US" w:eastAsia="zh-CN" w:bidi="ar"/>
              </w:rPr>
              <w:t>90</w:t>
            </w:r>
            <w:r>
              <w:rPr>
                <w:rFonts w:hint="eastAsia" w:ascii="宋体" w:hAnsi="宋体" w:eastAsia="宋体" w:cs="宋体"/>
                <w:i w:val="0"/>
                <w:iCs w:val="0"/>
                <w:color w:val="000000"/>
                <w:kern w:val="0"/>
                <w:sz w:val="18"/>
                <w:szCs w:val="18"/>
                <w:u w:val="none"/>
                <w:lang w:val="en-US" w:eastAsia="zh-CN" w:bidi="ar"/>
              </w:rPr>
              <w:t>分，在实施过程中，</w:t>
            </w:r>
            <w:r>
              <w:rPr>
                <w:rFonts w:ascii="宋体" w:hAnsi="宋体" w:eastAsia="宋体" w:cs="宋体"/>
                <w:i w:val="0"/>
                <w:iCs w:val="0"/>
                <w:color w:val="000000"/>
                <w:kern w:val="0"/>
                <w:sz w:val="18"/>
                <w:szCs w:val="18"/>
                <w:u w:val="none"/>
                <w:lang w:val="en-US" w:eastAsia="zh-CN" w:bidi="ar"/>
              </w:rPr>
              <w:t>严格执行相关政策，及时保障工资、足额发</w:t>
            </w:r>
            <w:r>
              <w:rPr>
                <w:rFonts w:hint="eastAsia" w:ascii="宋体" w:hAnsi="宋体" w:eastAsia="宋体" w:cs="宋体"/>
                <w:i w:val="0"/>
                <w:iCs w:val="0"/>
                <w:color w:val="000000"/>
                <w:kern w:val="0"/>
                <w:sz w:val="18"/>
                <w:szCs w:val="18"/>
                <w:u w:val="none"/>
                <w:lang w:val="en-US" w:eastAsia="zh-CN" w:bidi="ar"/>
              </w:rPr>
              <w:t>放</w:t>
            </w:r>
            <w:r>
              <w:rPr>
                <w:rFonts w:hint="eastAsia" w:ascii="宋体" w:hAnsi="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足额缴纳</w:t>
            </w:r>
            <w:r>
              <w:rPr>
                <w:rFonts w:hint="eastAsia" w:ascii="宋体" w:hAnsi="宋体" w:cs="宋体"/>
                <w:i w:val="0"/>
                <w:iCs w:val="0"/>
                <w:color w:val="000000"/>
                <w:kern w:val="0"/>
                <w:sz w:val="18"/>
                <w:szCs w:val="18"/>
                <w:u w:val="none"/>
                <w:lang w:val="en-US" w:eastAsia="zh-CN" w:bidi="ar"/>
              </w:rPr>
              <w:t>社保</w:t>
            </w:r>
            <w:r>
              <w:rPr>
                <w:rFonts w:ascii="宋体" w:hAnsi="宋体" w:eastAsia="宋体" w:cs="宋体"/>
                <w:i w:val="0"/>
                <w:iCs w:val="0"/>
                <w:color w:val="000000"/>
                <w:kern w:val="0"/>
                <w:sz w:val="18"/>
                <w:szCs w:val="18"/>
                <w:u w:val="none"/>
                <w:lang w:val="en-US" w:eastAsia="zh-CN" w:bidi="ar"/>
              </w:rPr>
              <w:t>，预算编制科学合理，结余资金</w:t>
            </w:r>
            <w:r>
              <w:rPr>
                <w:rFonts w:hint="eastAsia" w:ascii="宋体" w:hAnsi="宋体" w:eastAsia="宋体" w:cs="宋体"/>
                <w:i w:val="0"/>
                <w:iCs w:val="0"/>
                <w:color w:val="000000"/>
                <w:kern w:val="0"/>
                <w:sz w:val="18"/>
                <w:szCs w:val="18"/>
                <w:u w:val="none"/>
                <w:lang w:val="en-US" w:eastAsia="zh-CN" w:bidi="ar"/>
              </w:rPr>
              <w:t>较少。有效提升了人员经费保障能力，保障了</w:t>
            </w:r>
            <w:r>
              <w:rPr>
                <w:rFonts w:ascii="宋体" w:hAnsi="宋体" w:eastAsia="宋体" w:cs="宋体"/>
                <w:i w:val="0"/>
                <w:iCs w:val="0"/>
                <w:color w:val="000000"/>
                <w:kern w:val="0"/>
                <w:sz w:val="18"/>
                <w:szCs w:val="18"/>
                <w:u w:val="none"/>
                <w:lang w:val="en-US" w:eastAsia="zh-CN" w:bidi="ar"/>
              </w:rPr>
              <w:t>在编在职人员</w:t>
            </w:r>
            <w:r>
              <w:rPr>
                <w:rFonts w:hint="eastAsia" w:ascii="宋体" w:hAnsi="宋体" w:cs="宋体"/>
                <w:i w:val="0"/>
                <w:iCs w:val="0"/>
                <w:color w:val="000000"/>
                <w:kern w:val="0"/>
                <w:sz w:val="18"/>
                <w:szCs w:val="18"/>
                <w:u w:val="none"/>
                <w:lang w:val="en-US" w:eastAsia="zh-CN" w:bidi="ar"/>
              </w:rPr>
              <w:t>经费</w:t>
            </w:r>
            <w:r>
              <w:rPr>
                <w:rFonts w:hint="eastAsia" w:ascii="宋体" w:hAnsi="宋体" w:eastAsia="宋体" w:cs="宋体"/>
                <w:i w:val="0"/>
                <w:iCs w:val="0"/>
                <w:color w:val="000000"/>
                <w:kern w:val="0"/>
                <w:sz w:val="18"/>
                <w:szCs w:val="18"/>
                <w:u w:val="none"/>
                <w:lang w:val="en-US" w:eastAsia="zh-CN" w:bidi="ar"/>
              </w:rPr>
              <w:t>的资金使用效率。</w:t>
            </w:r>
          </w:p>
        </w:tc>
      </w:tr>
      <w:tr w14:paraId="26D89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2724" w:type="dxa"/>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B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265B4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服务项目方案的精细化程度不高。</w:t>
            </w:r>
          </w:p>
        </w:tc>
      </w:tr>
      <w:tr w14:paraId="1CA0F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4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2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C249F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完善细化分配方案。</w:t>
            </w:r>
          </w:p>
        </w:tc>
      </w:tr>
      <w:tr w14:paraId="2D7D6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724" w:type="dxa"/>
          <w:trHeight w:val="270" w:hRule="atLeast"/>
        </w:trPr>
        <w:tc>
          <w:tcPr>
            <w:tcW w:w="42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264B1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4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1FF50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6B0737CF">
      <w:pPr>
        <w:pStyle w:val="2"/>
        <w:spacing w:before="93"/>
        <w:rPr>
          <w:rFonts w:hAnsi="Calibri" w:cs="仿宋"/>
          <w:sz w:val="32"/>
          <w:szCs w:val="32"/>
        </w:rPr>
      </w:pPr>
    </w:p>
    <w:p w14:paraId="7CB16673">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22F9652F">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67849E4B">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6BE06414">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09BD5A17">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4F2CA37E">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3C40CF6F">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5475F8EF">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32F7CEAA">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2D476BC2">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16FE5D05">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64C25985">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176244CF">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4FEEEC9E">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37ECA79">
        <w:pPr>
          <w:pStyle w:val="9"/>
          <w:jc w:val="center"/>
        </w:pPr>
        <w:r>
          <w:fldChar w:fldCharType="begin"/>
        </w:r>
        <w:r>
          <w:instrText xml:space="preserve">PAGE   \* MERGEFORMAT</w:instrText>
        </w:r>
        <w:r>
          <w:fldChar w:fldCharType="separate"/>
        </w:r>
        <w:r>
          <w:rPr>
            <w:lang w:val="zh-CN"/>
          </w:rPr>
          <w:t>15</w:t>
        </w:r>
        <w:r>
          <w:fldChar w:fldCharType="end"/>
        </w:r>
      </w:p>
    </w:sdtContent>
  </w:sdt>
  <w:p w14:paraId="4736F455">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D8C43">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B985A"/>
    <w:multiLevelType w:val="singleLevel"/>
    <w:tmpl w:val="C3FB985A"/>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abstractNum w:abstractNumId="5">
    <w:nsid w:val="5F172FE0"/>
    <w:multiLevelType w:val="singleLevel"/>
    <w:tmpl w:val="5F172FE0"/>
    <w:lvl w:ilvl="0" w:tentative="0">
      <w:start w:val="1"/>
      <w:numFmt w:val="decimal"/>
      <w:suff w:val="nothing"/>
      <w:lvlText w:val="（%1）"/>
      <w:lvlJc w:val="left"/>
      <w:pPr>
        <w:ind w:left="-1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TIwMjBmNjlkMjllZmYwYWQxZDY5MDBhNjQ0NT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16AA"/>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CC"/>
    <w:rsid w:val="021D0A29"/>
    <w:rsid w:val="0250614B"/>
    <w:rsid w:val="026B130E"/>
    <w:rsid w:val="03DC2831"/>
    <w:rsid w:val="0580326D"/>
    <w:rsid w:val="06D73361"/>
    <w:rsid w:val="081B5E94"/>
    <w:rsid w:val="08DA2C94"/>
    <w:rsid w:val="0A2032A3"/>
    <w:rsid w:val="0B8A37D8"/>
    <w:rsid w:val="0F5FFB2F"/>
    <w:rsid w:val="0FDE1388"/>
    <w:rsid w:val="0FFFCF60"/>
    <w:rsid w:val="10C055FF"/>
    <w:rsid w:val="118107EC"/>
    <w:rsid w:val="11DD6519"/>
    <w:rsid w:val="12A12A75"/>
    <w:rsid w:val="139B5716"/>
    <w:rsid w:val="13AC347F"/>
    <w:rsid w:val="15BA6327"/>
    <w:rsid w:val="165322D8"/>
    <w:rsid w:val="168E1562"/>
    <w:rsid w:val="16BB723D"/>
    <w:rsid w:val="16F77107"/>
    <w:rsid w:val="171E28E6"/>
    <w:rsid w:val="17B84AE8"/>
    <w:rsid w:val="17E42975"/>
    <w:rsid w:val="18015F3F"/>
    <w:rsid w:val="19513A32"/>
    <w:rsid w:val="19656A66"/>
    <w:rsid w:val="1A613215"/>
    <w:rsid w:val="1AA93CAA"/>
    <w:rsid w:val="1BD87507"/>
    <w:rsid w:val="1BE614F8"/>
    <w:rsid w:val="1BE8440E"/>
    <w:rsid w:val="1C6A3ED7"/>
    <w:rsid w:val="1CCC06EE"/>
    <w:rsid w:val="1D155CEE"/>
    <w:rsid w:val="1DC6338F"/>
    <w:rsid w:val="1E3E39E6"/>
    <w:rsid w:val="1E5261C1"/>
    <w:rsid w:val="1F244811"/>
    <w:rsid w:val="1F5D1989"/>
    <w:rsid w:val="1F672950"/>
    <w:rsid w:val="1FDBBF84"/>
    <w:rsid w:val="20F57F95"/>
    <w:rsid w:val="215A7667"/>
    <w:rsid w:val="21C4408A"/>
    <w:rsid w:val="21FA5CFD"/>
    <w:rsid w:val="22230DB0"/>
    <w:rsid w:val="22394A78"/>
    <w:rsid w:val="240371BF"/>
    <w:rsid w:val="25711CC6"/>
    <w:rsid w:val="25A56221"/>
    <w:rsid w:val="25C741E6"/>
    <w:rsid w:val="25D85D75"/>
    <w:rsid w:val="260E7FC9"/>
    <w:rsid w:val="276F6846"/>
    <w:rsid w:val="276F80C0"/>
    <w:rsid w:val="27842671"/>
    <w:rsid w:val="27F84A8D"/>
    <w:rsid w:val="294B4AFF"/>
    <w:rsid w:val="29E259F5"/>
    <w:rsid w:val="29FD04D3"/>
    <w:rsid w:val="2ABE7A3E"/>
    <w:rsid w:val="2AFF09B6"/>
    <w:rsid w:val="2B1020EE"/>
    <w:rsid w:val="2CA234A8"/>
    <w:rsid w:val="2D917516"/>
    <w:rsid w:val="2EFA178C"/>
    <w:rsid w:val="2EFDF86C"/>
    <w:rsid w:val="2F9D17E1"/>
    <w:rsid w:val="30B46D73"/>
    <w:rsid w:val="30C45E54"/>
    <w:rsid w:val="30EB7186"/>
    <w:rsid w:val="315628A8"/>
    <w:rsid w:val="318A0E4C"/>
    <w:rsid w:val="319F7F4E"/>
    <w:rsid w:val="32755658"/>
    <w:rsid w:val="32F347CF"/>
    <w:rsid w:val="356A28F1"/>
    <w:rsid w:val="357C035A"/>
    <w:rsid w:val="368E000D"/>
    <w:rsid w:val="378679C0"/>
    <w:rsid w:val="383D272C"/>
    <w:rsid w:val="38AE7774"/>
    <w:rsid w:val="391F00CC"/>
    <w:rsid w:val="39AE70AB"/>
    <w:rsid w:val="39C12F31"/>
    <w:rsid w:val="3A4DCE41"/>
    <w:rsid w:val="3BC413E3"/>
    <w:rsid w:val="3BCB56FA"/>
    <w:rsid w:val="3C0C0783"/>
    <w:rsid w:val="3EB05C6A"/>
    <w:rsid w:val="3EE7C2F4"/>
    <w:rsid w:val="3F0A4526"/>
    <w:rsid w:val="3F371B56"/>
    <w:rsid w:val="3F5C54AA"/>
    <w:rsid w:val="3F792ED8"/>
    <w:rsid w:val="3F9F3A96"/>
    <w:rsid w:val="3FECA4B2"/>
    <w:rsid w:val="3FF58C48"/>
    <w:rsid w:val="40750F19"/>
    <w:rsid w:val="40BC4452"/>
    <w:rsid w:val="40D519B8"/>
    <w:rsid w:val="41E9571B"/>
    <w:rsid w:val="42FF6694"/>
    <w:rsid w:val="44E87F0C"/>
    <w:rsid w:val="45703A5D"/>
    <w:rsid w:val="45935BAF"/>
    <w:rsid w:val="46CC1167"/>
    <w:rsid w:val="48541414"/>
    <w:rsid w:val="48BF60AB"/>
    <w:rsid w:val="493C27E9"/>
    <w:rsid w:val="496F39ED"/>
    <w:rsid w:val="49804BB7"/>
    <w:rsid w:val="49FF41D3"/>
    <w:rsid w:val="4AA76173"/>
    <w:rsid w:val="4B094738"/>
    <w:rsid w:val="4BDF1B0D"/>
    <w:rsid w:val="4BE068DB"/>
    <w:rsid w:val="4BF6002B"/>
    <w:rsid w:val="4BFFC6BE"/>
    <w:rsid w:val="4CD34D9C"/>
    <w:rsid w:val="4D3F4746"/>
    <w:rsid w:val="4D8207D1"/>
    <w:rsid w:val="4D9C0793"/>
    <w:rsid w:val="4D9F3131"/>
    <w:rsid w:val="4E5F1E97"/>
    <w:rsid w:val="4E86609F"/>
    <w:rsid w:val="4ECE2238"/>
    <w:rsid w:val="4EE51018"/>
    <w:rsid w:val="4F053468"/>
    <w:rsid w:val="4F0E67C1"/>
    <w:rsid w:val="4FE25169"/>
    <w:rsid w:val="50574197"/>
    <w:rsid w:val="510065DD"/>
    <w:rsid w:val="51DB4B86"/>
    <w:rsid w:val="51F64DB0"/>
    <w:rsid w:val="520B6FE7"/>
    <w:rsid w:val="522C2476"/>
    <w:rsid w:val="54336CC9"/>
    <w:rsid w:val="55333C3E"/>
    <w:rsid w:val="55BB6F76"/>
    <w:rsid w:val="55BD2CEE"/>
    <w:rsid w:val="56431446"/>
    <w:rsid w:val="58564D34"/>
    <w:rsid w:val="58B43BB6"/>
    <w:rsid w:val="5A5A5789"/>
    <w:rsid w:val="5AEA1514"/>
    <w:rsid w:val="5AFE1DDF"/>
    <w:rsid w:val="5B523ED9"/>
    <w:rsid w:val="5BE91621"/>
    <w:rsid w:val="5CE8654D"/>
    <w:rsid w:val="5D07484F"/>
    <w:rsid w:val="5DAB5B22"/>
    <w:rsid w:val="5EAE7678"/>
    <w:rsid w:val="5F67802D"/>
    <w:rsid w:val="5F7DC4F2"/>
    <w:rsid w:val="5FB36814"/>
    <w:rsid w:val="5FBB8E56"/>
    <w:rsid w:val="5FFB5535"/>
    <w:rsid w:val="60065292"/>
    <w:rsid w:val="60791F08"/>
    <w:rsid w:val="60DD4245"/>
    <w:rsid w:val="62484085"/>
    <w:rsid w:val="6256532E"/>
    <w:rsid w:val="64CA39A1"/>
    <w:rsid w:val="65B52FF4"/>
    <w:rsid w:val="65C43C25"/>
    <w:rsid w:val="65C77271"/>
    <w:rsid w:val="65F406D1"/>
    <w:rsid w:val="66182FDA"/>
    <w:rsid w:val="6692162D"/>
    <w:rsid w:val="66974E96"/>
    <w:rsid w:val="669E75A1"/>
    <w:rsid w:val="66DE05E3"/>
    <w:rsid w:val="67D85766"/>
    <w:rsid w:val="6885769C"/>
    <w:rsid w:val="694E3F32"/>
    <w:rsid w:val="69630ADE"/>
    <w:rsid w:val="697C7C9C"/>
    <w:rsid w:val="69BD5F13"/>
    <w:rsid w:val="69FB0B4B"/>
    <w:rsid w:val="6B925B30"/>
    <w:rsid w:val="6BEF307E"/>
    <w:rsid w:val="6BFFE1FB"/>
    <w:rsid w:val="6C4A05C8"/>
    <w:rsid w:val="6D3B1A89"/>
    <w:rsid w:val="6DB7D8A3"/>
    <w:rsid w:val="6EC78701"/>
    <w:rsid w:val="6EE80984"/>
    <w:rsid w:val="6F7A5481"/>
    <w:rsid w:val="6F881820"/>
    <w:rsid w:val="6FFE07A9"/>
    <w:rsid w:val="71BF4EC2"/>
    <w:rsid w:val="72077373"/>
    <w:rsid w:val="72677449"/>
    <w:rsid w:val="72734D90"/>
    <w:rsid w:val="73045661"/>
    <w:rsid w:val="732E6B82"/>
    <w:rsid w:val="73A26E3B"/>
    <w:rsid w:val="73B476CA"/>
    <w:rsid w:val="73E75B71"/>
    <w:rsid w:val="7412278C"/>
    <w:rsid w:val="749D3FBF"/>
    <w:rsid w:val="74EE481B"/>
    <w:rsid w:val="75DDCDA9"/>
    <w:rsid w:val="75FF44B1"/>
    <w:rsid w:val="77670518"/>
    <w:rsid w:val="777FA627"/>
    <w:rsid w:val="77DF1B5F"/>
    <w:rsid w:val="77EF2D9D"/>
    <w:rsid w:val="785E75C1"/>
    <w:rsid w:val="786372CE"/>
    <w:rsid w:val="79E7B28D"/>
    <w:rsid w:val="7ACFF0C2"/>
    <w:rsid w:val="7AFB9108"/>
    <w:rsid w:val="7BD5340C"/>
    <w:rsid w:val="7BFB19D2"/>
    <w:rsid w:val="7BFD1750"/>
    <w:rsid w:val="7BFDAA1B"/>
    <w:rsid w:val="7CDF9A82"/>
    <w:rsid w:val="7CFFA1BD"/>
    <w:rsid w:val="7D2E3F7A"/>
    <w:rsid w:val="7DEB18F7"/>
    <w:rsid w:val="7DED9490"/>
    <w:rsid w:val="7DFF4872"/>
    <w:rsid w:val="7E723DC7"/>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autoRedefine/>
    <w:unhideWhenUsed/>
    <w:qFormat/>
    <w:uiPriority w:val="39"/>
    <w:pPr>
      <w:tabs>
        <w:tab w:val="right" w:leader="dot" w:pos="8296"/>
      </w:tabs>
      <w:ind w:left="840" w:leftChars="400"/>
    </w:pPr>
  </w:style>
  <w:style w:type="paragraph" w:styleId="8">
    <w:name w:val="Balloon Text"/>
    <w:basedOn w:val="1"/>
    <w:link w:val="30"/>
    <w:autoRedefine/>
    <w:semiHidden/>
    <w:unhideWhenUsed/>
    <w:qFormat/>
    <w:uiPriority w:val="99"/>
    <w:rPr>
      <w:sz w:val="18"/>
      <w:szCs w:val="18"/>
    </w:rPr>
  </w:style>
  <w:style w:type="paragraph" w:styleId="9">
    <w:name w:val="footer"/>
    <w:basedOn w:val="1"/>
    <w:link w:val="22"/>
    <w:autoRedefine/>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autoRedefine/>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1%20&#24037;&#20316;\&#24180;&#25253;\&#24180;&#24230;&#20915;&#31639;&#20844;&#24320;&#34920;&#27169;&#26495;\&#31481;&#38451;&#39292;&#29366;&#2227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03215157169513"/>
          <c:y val="0.0956989247311828"/>
          <c:w val="0.878053681642027"/>
          <c:h val="0.751268817204301"/>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业务总收入（万元）</c:v>
                </c:pt>
                <c:pt idx="1">
                  <c:v>业务总支出（万元）</c:v>
                </c:pt>
              </c:strCache>
            </c:strRef>
          </c:cat>
          <c:val>
            <c:numRef>
              <c:f>Sheet1!$B$2:$B$3</c:f>
              <c:numCache>
                <c:formatCode>General</c:formatCode>
                <c:ptCount val="2"/>
                <c:pt idx="0">
                  <c:v>1774.01</c:v>
                </c:pt>
                <c:pt idx="1">
                  <c:v>1774.01</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业务总收入（万元）</c:v>
                </c:pt>
                <c:pt idx="1">
                  <c:v>业务总支出（万元）</c:v>
                </c:pt>
              </c:strCache>
            </c:strRef>
          </c:cat>
          <c:val>
            <c:numRef>
              <c:f>Sheet1!$C$2:$C$3</c:f>
              <c:numCache>
                <c:formatCode>General</c:formatCode>
                <c:ptCount val="2"/>
                <c:pt idx="0">
                  <c:v>2187.42</c:v>
                </c:pt>
                <c:pt idx="1">
                  <c:v>2187.42</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业务总收入（万元）</c:v>
                </c:pt>
                <c:pt idx="1">
                  <c:v>业务总支出（万元）</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50"/>
        <c:overlap val="0"/>
        <c:axId val="726848726"/>
        <c:axId val="752711980"/>
      </c:barChart>
      <c:catAx>
        <c:axId val="7268487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2711980"/>
        <c:crosses val="autoZero"/>
        <c:auto val="1"/>
        <c:lblAlgn val="ctr"/>
        <c:lblOffset val="100"/>
        <c:noMultiLvlLbl val="0"/>
      </c:catAx>
      <c:valAx>
        <c:axId val="7527119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684872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794366588039406"/>
          <c:y val="0.109220954958438"/>
          <c:w val="0.581101706674067"/>
          <c:h val="0.809588246665378"/>
        </c:manualLayout>
      </c:layout>
      <c:pieChart>
        <c:varyColors val="1"/>
        <c:ser>
          <c:idx val="0"/>
          <c:order val="0"/>
          <c:tx>
            <c:strRef>
              <c:f>Sheet1!$B$1</c:f>
              <c:strCache>
                <c:ptCount val="1"/>
                <c:pt idx="0">
                  <c:v>本年收入2187.42（万元）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2"/>
              <c:layout>
                <c:manualLayout>
                  <c:x val="0.0852937210358566"/>
                  <c:y val="0.21132183312427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财政拨款收入</c:v>
                </c:pt>
                <c:pt idx="1">
                  <c:v>事业收入</c:v>
                </c:pt>
                <c:pt idx="2">
                  <c:v>其他收入</c:v>
                </c:pt>
              </c:strCache>
            </c:strRef>
          </c:cat>
          <c:val>
            <c:numRef>
              <c:f>Sheet1!$B$2:$B$4</c:f>
              <c:numCache>
                <c:formatCode>General</c:formatCode>
                <c:ptCount val="3"/>
                <c:pt idx="0">
                  <c:v>398.67</c:v>
                </c:pt>
                <c:pt idx="1">
                  <c:v>1643.82</c:v>
                </c:pt>
                <c:pt idx="2">
                  <c:v>144.92</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本年支出2187.42（万元）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492136247067516"/>
                  <c:y val="-0.093427000172248"/>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32108190464814"/>
                  <c:y val="0.0238913731850775"/>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136613757019287"/>
                  <c:y val="0.025857422323872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基本支出</c:v>
                </c:pt>
                <c:pt idx="1">
                  <c:v>项目支出</c:v>
                </c:pt>
                <c:pt idx="2">
                  <c:v>其他支出</c:v>
                </c:pt>
              </c:strCache>
            </c:strRef>
          </c:cat>
          <c:val>
            <c:numRef>
              <c:f>Sheet1!$B$2:$B$4</c:f>
              <c:numCache>
                <c:formatCode>General</c:formatCode>
                <c:ptCount val="3"/>
                <c:pt idx="0">
                  <c:v>2187.42</c:v>
                </c:pt>
                <c:pt idx="1">
                  <c:v>0</c:v>
                </c:pt>
                <c:pt idx="2">
                  <c:v>0</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r"/>
      <c:layout>
        <c:manualLayout>
          <c:xMode val="edge"/>
          <c:yMode val="edge"/>
          <c:x val="0.833761135437113"/>
          <c:y val="0.68748600850682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一般公共预算财政拨款支出（万元）</c:v>
                </c:pt>
              </c:strCache>
            </c:strRef>
          </c:cat>
          <c:val>
            <c:numRef>
              <c:f>Sheet1!$B$2</c:f>
              <c:numCache>
                <c:formatCode>General</c:formatCode>
                <c:ptCount val="1"/>
                <c:pt idx="0">
                  <c:v>0</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一般公共预算财政拨款支出（万元）</c:v>
                </c:pt>
              </c:strCache>
            </c:strRef>
          </c:cat>
          <c:val>
            <c:numRef>
              <c:f>Sheet1!$C$2</c:f>
              <c:numCache>
                <c:formatCode>General</c:formatCode>
                <c:ptCount val="1"/>
                <c:pt idx="0">
                  <c:v>398.67</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一般公共预算财政拨款支出（万元）</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726848726"/>
        <c:axId val="752711980"/>
      </c:barChart>
      <c:catAx>
        <c:axId val="7268487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2711980"/>
        <c:crosses val="autoZero"/>
        <c:auto val="1"/>
        <c:lblAlgn val="ctr"/>
        <c:lblOffset val="100"/>
        <c:noMultiLvlLbl val="0"/>
      </c:catAx>
      <c:valAx>
        <c:axId val="7527119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684872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财政拨款收入（万元）</c:v>
                </c:pt>
                <c:pt idx="1">
                  <c:v>财政拨款支出（万元）</c:v>
                </c:pt>
              </c:strCache>
            </c:strRef>
          </c:cat>
          <c:val>
            <c:numRef>
              <c:f>Sheet1!$B$2:$B$3</c:f>
              <c:numCache>
                <c:formatCode>General</c:formatCode>
                <c:ptCount val="2"/>
                <c:pt idx="0">
                  <c:v>0</c:v>
                </c:pt>
                <c:pt idx="1">
                  <c:v>0</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财政拨款收入（万元）</c:v>
                </c:pt>
                <c:pt idx="1">
                  <c:v>财政拨款支出（万元）</c:v>
                </c:pt>
              </c:strCache>
            </c:strRef>
          </c:cat>
          <c:val>
            <c:numRef>
              <c:f>Sheet1!$C$2:$C$3</c:f>
              <c:numCache>
                <c:formatCode>General</c:formatCode>
                <c:ptCount val="2"/>
                <c:pt idx="0">
                  <c:v>398.67</c:v>
                </c:pt>
                <c:pt idx="1">
                  <c:v>398.67</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财政拨款收入（万元）</c:v>
                </c:pt>
                <c:pt idx="1">
                  <c:v>财政拨款支出（万元）</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50"/>
        <c:overlap val="0"/>
        <c:axId val="726848726"/>
        <c:axId val="752711980"/>
      </c:barChart>
      <c:catAx>
        <c:axId val="7268487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2711980"/>
        <c:crosses val="autoZero"/>
        <c:auto val="1"/>
        <c:lblAlgn val="ctr"/>
        <c:lblOffset val="100"/>
        <c:noMultiLvlLbl val="0"/>
      </c:catAx>
      <c:valAx>
        <c:axId val="7527119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684872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0715137067938021"/>
          <c:y val="0.0437192118226601"/>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一般公共预算财政拨款支出398.67（万元）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50394895361575"/>
                  <c:y val="0.114145958974466"/>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社会保障和就业支出</c:v>
                </c:pt>
                <c:pt idx="1">
                  <c:v>卫生健康支出</c:v>
                </c:pt>
              </c:strCache>
            </c:strRef>
          </c:cat>
          <c:val>
            <c:numRef>
              <c:f>Sheet1!$B$2:$B$3</c:f>
              <c:numCache>
                <c:formatCode>General</c:formatCode>
                <c:ptCount val="2"/>
                <c:pt idx="0">
                  <c:v>100.52</c:v>
                </c:pt>
                <c:pt idx="1">
                  <c:v>298.15</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'[竹阳饼状图模板.xlsx]Sheet1 (2)'!$A$109</c:f>
              <c:strCache>
                <c:ptCount val="1"/>
                <c:pt idx="0">
                  <c:v>三公经费支出（万元）</c:v>
                </c:pt>
              </c:strCache>
            </c:strRef>
          </c:tx>
          <c:spPr/>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'[竹阳饼状图模板.xlsx]Sheet1 (2)'!$B$108:$D$108</c:f>
              <c:strCache>
                <c:ptCount val="3"/>
                <c:pt idx="0">
                  <c:v>公务接待费0万元</c:v>
                </c:pt>
                <c:pt idx="1">
                  <c:v>公务用车购置及运行维护费0万元</c:v>
                </c:pt>
                <c:pt idx="2">
                  <c:v>因公出国（境）费0万元</c:v>
                </c:pt>
              </c:strCache>
            </c:strRef>
          </c:cat>
          <c:val>
            <c:numRef>
              <c:f>'[竹阳饼状图模板.xlsx]Sheet1 (2)'!$B$109:$D$109</c:f>
              <c:numCache>
                <c:formatCode>General</c:formatCode>
                <c:ptCount val="3"/>
                <c:pt idx="0">
                  <c:v>0</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6693</Words>
  <Characters>8491</Characters>
  <Lines>54</Lines>
  <Paragraphs>15</Paragraphs>
  <TotalTime>1</TotalTime>
  <ScaleCrop>false</ScaleCrop>
  <LinksUpToDate>false</LinksUpToDate>
  <CharactersWithSpaces>8514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Lydia-怡</cp:lastModifiedBy>
  <cp:lastPrinted>2023-08-03T02:35:00Z</cp:lastPrinted>
  <dcterms:modified xsi:type="dcterms:W3CDTF">2024-10-23T07:58:38Z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21EA486811734E0089B52313A0936333_13</vt:lpwstr>
  </property>
</Properties>
</file>