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仿宋" w:hAnsi="仿宋" w:eastAsia="仿宋" w:cs="Times New Roman"/>
          <w:color w:val="auto"/>
          <w:sz w:val="36"/>
          <w:szCs w:val="36"/>
          <w:highlight w:val="none"/>
        </w:rPr>
      </w:pPr>
    </w:p>
    <w:p>
      <w:pPr>
        <w:spacing w:line="360" w:lineRule="auto"/>
        <w:rPr>
          <w:rFonts w:ascii="仿宋" w:hAnsi="仿宋" w:eastAsia="仿宋" w:cs="Times New Roman"/>
          <w:color w:val="auto"/>
          <w:sz w:val="36"/>
          <w:szCs w:val="36"/>
          <w:highlight w:val="none"/>
        </w:rPr>
      </w:pPr>
    </w:p>
    <w:p>
      <w:pPr>
        <w:spacing w:line="360" w:lineRule="auto"/>
        <w:rPr>
          <w:rFonts w:ascii="仿宋" w:hAnsi="仿宋" w:eastAsia="仿宋" w:cs="Times New Roman"/>
          <w:color w:val="auto"/>
          <w:sz w:val="36"/>
          <w:szCs w:val="36"/>
          <w:highlight w:val="none"/>
        </w:rPr>
      </w:pPr>
    </w:p>
    <w:p>
      <w:pPr>
        <w:spacing w:line="360" w:lineRule="auto"/>
        <w:jc w:val="center"/>
        <w:rPr>
          <w:rFonts w:eastAsia="方正小标宋_GBK" w:cs="Times New Roman"/>
          <w:color w:val="auto"/>
          <w:sz w:val="72"/>
          <w:szCs w:val="72"/>
          <w:highlight w:val="none"/>
        </w:rPr>
      </w:pPr>
      <w:r>
        <w:rPr>
          <w:rFonts w:eastAsia="方正小标宋_GBK" w:cs="Times New Roman"/>
          <w:color w:val="auto"/>
          <w:sz w:val="72"/>
          <w:szCs w:val="72"/>
          <w:highlight w:val="none"/>
        </w:rPr>
        <w:t>建设项目环境影响报告表</w:t>
      </w:r>
    </w:p>
    <w:p>
      <w:pPr>
        <w:jc w:val="center"/>
        <w:rPr>
          <w:rFonts w:eastAsia="楷体" w:cs="Times New Roman"/>
          <w:color w:val="auto"/>
          <w:sz w:val="48"/>
          <w:szCs w:val="48"/>
          <w:highlight w:val="none"/>
        </w:rPr>
      </w:pPr>
      <w:r>
        <w:rPr>
          <w:rFonts w:eastAsia="楷体" w:cs="Times New Roman"/>
          <w:color w:val="auto"/>
          <w:sz w:val="48"/>
          <w:szCs w:val="48"/>
          <w:highlight w:val="none"/>
        </w:rPr>
        <w:t>（</w:t>
      </w:r>
      <w:r>
        <w:rPr>
          <w:rFonts w:hint="eastAsia" w:eastAsia="楷体" w:cs="Times New Roman"/>
          <w:color w:val="auto"/>
          <w:sz w:val="48"/>
          <w:szCs w:val="48"/>
          <w:highlight w:val="none"/>
        </w:rPr>
        <w:t>污染影响类</w:t>
      </w:r>
      <w:r>
        <w:rPr>
          <w:rFonts w:eastAsia="楷体" w:cs="Times New Roman"/>
          <w:color w:val="auto"/>
          <w:sz w:val="48"/>
          <w:szCs w:val="48"/>
          <w:highlight w:val="none"/>
        </w:rPr>
        <w:t>）</w:t>
      </w:r>
    </w:p>
    <w:p>
      <w:pPr>
        <w:spacing w:line="360" w:lineRule="auto"/>
        <w:jc w:val="center"/>
        <w:rPr>
          <w:rFonts w:hint="eastAsia" w:ascii="仿宋" w:hAnsi="仿宋" w:eastAsia="仿宋" w:cs="Times New Roman"/>
          <w:b/>
          <w:color w:val="auto"/>
          <w:sz w:val="36"/>
          <w:szCs w:val="36"/>
          <w:highlight w:val="none"/>
          <w:lang w:eastAsia="zh-CN"/>
        </w:rPr>
      </w:pPr>
      <w:r>
        <w:rPr>
          <w:rFonts w:hint="eastAsia" w:ascii="仿宋" w:hAnsi="仿宋" w:eastAsia="仿宋" w:cs="Times New Roman"/>
          <w:b/>
          <w:color w:val="0000FF"/>
          <w:sz w:val="36"/>
          <w:szCs w:val="36"/>
          <w:highlight w:val="none"/>
          <w:lang w:eastAsia="zh-CN"/>
        </w:rPr>
        <w:t>（</w:t>
      </w:r>
      <w:r>
        <w:rPr>
          <w:rFonts w:hint="eastAsia" w:ascii="仿宋" w:hAnsi="仿宋" w:eastAsia="仿宋" w:cs="Times New Roman"/>
          <w:b/>
          <w:color w:val="0000FF"/>
          <w:sz w:val="36"/>
          <w:szCs w:val="36"/>
          <w:highlight w:val="none"/>
          <w:lang w:val="en-US" w:eastAsia="zh-CN"/>
        </w:rPr>
        <w:t>报批件</w:t>
      </w:r>
      <w:r>
        <w:rPr>
          <w:rFonts w:hint="eastAsia" w:ascii="仿宋" w:hAnsi="仿宋" w:eastAsia="仿宋" w:cs="Times New Roman"/>
          <w:b/>
          <w:color w:val="0000FF"/>
          <w:sz w:val="36"/>
          <w:szCs w:val="36"/>
          <w:highlight w:val="none"/>
          <w:lang w:eastAsia="zh-CN"/>
        </w:rPr>
        <w:t>）</w:t>
      </w:r>
    </w:p>
    <w:p>
      <w:pPr>
        <w:spacing w:line="360" w:lineRule="auto"/>
        <w:rPr>
          <w:rFonts w:ascii="仿宋" w:hAnsi="仿宋" w:eastAsia="仿宋" w:cs="Times New Roman"/>
          <w:b/>
          <w:color w:val="auto"/>
          <w:sz w:val="36"/>
          <w:szCs w:val="36"/>
          <w:highlight w:val="none"/>
        </w:rPr>
      </w:pPr>
    </w:p>
    <w:p>
      <w:pPr>
        <w:spacing w:line="360" w:lineRule="auto"/>
        <w:rPr>
          <w:rFonts w:ascii="仿宋" w:hAnsi="仿宋" w:eastAsia="仿宋" w:cs="Times New Roman"/>
          <w:b/>
          <w:color w:val="auto"/>
          <w:sz w:val="36"/>
          <w:szCs w:val="36"/>
          <w:highlight w:val="none"/>
        </w:rPr>
      </w:pPr>
    </w:p>
    <w:p>
      <w:pPr>
        <w:spacing w:line="360" w:lineRule="auto"/>
        <w:rPr>
          <w:rFonts w:ascii="仿宋" w:hAnsi="仿宋" w:eastAsia="仿宋" w:cs="Times New Roman"/>
          <w:b/>
          <w:color w:val="auto"/>
          <w:sz w:val="36"/>
          <w:szCs w:val="36"/>
          <w:highlight w:val="none"/>
        </w:rPr>
      </w:pPr>
    </w:p>
    <w:p>
      <w:pPr>
        <w:spacing w:line="360" w:lineRule="auto"/>
        <w:rPr>
          <w:rFonts w:ascii="仿宋" w:hAnsi="仿宋" w:eastAsia="仿宋" w:cs="Times New Roman"/>
          <w:b/>
          <w:color w:val="auto"/>
          <w:sz w:val="36"/>
          <w:szCs w:val="36"/>
          <w:highlight w:val="none"/>
        </w:rPr>
      </w:pPr>
    </w:p>
    <w:p>
      <w:pPr>
        <w:spacing w:line="360" w:lineRule="auto"/>
        <w:rPr>
          <w:rFonts w:ascii="仿宋" w:hAnsi="仿宋" w:eastAsia="仿宋" w:cs="Times New Roman"/>
          <w:b/>
          <w:color w:val="auto"/>
          <w:sz w:val="36"/>
          <w:szCs w:val="36"/>
          <w:highlight w:val="none"/>
        </w:rPr>
      </w:pPr>
    </w:p>
    <w:p>
      <w:pPr>
        <w:spacing w:line="360" w:lineRule="auto"/>
        <w:ind w:firstLine="360" w:firstLineChars="100"/>
        <w:rPr>
          <w:rFonts w:hint="default" w:eastAsia="仿宋" w:cs="Times New Roman"/>
          <w:color w:val="auto"/>
          <w:sz w:val="36"/>
          <w:szCs w:val="36"/>
          <w:highlight w:val="none"/>
          <w:u w:val="single"/>
          <w:lang w:val="en-US" w:eastAsia="zh-CN"/>
        </w:rPr>
      </w:pPr>
      <w:r>
        <w:rPr>
          <w:rFonts w:eastAsia="仿宋" w:cs="Times New Roman"/>
          <w:color w:val="auto"/>
          <w:sz w:val="36"/>
          <w:szCs w:val="36"/>
          <w:highlight w:val="none"/>
        </w:rPr>
        <w:t>项目名称：</w:t>
      </w:r>
      <w:r>
        <w:rPr>
          <w:rFonts w:hint="eastAsia" w:eastAsia="仿宋" w:cs="Times New Roman"/>
          <w:color w:val="auto"/>
          <w:sz w:val="36"/>
          <w:szCs w:val="36"/>
          <w:highlight w:val="none"/>
          <w:u w:val="single"/>
          <w:lang w:val="en-US" w:eastAsia="zh-CN"/>
        </w:rPr>
        <w:t xml:space="preserve">  大竹旭晟石材厂石材切割雕刻加工项目  </w:t>
      </w:r>
    </w:p>
    <w:p>
      <w:pPr>
        <w:spacing w:line="360" w:lineRule="auto"/>
        <w:ind w:firstLine="360" w:firstLineChars="100"/>
        <w:rPr>
          <w:rFonts w:hint="default" w:eastAsia="仿宋" w:cs="Times New Roman"/>
          <w:color w:val="auto"/>
          <w:sz w:val="36"/>
          <w:szCs w:val="36"/>
          <w:highlight w:val="none"/>
          <w:u w:val="single"/>
          <w:lang w:val="en-US" w:eastAsia="zh-CN"/>
        </w:rPr>
      </w:pPr>
      <w:r>
        <w:rPr>
          <w:rFonts w:eastAsia="仿宋" w:cs="Times New Roman"/>
          <w:color w:val="auto"/>
          <w:sz w:val="36"/>
          <w:szCs w:val="36"/>
          <w:highlight w:val="none"/>
        </w:rPr>
        <w:t>建设单位（盖章）：</w:t>
      </w:r>
      <w:r>
        <w:rPr>
          <w:rFonts w:hint="eastAsia" w:eastAsia="仿宋" w:cs="Times New Roman"/>
          <w:color w:val="auto"/>
          <w:sz w:val="36"/>
          <w:szCs w:val="36"/>
          <w:highlight w:val="none"/>
          <w:u w:val="single"/>
          <w:lang w:val="en-US" w:eastAsia="zh-CN"/>
        </w:rPr>
        <w:t xml:space="preserve">     大竹旭晟石材厂           </w:t>
      </w:r>
    </w:p>
    <w:p>
      <w:pPr>
        <w:spacing w:line="360" w:lineRule="auto"/>
        <w:ind w:firstLine="360" w:firstLineChars="100"/>
        <w:rPr>
          <w:rFonts w:eastAsia="仿宋" w:cs="Times New Roman"/>
          <w:color w:val="auto"/>
          <w:sz w:val="36"/>
          <w:szCs w:val="36"/>
          <w:highlight w:val="none"/>
        </w:rPr>
      </w:pPr>
      <w:r>
        <w:rPr>
          <w:rFonts w:eastAsia="仿宋" w:cs="Times New Roman"/>
          <w:color w:val="auto"/>
          <w:sz w:val="36"/>
          <w:szCs w:val="36"/>
          <w:highlight w:val="none"/>
        </w:rPr>
        <w:t>编制日期：</w:t>
      </w:r>
      <w:r>
        <w:rPr>
          <w:rFonts w:eastAsia="仿宋" w:cs="Times New Roman"/>
          <w:color w:val="auto"/>
          <w:sz w:val="36"/>
          <w:szCs w:val="36"/>
          <w:highlight w:val="none"/>
          <w:u w:val="single"/>
        </w:rPr>
        <w:t xml:space="preserve">               </w:t>
      </w:r>
      <w:r>
        <w:rPr>
          <w:rFonts w:hint="eastAsia" w:eastAsia="仿宋" w:cs="Times New Roman"/>
          <w:color w:val="auto"/>
          <w:sz w:val="36"/>
          <w:szCs w:val="36"/>
          <w:highlight w:val="none"/>
          <w:u w:val="single"/>
          <w:lang w:val="en-US" w:eastAsia="zh-CN"/>
        </w:rPr>
        <w:t xml:space="preserve"> </w:t>
      </w:r>
      <w:r>
        <w:rPr>
          <w:rFonts w:eastAsia="仿宋" w:cs="Times New Roman"/>
          <w:color w:val="auto"/>
          <w:sz w:val="36"/>
          <w:szCs w:val="36"/>
          <w:highlight w:val="none"/>
          <w:u w:val="single"/>
        </w:rPr>
        <w:t>202</w:t>
      </w:r>
      <w:r>
        <w:rPr>
          <w:rFonts w:hint="eastAsia" w:eastAsia="仿宋" w:cs="Times New Roman"/>
          <w:color w:val="auto"/>
          <w:sz w:val="36"/>
          <w:szCs w:val="36"/>
          <w:highlight w:val="none"/>
          <w:u w:val="single"/>
          <w:lang w:val="en-US" w:eastAsia="zh-CN"/>
        </w:rPr>
        <w:t>3</w:t>
      </w:r>
      <w:r>
        <w:rPr>
          <w:rFonts w:eastAsia="仿宋" w:cs="Times New Roman"/>
          <w:color w:val="auto"/>
          <w:sz w:val="36"/>
          <w:szCs w:val="36"/>
          <w:highlight w:val="none"/>
          <w:u w:val="single"/>
        </w:rPr>
        <w:t>年</w:t>
      </w:r>
      <w:r>
        <w:rPr>
          <w:rFonts w:hint="eastAsia" w:eastAsia="仿宋" w:cs="Times New Roman"/>
          <w:color w:val="auto"/>
          <w:sz w:val="36"/>
          <w:szCs w:val="36"/>
          <w:highlight w:val="none"/>
          <w:u w:val="single"/>
          <w:lang w:val="en-US" w:eastAsia="zh-CN"/>
        </w:rPr>
        <w:t>11</w:t>
      </w:r>
      <w:r>
        <w:rPr>
          <w:rFonts w:eastAsia="仿宋" w:cs="Times New Roman"/>
          <w:color w:val="auto"/>
          <w:sz w:val="36"/>
          <w:szCs w:val="36"/>
          <w:highlight w:val="none"/>
          <w:u w:val="single"/>
        </w:rPr>
        <w:t xml:space="preserve">月    </w:t>
      </w:r>
      <w:r>
        <w:rPr>
          <w:rFonts w:hint="eastAsia" w:eastAsia="仿宋" w:cs="Times New Roman"/>
          <w:color w:val="auto"/>
          <w:sz w:val="36"/>
          <w:szCs w:val="36"/>
          <w:highlight w:val="none"/>
          <w:u w:val="single"/>
          <w:lang w:val="en-US" w:eastAsia="zh-CN"/>
        </w:rPr>
        <w:t xml:space="preserve">  </w:t>
      </w:r>
      <w:r>
        <w:rPr>
          <w:rFonts w:eastAsia="仿宋" w:cs="Times New Roman"/>
          <w:color w:val="auto"/>
          <w:sz w:val="36"/>
          <w:szCs w:val="36"/>
          <w:highlight w:val="none"/>
          <w:u w:val="single"/>
        </w:rPr>
        <w:t xml:space="preserve">  </w:t>
      </w:r>
      <w:r>
        <w:rPr>
          <w:rFonts w:hint="eastAsia" w:eastAsia="仿宋" w:cs="Times New Roman"/>
          <w:color w:val="auto"/>
          <w:sz w:val="36"/>
          <w:szCs w:val="36"/>
          <w:highlight w:val="none"/>
          <w:u w:val="single"/>
          <w:lang w:val="en-US" w:eastAsia="zh-CN"/>
        </w:rPr>
        <w:t xml:space="preserve"> </w:t>
      </w:r>
      <w:r>
        <w:rPr>
          <w:rFonts w:eastAsia="仿宋" w:cs="Times New Roman"/>
          <w:color w:val="auto"/>
          <w:sz w:val="36"/>
          <w:szCs w:val="36"/>
          <w:highlight w:val="none"/>
          <w:u w:val="single"/>
        </w:rPr>
        <w:t xml:space="preserve">  </w:t>
      </w:r>
    </w:p>
    <w:p>
      <w:pPr>
        <w:spacing w:line="360" w:lineRule="auto"/>
        <w:rPr>
          <w:rFonts w:ascii="仿宋" w:hAnsi="仿宋" w:eastAsia="仿宋" w:cs="Times New Roman"/>
          <w:color w:val="auto"/>
          <w:sz w:val="36"/>
          <w:szCs w:val="36"/>
          <w:highlight w:val="none"/>
        </w:rPr>
      </w:pPr>
    </w:p>
    <w:p>
      <w:pPr>
        <w:spacing w:line="360" w:lineRule="auto"/>
        <w:rPr>
          <w:rFonts w:ascii="仿宋" w:hAnsi="仿宋" w:eastAsia="仿宋" w:cs="Times New Roman"/>
          <w:color w:val="auto"/>
          <w:sz w:val="36"/>
          <w:szCs w:val="36"/>
          <w:highlight w:val="none"/>
        </w:rPr>
      </w:pPr>
    </w:p>
    <w:p>
      <w:pPr>
        <w:spacing w:line="360" w:lineRule="auto"/>
        <w:rPr>
          <w:rFonts w:ascii="仿宋" w:hAnsi="仿宋" w:eastAsia="仿宋" w:cs="Times New Roman"/>
          <w:color w:val="auto"/>
          <w:sz w:val="36"/>
          <w:szCs w:val="36"/>
          <w:highlight w:val="none"/>
        </w:rPr>
      </w:pPr>
    </w:p>
    <w:p>
      <w:pPr>
        <w:spacing w:line="360" w:lineRule="auto"/>
        <w:rPr>
          <w:rFonts w:ascii="仿宋" w:hAnsi="仿宋" w:eastAsia="仿宋" w:cs="Times New Roman"/>
          <w:color w:val="auto"/>
          <w:sz w:val="36"/>
          <w:szCs w:val="36"/>
          <w:highlight w:val="none"/>
        </w:rPr>
      </w:pPr>
    </w:p>
    <w:p>
      <w:pPr>
        <w:spacing w:line="360" w:lineRule="auto"/>
        <w:rPr>
          <w:rFonts w:ascii="仿宋" w:hAnsi="仿宋" w:eastAsia="仿宋" w:cs="Times New Roman"/>
          <w:color w:val="auto"/>
          <w:sz w:val="36"/>
          <w:szCs w:val="36"/>
          <w:highlight w:val="none"/>
        </w:rPr>
      </w:pPr>
    </w:p>
    <w:p>
      <w:pPr>
        <w:spacing w:line="360" w:lineRule="auto"/>
        <w:jc w:val="center"/>
        <w:rPr>
          <w:rFonts w:ascii="楷体" w:hAnsi="楷体" w:eastAsia="楷体"/>
          <w:color w:val="auto"/>
          <w:sz w:val="36"/>
          <w:szCs w:val="36"/>
          <w:highlight w:val="none"/>
        </w:rPr>
      </w:pPr>
      <w:r>
        <w:rPr>
          <w:rFonts w:hint="eastAsia" w:ascii="楷体" w:hAnsi="楷体" w:eastAsia="楷体" w:cs="Times New Roman"/>
          <w:color w:val="auto"/>
          <w:sz w:val="36"/>
          <w:szCs w:val="36"/>
          <w:highlight w:val="none"/>
        </w:rPr>
        <w:t>中华人民共和国生态环境部制</w:t>
      </w:r>
    </w:p>
    <w:p>
      <w:pPr>
        <w:spacing w:line="360" w:lineRule="auto"/>
        <w:rPr>
          <w:rFonts w:cs="Times New Roman"/>
          <w:color w:val="auto"/>
          <w:sz w:val="28"/>
          <w:szCs w:val="28"/>
          <w:highlight w:val="none"/>
        </w:rPr>
      </w:pPr>
    </w:p>
    <w:p>
      <w:pPr>
        <w:spacing w:line="360" w:lineRule="auto"/>
        <w:rPr>
          <w:b/>
          <w:color w:val="auto"/>
          <w:sz w:val="28"/>
          <w:szCs w:val="28"/>
          <w:highlight w:val="none"/>
        </w:rPr>
        <w:sectPr>
          <w:pgSz w:w="11906" w:h="16838"/>
          <w:pgMar w:top="1134" w:right="1134" w:bottom="1134" w:left="1418" w:header="851" w:footer="992" w:gutter="0"/>
          <w:pgBorders>
            <w:top w:val="none" w:sz="0" w:space="0"/>
            <w:left w:val="none" w:sz="0" w:space="0"/>
            <w:bottom w:val="none" w:sz="0" w:space="0"/>
            <w:right w:val="none" w:sz="0" w:space="0"/>
          </w:pgBorders>
          <w:cols w:space="720" w:num="1"/>
          <w:docGrid w:type="lines" w:linePitch="312" w:charSpace="0"/>
        </w:sectPr>
      </w:pPr>
    </w:p>
    <w:p>
      <w:pPr>
        <w:pStyle w:val="55"/>
        <w:jc w:val="center"/>
        <w:rPr>
          <w:color w:val="auto"/>
          <w:szCs w:val="24"/>
          <w:highlight w:val="none"/>
        </w:rPr>
      </w:pPr>
      <w:r>
        <w:rPr>
          <w:rFonts w:ascii="黑体" w:hAnsi="黑体" w:eastAsia="黑体"/>
          <w:b w:val="0"/>
          <w:color w:val="auto"/>
          <w:sz w:val="30"/>
          <w:szCs w:val="30"/>
          <w:highlight w:val="none"/>
        </w:rPr>
        <w:t>一</w:t>
      </w:r>
      <w:r>
        <w:rPr>
          <w:rFonts w:hint="eastAsia" w:ascii="黑体" w:hAnsi="黑体" w:eastAsia="黑体"/>
          <w:b w:val="0"/>
          <w:color w:val="auto"/>
          <w:sz w:val="30"/>
          <w:szCs w:val="30"/>
          <w:highlight w:val="none"/>
        </w:rPr>
        <w:t>、</w:t>
      </w:r>
      <w:r>
        <w:rPr>
          <w:rFonts w:ascii="黑体" w:hAnsi="黑体" w:eastAsia="黑体"/>
          <w:b w:val="0"/>
          <w:color w:val="auto"/>
          <w:sz w:val="30"/>
          <w:szCs w:val="30"/>
          <w:highlight w:val="none"/>
        </w:rPr>
        <w:t>建设项目基本情况</w:t>
      </w:r>
    </w:p>
    <w:tbl>
      <w:tblPr>
        <w:tblStyle w:val="23"/>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1837"/>
        <w:gridCol w:w="2120"/>
        <w:gridCol w:w="4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pPr>
              <w:spacing w:line="360" w:lineRule="auto"/>
              <w:jc w:val="center"/>
              <w:rPr>
                <w:rFonts w:cs="Times New Roman"/>
                <w:color w:val="auto"/>
                <w:sz w:val="24"/>
                <w:szCs w:val="24"/>
                <w:highlight w:val="none"/>
              </w:rPr>
            </w:pPr>
            <w:r>
              <w:rPr>
                <w:rFonts w:cs="Times New Roman"/>
                <w:color w:val="auto"/>
                <w:sz w:val="24"/>
                <w:szCs w:val="24"/>
                <w:highlight w:val="none"/>
              </w:rPr>
              <w:t>建设项目名称</w:t>
            </w:r>
          </w:p>
        </w:tc>
        <w:tc>
          <w:tcPr>
            <w:tcW w:w="8227" w:type="dxa"/>
            <w:gridSpan w:val="3"/>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大竹旭晟石材厂石材切割雕刻加工项目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pPr>
              <w:spacing w:line="360" w:lineRule="auto"/>
              <w:jc w:val="center"/>
              <w:rPr>
                <w:rFonts w:cs="Times New Roman"/>
                <w:color w:val="auto"/>
                <w:sz w:val="24"/>
                <w:szCs w:val="24"/>
                <w:highlight w:val="none"/>
              </w:rPr>
            </w:pPr>
            <w:r>
              <w:rPr>
                <w:rFonts w:cs="Times New Roman"/>
                <w:color w:val="auto"/>
                <w:sz w:val="24"/>
                <w:szCs w:val="24"/>
                <w:highlight w:val="none"/>
              </w:rPr>
              <w:t>项目代码</w:t>
            </w:r>
          </w:p>
        </w:tc>
        <w:tc>
          <w:tcPr>
            <w:tcW w:w="8227" w:type="dxa"/>
            <w:gridSpan w:val="3"/>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2307-511724-04-01-265180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pPr>
              <w:spacing w:line="360" w:lineRule="auto"/>
              <w:jc w:val="center"/>
              <w:rPr>
                <w:rFonts w:cs="Times New Roman"/>
                <w:color w:val="auto"/>
                <w:sz w:val="24"/>
                <w:szCs w:val="24"/>
                <w:highlight w:val="none"/>
              </w:rPr>
            </w:pPr>
            <w:r>
              <w:rPr>
                <w:rFonts w:cs="Times New Roman"/>
                <w:color w:val="auto"/>
                <w:sz w:val="24"/>
                <w:szCs w:val="24"/>
                <w:highlight w:val="none"/>
              </w:rPr>
              <w:t>建设单位联系人</w:t>
            </w:r>
          </w:p>
        </w:tc>
        <w:tc>
          <w:tcPr>
            <w:tcW w:w="1837" w:type="dxa"/>
            <w:vAlign w:val="center"/>
          </w:tcPr>
          <w:p>
            <w:pPr>
              <w:spacing w:line="360" w:lineRule="auto"/>
              <w:jc w:val="center"/>
              <w:rPr>
                <w:rFonts w:hint="default"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李璐宏</w:t>
            </w:r>
          </w:p>
        </w:tc>
        <w:tc>
          <w:tcPr>
            <w:tcW w:w="2120" w:type="dxa"/>
            <w:vAlign w:val="center"/>
          </w:tcPr>
          <w:p>
            <w:pPr>
              <w:spacing w:line="360" w:lineRule="auto"/>
              <w:jc w:val="center"/>
              <w:rPr>
                <w:rFonts w:cs="Times New Roman"/>
                <w:color w:val="auto"/>
                <w:sz w:val="24"/>
                <w:szCs w:val="24"/>
                <w:highlight w:val="none"/>
              </w:rPr>
            </w:pPr>
            <w:r>
              <w:rPr>
                <w:rFonts w:cs="Times New Roman"/>
                <w:color w:val="auto"/>
                <w:sz w:val="24"/>
                <w:szCs w:val="24"/>
                <w:highlight w:val="none"/>
              </w:rPr>
              <w:t>联系方式</w:t>
            </w:r>
          </w:p>
        </w:tc>
        <w:tc>
          <w:tcPr>
            <w:tcW w:w="4270" w:type="dxa"/>
            <w:vAlign w:val="center"/>
          </w:tcPr>
          <w:p>
            <w:pPr>
              <w:spacing w:line="360" w:lineRule="auto"/>
              <w:jc w:val="center"/>
              <w:rPr>
                <w:rFonts w:hint="default"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13698116198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pPr>
              <w:spacing w:line="360" w:lineRule="auto"/>
              <w:jc w:val="center"/>
              <w:rPr>
                <w:rFonts w:cs="Times New Roman"/>
                <w:color w:val="auto"/>
                <w:sz w:val="24"/>
                <w:szCs w:val="24"/>
                <w:highlight w:val="none"/>
              </w:rPr>
            </w:pPr>
            <w:r>
              <w:rPr>
                <w:rFonts w:cs="Times New Roman"/>
                <w:color w:val="auto"/>
                <w:sz w:val="24"/>
                <w:szCs w:val="24"/>
                <w:highlight w:val="none"/>
              </w:rPr>
              <w:t>建设地点</w:t>
            </w:r>
          </w:p>
        </w:tc>
        <w:tc>
          <w:tcPr>
            <w:tcW w:w="8227" w:type="dxa"/>
            <w:gridSpan w:val="3"/>
            <w:vAlign w:val="center"/>
          </w:tcPr>
          <w:p>
            <w:pPr>
              <w:spacing w:line="360" w:lineRule="auto"/>
              <w:jc w:val="center"/>
              <w:rPr>
                <w:rFonts w:hint="default"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达州市大竹县文星镇龙门村8组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pPr>
              <w:spacing w:line="360" w:lineRule="auto"/>
              <w:jc w:val="center"/>
              <w:rPr>
                <w:rFonts w:cs="Times New Roman"/>
                <w:color w:val="auto"/>
                <w:sz w:val="24"/>
                <w:szCs w:val="24"/>
                <w:highlight w:val="none"/>
              </w:rPr>
            </w:pPr>
            <w:r>
              <w:rPr>
                <w:rFonts w:cs="Times New Roman"/>
                <w:color w:val="auto"/>
                <w:sz w:val="24"/>
                <w:szCs w:val="24"/>
                <w:highlight w:val="none"/>
              </w:rPr>
              <w:t>地理坐标</w:t>
            </w:r>
          </w:p>
        </w:tc>
        <w:tc>
          <w:tcPr>
            <w:tcW w:w="8227" w:type="dxa"/>
            <w:gridSpan w:val="3"/>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107°15′23.77</w:t>
            </w:r>
            <w:r>
              <w:rPr>
                <w:rFonts w:hint="eastAsia" w:cs="Times New Roman"/>
                <w:color w:val="auto"/>
                <w:sz w:val="24"/>
                <w:szCs w:val="24"/>
                <w:highlight w:val="none"/>
                <w:lang w:val="en-US" w:eastAsia="zh-CN"/>
              </w:rPr>
              <w:t>0</w:t>
            </w:r>
            <w:r>
              <w:rPr>
                <w:rFonts w:hint="eastAsia" w:cs="Times New Roman"/>
                <w:color w:val="auto"/>
                <w:sz w:val="24"/>
                <w:szCs w:val="24"/>
                <w:highlight w:val="none"/>
              </w:rPr>
              <w:t>″</w:t>
            </w:r>
            <w:r>
              <w:rPr>
                <w:rFonts w:hint="eastAsia" w:cs="Times New Roman"/>
                <w:color w:val="auto"/>
                <w:sz w:val="24"/>
                <w:szCs w:val="24"/>
                <w:highlight w:val="none"/>
                <w:lang w:eastAsia="zh-CN"/>
              </w:rPr>
              <w:t>，</w:t>
            </w:r>
            <w:r>
              <w:rPr>
                <w:rFonts w:hint="eastAsia" w:cs="Times New Roman"/>
                <w:color w:val="auto"/>
                <w:sz w:val="24"/>
                <w:szCs w:val="24"/>
                <w:highlight w:val="none"/>
              </w:rPr>
              <w:t>30°29′44.15</w:t>
            </w:r>
            <w:r>
              <w:rPr>
                <w:rFonts w:hint="eastAsia" w:cs="Times New Roman"/>
                <w:color w:val="auto"/>
                <w:sz w:val="24"/>
                <w:szCs w:val="24"/>
                <w:highlight w:val="none"/>
                <w:lang w:val="en-US" w:eastAsia="zh-CN"/>
              </w:rPr>
              <w:t>0</w:t>
            </w:r>
            <w:r>
              <w:rPr>
                <w:rFonts w:hint="eastAsia" w:cs="Times New Roman"/>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国民经济</w:t>
            </w:r>
          </w:p>
          <w:p>
            <w:pPr>
              <w:spacing w:line="360" w:lineRule="auto"/>
              <w:jc w:val="center"/>
              <w:rPr>
                <w:rFonts w:cs="Times New Roman"/>
                <w:color w:val="auto"/>
                <w:sz w:val="24"/>
                <w:szCs w:val="24"/>
                <w:highlight w:val="none"/>
              </w:rPr>
            </w:pPr>
            <w:r>
              <w:rPr>
                <w:rFonts w:hint="eastAsia" w:cs="Times New Roman"/>
                <w:color w:val="auto"/>
                <w:sz w:val="24"/>
                <w:szCs w:val="24"/>
                <w:highlight w:val="none"/>
              </w:rPr>
              <w:t>行业类别</w:t>
            </w:r>
          </w:p>
        </w:tc>
        <w:tc>
          <w:tcPr>
            <w:tcW w:w="1837" w:type="dxa"/>
            <w:vAlign w:val="center"/>
          </w:tcPr>
          <w:p>
            <w:pPr>
              <w:spacing w:line="360" w:lineRule="auto"/>
              <w:jc w:val="center"/>
              <w:rPr>
                <w:rFonts w:hint="default" w:eastAsia="宋体" w:cs="Times New Roman"/>
                <w:color w:val="auto"/>
                <w:sz w:val="24"/>
                <w:szCs w:val="24"/>
                <w:highlight w:val="none"/>
                <w:lang w:val="en-US" w:eastAsia="zh-CN"/>
              </w:rPr>
            </w:pPr>
            <w:r>
              <w:rPr>
                <w:rFonts w:hint="default" w:eastAsia="宋体" w:cs="Times New Roman"/>
                <w:color w:val="auto"/>
                <w:sz w:val="24"/>
                <w:szCs w:val="24"/>
                <w:highlight w:val="none"/>
                <w:lang w:val="en-US" w:eastAsia="zh-CN"/>
              </w:rPr>
              <w:t>C</w:t>
            </w:r>
            <w:r>
              <w:rPr>
                <w:rFonts w:hint="eastAsia" w:cs="Times New Roman"/>
                <w:color w:val="auto"/>
                <w:sz w:val="24"/>
                <w:szCs w:val="24"/>
                <w:highlight w:val="none"/>
                <w:lang w:val="en-US" w:eastAsia="zh-CN"/>
              </w:rPr>
              <w:t>3032</w:t>
            </w:r>
            <w:r>
              <w:rPr>
                <w:rFonts w:hint="default" w:eastAsia="宋体" w:cs="Times New Roman"/>
                <w:color w:val="auto"/>
                <w:sz w:val="24"/>
                <w:szCs w:val="24"/>
                <w:highlight w:val="none"/>
                <w:lang w:val="en-US" w:eastAsia="zh-CN"/>
              </w:rPr>
              <w:t xml:space="preserve"> 建筑用石加工</w:t>
            </w:r>
          </w:p>
        </w:tc>
        <w:tc>
          <w:tcPr>
            <w:tcW w:w="2120" w:type="dxa"/>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建设项目</w:t>
            </w:r>
          </w:p>
          <w:p>
            <w:pPr>
              <w:spacing w:line="360" w:lineRule="auto"/>
              <w:jc w:val="center"/>
              <w:rPr>
                <w:rFonts w:cs="Times New Roman"/>
                <w:color w:val="auto"/>
                <w:sz w:val="24"/>
                <w:szCs w:val="24"/>
                <w:highlight w:val="none"/>
              </w:rPr>
            </w:pPr>
            <w:r>
              <w:rPr>
                <w:rFonts w:hint="eastAsia" w:cs="Times New Roman"/>
                <w:color w:val="auto"/>
                <w:sz w:val="24"/>
                <w:szCs w:val="24"/>
                <w:highlight w:val="none"/>
              </w:rPr>
              <w:t>行业类别</w:t>
            </w:r>
          </w:p>
        </w:tc>
        <w:tc>
          <w:tcPr>
            <w:tcW w:w="4270" w:type="dxa"/>
            <w:vAlign w:val="center"/>
          </w:tcPr>
          <w:p>
            <w:pPr>
              <w:spacing w:line="360" w:lineRule="auto"/>
              <w:jc w:val="center"/>
              <w:rPr>
                <w:rFonts w:hint="default"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二十七</w:t>
            </w:r>
            <w:r>
              <w:rPr>
                <w:rFonts w:hint="default"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非金属矿物制品业 56 砖瓦、石材等建筑材料制造 建筑用石加工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pPr>
              <w:spacing w:line="360" w:lineRule="auto"/>
              <w:jc w:val="center"/>
              <w:rPr>
                <w:rFonts w:cs="Times New Roman"/>
                <w:color w:val="auto"/>
                <w:sz w:val="24"/>
                <w:szCs w:val="24"/>
                <w:highlight w:val="none"/>
              </w:rPr>
            </w:pPr>
            <w:r>
              <w:rPr>
                <w:rFonts w:cs="Times New Roman"/>
                <w:color w:val="auto"/>
                <w:sz w:val="24"/>
                <w:szCs w:val="24"/>
                <w:highlight w:val="none"/>
              </w:rPr>
              <w:t>建设性质</w:t>
            </w:r>
          </w:p>
        </w:tc>
        <w:tc>
          <w:tcPr>
            <w:tcW w:w="1837" w:type="dxa"/>
            <w:vAlign w:val="center"/>
          </w:tcPr>
          <w:p>
            <w:pPr>
              <w:spacing w:line="360" w:lineRule="auto"/>
              <w:rPr>
                <w:rFonts w:cs="Times New Roman"/>
                <w:color w:val="auto"/>
                <w:sz w:val="24"/>
                <w:szCs w:val="24"/>
                <w:highlight w:val="none"/>
              </w:rPr>
            </w:pPr>
            <w:r>
              <w:rPr>
                <w:rFonts w:cs="Times New Roman"/>
                <w:color w:val="auto"/>
                <w:sz w:val="24"/>
                <w:szCs w:val="24"/>
                <w:highlight w:val="none"/>
              </w:rPr>
              <w:sym w:font="Wingdings 2" w:char="0052"/>
            </w:r>
            <w:r>
              <w:rPr>
                <w:rFonts w:cs="Times New Roman"/>
                <w:color w:val="auto"/>
                <w:sz w:val="24"/>
                <w:szCs w:val="24"/>
                <w:highlight w:val="none"/>
              </w:rPr>
              <w:t>新建（迁建）</w:t>
            </w:r>
          </w:p>
          <w:p>
            <w:pPr>
              <w:spacing w:line="360" w:lineRule="auto"/>
              <w:rPr>
                <w:rFonts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sym w:font="Wingdings 2" w:char="00A3"/>
            </w:r>
            <w:r>
              <w:rPr>
                <w:rFonts w:cs="Times New Roman" w:asciiTheme="minorEastAsia" w:hAnsiTheme="minorEastAsia" w:eastAsiaTheme="minorEastAsia"/>
                <w:color w:val="auto"/>
                <w:sz w:val="24"/>
                <w:szCs w:val="24"/>
                <w:highlight w:val="none"/>
              </w:rPr>
              <w:t>改建</w:t>
            </w:r>
          </w:p>
          <w:p>
            <w:pPr>
              <w:spacing w:line="360" w:lineRule="auto"/>
              <w:rPr>
                <w:rFonts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sym w:font="Wingdings 2" w:char="00A3"/>
            </w:r>
            <w:r>
              <w:rPr>
                <w:rFonts w:cs="Times New Roman" w:asciiTheme="minorEastAsia" w:hAnsiTheme="minorEastAsia" w:eastAsiaTheme="minorEastAsia"/>
                <w:color w:val="auto"/>
                <w:sz w:val="24"/>
                <w:szCs w:val="24"/>
                <w:highlight w:val="none"/>
              </w:rPr>
              <w:t>扩建</w:t>
            </w:r>
          </w:p>
          <w:p>
            <w:pPr>
              <w:spacing w:line="360" w:lineRule="auto"/>
              <w:rPr>
                <w:rFonts w:cs="Times New Roman"/>
                <w:color w:val="auto"/>
                <w:sz w:val="24"/>
                <w:szCs w:val="24"/>
                <w:highlight w:val="none"/>
              </w:rPr>
            </w:pPr>
            <w:r>
              <w:rPr>
                <w:rFonts w:cs="Times New Roman" w:asciiTheme="minorEastAsia" w:hAnsiTheme="minorEastAsia" w:eastAsiaTheme="minorEastAsia"/>
                <w:color w:val="auto"/>
                <w:sz w:val="24"/>
                <w:szCs w:val="24"/>
                <w:highlight w:val="none"/>
              </w:rPr>
              <w:sym w:font="Wingdings 2" w:char="00A3"/>
            </w:r>
            <w:r>
              <w:rPr>
                <w:rFonts w:cs="Times New Roman" w:asciiTheme="minorEastAsia" w:hAnsiTheme="minorEastAsia" w:eastAsiaTheme="minorEastAsia"/>
                <w:color w:val="auto"/>
                <w:sz w:val="24"/>
                <w:szCs w:val="24"/>
                <w:highlight w:val="none"/>
              </w:rPr>
              <w:t>技术改造</w:t>
            </w:r>
          </w:p>
        </w:tc>
        <w:tc>
          <w:tcPr>
            <w:tcW w:w="2120" w:type="dxa"/>
            <w:vAlign w:val="center"/>
          </w:tcPr>
          <w:p>
            <w:pPr>
              <w:spacing w:line="360" w:lineRule="auto"/>
              <w:jc w:val="center"/>
              <w:rPr>
                <w:rFonts w:cs="Times New Roman"/>
                <w:color w:val="auto"/>
                <w:sz w:val="24"/>
                <w:szCs w:val="24"/>
                <w:highlight w:val="none"/>
              </w:rPr>
            </w:pPr>
            <w:r>
              <w:rPr>
                <w:rFonts w:cs="Times New Roman"/>
                <w:color w:val="auto"/>
                <w:sz w:val="24"/>
                <w:szCs w:val="24"/>
                <w:highlight w:val="none"/>
              </w:rPr>
              <w:t>建设项目</w:t>
            </w:r>
          </w:p>
          <w:p>
            <w:pPr>
              <w:spacing w:line="360" w:lineRule="auto"/>
              <w:jc w:val="center"/>
              <w:rPr>
                <w:rFonts w:cs="Times New Roman"/>
                <w:color w:val="auto"/>
                <w:sz w:val="24"/>
                <w:szCs w:val="24"/>
                <w:highlight w:val="none"/>
              </w:rPr>
            </w:pPr>
            <w:r>
              <w:rPr>
                <w:rFonts w:cs="Times New Roman"/>
                <w:color w:val="auto"/>
                <w:sz w:val="24"/>
                <w:szCs w:val="24"/>
                <w:highlight w:val="none"/>
              </w:rPr>
              <w:t>申报情形</w:t>
            </w:r>
          </w:p>
        </w:tc>
        <w:tc>
          <w:tcPr>
            <w:tcW w:w="4270" w:type="dxa"/>
            <w:vAlign w:val="center"/>
          </w:tcPr>
          <w:p>
            <w:pPr>
              <w:spacing w:line="360" w:lineRule="auto"/>
              <w:rPr>
                <w:rFonts w:cs="Times New Roman" w:asciiTheme="minorEastAsia" w:hAnsiTheme="minorEastAsia" w:eastAsiaTheme="minorEastAsia"/>
                <w:color w:val="auto"/>
                <w:sz w:val="24"/>
                <w:szCs w:val="24"/>
                <w:highlight w:val="none"/>
              </w:rPr>
            </w:pPr>
            <w:r>
              <w:rPr>
                <w:rFonts w:cs="Times New Roman"/>
                <w:color w:val="auto"/>
                <w:sz w:val="24"/>
                <w:szCs w:val="24"/>
                <w:highlight w:val="none"/>
              </w:rPr>
              <w:sym w:font="Wingdings 2" w:char="F052"/>
            </w:r>
            <w:r>
              <w:rPr>
                <w:rFonts w:cs="Times New Roman" w:asciiTheme="minorEastAsia" w:hAnsiTheme="minorEastAsia" w:eastAsiaTheme="minorEastAsia"/>
                <w:color w:val="auto"/>
                <w:sz w:val="24"/>
                <w:szCs w:val="24"/>
                <w:highlight w:val="none"/>
              </w:rPr>
              <w:t>首次申报项目</w:t>
            </w:r>
          </w:p>
          <w:p>
            <w:pPr>
              <w:spacing w:line="360" w:lineRule="auto"/>
              <w:rPr>
                <w:rFonts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sym w:font="Wingdings 2" w:char="00A3"/>
            </w:r>
            <w:r>
              <w:rPr>
                <w:rFonts w:cs="Times New Roman" w:asciiTheme="minorEastAsia" w:hAnsiTheme="minorEastAsia" w:eastAsiaTheme="minorEastAsia"/>
                <w:color w:val="auto"/>
                <w:sz w:val="24"/>
                <w:szCs w:val="24"/>
                <w:highlight w:val="none"/>
              </w:rPr>
              <w:t>不予批准后再次申报项目</w:t>
            </w:r>
          </w:p>
          <w:p>
            <w:pPr>
              <w:spacing w:line="360" w:lineRule="auto"/>
              <w:rPr>
                <w:rFonts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sym w:font="Wingdings 2" w:char="00A3"/>
            </w:r>
            <w:r>
              <w:rPr>
                <w:rFonts w:cs="Times New Roman" w:asciiTheme="minorEastAsia" w:hAnsiTheme="minorEastAsia" w:eastAsiaTheme="minorEastAsia"/>
                <w:color w:val="auto"/>
                <w:sz w:val="24"/>
                <w:szCs w:val="24"/>
                <w:highlight w:val="none"/>
              </w:rPr>
              <w:t>超五年重新审核项目</w:t>
            </w:r>
          </w:p>
          <w:p>
            <w:pPr>
              <w:spacing w:line="360" w:lineRule="auto"/>
              <w:rPr>
                <w:rFonts w:cs="Times New Roman"/>
                <w:color w:val="auto"/>
                <w:sz w:val="24"/>
                <w:szCs w:val="24"/>
                <w:highlight w:val="none"/>
              </w:rPr>
            </w:pPr>
            <w:r>
              <w:rPr>
                <w:rFonts w:cs="Times New Roman" w:asciiTheme="minorEastAsia" w:hAnsiTheme="minorEastAsia" w:eastAsiaTheme="minorEastAsia"/>
                <w:color w:val="auto"/>
                <w:sz w:val="24"/>
                <w:szCs w:val="24"/>
                <w:highlight w:val="none"/>
              </w:rPr>
              <w:sym w:font="Wingdings 2" w:char="00A3"/>
            </w:r>
            <w:r>
              <w:rPr>
                <w:rFonts w:cs="Times New Roman" w:asciiTheme="minorEastAsia" w:hAnsiTheme="minorEastAsia" w:eastAsiaTheme="minorEastAsia"/>
                <w:color w:val="auto"/>
                <w:sz w:val="24"/>
                <w:szCs w:val="24"/>
                <w:highlight w:val="none"/>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项目</w:t>
            </w:r>
          </w:p>
          <w:p>
            <w:pPr>
              <w:spacing w:line="360" w:lineRule="auto"/>
              <w:jc w:val="center"/>
              <w:rPr>
                <w:rFonts w:cs="Times New Roman"/>
                <w:color w:val="auto"/>
                <w:sz w:val="24"/>
                <w:szCs w:val="24"/>
                <w:highlight w:val="none"/>
              </w:rPr>
            </w:pPr>
            <w:r>
              <w:rPr>
                <w:rFonts w:hint="eastAsia" w:cs="Times New Roman"/>
                <w:color w:val="auto"/>
                <w:sz w:val="24"/>
                <w:szCs w:val="24"/>
                <w:highlight w:val="none"/>
              </w:rPr>
              <w:t>备案部门</w:t>
            </w:r>
          </w:p>
        </w:tc>
        <w:tc>
          <w:tcPr>
            <w:tcW w:w="1837" w:type="dxa"/>
            <w:vAlign w:val="center"/>
          </w:tcPr>
          <w:p>
            <w:pPr>
              <w:spacing w:line="360" w:lineRule="auto"/>
              <w:jc w:val="center"/>
              <w:rPr>
                <w:rFonts w:hint="default" w:eastAsia="宋体" w:cs="Times New Roman"/>
                <w:color w:val="auto"/>
                <w:sz w:val="24"/>
                <w:szCs w:val="24"/>
                <w:highlight w:val="none"/>
                <w:lang w:val="en-US" w:eastAsia="zh-CN"/>
              </w:rPr>
            </w:pPr>
            <w:r>
              <w:rPr>
                <w:rFonts w:hint="default" w:eastAsia="宋体" w:cs="Times New Roman"/>
                <w:color w:val="auto"/>
                <w:sz w:val="24"/>
                <w:szCs w:val="24"/>
                <w:highlight w:val="none"/>
                <w:lang w:val="en-US" w:eastAsia="zh-CN"/>
              </w:rPr>
              <w:t>大竹县发展和改革局</w:t>
            </w:r>
          </w:p>
        </w:tc>
        <w:tc>
          <w:tcPr>
            <w:tcW w:w="2120" w:type="dxa"/>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项目</w:t>
            </w:r>
          </w:p>
          <w:p>
            <w:pPr>
              <w:spacing w:line="360" w:lineRule="auto"/>
              <w:jc w:val="center"/>
              <w:rPr>
                <w:rFonts w:cs="Times New Roman"/>
                <w:color w:val="auto"/>
                <w:sz w:val="24"/>
                <w:szCs w:val="24"/>
                <w:highlight w:val="none"/>
              </w:rPr>
            </w:pPr>
            <w:r>
              <w:rPr>
                <w:rFonts w:hint="eastAsia" w:cs="Times New Roman"/>
                <w:color w:val="auto"/>
                <w:sz w:val="24"/>
                <w:szCs w:val="24"/>
                <w:highlight w:val="none"/>
              </w:rPr>
              <w:t>备案文号</w:t>
            </w:r>
          </w:p>
        </w:tc>
        <w:tc>
          <w:tcPr>
            <w:tcW w:w="4270" w:type="dxa"/>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川投资备【2307-511724-04-01-265180】FGQB-0226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总投资（万元）</w:t>
            </w:r>
          </w:p>
        </w:tc>
        <w:tc>
          <w:tcPr>
            <w:tcW w:w="1837" w:type="dxa"/>
            <w:vAlign w:val="center"/>
          </w:tcPr>
          <w:p>
            <w:pPr>
              <w:spacing w:line="360" w:lineRule="auto"/>
              <w:jc w:val="center"/>
              <w:rPr>
                <w:rFonts w:hint="default"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100</w:t>
            </w:r>
          </w:p>
        </w:tc>
        <w:tc>
          <w:tcPr>
            <w:tcW w:w="2120" w:type="dxa"/>
            <w:vAlign w:val="center"/>
          </w:tcPr>
          <w:p>
            <w:pPr>
              <w:spacing w:line="360" w:lineRule="auto"/>
              <w:rPr>
                <w:rFonts w:cs="Times New Roman"/>
                <w:color w:val="auto"/>
                <w:sz w:val="24"/>
                <w:szCs w:val="24"/>
                <w:highlight w:val="none"/>
              </w:rPr>
            </w:pPr>
            <w:r>
              <w:rPr>
                <w:rFonts w:hint="eastAsia" w:cs="Times New Roman"/>
                <w:color w:val="auto"/>
                <w:sz w:val="24"/>
                <w:szCs w:val="24"/>
                <w:highlight w:val="none"/>
              </w:rPr>
              <w:t>环保投资（万元）</w:t>
            </w:r>
          </w:p>
        </w:tc>
        <w:tc>
          <w:tcPr>
            <w:tcW w:w="4270" w:type="dxa"/>
            <w:vAlign w:val="center"/>
          </w:tcPr>
          <w:p>
            <w:pPr>
              <w:spacing w:line="360" w:lineRule="auto"/>
              <w:jc w:val="center"/>
              <w:rPr>
                <w:rFonts w:hint="default"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环保投资占比（%）</w:t>
            </w:r>
          </w:p>
        </w:tc>
        <w:tc>
          <w:tcPr>
            <w:tcW w:w="1837" w:type="dxa"/>
            <w:vAlign w:val="center"/>
          </w:tcPr>
          <w:p>
            <w:pPr>
              <w:spacing w:line="360" w:lineRule="auto"/>
              <w:jc w:val="center"/>
              <w:rPr>
                <w:rFonts w:hint="default"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41.7</w:t>
            </w:r>
          </w:p>
        </w:tc>
        <w:tc>
          <w:tcPr>
            <w:tcW w:w="2120" w:type="dxa"/>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施工工期</w:t>
            </w:r>
          </w:p>
        </w:tc>
        <w:tc>
          <w:tcPr>
            <w:tcW w:w="4270" w:type="dxa"/>
            <w:vAlign w:val="center"/>
          </w:tcPr>
          <w:p>
            <w:pPr>
              <w:spacing w:line="360" w:lineRule="auto"/>
              <w:jc w:val="center"/>
              <w:rPr>
                <w:rFonts w:hint="default"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是否开工建设</w:t>
            </w:r>
          </w:p>
        </w:tc>
        <w:tc>
          <w:tcPr>
            <w:tcW w:w="1837" w:type="dxa"/>
            <w:vAlign w:val="center"/>
          </w:tcPr>
          <w:p>
            <w:pPr>
              <w:spacing w:line="360" w:lineRule="auto"/>
              <w:rPr>
                <w:rFonts w:cs="Times New Roman"/>
                <w:color w:val="auto"/>
                <w:sz w:val="24"/>
                <w:szCs w:val="24"/>
                <w:highlight w:val="none"/>
              </w:rPr>
            </w:pPr>
            <w:r>
              <w:rPr>
                <w:rFonts w:cs="Times New Roman"/>
                <w:color w:val="auto"/>
                <w:sz w:val="24"/>
                <w:szCs w:val="24"/>
                <w:highlight w:val="none"/>
              </w:rPr>
              <w:sym w:font="Wingdings 2" w:char="0052"/>
            </w:r>
            <w:r>
              <w:rPr>
                <w:rFonts w:hint="eastAsia" w:cs="Times New Roman"/>
                <w:color w:val="auto"/>
                <w:sz w:val="24"/>
                <w:szCs w:val="24"/>
                <w:highlight w:val="none"/>
              </w:rPr>
              <w:t>否</w:t>
            </w:r>
          </w:p>
          <w:p>
            <w:pPr>
              <w:spacing w:line="360" w:lineRule="auto"/>
              <w:rPr>
                <w:rFonts w:cs="Times New Roman"/>
                <w:color w:val="auto"/>
                <w:sz w:val="24"/>
                <w:szCs w:val="24"/>
                <w:highlight w:val="none"/>
              </w:rPr>
            </w:pPr>
            <w:r>
              <w:rPr>
                <w:rFonts w:cs="Times New Roman" w:asciiTheme="minorEastAsia" w:hAnsiTheme="minorEastAsia" w:eastAsiaTheme="minorEastAsia"/>
                <w:color w:val="auto"/>
                <w:sz w:val="24"/>
                <w:szCs w:val="24"/>
                <w:highlight w:val="none"/>
              </w:rPr>
              <w:sym w:font="Wingdings 2" w:char="00A3"/>
            </w:r>
            <w:r>
              <w:rPr>
                <w:rFonts w:hint="eastAsia" w:cs="Times New Roman"/>
                <w:color w:val="auto"/>
                <w:sz w:val="24"/>
                <w:szCs w:val="24"/>
                <w:highlight w:val="none"/>
              </w:rPr>
              <w:t>是：</w:t>
            </w:r>
            <w:r>
              <w:rPr>
                <w:rFonts w:hint="eastAsia" w:cs="Times New Roman"/>
                <w:color w:val="auto"/>
                <w:sz w:val="24"/>
                <w:szCs w:val="24"/>
                <w:highlight w:val="none"/>
                <w:u w:val="single"/>
              </w:rPr>
              <w:t xml:space="preserve">          </w:t>
            </w:r>
          </w:p>
        </w:tc>
        <w:tc>
          <w:tcPr>
            <w:tcW w:w="2120" w:type="dxa"/>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用地面积（m</w:t>
            </w:r>
            <w:r>
              <w:rPr>
                <w:rFonts w:hint="eastAsia" w:cs="Times New Roman"/>
                <w:color w:val="auto"/>
                <w:sz w:val="24"/>
                <w:szCs w:val="24"/>
                <w:highlight w:val="none"/>
                <w:vertAlign w:val="superscript"/>
              </w:rPr>
              <w:t>2</w:t>
            </w:r>
            <w:r>
              <w:rPr>
                <w:rFonts w:hint="eastAsia" w:cs="Times New Roman"/>
                <w:color w:val="auto"/>
                <w:sz w:val="24"/>
                <w:szCs w:val="24"/>
                <w:highlight w:val="none"/>
              </w:rPr>
              <w:t>）</w:t>
            </w:r>
          </w:p>
        </w:tc>
        <w:tc>
          <w:tcPr>
            <w:tcW w:w="4270" w:type="dxa"/>
            <w:vAlign w:val="center"/>
          </w:tcPr>
          <w:p>
            <w:pPr>
              <w:spacing w:line="360" w:lineRule="auto"/>
              <w:jc w:val="center"/>
              <w:rPr>
                <w:rFonts w:hint="default"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4664.4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3" w:type="dxa"/>
            <w:vAlign w:val="center"/>
          </w:tcPr>
          <w:p>
            <w:pPr>
              <w:spacing w:line="360" w:lineRule="auto"/>
              <w:jc w:val="center"/>
              <w:rPr>
                <w:rFonts w:cs="Times New Roman"/>
                <w:color w:val="auto"/>
                <w:szCs w:val="21"/>
                <w:highlight w:val="none"/>
              </w:rPr>
            </w:pPr>
            <w:r>
              <w:rPr>
                <w:rFonts w:hint="eastAsia" w:cs="Times New Roman"/>
                <w:color w:val="auto"/>
                <w:sz w:val="24"/>
                <w:szCs w:val="24"/>
                <w:highlight w:val="none"/>
              </w:rPr>
              <w:t>专项评价设置情况</w:t>
            </w:r>
          </w:p>
        </w:tc>
        <w:tc>
          <w:tcPr>
            <w:tcW w:w="8227" w:type="dxa"/>
            <w:gridSpan w:val="3"/>
            <w:vAlign w:val="center"/>
          </w:tcPr>
          <w:p>
            <w:pPr>
              <w:spacing w:line="360" w:lineRule="auto"/>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表1-1</w:t>
            </w:r>
            <w:r>
              <w:rPr>
                <w:rFonts w:hint="eastAsia"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rPr>
              <w:t>本项目专项评价设置情况汇总表</w:t>
            </w:r>
          </w:p>
          <w:tbl>
            <w:tblPr>
              <w:tblStyle w:val="24"/>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70"/>
              <w:gridCol w:w="4268"/>
              <w:gridCol w:w="26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68" w:type="pct"/>
                  <w:tcBorders>
                    <w:tl2br w:val="nil"/>
                    <w:tr2bl w:val="nil"/>
                  </w:tcBorders>
                  <w:vAlign w:val="center"/>
                </w:tcPr>
                <w:p>
                  <w:p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专项评价的类别</w:t>
                  </w:r>
                </w:p>
              </w:tc>
              <w:tc>
                <w:tcPr>
                  <w:tcW w:w="2664" w:type="pct"/>
                  <w:tcBorders>
                    <w:tl2br w:val="nil"/>
                    <w:tr2bl w:val="nil"/>
                  </w:tcBorders>
                  <w:vAlign w:val="center"/>
                </w:tcPr>
                <w:p>
                  <w:p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设置原则</w:t>
                  </w:r>
                </w:p>
              </w:tc>
              <w:tc>
                <w:tcPr>
                  <w:tcW w:w="1667" w:type="pct"/>
                  <w:tcBorders>
                    <w:tl2br w:val="nil"/>
                    <w:tr2bl w:val="nil"/>
                  </w:tcBorders>
                  <w:vAlign w:val="center"/>
                </w:tcPr>
                <w:p>
                  <w:p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68" w:type="pct"/>
                  <w:tcBorders>
                    <w:tl2br w:val="nil"/>
                    <w:tr2bl w:val="nil"/>
                  </w:tcBorders>
                  <w:vAlign w:val="center"/>
                </w:tcPr>
                <w:p>
                  <w:pPr>
                    <w:spacing w:line="240" w:lineRule="auto"/>
                    <w:jc w:val="center"/>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大气</w:t>
                  </w:r>
                </w:p>
              </w:tc>
              <w:tc>
                <w:tcPr>
                  <w:tcW w:w="2664"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rPr>
                    <w:t>排放废气含有毒有害污染物</w:t>
                  </w:r>
                  <w:r>
                    <w:rPr>
                      <w:rFonts w:hint="default" w:ascii="Times New Roman" w:hAnsi="Times New Roman" w:cs="Times New Roman"/>
                      <w:color w:val="auto"/>
                      <w:sz w:val="21"/>
                      <w:szCs w:val="21"/>
                      <w:highlight w:val="none"/>
                      <w:vertAlign w:val="superscript"/>
                    </w:rPr>
                    <w:t>1</w:t>
                  </w:r>
                  <w:r>
                    <w:rPr>
                      <w:rFonts w:hint="default" w:ascii="Times New Roman" w:hAnsi="Times New Roman" w:cs="Times New Roman"/>
                      <w:color w:val="auto"/>
                      <w:sz w:val="21"/>
                      <w:szCs w:val="21"/>
                      <w:highlight w:val="none"/>
                      <w:vertAlign w:val="baseline"/>
                    </w:rPr>
                    <w:t>、二噁英、苯并</w:t>
                  </w:r>
                  <w:r>
                    <w:rPr>
                      <w:rFonts w:hint="default" w:ascii="Times New Roman" w:hAnsi="Times New Roman" w:cs="Times New Roman"/>
                      <w:color w:val="auto"/>
                      <w:sz w:val="21"/>
                      <w:szCs w:val="21"/>
                      <w:highlight w:val="none"/>
                      <w:vertAlign w:val="superscript"/>
                    </w:rPr>
                    <w:t>[a]</w:t>
                  </w:r>
                  <w:r>
                    <w:rPr>
                      <w:rFonts w:hint="default" w:ascii="Times New Roman" w:hAnsi="Times New Roman" w:cs="Times New Roman"/>
                      <w:color w:val="auto"/>
                      <w:sz w:val="21"/>
                      <w:szCs w:val="21"/>
                      <w:highlight w:val="none"/>
                      <w:vertAlign w:val="baseline"/>
                    </w:rPr>
                    <w:t>芘、氰化物、氯气且厂界外500米范围内有环境空气保护目标</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vertAlign w:val="baseline"/>
                    </w:rPr>
                    <w:t>的建设项目</w:t>
                  </w:r>
                </w:p>
              </w:tc>
              <w:tc>
                <w:tcPr>
                  <w:tcW w:w="1667"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rPr>
                  </w:pPr>
                  <w:r>
                    <w:rPr>
                      <w:rFonts w:hint="eastAsia"/>
                      <w:color w:val="auto"/>
                      <w:lang w:val="en-US" w:eastAsia="zh-CN"/>
                    </w:rPr>
                    <w:t>不涉及</w:t>
                  </w:r>
                  <w:r>
                    <w:rPr>
                      <w:rFonts w:hint="default" w:ascii="Times New Roman" w:hAnsi="Times New Roman" w:cs="Times New Roman"/>
                      <w:color w:val="auto"/>
                      <w:sz w:val="21"/>
                      <w:szCs w:val="21"/>
                      <w:highlight w:val="none"/>
                      <w:vertAlign w:val="baseline"/>
                    </w:rPr>
                    <w:t>，本项目排放废气</w:t>
                  </w:r>
                </w:p>
                <w:p>
                  <w:pPr>
                    <w:spacing w:line="24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rPr>
                    <w:t>中不包括有毒有害污染</w:t>
                  </w:r>
                </w:p>
                <w:p>
                  <w:pPr>
                    <w:spacing w:line="24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rPr>
                    <w:t>物、二噁英、苯并</w:t>
                  </w:r>
                  <w:r>
                    <w:rPr>
                      <w:rFonts w:hint="default" w:ascii="Times New Roman" w:hAnsi="Times New Roman" w:cs="Times New Roman"/>
                      <w:color w:val="auto"/>
                      <w:sz w:val="21"/>
                      <w:szCs w:val="21"/>
                      <w:highlight w:val="none"/>
                      <w:vertAlign w:val="superscript"/>
                    </w:rPr>
                    <w:t>[a]</w:t>
                  </w:r>
                  <w:r>
                    <w:rPr>
                      <w:rFonts w:hint="default" w:ascii="Times New Roman" w:hAnsi="Times New Roman" w:cs="Times New Roman"/>
                      <w:color w:val="auto"/>
                      <w:sz w:val="21"/>
                      <w:szCs w:val="21"/>
                      <w:highlight w:val="none"/>
                      <w:vertAlign w:val="baseline"/>
                    </w:rPr>
                    <w:t>芘、</w:t>
                  </w:r>
                </w:p>
                <w:p>
                  <w:pPr>
                    <w:spacing w:line="24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rPr>
                    <w:t>氰化物、氯气。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68" w:type="pct"/>
                  <w:tcBorders>
                    <w:tl2br w:val="nil"/>
                    <w:tr2bl w:val="nil"/>
                  </w:tcBorders>
                  <w:vAlign w:val="center"/>
                </w:tcPr>
                <w:p>
                  <w:pPr>
                    <w:spacing w:line="240" w:lineRule="auto"/>
                    <w:jc w:val="center"/>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地表水</w:t>
                  </w:r>
                </w:p>
              </w:tc>
              <w:tc>
                <w:tcPr>
                  <w:tcW w:w="2664"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rPr>
                    <w:t>新增工业废水直排建设项目（槽罐车外送污水处理厂的除外）；新增废水直排的污水集中处理厂</w:t>
                  </w:r>
                </w:p>
              </w:tc>
              <w:tc>
                <w:tcPr>
                  <w:tcW w:w="1667"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rPr>
                  </w:pPr>
                  <w:r>
                    <w:rPr>
                      <w:rFonts w:hint="eastAsia"/>
                      <w:color w:val="auto"/>
                      <w:lang w:val="en-US" w:eastAsia="zh-CN"/>
                    </w:rPr>
                    <w:t>不涉及</w:t>
                  </w:r>
                  <w:r>
                    <w:rPr>
                      <w:rFonts w:hint="default" w:ascii="Times New Roman" w:hAnsi="Times New Roman" w:cs="Times New Roman"/>
                      <w:color w:val="auto"/>
                      <w:sz w:val="21"/>
                      <w:szCs w:val="21"/>
                      <w:highlight w:val="none"/>
                      <w:vertAlign w:val="baseline"/>
                    </w:rPr>
                    <w:t>，本项目</w:t>
                  </w:r>
                  <w:r>
                    <w:rPr>
                      <w:rFonts w:hint="eastAsia" w:ascii="Times New Roman" w:hAnsi="Times New Roman" w:cs="Times New Roman"/>
                      <w:color w:val="auto"/>
                      <w:sz w:val="21"/>
                      <w:szCs w:val="21"/>
                      <w:highlight w:val="none"/>
                      <w:lang w:val="en-US" w:eastAsia="zh-CN"/>
                    </w:rPr>
                    <w:t>生活污水</w:t>
                  </w:r>
                  <w:r>
                    <w:rPr>
                      <w:rFonts w:hint="eastAsia" w:cs="Times New Roman"/>
                      <w:color w:val="auto"/>
                      <w:sz w:val="21"/>
                      <w:szCs w:val="21"/>
                      <w:highlight w:val="none"/>
                      <w:lang w:val="en-US" w:eastAsia="zh-CN"/>
                    </w:rPr>
                    <w:t>（食堂废水先经隔油池处理）经旱厕处理后用作周边农田农肥</w:t>
                  </w:r>
                  <w:r>
                    <w:rPr>
                      <w:rFonts w:hint="eastAsia" w:cs="Times New Roman"/>
                      <w:color w:val="auto"/>
                      <w:sz w:val="21"/>
                      <w:szCs w:val="21"/>
                      <w:highlight w:val="none"/>
                      <w:vertAlign w:val="baseline"/>
                      <w:lang w:val="en-US" w:eastAsia="zh-CN"/>
                    </w:rPr>
                    <w:t>，生产</w:t>
                  </w:r>
                  <w:r>
                    <w:rPr>
                      <w:rFonts w:hint="default" w:ascii="Times New Roman" w:hAnsi="Times New Roman" w:cs="Times New Roman"/>
                      <w:color w:val="auto"/>
                      <w:sz w:val="21"/>
                      <w:szCs w:val="21"/>
                      <w:highlight w:val="none"/>
                      <w:vertAlign w:val="baseline"/>
                    </w:rPr>
                    <w:t>废水</w:t>
                  </w:r>
                  <w:r>
                    <w:rPr>
                      <w:rFonts w:hint="eastAsia" w:cs="Times New Roman"/>
                      <w:color w:val="auto"/>
                      <w:sz w:val="21"/>
                      <w:szCs w:val="21"/>
                      <w:highlight w:val="none"/>
                      <w:vertAlign w:val="baseline"/>
                      <w:lang w:val="en-US" w:eastAsia="zh-CN"/>
                    </w:rPr>
                    <w:t>循环使用，不外排</w:t>
                  </w:r>
                  <w:r>
                    <w:rPr>
                      <w:rFonts w:hint="default" w:ascii="Times New Roman" w:hAnsi="Times New Roman" w:cs="Times New Roman"/>
                      <w:color w:val="auto"/>
                      <w:sz w:val="21"/>
                      <w:szCs w:val="21"/>
                      <w:highlight w:val="none"/>
                      <w:vertAlign w:val="baseli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68"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环境风险</w:t>
                  </w:r>
                </w:p>
              </w:tc>
              <w:tc>
                <w:tcPr>
                  <w:tcW w:w="2664"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rPr>
                    <w:t>有毒有害和易燃易爆危险物质存储量超过临界量</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vertAlign w:val="baseline"/>
                    </w:rPr>
                    <w:t>的建设项目</w:t>
                  </w:r>
                </w:p>
              </w:tc>
              <w:tc>
                <w:tcPr>
                  <w:tcW w:w="1667"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rPr>
                  </w:pPr>
                  <w:r>
                    <w:rPr>
                      <w:rFonts w:hint="eastAsia"/>
                      <w:color w:val="auto"/>
                      <w:lang w:val="en-US" w:eastAsia="zh-CN"/>
                    </w:rPr>
                    <w:t>不涉及</w:t>
                  </w:r>
                  <w:r>
                    <w:rPr>
                      <w:rFonts w:hint="default" w:ascii="Times New Roman" w:hAnsi="Times New Roman" w:cs="Times New Roman"/>
                      <w:color w:val="auto"/>
                      <w:sz w:val="21"/>
                      <w:szCs w:val="21"/>
                      <w:highlight w:val="none"/>
                      <w:vertAlign w:val="baseline"/>
                    </w:rPr>
                    <w:t>，本项目危险物质</w:t>
                  </w:r>
                </w:p>
                <w:p>
                  <w:pPr>
                    <w:spacing w:line="24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rPr>
                    <w:t>存储量不超过临界量。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68" w:type="pct"/>
                  <w:tcBorders>
                    <w:tl2br w:val="nil"/>
                    <w:tr2bl w:val="nil"/>
                  </w:tcBorders>
                  <w:vAlign w:val="center"/>
                </w:tcPr>
                <w:p>
                  <w:pPr>
                    <w:spacing w:line="240" w:lineRule="auto"/>
                    <w:jc w:val="center"/>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生态</w:t>
                  </w:r>
                </w:p>
              </w:tc>
              <w:tc>
                <w:tcPr>
                  <w:tcW w:w="2664"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rPr>
                    <w:t>取水口下游500 米范围内有重要水生生物的自然产卵场、索饵场、越冬场和洄游通道的新增河道取水的污染类建设项目</w:t>
                  </w:r>
                </w:p>
              </w:tc>
              <w:tc>
                <w:tcPr>
                  <w:tcW w:w="1667"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rPr>
                  </w:pPr>
                  <w:r>
                    <w:rPr>
                      <w:rFonts w:hint="eastAsia"/>
                      <w:color w:val="auto"/>
                      <w:lang w:val="en-US" w:eastAsia="zh-CN"/>
                    </w:rPr>
                    <w:t>不涉及</w:t>
                  </w:r>
                  <w:r>
                    <w:rPr>
                      <w:rFonts w:hint="default" w:ascii="Times New Roman" w:hAnsi="Times New Roman" w:cs="Times New Roman"/>
                      <w:color w:val="auto"/>
                      <w:sz w:val="21"/>
                      <w:szCs w:val="21"/>
                      <w:highlight w:val="none"/>
                      <w:vertAlign w:val="baseline"/>
                    </w:rPr>
                    <w:t>，本项目</w:t>
                  </w:r>
                  <w:r>
                    <w:rPr>
                      <w:rFonts w:hint="eastAsia" w:cs="Times New Roman"/>
                      <w:color w:val="auto"/>
                      <w:sz w:val="21"/>
                      <w:szCs w:val="21"/>
                      <w:highlight w:val="none"/>
                      <w:vertAlign w:val="baseline"/>
                      <w:lang w:val="en-US" w:eastAsia="zh-CN"/>
                    </w:rPr>
                    <w:t>生活用水和生产用水均采用自来水</w:t>
                  </w:r>
                  <w:r>
                    <w:rPr>
                      <w:rFonts w:hint="default" w:ascii="Times New Roman" w:hAnsi="Times New Roman" w:cs="Times New Roman"/>
                      <w:color w:val="auto"/>
                      <w:sz w:val="21"/>
                      <w:szCs w:val="21"/>
                      <w:highlight w:val="none"/>
                      <w:vertAlign w:val="baseli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68" w:type="pct"/>
                  <w:tcBorders>
                    <w:tl2br w:val="nil"/>
                    <w:tr2bl w:val="nil"/>
                  </w:tcBorders>
                  <w:vAlign w:val="center"/>
                </w:tcPr>
                <w:p>
                  <w:pPr>
                    <w:spacing w:line="240" w:lineRule="auto"/>
                    <w:jc w:val="center"/>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海洋</w:t>
                  </w:r>
                </w:p>
              </w:tc>
              <w:tc>
                <w:tcPr>
                  <w:tcW w:w="2664"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rPr>
                    <w:t>直接向海排放污染物的海洋工程建设项目</w:t>
                  </w:r>
                </w:p>
              </w:tc>
              <w:tc>
                <w:tcPr>
                  <w:tcW w:w="1667" w:type="pct"/>
                  <w:tcBorders>
                    <w:tl2br w:val="nil"/>
                    <w:tr2bl w:val="nil"/>
                  </w:tcBorders>
                  <w:vAlign w:val="center"/>
                </w:tcPr>
                <w:p>
                  <w:pPr>
                    <w:spacing w:line="240" w:lineRule="auto"/>
                    <w:jc w:val="center"/>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tbl>
          <w:p>
            <w:pPr>
              <w:spacing w:line="360" w:lineRule="auto"/>
              <w:ind w:firstLine="480" w:firstLineChars="200"/>
              <w:rPr>
                <w:rFonts w:cs="Times New Roman"/>
                <w:color w:val="auto"/>
                <w:szCs w:val="21"/>
                <w:highlight w:val="none"/>
              </w:rPr>
            </w:pPr>
            <w:r>
              <w:rPr>
                <w:rFonts w:hint="eastAsia" w:cs="Times New Roman"/>
                <w:color w:val="auto"/>
                <w:sz w:val="24"/>
                <w:szCs w:val="24"/>
                <w:highlight w:val="none"/>
                <w:lang w:val="en-US" w:eastAsia="zh-CN"/>
              </w:rPr>
              <w:t>故由上表可知，本项目不设置专项评价。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43" w:type="dxa"/>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规划情况</w:t>
            </w:r>
          </w:p>
        </w:tc>
        <w:tc>
          <w:tcPr>
            <w:tcW w:w="8227" w:type="dxa"/>
            <w:gridSpan w:val="3"/>
            <w:vAlign w:val="center"/>
          </w:tcPr>
          <w:p>
            <w:pPr>
              <w:spacing w:line="276" w:lineRule="auto"/>
              <w:ind w:firstLine="420" w:firstLineChars="200"/>
              <w:rPr>
                <w:rFonts w:hint="eastAsia" w:eastAsia="宋体" w:cs="Times New Roman"/>
                <w:color w:val="auto"/>
                <w:szCs w:val="21"/>
                <w:highlight w:val="none"/>
                <w:lang w:val="en-US" w:eastAsia="zh-CN"/>
              </w:rPr>
            </w:pPr>
            <w:r>
              <w:rPr>
                <w:rFonts w:hint="eastAsia" w:cs="Times New Roman"/>
                <w:color w:val="auto"/>
                <w:szCs w:val="21"/>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3" w:type="dxa"/>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规划环境影响评价情况</w:t>
            </w:r>
          </w:p>
        </w:tc>
        <w:tc>
          <w:tcPr>
            <w:tcW w:w="8227" w:type="dxa"/>
            <w:gridSpan w:val="3"/>
            <w:vAlign w:val="center"/>
          </w:tcPr>
          <w:p>
            <w:pPr>
              <w:spacing w:line="276" w:lineRule="auto"/>
              <w:ind w:firstLine="420" w:firstLineChars="200"/>
              <w:rPr>
                <w:rFonts w:cs="Times New Roman"/>
                <w:color w:val="auto"/>
                <w:szCs w:val="21"/>
                <w:highlight w:val="none"/>
              </w:rPr>
            </w:pPr>
            <w:r>
              <w:rPr>
                <w:rFonts w:hint="eastAsia" w:cs="Times New Roman"/>
                <w:color w:val="auto"/>
                <w:szCs w:val="21"/>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43" w:type="dxa"/>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规划及规划环境影响评价符合性分析</w:t>
            </w:r>
          </w:p>
        </w:tc>
        <w:tc>
          <w:tcPr>
            <w:tcW w:w="8227" w:type="dxa"/>
            <w:gridSpan w:val="3"/>
            <w:vAlign w:val="center"/>
          </w:tcPr>
          <w:p>
            <w:pPr>
              <w:spacing w:line="276" w:lineRule="auto"/>
              <w:ind w:firstLine="420" w:firstLineChars="200"/>
              <w:rPr>
                <w:rFonts w:cs="Times New Roman"/>
                <w:b/>
                <w:color w:val="auto"/>
                <w:szCs w:val="21"/>
                <w:highlight w:val="none"/>
              </w:rPr>
            </w:pPr>
            <w:r>
              <w:rPr>
                <w:rFonts w:hint="eastAsia" w:cs="Times New Roman"/>
                <w:color w:val="auto"/>
                <w:szCs w:val="21"/>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43" w:type="dxa"/>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其他符合性分析</w:t>
            </w:r>
          </w:p>
        </w:tc>
        <w:tc>
          <w:tcPr>
            <w:tcW w:w="8227" w:type="dxa"/>
            <w:gridSpan w:val="3"/>
            <w:vAlign w:val="center"/>
          </w:tcPr>
          <w:p>
            <w:pPr>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 xml:space="preserve">1、产业政策的符合性分析 </w:t>
            </w:r>
          </w:p>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本项目属于</w:t>
            </w:r>
            <w:r>
              <w:rPr>
                <w:rFonts w:hint="default" w:eastAsia="宋体" w:cs="Times New Roman"/>
                <w:color w:val="auto"/>
                <w:sz w:val="24"/>
                <w:szCs w:val="24"/>
                <w:highlight w:val="none"/>
                <w:lang w:val="en-US" w:eastAsia="zh-CN"/>
              </w:rPr>
              <w:t>C</w:t>
            </w:r>
            <w:r>
              <w:rPr>
                <w:rFonts w:hint="eastAsia" w:cs="Times New Roman"/>
                <w:color w:val="auto"/>
                <w:sz w:val="24"/>
                <w:szCs w:val="24"/>
                <w:highlight w:val="none"/>
                <w:lang w:val="en-US" w:eastAsia="zh-CN"/>
              </w:rPr>
              <w:t>3032</w:t>
            </w:r>
            <w:r>
              <w:rPr>
                <w:rFonts w:hint="default" w:eastAsia="宋体" w:cs="Times New Roman"/>
                <w:color w:val="auto"/>
                <w:sz w:val="24"/>
                <w:szCs w:val="24"/>
                <w:highlight w:val="none"/>
                <w:lang w:val="en-US" w:eastAsia="zh-CN"/>
              </w:rPr>
              <w:t xml:space="preserve"> 建筑用石加工</w:t>
            </w:r>
            <w:r>
              <w:rPr>
                <w:rFonts w:hint="default" w:ascii="Times New Roman" w:hAnsi="Times New Roman" w:cs="Times New Roman"/>
                <w:color w:val="auto"/>
                <w:sz w:val="24"/>
                <w:szCs w:val="24"/>
                <w:highlight w:val="none"/>
                <w:lang w:val="en-US" w:eastAsia="zh-CN"/>
              </w:rPr>
              <w:t>。根据《产业结构调整指导目录（2019年本）》</w:t>
            </w:r>
            <w:r>
              <w:rPr>
                <w:rFonts w:hint="eastAsia" w:cs="Times New Roman"/>
                <w:color w:val="auto"/>
                <w:sz w:val="24"/>
                <w:szCs w:val="24"/>
                <w:highlight w:val="none"/>
                <w:lang w:val="en-US" w:eastAsia="zh-CN"/>
              </w:rPr>
              <w:t>（</w:t>
            </w:r>
            <w:r>
              <w:rPr>
                <w:rFonts w:hint="eastAsia"/>
                <w:color w:val="auto"/>
                <w:sz w:val="24"/>
                <w:szCs w:val="24"/>
                <w:lang w:val="en-US" w:eastAsia="zh-CN"/>
              </w:rPr>
              <w:t>2021修订</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相关规定，</w:t>
            </w:r>
            <w:r>
              <w:rPr>
                <w:rFonts w:hint="default" w:ascii="Times New Roman" w:hAnsi="Times New Roman" w:cs="Times New Roman"/>
                <w:color w:val="auto"/>
                <w:sz w:val="24"/>
                <w:szCs w:val="24"/>
                <w:lang w:val="en-US" w:eastAsia="zh-CN"/>
              </w:rPr>
              <w:t>本项目不属于“鼓励类、限制类和淘汰类”项目，</w:t>
            </w:r>
            <w:r>
              <w:rPr>
                <w:rFonts w:hint="eastAsia" w:ascii="Times New Roman" w:hAnsi="Times New Roman" w:cs="Times New Roman"/>
                <w:color w:val="auto"/>
                <w:sz w:val="24"/>
                <w:szCs w:val="24"/>
                <w:lang w:val="en-US" w:eastAsia="zh-CN"/>
              </w:rPr>
              <w:t>不属于明令淘汰的落后工艺设备，</w:t>
            </w:r>
            <w:r>
              <w:rPr>
                <w:rFonts w:hint="default" w:ascii="Times New Roman" w:hAnsi="Times New Roman" w:cs="Times New Roman"/>
                <w:color w:val="auto"/>
                <w:sz w:val="24"/>
                <w:szCs w:val="24"/>
                <w:lang w:val="en-US" w:eastAsia="zh-CN"/>
              </w:rPr>
              <w:t>视为“允许类”。</w:t>
            </w:r>
          </w:p>
          <w:p>
            <w:pPr>
              <w:spacing w:line="360" w:lineRule="auto"/>
              <w:ind w:firstLine="480" w:firstLineChars="20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lang w:val="en-US" w:eastAsia="zh-CN"/>
              </w:rPr>
              <w:t>同时，</w:t>
            </w:r>
            <w:r>
              <w:rPr>
                <w:rFonts w:hint="default" w:eastAsia="宋体" w:cs="Times New Roman"/>
                <w:color w:val="auto"/>
                <w:sz w:val="24"/>
                <w:szCs w:val="24"/>
                <w:highlight w:val="none"/>
                <w:lang w:val="en-US" w:eastAsia="zh-CN"/>
              </w:rPr>
              <w:t>大竹县发展和改革局</w:t>
            </w:r>
            <w:r>
              <w:rPr>
                <w:rFonts w:hint="default" w:ascii="Times New Roman" w:hAnsi="Times New Roman" w:cs="Times New Roman"/>
                <w:color w:val="auto"/>
                <w:sz w:val="24"/>
                <w:szCs w:val="24"/>
                <w:highlight w:val="none"/>
                <w:lang w:val="en-US" w:eastAsia="zh-CN"/>
              </w:rPr>
              <w:t>以</w:t>
            </w:r>
            <w:r>
              <w:rPr>
                <w:rFonts w:hint="eastAsia" w:cs="Times New Roman"/>
                <w:color w:val="auto"/>
                <w:sz w:val="24"/>
                <w:szCs w:val="24"/>
                <w:highlight w:val="none"/>
              </w:rPr>
              <w:t>川投资备【2307-511724-04-01-265180】FGQB-0226 号</w:t>
            </w:r>
            <w:r>
              <w:rPr>
                <w:rFonts w:hint="default" w:ascii="Times New Roman" w:hAnsi="Times New Roman" w:cs="Times New Roman"/>
                <w:color w:val="auto"/>
                <w:sz w:val="24"/>
                <w:szCs w:val="24"/>
                <w:highlight w:val="none"/>
                <w:lang w:val="en-US" w:eastAsia="zh-CN"/>
              </w:rPr>
              <w:t>同意了本项目的建设。</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 xml:space="preserve">因此，项目符合国家现行产业政策。 </w:t>
            </w:r>
          </w:p>
          <w:p>
            <w:pPr>
              <w:spacing w:line="360" w:lineRule="auto"/>
              <w:ind w:firstLine="482" w:firstLineChars="200"/>
              <w:rPr>
                <w:rFonts w:hint="default"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rPr>
              <w:t xml:space="preserve">、用地规划符合性分析 </w:t>
            </w:r>
          </w:p>
          <w:p>
            <w:pPr>
              <w:spacing w:line="360" w:lineRule="auto"/>
              <w:ind w:firstLine="480" w:firstLineChars="200"/>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rPr>
              <w:t>本项目选址于</w:t>
            </w:r>
            <w:r>
              <w:rPr>
                <w:rFonts w:hint="eastAsia" w:cs="Times New Roman"/>
                <w:color w:val="auto"/>
                <w:sz w:val="24"/>
                <w:szCs w:val="24"/>
                <w:highlight w:val="none"/>
                <w:lang w:val="en-US" w:eastAsia="zh-CN"/>
              </w:rPr>
              <w:t>达州市大竹县文星镇龙门村8组，</w:t>
            </w:r>
            <w:r>
              <w:rPr>
                <w:rFonts w:hint="eastAsia" w:cs="Times New Roman"/>
                <w:color w:val="0000FF"/>
                <w:sz w:val="24"/>
                <w:szCs w:val="24"/>
                <w:highlight w:val="none"/>
                <w:lang w:val="en-US" w:eastAsia="zh-CN"/>
              </w:rPr>
              <w:t>该地块原为驾校，已于2023年3月停止运营，闲置至今。该地区为农村地区，</w:t>
            </w:r>
            <w:r>
              <w:rPr>
                <w:rFonts w:hint="eastAsia" w:cs="Times New Roman"/>
                <w:color w:val="auto"/>
                <w:sz w:val="24"/>
                <w:szCs w:val="24"/>
                <w:highlight w:val="none"/>
              </w:rPr>
              <w:t>大竹旭晟石材厂</w:t>
            </w:r>
            <w:r>
              <w:rPr>
                <w:rFonts w:hint="eastAsia" w:cs="Times New Roman"/>
                <w:color w:val="auto"/>
                <w:sz w:val="24"/>
                <w:szCs w:val="24"/>
                <w:highlight w:val="none"/>
                <w:lang w:val="en-US" w:eastAsia="zh-CN"/>
              </w:rPr>
              <w:t>已与大竹县文星镇龙门村村委会签订了《土地租赁合同》</w:t>
            </w:r>
            <w:r>
              <w:rPr>
                <w:rFonts w:hint="eastAsia" w:cs="Times New Roman"/>
                <w:color w:val="0000FF"/>
                <w:sz w:val="24"/>
                <w:szCs w:val="24"/>
                <w:highlight w:val="none"/>
                <w:lang w:val="en-US" w:eastAsia="zh-CN"/>
              </w:rPr>
              <w:t>。</w:t>
            </w:r>
            <w:r>
              <w:rPr>
                <w:rFonts w:hint="eastAsia" w:cs="Times New Roman"/>
                <w:color w:val="auto"/>
                <w:sz w:val="24"/>
                <w:szCs w:val="24"/>
                <w:highlight w:val="none"/>
                <w:lang w:val="en-US" w:eastAsia="zh-CN"/>
              </w:rPr>
              <w:t>根据大竹县自然资源局于2023年6月27日出具的《土地利用项目占用永久基本农田数据对比情况》：拟用地总面积为6.9966亩，本项目未占用永久基本农田。根据大竹县文星镇龙门村村民委员会和大竹县文星镇人民政府出具的证明：同意该企业在此进行石材加工经营活动</w:t>
            </w:r>
            <w:r>
              <w:rPr>
                <w:rFonts w:hint="eastAsia" w:cs="Times New Roman"/>
                <w:color w:val="0000FF"/>
                <w:sz w:val="24"/>
                <w:szCs w:val="24"/>
                <w:highlight w:val="none"/>
                <w:lang w:val="en-US" w:eastAsia="zh-CN"/>
              </w:rPr>
              <w:t>（文件中大竹县文星石材加工厂即为</w:t>
            </w:r>
            <w:r>
              <w:rPr>
                <w:rFonts w:hint="eastAsia" w:cs="Times New Roman"/>
                <w:color w:val="0000FF"/>
                <w:sz w:val="24"/>
                <w:szCs w:val="24"/>
                <w:highlight w:val="none"/>
              </w:rPr>
              <w:t>大竹旭晟石材厂</w:t>
            </w:r>
            <w:r>
              <w:rPr>
                <w:rFonts w:hint="eastAsia" w:cs="Times New Roman"/>
                <w:color w:val="0000FF"/>
                <w:sz w:val="24"/>
                <w:szCs w:val="24"/>
                <w:highlight w:val="none"/>
                <w:lang w:val="en-US" w:eastAsia="zh-CN"/>
              </w:rPr>
              <w:t>）</w:t>
            </w:r>
            <w:r>
              <w:rPr>
                <w:rFonts w:hint="eastAsia" w:cs="Times New Roman"/>
                <w:color w:val="auto"/>
                <w:sz w:val="24"/>
                <w:szCs w:val="24"/>
                <w:highlight w:val="none"/>
                <w:lang w:val="en-US" w:eastAsia="zh-CN"/>
              </w:rPr>
              <w:t>。根据大竹县文星自然资源所出具的证明：该地块不属于耕地，未占用基本农田，符合三区三线国土空间规划。</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因此，</w:t>
            </w:r>
            <w:r>
              <w:rPr>
                <w:rFonts w:hint="eastAsia" w:cs="Times New Roman"/>
                <w:color w:val="auto"/>
                <w:sz w:val="24"/>
                <w:szCs w:val="24"/>
                <w:highlight w:val="none"/>
                <w:lang w:val="en-US" w:eastAsia="zh-CN"/>
              </w:rPr>
              <w:t>项目建设符合当地用地规划</w:t>
            </w:r>
            <w:r>
              <w:rPr>
                <w:rFonts w:hint="default" w:ascii="Times New Roman" w:hAnsi="Times New Roman" w:cs="Times New Roman"/>
                <w:color w:val="auto"/>
                <w:sz w:val="24"/>
                <w:szCs w:val="24"/>
                <w:highlight w:val="none"/>
              </w:rPr>
              <w:t>，符合国家相关要求。</w:t>
            </w:r>
          </w:p>
          <w:p>
            <w:pPr>
              <w:spacing w:line="360" w:lineRule="auto"/>
              <w:ind w:firstLine="482" w:firstLineChars="200"/>
              <w:rPr>
                <w:rFonts w:hint="eastAsia" w:eastAsia="宋体"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3、与《四川省嘉陵江流域生态环境保护条例》的符合性分析</w:t>
            </w:r>
          </w:p>
          <w:p>
            <w:pPr>
              <w:spacing w:line="360" w:lineRule="auto"/>
              <w:ind w:firstLine="480" w:firstLineChars="200"/>
              <w:rPr>
                <w:rFonts w:hint="eastAsia" w:cs="Times New Roman"/>
                <w:b w:val="0"/>
                <w:bCs/>
                <w:color w:val="auto"/>
                <w:sz w:val="24"/>
                <w:szCs w:val="24"/>
                <w:highlight w:val="none"/>
              </w:rPr>
            </w:pPr>
            <w:r>
              <w:rPr>
                <w:rFonts w:hint="eastAsia" w:cs="Times New Roman"/>
                <w:b w:val="0"/>
                <w:bCs/>
                <w:color w:val="auto"/>
                <w:sz w:val="24"/>
                <w:szCs w:val="24"/>
                <w:highlight w:val="none"/>
              </w:rPr>
              <w:t>2021年11月25日四川省第十三届人民代表大会常务委员会第三十一次会议通过了《四川省嘉陵江流域生态环境保护条例》，本项目与其符合性分析见下表：</w:t>
            </w:r>
          </w:p>
          <w:p>
            <w:pPr>
              <w:spacing w:line="360" w:lineRule="auto"/>
              <w:jc w:val="center"/>
              <w:rPr>
                <w:rFonts w:hint="eastAsia" w:cs="Times New Roman"/>
                <w:b/>
                <w:bCs w:val="0"/>
                <w:color w:val="auto"/>
                <w:sz w:val="24"/>
                <w:szCs w:val="24"/>
                <w:highlight w:val="none"/>
              </w:rPr>
            </w:pPr>
            <w:r>
              <w:rPr>
                <w:rFonts w:hint="eastAsia" w:cs="Times New Roman"/>
                <w:b/>
                <w:bCs w:val="0"/>
                <w:color w:val="auto"/>
                <w:sz w:val="24"/>
                <w:szCs w:val="24"/>
                <w:highlight w:val="none"/>
              </w:rPr>
              <w:t>表1-</w:t>
            </w:r>
            <w:r>
              <w:rPr>
                <w:rFonts w:hint="eastAsia" w:cs="Times New Roman"/>
                <w:b/>
                <w:bCs w:val="0"/>
                <w:color w:val="auto"/>
                <w:sz w:val="24"/>
                <w:szCs w:val="24"/>
                <w:highlight w:val="none"/>
                <w:lang w:val="en-US" w:eastAsia="zh-CN"/>
              </w:rPr>
              <w:t>2</w:t>
            </w:r>
            <w:r>
              <w:rPr>
                <w:rFonts w:hint="eastAsia" w:cs="Times New Roman"/>
                <w:b/>
                <w:bCs w:val="0"/>
                <w:color w:val="auto"/>
                <w:sz w:val="24"/>
                <w:szCs w:val="24"/>
                <w:highlight w:val="none"/>
              </w:rPr>
              <w:t xml:space="preserve"> 与《四川省嘉陵江流域生态环境保护条例》的符合性分析</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4086"/>
              <w:gridCol w:w="2363"/>
              <w:gridCol w:w="6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spacing w:line="240" w:lineRule="auto"/>
                    <w:jc w:val="center"/>
                    <w:rPr>
                      <w:rFonts w:hint="eastAsia"/>
                      <w:b/>
                      <w:color w:val="auto"/>
                      <w:sz w:val="21"/>
                      <w:szCs w:val="21"/>
                      <w:highlight w:val="none"/>
                    </w:rPr>
                  </w:pPr>
                  <w:r>
                    <w:rPr>
                      <w:rFonts w:hint="eastAsia"/>
                      <w:b/>
                      <w:color w:val="auto"/>
                      <w:sz w:val="21"/>
                      <w:szCs w:val="21"/>
                      <w:highlight w:val="none"/>
                    </w:rPr>
                    <w:t>名称</w:t>
                  </w:r>
                </w:p>
              </w:tc>
              <w:tc>
                <w:tcPr>
                  <w:tcW w:w="2550" w:type="pct"/>
                  <w:noWrap w:val="0"/>
                  <w:vAlign w:val="center"/>
                </w:tcPr>
                <w:p>
                  <w:pPr>
                    <w:spacing w:line="240" w:lineRule="auto"/>
                    <w:jc w:val="center"/>
                    <w:rPr>
                      <w:rFonts w:hint="default" w:eastAsia="宋体"/>
                      <w:b/>
                      <w:color w:val="auto"/>
                      <w:sz w:val="21"/>
                      <w:szCs w:val="21"/>
                      <w:highlight w:val="none"/>
                      <w:lang w:val="en-US" w:eastAsia="zh-CN"/>
                    </w:rPr>
                  </w:pPr>
                  <w:r>
                    <w:rPr>
                      <w:rFonts w:hint="eastAsia"/>
                      <w:b/>
                      <w:color w:val="auto"/>
                      <w:sz w:val="21"/>
                      <w:szCs w:val="21"/>
                      <w:highlight w:val="none"/>
                      <w:lang w:val="en-US" w:eastAsia="zh-CN"/>
                    </w:rPr>
                    <w:t>法律条文</w:t>
                  </w:r>
                </w:p>
              </w:tc>
              <w:tc>
                <w:tcPr>
                  <w:tcW w:w="1475" w:type="pct"/>
                  <w:noWrap w:val="0"/>
                  <w:vAlign w:val="center"/>
                </w:tcPr>
                <w:p>
                  <w:pPr>
                    <w:spacing w:line="240" w:lineRule="auto"/>
                    <w:jc w:val="center"/>
                    <w:rPr>
                      <w:rFonts w:hint="eastAsia"/>
                      <w:b/>
                      <w:color w:val="auto"/>
                      <w:sz w:val="21"/>
                      <w:szCs w:val="21"/>
                      <w:highlight w:val="none"/>
                    </w:rPr>
                  </w:pPr>
                  <w:r>
                    <w:rPr>
                      <w:rFonts w:hint="eastAsia"/>
                      <w:b/>
                      <w:color w:val="auto"/>
                      <w:sz w:val="21"/>
                      <w:szCs w:val="21"/>
                      <w:highlight w:val="none"/>
                    </w:rPr>
                    <w:t>本项目情况</w:t>
                  </w:r>
                </w:p>
              </w:tc>
              <w:tc>
                <w:tcPr>
                  <w:tcW w:w="421" w:type="pct"/>
                  <w:noWrap w:val="0"/>
                  <w:vAlign w:val="center"/>
                </w:tcPr>
                <w:p>
                  <w:pPr>
                    <w:spacing w:line="240" w:lineRule="auto"/>
                    <w:jc w:val="center"/>
                    <w:rPr>
                      <w:rFonts w:hint="eastAsia"/>
                      <w:b/>
                      <w:color w:val="auto"/>
                      <w:sz w:val="21"/>
                      <w:szCs w:val="21"/>
                      <w:highlight w:val="none"/>
                    </w:rPr>
                  </w:pPr>
                  <w:r>
                    <w:rPr>
                      <w:rFonts w:hint="eastAsia"/>
                      <w:b/>
                      <w:color w:val="auto"/>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第十七条</w:t>
                  </w:r>
                </w:p>
              </w:tc>
              <w:tc>
                <w:tcPr>
                  <w:tcW w:w="2550" w:type="pct"/>
                  <w:noWrap w:val="0"/>
                  <w:vAlign w:val="center"/>
                </w:tcPr>
                <w:p>
                  <w:pPr>
                    <w:spacing w:line="240" w:lineRule="auto"/>
                    <w:jc w:val="left"/>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rPr>
                    <w:t>禁止在嘉陵江干支流岸线一公里范围内新建、扩建化工园区和化工项目</w:t>
                  </w:r>
                  <w:r>
                    <w:rPr>
                      <w:rFonts w:hint="eastAsia" w:ascii="Times New Roman" w:hAnsi="Times New Roman" w:cs="Times New Roman"/>
                      <w:color w:val="auto"/>
                      <w:sz w:val="21"/>
                      <w:szCs w:val="21"/>
                      <w:highlight w:val="none"/>
                      <w:lang w:eastAsia="zh-CN"/>
                    </w:rPr>
                    <w:t>。</w:t>
                  </w:r>
                </w:p>
              </w:tc>
              <w:tc>
                <w:tcPr>
                  <w:tcW w:w="1475" w:type="pct"/>
                  <w:noWrap w:val="0"/>
                  <w:vAlign w:val="center"/>
                </w:tcPr>
                <w:p>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项目不属于化工项目</w:t>
                  </w:r>
                  <w:r>
                    <w:rPr>
                      <w:rFonts w:hint="eastAsia" w:cs="Times New Roman"/>
                      <w:color w:val="auto"/>
                      <w:sz w:val="21"/>
                      <w:szCs w:val="21"/>
                      <w:highlight w:val="none"/>
                      <w:lang w:val="en-US" w:eastAsia="zh-CN"/>
                    </w:rPr>
                    <w:t>，且不在</w:t>
                  </w:r>
                  <w:r>
                    <w:rPr>
                      <w:rFonts w:hint="eastAsia" w:ascii="Times New Roman" w:hAnsi="Times New Roman" w:cs="Times New Roman"/>
                      <w:color w:val="auto"/>
                      <w:sz w:val="21"/>
                      <w:szCs w:val="21"/>
                      <w:highlight w:val="none"/>
                    </w:rPr>
                    <w:t>嘉陵江干支流岸线一公里范围内</w:t>
                  </w:r>
                  <w:r>
                    <w:rPr>
                      <w:rFonts w:hint="default" w:ascii="Times New Roman" w:hAnsi="Times New Roman" w:cs="Times New Roman"/>
                      <w:color w:val="auto"/>
                      <w:sz w:val="21"/>
                      <w:szCs w:val="21"/>
                      <w:highlight w:val="none"/>
                      <w:lang w:val="en-US" w:eastAsia="zh-CN"/>
                    </w:rPr>
                    <w:t>。</w:t>
                  </w:r>
                </w:p>
              </w:tc>
              <w:tc>
                <w:tcPr>
                  <w:tcW w:w="421" w:type="pct"/>
                  <w:noWrap w:val="0"/>
                  <w:vAlign w:val="center"/>
                </w:tcPr>
                <w:p>
                  <w:pPr>
                    <w:spacing w:line="240" w:lineRule="auto"/>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第二十一条</w:t>
                  </w:r>
                </w:p>
              </w:tc>
              <w:tc>
                <w:tcPr>
                  <w:tcW w:w="2550" w:type="pct"/>
                  <w:noWrap w:val="0"/>
                  <w:vAlign w:val="center"/>
                </w:tcPr>
                <w:p>
                  <w:pPr>
                    <w:spacing w:line="240" w:lineRule="auto"/>
                    <w:jc w:val="left"/>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按照排污许可证的规定排放污染物；禁止未取得排污许可证或者违反排污许可证的规定排放污染物。</w:t>
                  </w:r>
                </w:p>
              </w:tc>
              <w:tc>
                <w:tcPr>
                  <w:tcW w:w="1475" w:type="pct"/>
                  <w:noWrap w:val="0"/>
                  <w:vAlign w:val="center"/>
                </w:tcPr>
                <w:p>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项目建成后将按要求完善排污许可证的手续。</w:t>
                  </w:r>
                </w:p>
              </w:tc>
              <w:tc>
                <w:tcPr>
                  <w:tcW w:w="421" w:type="pct"/>
                  <w:noWrap w:val="0"/>
                  <w:vAlign w:val="center"/>
                </w:tcPr>
                <w:p>
                  <w:pPr>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第六十七条</w:t>
                  </w:r>
                </w:p>
              </w:tc>
              <w:tc>
                <w:tcPr>
                  <w:tcW w:w="2550" w:type="pct"/>
                  <w:noWrap w:val="0"/>
                  <w:vAlign w:val="center"/>
                </w:tcPr>
                <w:p>
                  <w:pPr>
                    <w:spacing w:line="240" w:lineRule="auto"/>
                    <w:jc w:val="left"/>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工业集聚区管理机构应当建设污水集中处理设施和配套管网，实行雨污分流，实现废水分类收集、分质处理。排污单位对污水进行预处理后向污水集中处理设施排放的，应当符合污水集中处理设施的接纳标准。</w:t>
                  </w:r>
                </w:p>
              </w:tc>
              <w:tc>
                <w:tcPr>
                  <w:tcW w:w="1475" w:type="pct"/>
                  <w:noWrap w:val="0"/>
                  <w:vAlign w:val="center"/>
                </w:tcPr>
                <w:p>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w:t>
                  </w:r>
                  <w:r>
                    <w:rPr>
                      <w:rFonts w:hint="eastAsia" w:cs="Times New Roman"/>
                      <w:color w:val="auto"/>
                      <w:sz w:val="21"/>
                      <w:szCs w:val="21"/>
                      <w:highlight w:val="none"/>
                      <w:lang w:val="en-US" w:eastAsia="zh-CN"/>
                    </w:rPr>
                    <w:t>属于建材项目，但根据《环境保护综合名录（2021年版）》（环办综合函〔2021〕495号），本项目不属于“高污染”“高环境风险”项目。</w:t>
                  </w:r>
                  <w:r>
                    <w:rPr>
                      <w:rFonts w:hint="default" w:ascii="Times New Roman" w:hAnsi="Times New Roman" w:cs="Times New Roman"/>
                      <w:color w:val="auto"/>
                      <w:sz w:val="21"/>
                      <w:szCs w:val="21"/>
                      <w:highlight w:val="none"/>
                      <w:lang w:val="en-US" w:eastAsia="zh-CN"/>
                    </w:rPr>
                    <w:t>不属于重点水污染排放项目，生产废水</w:t>
                  </w:r>
                  <w:r>
                    <w:rPr>
                      <w:rFonts w:hint="eastAsia" w:cs="Times New Roman"/>
                      <w:color w:val="auto"/>
                      <w:sz w:val="21"/>
                      <w:szCs w:val="21"/>
                      <w:highlight w:val="none"/>
                      <w:lang w:val="en-US" w:eastAsia="zh-CN"/>
                    </w:rPr>
                    <w:t>经处理后循环使用，不外排；</w:t>
                  </w:r>
                  <w:r>
                    <w:rPr>
                      <w:rFonts w:hint="eastAsia" w:ascii="Times New Roman" w:hAnsi="Times New Roman" w:cs="Times New Roman"/>
                      <w:color w:val="auto"/>
                      <w:sz w:val="21"/>
                      <w:szCs w:val="21"/>
                      <w:highlight w:val="none"/>
                      <w:lang w:val="en-US" w:eastAsia="zh-CN"/>
                    </w:rPr>
                    <w:t>生活污水</w:t>
                  </w:r>
                  <w:r>
                    <w:rPr>
                      <w:rFonts w:hint="eastAsia" w:cs="Times New Roman"/>
                      <w:color w:val="auto"/>
                      <w:sz w:val="21"/>
                      <w:szCs w:val="21"/>
                      <w:highlight w:val="none"/>
                      <w:lang w:val="en-US" w:eastAsia="zh-CN"/>
                    </w:rPr>
                    <w:t>（食堂废水先经隔油池处理）经旱厕处理后用作周边农田农肥</w:t>
                  </w:r>
                  <w:r>
                    <w:rPr>
                      <w:rFonts w:hint="default" w:ascii="Times New Roman" w:hAnsi="Times New Roman" w:cs="Times New Roman"/>
                      <w:color w:val="auto"/>
                      <w:sz w:val="21"/>
                      <w:szCs w:val="21"/>
                      <w:highlight w:val="none"/>
                      <w:lang w:val="en-US" w:eastAsia="zh-CN"/>
                    </w:rPr>
                    <w:t>。厂区采取雨污分流制</w:t>
                  </w:r>
                  <w:r>
                    <w:rPr>
                      <w:rFonts w:hint="eastAsia" w:cs="Times New Roman"/>
                      <w:color w:val="auto"/>
                      <w:sz w:val="21"/>
                      <w:szCs w:val="21"/>
                      <w:highlight w:val="none"/>
                      <w:lang w:val="en-US" w:eastAsia="zh-CN"/>
                    </w:rPr>
                    <w:t>。</w:t>
                  </w:r>
                </w:p>
              </w:tc>
              <w:tc>
                <w:tcPr>
                  <w:tcW w:w="421" w:type="pct"/>
                  <w:noWrap w:val="0"/>
                  <w:vAlign w:val="center"/>
                </w:tcPr>
                <w:p>
                  <w:pPr>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第七十三条</w:t>
                  </w:r>
                </w:p>
              </w:tc>
              <w:tc>
                <w:tcPr>
                  <w:tcW w:w="2550" w:type="pct"/>
                  <w:noWrap w:val="0"/>
                  <w:vAlign w:val="center"/>
                </w:tcPr>
                <w:p>
                  <w:pPr>
                    <w:spacing w:line="240" w:lineRule="auto"/>
                    <w:jc w:val="left"/>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禁止在嘉陵江流域河湖管理范围内倾倒、填埋、堆放、弃置、处理固体废物。</w:t>
                  </w:r>
                </w:p>
              </w:tc>
              <w:tc>
                <w:tcPr>
                  <w:tcW w:w="1475" w:type="pct"/>
                  <w:noWrap w:val="0"/>
                  <w:vAlign w:val="center"/>
                </w:tcPr>
                <w:p>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w:t>
                  </w:r>
                  <w:r>
                    <w:rPr>
                      <w:rFonts w:hint="eastAsia" w:cs="Times New Roman"/>
                      <w:color w:val="auto"/>
                      <w:sz w:val="21"/>
                      <w:szCs w:val="21"/>
                      <w:highlight w:val="none"/>
                      <w:lang w:val="en-US" w:eastAsia="zh-CN"/>
                    </w:rPr>
                    <w:t>不在</w:t>
                  </w:r>
                  <w:r>
                    <w:rPr>
                      <w:rFonts w:hint="eastAsia"/>
                      <w:color w:val="auto"/>
                    </w:rPr>
                    <w:t>河湖管理范围</w:t>
                  </w:r>
                  <w:r>
                    <w:rPr>
                      <w:rFonts w:hint="eastAsia"/>
                      <w:color w:val="auto"/>
                      <w:lang w:val="en-US" w:eastAsia="zh-CN"/>
                    </w:rPr>
                    <w:t>内</w:t>
                  </w:r>
                  <w:r>
                    <w:rPr>
                      <w:rFonts w:hint="eastAsia"/>
                      <w:color w:val="auto"/>
                      <w:lang w:eastAsia="zh-CN"/>
                    </w:rPr>
                    <w:t>，</w:t>
                  </w:r>
                  <w:r>
                    <w:rPr>
                      <w:rFonts w:hint="default" w:ascii="Times New Roman" w:hAnsi="Times New Roman" w:cs="Times New Roman"/>
                      <w:color w:val="auto"/>
                      <w:sz w:val="21"/>
                      <w:szCs w:val="21"/>
                      <w:highlight w:val="none"/>
                      <w:lang w:val="en-US" w:eastAsia="zh-CN"/>
                    </w:rPr>
                    <w:t>固体废物严格按照相关要求进行收集和处置。</w:t>
                  </w:r>
                </w:p>
              </w:tc>
              <w:tc>
                <w:tcPr>
                  <w:tcW w:w="421" w:type="pct"/>
                  <w:noWrap w:val="0"/>
                  <w:vAlign w:val="center"/>
                </w:tcPr>
                <w:p>
                  <w:pPr>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第八十条</w:t>
                  </w:r>
                </w:p>
              </w:tc>
              <w:tc>
                <w:tcPr>
                  <w:tcW w:w="2550" w:type="pct"/>
                  <w:noWrap w:val="0"/>
                  <w:vAlign w:val="center"/>
                </w:tcPr>
                <w:p>
                  <w:pPr>
                    <w:spacing w:line="240" w:lineRule="auto"/>
                    <w:jc w:val="left"/>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rPr>
                    <w:t>限期禁止生产、销售、进口、使用、转让严重污染水环境的工艺和设备</w:t>
                  </w:r>
                  <w:r>
                    <w:rPr>
                      <w:rFonts w:hint="eastAsia" w:ascii="Times New Roman" w:hAnsi="Times New Roman" w:cs="Times New Roman"/>
                      <w:color w:val="auto"/>
                      <w:sz w:val="21"/>
                      <w:szCs w:val="21"/>
                      <w:highlight w:val="none"/>
                      <w:lang w:eastAsia="zh-CN"/>
                    </w:rPr>
                    <w:t>。</w:t>
                  </w:r>
                </w:p>
              </w:tc>
              <w:tc>
                <w:tcPr>
                  <w:tcW w:w="1475" w:type="pct"/>
                  <w:noWrap w:val="0"/>
                  <w:vAlign w:val="center"/>
                </w:tcPr>
                <w:p>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项目所用的设备、工艺不属于严重污染水环境的工艺和设备</w:t>
                  </w:r>
                </w:p>
              </w:tc>
              <w:tc>
                <w:tcPr>
                  <w:tcW w:w="421" w:type="pct"/>
                  <w:noWrap w:val="0"/>
                  <w:vAlign w:val="center"/>
                </w:tcPr>
                <w:p>
                  <w:pPr>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bl>
          <w:p>
            <w:p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、与长江保护法符合性分析</w:t>
            </w:r>
          </w:p>
          <w:p>
            <w:pPr>
              <w:spacing w:line="360" w:lineRule="auto"/>
              <w:ind w:firstLine="480" w:firstLineChars="200"/>
              <w:rPr>
                <w:rFonts w:hint="eastAsia"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自2021年3月1日起施行的《中华人民共和国长江保护法》，是为了加强</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"https://baike.baidu.com/item/%E9%95%BF%E6%B1%9F/388" \t "_blank"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长江</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流域生态环境保护和修复，促进资源合理高效利用，保障生态安全，实现人与自然和谐共生、中华民族永续发展制定的法律。</w:t>
            </w:r>
          </w:p>
          <w:p>
            <w:pPr>
              <w:spacing w:line="360" w:lineRule="auto"/>
              <w:jc w:val="center"/>
              <w:rPr>
                <w:rFonts w:hint="eastAsia" w:ascii="Times New Roman" w:hAnsi="Times New Roman" w:eastAsia="宋体" w:cs="Times New Roman"/>
                <w:b/>
                <w:bCs/>
                <w:color w:val="auto"/>
                <w:sz w:val="24"/>
                <w:szCs w:val="24"/>
                <w:highlight w:val="none"/>
              </w:rPr>
            </w:pPr>
          </w:p>
          <w:p>
            <w:pPr>
              <w:spacing w:line="360" w:lineRule="auto"/>
              <w:jc w:val="center"/>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表1</w:t>
            </w: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rPr>
              <w:t>本项目与“长江保护法”的符合性分析</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14"/>
              <w:gridCol w:w="4331"/>
              <w:gridCol w:w="2158"/>
              <w:gridCol w:w="8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70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原文内容</w:t>
                  </w:r>
                </w:p>
              </w:tc>
              <w:tc>
                <w:tcPr>
                  <w:tcW w:w="134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5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270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第二十一条 长江流域水质超标的水功能区，应当实施更严格的污染物排放总量削减要求。企业事业单位应当按照要求，采取污染物排放总量控制措施。</w:t>
                  </w:r>
                </w:p>
              </w:tc>
              <w:tc>
                <w:tcPr>
                  <w:tcW w:w="134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项目所在区域水环境质量满足相应功能区要求，</w:t>
                  </w:r>
                  <w:r>
                    <w:rPr>
                      <w:rFonts w:hint="eastAsia" w:cs="Times New Roman"/>
                      <w:bCs/>
                      <w:color w:val="0000FF"/>
                      <w:sz w:val="21"/>
                      <w:szCs w:val="21"/>
                      <w:highlight w:val="none"/>
                      <w:lang w:eastAsia="zh-CN"/>
                    </w:rPr>
                    <w:t>项目生产废水经螺旋绞砂机对粗砂颗粒分离后，进入三级沉淀池处理，沉淀池底泥经板框压滤机压成泥饼，废水处理后全部循环使用，不外排</w:t>
                  </w:r>
                  <w:r>
                    <w:rPr>
                      <w:rFonts w:hint="eastAsia" w:cs="Times New Roman"/>
                      <w:color w:val="0000FF"/>
                      <w:sz w:val="21"/>
                      <w:szCs w:val="21"/>
                      <w:highlight w:val="none"/>
                      <w:lang w:val="en-US" w:eastAsia="zh-CN"/>
                    </w:rPr>
                    <w:t>；</w:t>
                  </w:r>
                  <w:r>
                    <w:rPr>
                      <w:rFonts w:hint="eastAsia" w:ascii="Times New Roman" w:hAnsi="Times New Roman" w:cs="Times New Roman"/>
                      <w:color w:val="auto"/>
                      <w:sz w:val="21"/>
                      <w:szCs w:val="21"/>
                      <w:highlight w:val="none"/>
                      <w:lang w:val="en-US" w:eastAsia="zh-CN"/>
                    </w:rPr>
                    <w:t>生活污水</w:t>
                  </w:r>
                  <w:r>
                    <w:rPr>
                      <w:rFonts w:hint="eastAsia" w:cs="Times New Roman"/>
                      <w:color w:val="auto"/>
                      <w:sz w:val="21"/>
                      <w:szCs w:val="21"/>
                      <w:highlight w:val="none"/>
                      <w:lang w:val="en-US" w:eastAsia="zh-CN"/>
                    </w:rPr>
                    <w:t>（食堂废水先经隔油池处理）经旱厕处理后用作周边农田农肥</w:t>
                  </w:r>
                  <w:r>
                    <w:rPr>
                      <w:rFonts w:hint="default" w:ascii="Times New Roman" w:hAnsi="Times New Roman" w:cs="Times New Roman"/>
                      <w:color w:val="auto"/>
                      <w:sz w:val="21"/>
                      <w:szCs w:val="21"/>
                      <w:highlight w:val="none"/>
                      <w:lang w:val="en-US" w:eastAsia="zh-CN"/>
                    </w:rPr>
                    <w:t>。</w:t>
                  </w:r>
                </w:p>
              </w:tc>
              <w:tc>
                <w:tcPr>
                  <w:tcW w:w="5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c>
                <w:tcPr>
                  <w:tcW w:w="270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第二十二条 长江流域产业结构和布局应当与长江流域生态系统和资源环境承载能力相适应。禁止在长江流域重点生态功能区布局对生态系统有严重影响的产业。禁止重污染企业和项目向长江中上游转移。</w:t>
                  </w:r>
                </w:p>
              </w:tc>
              <w:tc>
                <w:tcPr>
                  <w:tcW w:w="134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项目所在地不属于长江流域重点生态功能区，对生态系统不会造成严重影响，</w:t>
                  </w:r>
                  <w:r>
                    <w:rPr>
                      <w:rFonts w:hint="eastAsia" w:cs="Times New Roman"/>
                      <w:bCs/>
                      <w:color w:val="auto"/>
                      <w:sz w:val="21"/>
                      <w:szCs w:val="21"/>
                      <w:highlight w:val="none"/>
                      <w:lang w:val="en-US" w:eastAsia="zh-CN"/>
                    </w:rPr>
                    <w:t>本项目</w:t>
                  </w:r>
                  <w:r>
                    <w:rPr>
                      <w:rFonts w:hint="default" w:ascii="Times New Roman" w:hAnsi="Times New Roman" w:eastAsia="宋体" w:cs="Times New Roman"/>
                      <w:bCs/>
                      <w:color w:val="auto"/>
                      <w:sz w:val="21"/>
                      <w:szCs w:val="21"/>
                      <w:highlight w:val="none"/>
                    </w:rPr>
                    <w:t>也不属于重污染项目。</w:t>
                  </w:r>
                </w:p>
              </w:tc>
              <w:tc>
                <w:tcPr>
                  <w:tcW w:w="5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p>
              </w:tc>
              <w:tc>
                <w:tcPr>
                  <w:tcW w:w="270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第二十六条 禁止在长江干支流岸线一公里范围内新建、扩建化工园区和化工项目。禁止在长江干流岸</w:t>
                  </w:r>
                  <w:r>
                    <w:rPr>
                      <w:rFonts w:hint="default" w:ascii="Times New Roman" w:hAnsi="Times New Roman" w:eastAsia="宋体" w:cs="Times New Roman"/>
                      <w:bCs/>
                      <w:color w:val="auto"/>
                      <w:sz w:val="21"/>
                      <w:szCs w:val="21"/>
                      <w:highlight w:val="none"/>
                    </w:rPr>
                    <w:cr/>
                  </w:r>
                  <w:r>
                    <w:rPr>
                      <w:rFonts w:hint="default" w:ascii="Times New Roman" w:hAnsi="Times New Roman" w:eastAsia="宋体" w:cs="Times New Roman"/>
                      <w:bCs/>
                      <w:color w:val="auto"/>
                      <w:sz w:val="21"/>
                      <w:szCs w:val="21"/>
                      <w:highlight w:val="none"/>
                    </w:rPr>
                    <w:t>三公里范围内和重要支流岸线一公里范围内新建、改建、扩建尾矿库；但是以提升安全、生态环境保护水平为目的的改建除外。</w:t>
                  </w:r>
                </w:p>
              </w:tc>
              <w:tc>
                <w:tcPr>
                  <w:tcW w:w="134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eastAsia" w:cs="Times New Roman"/>
                      <w:bCs/>
                      <w:color w:val="auto"/>
                      <w:sz w:val="21"/>
                      <w:szCs w:val="21"/>
                      <w:highlight w:val="none"/>
                      <w:lang w:val="en-US" w:eastAsia="zh-CN"/>
                    </w:rPr>
                    <w:t>项目不属于</w:t>
                  </w:r>
                  <w:r>
                    <w:rPr>
                      <w:rFonts w:hint="default" w:ascii="Times New Roman" w:hAnsi="Times New Roman" w:eastAsia="宋体" w:cs="Times New Roman"/>
                      <w:bCs/>
                      <w:color w:val="auto"/>
                      <w:sz w:val="21"/>
                      <w:szCs w:val="21"/>
                      <w:highlight w:val="none"/>
                    </w:rPr>
                    <w:t>化工项目</w:t>
                  </w:r>
                  <w:r>
                    <w:rPr>
                      <w:rFonts w:hint="eastAsia" w:cs="Times New Roman"/>
                      <w:bCs/>
                      <w:color w:val="auto"/>
                      <w:sz w:val="21"/>
                      <w:szCs w:val="21"/>
                      <w:highlight w:val="none"/>
                      <w:lang w:eastAsia="zh-CN"/>
                    </w:rPr>
                    <w:t>，</w:t>
                  </w:r>
                  <w:r>
                    <w:rPr>
                      <w:rFonts w:hint="eastAsia" w:cs="Times New Roman"/>
                      <w:bCs/>
                      <w:color w:val="auto"/>
                      <w:sz w:val="21"/>
                      <w:szCs w:val="21"/>
                      <w:highlight w:val="none"/>
                      <w:lang w:val="en-US" w:eastAsia="zh-CN"/>
                    </w:rPr>
                    <w:t>也不属于</w:t>
                  </w:r>
                  <w:r>
                    <w:rPr>
                      <w:rFonts w:hint="default" w:ascii="Times New Roman" w:hAnsi="Times New Roman" w:eastAsia="宋体" w:cs="Times New Roman"/>
                      <w:bCs/>
                      <w:color w:val="auto"/>
                      <w:sz w:val="21"/>
                      <w:szCs w:val="21"/>
                      <w:highlight w:val="none"/>
                    </w:rPr>
                    <w:t>尾矿库</w:t>
                  </w:r>
                  <w:r>
                    <w:rPr>
                      <w:rFonts w:hint="eastAsia" w:cs="Times New Roman"/>
                      <w:bCs/>
                      <w:color w:val="auto"/>
                      <w:sz w:val="21"/>
                      <w:szCs w:val="21"/>
                      <w:highlight w:val="none"/>
                      <w:lang w:val="en-US" w:eastAsia="zh-CN"/>
                    </w:rPr>
                    <w:t>项目，不在</w:t>
                  </w:r>
                  <w:r>
                    <w:rPr>
                      <w:rFonts w:hint="default" w:ascii="Times New Roman" w:hAnsi="Times New Roman" w:eastAsia="宋体" w:cs="Times New Roman"/>
                      <w:bCs/>
                      <w:color w:val="auto"/>
                      <w:sz w:val="21"/>
                      <w:szCs w:val="21"/>
                      <w:highlight w:val="none"/>
                    </w:rPr>
                    <w:t>长江干支流岸线一公里范围内</w:t>
                  </w:r>
                  <w:r>
                    <w:rPr>
                      <w:rFonts w:hint="eastAsia" w:cs="Times New Roman"/>
                      <w:bCs/>
                      <w:color w:val="auto"/>
                      <w:sz w:val="21"/>
                      <w:szCs w:val="21"/>
                      <w:highlight w:val="none"/>
                      <w:lang w:val="en-US" w:eastAsia="zh-CN"/>
                    </w:rPr>
                    <w:t>。</w:t>
                  </w:r>
                </w:p>
              </w:tc>
              <w:tc>
                <w:tcPr>
                  <w:tcW w:w="5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w:t>
                  </w:r>
                </w:p>
              </w:tc>
              <w:tc>
                <w:tcPr>
                  <w:tcW w:w="270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第二十八条 禁止在长江流域禁止采砂区和禁止采砂期从事采砂活动。</w:t>
                  </w:r>
                </w:p>
              </w:tc>
              <w:tc>
                <w:tcPr>
                  <w:tcW w:w="134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本项目不涉及采砂活动。</w:t>
                  </w:r>
                </w:p>
              </w:tc>
              <w:tc>
                <w:tcPr>
                  <w:tcW w:w="5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w:t>
                  </w:r>
                </w:p>
              </w:tc>
              <w:tc>
                <w:tcPr>
                  <w:tcW w:w="270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第三十八条 加强对高耗水行业、重点用水单位的用水定额管理，严格控制高耗水项目建设。</w:t>
                  </w:r>
                </w:p>
              </w:tc>
              <w:tc>
                <w:tcPr>
                  <w:tcW w:w="134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本项目不属于高耗水项目。</w:t>
                  </w:r>
                </w:p>
              </w:tc>
              <w:tc>
                <w:tcPr>
                  <w:tcW w:w="5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bl>
          <w:p>
            <w:pPr>
              <w:spacing w:line="360" w:lineRule="auto"/>
              <w:ind w:firstLine="482" w:firstLineChars="200"/>
              <w:rPr>
                <w:rFonts w:hint="default"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5、与《四川省 重庆市长江经济带发展负面清单实施细则》符合性分析</w:t>
            </w:r>
          </w:p>
          <w:p>
            <w:pPr>
              <w:spacing w:line="360" w:lineRule="auto"/>
              <w:ind w:firstLine="480" w:firstLineChars="200"/>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与四川省推动长江经济带发展领导小组办公室重庆市推动长江经济带发展领导小组办公室关于印发《四川省重庆市长江经济带发展负面清单实施细则（试行，2022年版）》的通知（川长江办</w:t>
            </w:r>
            <w:r>
              <w:rPr>
                <w:rFonts w:hint="default" w:ascii="Times New Roman" w:hAnsi="Times New Roman" w:cs="Times New Roman"/>
                <w:i w:val="0"/>
                <w:iCs w:val="0"/>
                <w:color w:val="auto"/>
                <w:sz w:val="24"/>
                <w:szCs w:val="24"/>
                <w:highlight w:val="none"/>
              </w:rPr>
              <w:t>〔20</w:t>
            </w:r>
            <w:r>
              <w:rPr>
                <w:rFonts w:hint="eastAsia" w:cs="Times New Roman"/>
                <w:i w:val="0"/>
                <w:iCs w:val="0"/>
                <w:color w:val="auto"/>
                <w:sz w:val="24"/>
                <w:szCs w:val="24"/>
                <w:highlight w:val="none"/>
                <w:lang w:val="en-US" w:eastAsia="zh-CN"/>
              </w:rPr>
              <w:t>22</w:t>
            </w:r>
            <w:r>
              <w:rPr>
                <w:rFonts w:hint="default" w:ascii="Times New Roman" w:hAnsi="Times New Roman" w:cs="Times New Roman"/>
                <w:i w:val="0"/>
                <w:iCs w:val="0"/>
                <w:color w:val="auto"/>
                <w:sz w:val="24"/>
                <w:szCs w:val="24"/>
                <w:highlight w:val="none"/>
              </w:rPr>
              <w:t>〕</w:t>
            </w:r>
            <w:r>
              <w:rPr>
                <w:rFonts w:hint="eastAsia" w:cs="Times New Roman"/>
                <w:b w:val="0"/>
                <w:bCs/>
                <w:color w:val="auto"/>
                <w:sz w:val="24"/>
                <w:szCs w:val="24"/>
                <w:highlight w:val="none"/>
                <w:lang w:val="en-US" w:eastAsia="zh-CN"/>
              </w:rPr>
              <w:t>17号）的符合性分析。</w:t>
            </w:r>
          </w:p>
          <w:p>
            <w:pPr>
              <w:spacing w:line="360" w:lineRule="auto"/>
              <w:jc w:val="center"/>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表1</w:t>
            </w: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rPr>
              <w:t>本项目与“</w:t>
            </w:r>
            <w:r>
              <w:rPr>
                <w:rFonts w:hint="eastAsia" w:ascii="Times New Roman" w:hAnsi="Times New Roman" w:eastAsia="宋体" w:cs="Times New Roman"/>
                <w:b/>
                <w:bCs/>
                <w:color w:val="auto"/>
                <w:sz w:val="24"/>
                <w:szCs w:val="24"/>
                <w:highlight w:val="none"/>
                <w:lang w:val="en-US" w:eastAsia="zh-CN"/>
              </w:rPr>
              <w:t>川长江办</w:t>
            </w:r>
            <w:r>
              <w:rPr>
                <w:rFonts w:hint="eastAsia" w:ascii="Times New Roman" w:hAnsi="Times New Roman" w:eastAsia="宋体" w:cs="Times New Roman"/>
                <w:b/>
                <w:bCs/>
                <w:color w:val="auto"/>
                <w:sz w:val="24"/>
                <w:szCs w:val="24"/>
                <w:highlight w:val="none"/>
              </w:rPr>
              <w:t>〔20</w:t>
            </w:r>
            <w:r>
              <w:rPr>
                <w:rFonts w:hint="eastAsia" w:ascii="Times New Roman" w:hAnsi="Times New Roman" w:eastAsia="宋体" w:cs="Times New Roman"/>
                <w:b/>
                <w:bCs/>
                <w:color w:val="auto"/>
                <w:sz w:val="24"/>
                <w:szCs w:val="24"/>
                <w:highlight w:val="none"/>
                <w:lang w:val="en-US" w:eastAsia="zh-CN"/>
              </w:rPr>
              <w:t>22</w:t>
            </w:r>
            <w:r>
              <w:rPr>
                <w:rFonts w:hint="eastAsia"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lang w:val="en-US" w:eastAsia="zh-CN"/>
              </w:rPr>
              <w:t>17号</w:t>
            </w:r>
            <w:r>
              <w:rPr>
                <w:rFonts w:hint="eastAsia" w:ascii="Times New Roman" w:hAnsi="Times New Roman" w:eastAsia="宋体" w:cs="Times New Roman"/>
                <w:b/>
                <w:bCs/>
                <w:color w:val="auto"/>
                <w:sz w:val="24"/>
                <w:szCs w:val="24"/>
                <w:highlight w:val="none"/>
              </w:rPr>
              <w:t>”的符合性分析</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14"/>
              <w:gridCol w:w="4407"/>
              <w:gridCol w:w="2082"/>
              <w:gridCol w:w="8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751"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原文内容</w:t>
                  </w:r>
                </w:p>
              </w:tc>
              <w:tc>
                <w:tcPr>
                  <w:tcW w:w="12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5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2751"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第九条禁止在饮用水水源准保护区的岸线和河段范围内新建、扩建对水体污染严重的建设项目，禁止改建增加排污量的建设</w:t>
                  </w:r>
                  <w:r>
                    <w:rPr>
                      <w:rFonts w:hint="eastAsia" w:ascii="Times New Roman" w:hAnsi="Times New Roman" w:eastAsia="宋体" w:cs="Times New Roman"/>
                      <w:bCs/>
                      <w:color w:val="auto"/>
                      <w:sz w:val="21"/>
                      <w:szCs w:val="21"/>
                      <w:highlight w:val="none"/>
                      <w:lang w:val="en-US" w:eastAsia="zh-CN"/>
                    </w:rPr>
                    <w:t>项目。</w:t>
                  </w:r>
                </w:p>
              </w:tc>
              <w:tc>
                <w:tcPr>
                  <w:tcW w:w="1299"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rPr>
                  </w:pPr>
                  <w:r>
                    <w:rPr>
                      <w:rFonts w:hint="eastAsia" w:cs="Times New Roman"/>
                      <w:b w:val="0"/>
                      <w:bCs/>
                      <w:color w:val="auto"/>
                      <w:sz w:val="21"/>
                      <w:szCs w:val="21"/>
                      <w:highlight w:val="none"/>
                      <w:lang w:val="en-US" w:eastAsia="zh-CN"/>
                    </w:rPr>
                    <w:t>本项目位于</w:t>
                  </w:r>
                  <w:r>
                    <w:rPr>
                      <w:rFonts w:hint="eastAsia" w:cs="Times New Roman"/>
                      <w:color w:val="auto"/>
                      <w:sz w:val="21"/>
                      <w:szCs w:val="21"/>
                      <w:highlight w:val="none"/>
                      <w:lang w:val="en-US" w:eastAsia="zh-CN"/>
                    </w:rPr>
                    <w:t>大竹县文星镇龙门村</w:t>
                  </w:r>
                  <w:r>
                    <w:rPr>
                      <w:rFonts w:hint="eastAsia" w:eastAsia="宋体" w:cs="Times New Roman"/>
                      <w:color w:val="auto"/>
                      <w:sz w:val="21"/>
                      <w:szCs w:val="21"/>
                      <w:highlight w:val="none"/>
                      <w:lang w:eastAsia="zh-CN"/>
                    </w:rPr>
                    <w:t>，</w:t>
                  </w:r>
                  <w:r>
                    <w:rPr>
                      <w:rFonts w:hint="eastAsia" w:cs="Times New Roman"/>
                      <w:color w:val="auto"/>
                      <w:sz w:val="21"/>
                      <w:szCs w:val="21"/>
                      <w:highlight w:val="none"/>
                      <w:lang w:val="en-US" w:eastAsia="zh-CN"/>
                    </w:rPr>
                    <w:t>属于</w:t>
                  </w:r>
                  <w:r>
                    <w:rPr>
                      <w:rFonts w:hint="eastAsia" w:cs="Times New Roman"/>
                      <w:color w:val="auto"/>
                      <w:sz w:val="21"/>
                      <w:szCs w:val="21"/>
                      <w:highlight w:val="none"/>
                    </w:rPr>
                    <w:t>石材切割雕刻加工</w:t>
                  </w:r>
                  <w:r>
                    <w:rPr>
                      <w:rFonts w:hint="eastAsia" w:cs="Times New Roman"/>
                      <w:color w:val="auto"/>
                      <w:sz w:val="21"/>
                      <w:szCs w:val="21"/>
                      <w:highlight w:val="none"/>
                      <w:lang w:val="en-US" w:eastAsia="zh-CN"/>
                    </w:rPr>
                    <w:t>项目，不属于高污染建材项目，未在饮用水水源准保护区的岸线和河段范围内，项目产品不属于落后产能和过剩产能。项目工艺技术路线上在物耗、能耗上属于国内先进水平。</w:t>
                  </w:r>
                </w:p>
              </w:tc>
              <w:tc>
                <w:tcPr>
                  <w:tcW w:w="5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c>
                <w:tcPr>
                  <w:tcW w:w="2751"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第十条饮用水水源二级保护区的岸线和河段范围内，除遵守准保护区规定外，禁止新建、改建、扩建排放污染物的投资建设项目</w:t>
                  </w:r>
                  <w:r>
                    <w:rPr>
                      <w:rFonts w:hint="eastAsia"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禁止从事对水体有污染的水产养殖等活动。</w:t>
                  </w:r>
                </w:p>
              </w:tc>
              <w:tc>
                <w:tcPr>
                  <w:tcW w:w="1299"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p>
              </w:tc>
              <w:tc>
                <w:tcPr>
                  <w:tcW w:w="5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p>
              </w:tc>
              <w:tc>
                <w:tcPr>
                  <w:tcW w:w="2751"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第十六条禁止在长江流域江河、湖泊新设、改设或者扩大排污口，经有管辖权的生态环境主管部门或者长江流域生态环境监督管理机构同意的除外。</w:t>
                  </w:r>
                </w:p>
              </w:tc>
              <w:tc>
                <w:tcPr>
                  <w:tcW w:w="1299"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p>
              </w:tc>
              <w:tc>
                <w:tcPr>
                  <w:tcW w:w="5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w:t>
                  </w:r>
                </w:p>
              </w:tc>
              <w:tc>
                <w:tcPr>
                  <w:tcW w:w="2751"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第十八条禁止在长江</w:t>
                  </w:r>
                  <w:r>
                    <w:rPr>
                      <w:rFonts w:hint="eastAsia" w:cs="Times New Roman"/>
                      <w:bCs/>
                      <w:color w:val="auto"/>
                      <w:sz w:val="21"/>
                      <w:szCs w:val="21"/>
                      <w:highlight w:val="none"/>
                      <w:lang w:val="en-US" w:eastAsia="zh-CN"/>
                    </w:rPr>
                    <w:t>干</w:t>
                  </w:r>
                  <w:r>
                    <w:rPr>
                      <w:rFonts w:hint="default" w:ascii="Times New Roman" w:hAnsi="Times New Roman" w:eastAsia="宋体" w:cs="Times New Roman"/>
                      <w:bCs/>
                      <w:color w:val="auto"/>
                      <w:sz w:val="21"/>
                      <w:szCs w:val="21"/>
                      <w:highlight w:val="none"/>
                      <w:lang w:val="en-US" w:eastAsia="zh-CN"/>
                    </w:rPr>
                    <w:t>支流、重要湖泊岸线一公里范围内新建、扩建化工园区和化工</w:t>
                  </w:r>
                  <w:r>
                    <w:rPr>
                      <w:rFonts w:hint="eastAsia" w:ascii="Times New Roman" w:hAnsi="Times New Roman" w:eastAsia="宋体" w:cs="Times New Roman"/>
                      <w:bCs/>
                      <w:color w:val="auto"/>
                      <w:sz w:val="21"/>
                      <w:szCs w:val="21"/>
                      <w:highlight w:val="none"/>
                      <w:lang w:val="en-US" w:eastAsia="zh-CN"/>
                    </w:rPr>
                    <w:t>项目</w:t>
                  </w:r>
                  <w:r>
                    <w:rPr>
                      <w:rFonts w:hint="default" w:ascii="Times New Roman" w:hAnsi="Times New Roman" w:eastAsia="宋体" w:cs="Times New Roman"/>
                      <w:bCs/>
                      <w:color w:val="auto"/>
                      <w:sz w:val="21"/>
                      <w:szCs w:val="21"/>
                      <w:highlight w:val="none"/>
                      <w:lang w:val="en-US" w:eastAsia="zh-CN"/>
                    </w:rPr>
                    <w:t>。</w:t>
                  </w:r>
                </w:p>
              </w:tc>
              <w:tc>
                <w:tcPr>
                  <w:tcW w:w="1299"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5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w:t>
                  </w:r>
                </w:p>
              </w:tc>
              <w:tc>
                <w:tcPr>
                  <w:tcW w:w="2751"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第十九条禁止在长江干流岸线三公里范围内和重要支流岸线一公里范围内新建、改建、扩建尾矿库、冶炼渣库、磷石膏库，以提升安全、生态环境保护水平为目的的改建除外。</w:t>
                  </w:r>
                </w:p>
              </w:tc>
              <w:tc>
                <w:tcPr>
                  <w:tcW w:w="1299"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p>
              </w:tc>
              <w:tc>
                <w:tcPr>
                  <w:tcW w:w="5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w:t>
                  </w:r>
                </w:p>
              </w:tc>
              <w:tc>
                <w:tcPr>
                  <w:tcW w:w="2751"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第二十一条禁止在合规园区外新建、扩建钢铁、石化、化工、焦化、建材、有色、制浆造纸等高污染项目。</w:t>
                  </w:r>
                </w:p>
              </w:tc>
              <w:tc>
                <w:tcPr>
                  <w:tcW w:w="1299"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p>
              </w:tc>
              <w:tc>
                <w:tcPr>
                  <w:tcW w:w="5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7</w:t>
                  </w:r>
                </w:p>
              </w:tc>
              <w:tc>
                <w:tcPr>
                  <w:tcW w:w="2751"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第二十三条禁止新建、扩建法律法规和相关政策明令禁止的落后产能项目。对《产业结构调整指导目录》中淘汰类项目，禁止投资</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限制类的新建项目，禁止投资，对属于限制类的现有生产能力，允许企业在一定期限内采取措施改造升级。</w:t>
                  </w:r>
                </w:p>
              </w:tc>
              <w:tc>
                <w:tcPr>
                  <w:tcW w:w="1299"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p>
              </w:tc>
              <w:tc>
                <w:tcPr>
                  <w:tcW w:w="5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8</w:t>
                  </w:r>
                </w:p>
              </w:tc>
              <w:tc>
                <w:tcPr>
                  <w:tcW w:w="2751"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第二十六条禁止新建、扩建不符合要求的高耗能、高排放、低水平项目。</w:t>
                  </w:r>
                </w:p>
              </w:tc>
              <w:tc>
                <w:tcPr>
                  <w:tcW w:w="1299"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p>
              </w:tc>
              <w:tc>
                <w:tcPr>
                  <w:tcW w:w="5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Times New Roman"/>
                <w:b/>
                <w:color w:val="auto"/>
                <w:sz w:val="24"/>
                <w:szCs w:val="24"/>
                <w:highlight w:val="none"/>
              </w:rPr>
            </w:pPr>
            <w:r>
              <w:rPr>
                <w:rFonts w:hint="eastAsia" w:cs="Times New Roman"/>
                <w:b/>
                <w:color w:val="auto"/>
                <w:sz w:val="24"/>
                <w:szCs w:val="24"/>
                <w:highlight w:val="none"/>
                <w:lang w:val="en-US" w:eastAsia="zh-CN"/>
              </w:rPr>
              <w:t>6</w:t>
            </w:r>
            <w:r>
              <w:rPr>
                <w:rFonts w:hint="eastAsia" w:cs="Times New Roman"/>
                <w:b/>
                <w:color w:val="auto"/>
                <w:sz w:val="24"/>
                <w:szCs w:val="24"/>
                <w:highlight w:val="none"/>
              </w:rPr>
              <w:t>、与“三线一单”符合性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i w:val="0"/>
                <w:iCs w:val="0"/>
                <w:color w:val="auto"/>
                <w:sz w:val="24"/>
                <w:szCs w:val="24"/>
                <w:highlight w:val="none"/>
                <w:lang w:val="en-US" w:eastAsia="zh-CN"/>
              </w:rPr>
            </w:pPr>
            <w:r>
              <w:rPr>
                <w:rFonts w:hint="eastAsia" w:ascii="Times New Roman" w:hAnsi="Times New Roman" w:cs="Times New Roman"/>
                <w:i w:val="0"/>
                <w:iCs w:val="0"/>
                <w:color w:val="auto"/>
                <w:sz w:val="24"/>
                <w:szCs w:val="24"/>
                <w:highlight w:val="none"/>
                <w:lang w:val="en-US" w:eastAsia="zh-CN"/>
              </w:rPr>
              <w:t>根据四川省生态环境厅办公室关于印发《产业园区规划环评“三线一单”符合性分析技术要点（试行）》和《项目环评“三线一单”符合性分析技术要点（试行）》的通知（川环办函</w:t>
            </w:r>
            <w:r>
              <w:rPr>
                <w:rFonts w:hint="default" w:ascii="Times New Roman" w:hAnsi="Times New Roman" w:cs="Times New Roman"/>
                <w:i w:val="0"/>
                <w:iCs w:val="0"/>
                <w:color w:val="auto"/>
                <w:sz w:val="24"/>
                <w:szCs w:val="24"/>
                <w:highlight w:val="none"/>
              </w:rPr>
              <w:t>〔20</w:t>
            </w:r>
            <w:r>
              <w:rPr>
                <w:rFonts w:hint="eastAsia" w:cs="Times New Roman"/>
                <w:i w:val="0"/>
                <w:iCs w:val="0"/>
                <w:color w:val="auto"/>
                <w:sz w:val="24"/>
                <w:szCs w:val="24"/>
                <w:highlight w:val="none"/>
                <w:lang w:val="en-US" w:eastAsia="zh-CN"/>
              </w:rPr>
              <w:t>21</w:t>
            </w:r>
            <w:r>
              <w:rPr>
                <w:rFonts w:hint="default" w:ascii="Times New Roman" w:hAnsi="Times New Roman" w:cs="Times New Roman"/>
                <w:i w:val="0"/>
                <w:iCs w:val="0"/>
                <w:color w:val="auto"/>
                <w:sz w:val="24"/>
                <w:szCs w:val="24"/>
                <w:highlight w:val="none"/>
              </w:rPr>
              <w:t>〕</w:t>
            </w:r>
            <w:r>
              <w:rPr>
                <w:rFonts w:hint="eastAsia" w:ascii="Times New Roman" w:hAnsi="Times New Roman" w:cs="Times New Roman"/>
                <w:i w:val="0"/>
                <w:iCs w:val="0"/>
                <w:color w:val="auto"/>
                <w:sz w:val="24"/>
                <w:szCs w:val="24"/>
                <w:highlight w:val="none"/>
                <w:lang w:val="en-US" w:eastAsia="zh-CN"/>
              </w:rPr>
              <w:t>469 号）中相关要求对本项目与“三线一单”的符合性进行分析。本项目位于</w:t>
            </w:r>
            <w:r>
              <w:rPr>
                <w:rFonts w:hint="eastAsia" w:cs="Times New Roman"/>
                <w:color w:val="auto"/>
                <w:sz w:val="24"/>
                <w:szCs w:val="24"/>
                <w:highlight w:val="none"/>
                <w:lang w:val="en-US" w:eastAsia="zh-CN"/>
              </w:rPr>
              <w:t>大竹县文星镇龙门村8组</w:t>
            </w:r>
            <w:r>
              <w:rPr>
                <w:rFonts w:hint="eastAsia" w:ascii="Times New Roman" w:hAnsi="Times New Roman" w:cs="Times New Roman"/>
                <w:i w:val="0"/>
                <w:iCs w:val="0"/>
                <w:color w:val="auto"/>
                <w:sz w:val="24"/>
                <w:szCs w:val="24"/>
                <w:highlight w:val="none"/>
                <w:lang w:val="en-US" w:eastAsia="zh-CN"/>
              </w:rPr>
              <w:t>，</w:t>
            </w:r>
            <w:r>
              <w:rPr>
                <w:rFonts w:hint="eastAsia" w:cs="Times New Roman"/>
                <w:i w:val="0"/>
                <w:iCs w:val="0"/>
                <w:color w:val="auto"/>
                <w:sz w:val="24"/>
                <w:szCs w:val="24"/>
                <w:highlight w:val="none"/>
                <w:lang w:val="en-US" w:eastAsia="zh-CN"/>
              </w:rPr>
              <w:t>不在规划园区内，故需对其进行空间符合性分析及管控要求符合性分析。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Times New Roman"/>
                <w:b/>
                <w:color w:val="auto"/>
                <w:sz w:val="24"/>
                <w:szCs w:val="24"/>
                <w:highlight w:val="none"/>
              </w:rPr>
            </w:pPr>
            <w:r>
              <w:rPr>
                <w:rFonts w:hint="eastAsia" w:cs="Times New Roman"/>
                <w:b/>
                <w:color w:val="auto"/>
                <w:sz w:val="24"/>
                <w:szCs w:val="24"/>
                <w:highlight w:val="none"/>
              </w:rPr>
              <w:t>（1）《关于落实生态保护红线、环境质量底线、资源利用上线 制定生态环境准入清单实施生态环境分区管控的通知》（川府发〔2020〕9 号）符合性分析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rPr>
            </w:pPr>
            <w:r>
              <w:rPr>
                <w:rFonts w:hint="eastAsia" w:cs="Times New Roman"/>
                <w:color w:val="auto"/>
                <w:sz w:val="24"/>
                <w:szCs w:val="24"/>
                <w:highlight w:val="none"/>
              </w:rPr>
              <w:t>根据四川省人民政府《关于落实生态保护红线、环境质量底线、资源利用上线制定生态环境准入清单实施生态环境分区管控的通知》（川府发〔2020〕9 号）。本项目位于</w:t>
            </w:r>
            <w:r>
              <w:rPr>
                <w:rFonts w:hint="eastAsia" w:cs="Times New Roman"/>
                <w:color w:val="auto"/>
                <w:sz w:val="24"/>
                <w:szCs w:val="24"/>
                <w:highlight w:val="none"/>
                <w:lang w:val="en-US" w:eastAsia="zh-CN"/>
              </w:rPr>
              <w:t>大竹县文星镇龙门村8组</w:t>
            </w:r>
            <w:r>
              <w:rPr>
                <w:rFonts w:hint="eastAsia" w:cs="Times New Roman"/>
                <w:color w:val="auto"/>
                <w:sz w:val="24"/>
                <w:szCs w:val="24"/>
                <w:highlight w:val="none"/>
              </w:rPr>
              <w:t>，为</w:t>
            </w:r>
            <w:r>
              <w:rPr>
                <w:rFonts w:hint="eastAsia" w:cs="Times New Roman"/>
                <w:color w:val="auto"/>
                <w:sz w:val="24"/>
                <w:szCs w:val="24"/>
                <w:highlight w:val="none"/>
                <w:lang w:val="en-US" w:eastAsia="zh-CN"/>
              </w:rPr>
              <w:t>重点</w:t>
            </w:r>
            <w:r>
              <w:rPr>
                <w:rFonts w:hint="eastAsia"/>
                <w:color w:val="auto"/>
                <w:sz w:val="24"/>
                <w:szCs w:val="24"/>
                <w:lang w:val="en-US" w:eastAsia="zh-CN"/>
              </w:rPr>
              <w:t>管控单元</w:t>
            </w:r>
            <w:r>
              <w:rPr>
                <w:rFonts w:hint="eastAsia" w:cs="Times New Roman"/>
                <w:color w:val="auto"/>
                <w:sz w:val="24"/>
                <w:szCs w:val="24"/>
                <w:highlight w:val="none"/>
              </w:rPr>
              <w:t>，所在区域属于川东北经济区。本项目与四川省生态环境分区管控情况相符性分析见表1-</w:t>
            </w:r>
            <w:r>
              <w:rPr>
                <w:rFonts w:hint="eastAsia" w:cs="Times New Roman"/>
                <w:color w:val="auto"/>
                <w:sz w:val="24"/>
                <w:szCs w:val="24"/>
                <w:highlight w:val="none"/>
                <w:lang w:val="en-US" w:eastAsia="zh-CN"/>
              </w:rPr>
              <w:t>5</w:t>
            </w:r>
            <w:r>
              <w:rPr>
                <w:rFonts w:hint="eastAsia"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s="Times New Roman"/>
                <w:b/>
                <w:bCs/>
                <w:color w:val="auto"/>
                <w:sz w:val="24"/>
                <w:szCs w:val="24"/>
                <w:highlight w:val="none"/>
              </w:rPr>
            </w:pPr>
            <w:r>
              <w:rPr>
                <w:rFonts w:hint="eastAsia" w:cs="Times New Roman"/>
                <w:b/>
                <w:bCs/>
                <w:color w:val="auto"/>
                <w:sz w:val="24"/>
                <w:szCs w:val="24"/>
                <w:highlight w:val="none"/>
              </w:rPr>
              <w:t>表1-</w:t>
            </w:r>
            <w:r>
              <w:rPr>
                <w:rFonts w:hint="eastAsia" w:cs="Times New Roman"/>
                <w:b/>
                <w:bCs/>
                <w:color w:val="auto"/>
                <w:sz w:val="24"/>
                <w:szCs w:val="24"/>
                <w:highlight w:val="none"/>
                <w:lang w:val="en-US" w:eastAsia="zh-CN"/>
              </w:rPr>
              <w:t>5</w:t>
            </w:r>
            <w:r>
              <w:rPr>
                <w:rFonts w:hint="eastAsia" w:cs="Times New Roman"/>
                <w:b/>
                <w:bCs/>
                <w:color w:val="auto"/>
                <w:sz w:val="24"/>
                <w:szCs w:val="24"/>
                <w:highlight w:val="none"/>
              </w:rPr>
              <w:t xml:space="preserve">  项目与四川省生态环境分区管控情况相符性分析</w:t>
            </w:r>
          </w:p>
          <w:tbl>
            <w:tblPr>
              <w:tblStyle w:val="23"/>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9"/>
              <w:gridCol w:w="3835"/>
              <w:gridCol w:w="21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91" w:type="pct"/>
                  <w:tcBorders>
                    <w:tl2br w:val="nil"/>
                    <w:tr2bl w:val="nil"/>
                  </w:tcBorders>
                  <w:noWrap w:val="0"/>
                  <w:vAlign w:val="center"/>
                </w:tcPr>
                <w:p>
                  <w:pPr>
                    <w:spacing w:line="240" w:lineRule="auto"/>
                    <w:jc w:val="center"/>
                    <w:rPr>
                      <w:rFonts w:hint="eastAsia"/>
                      <w:b/>
                      <w:bCs/>
                      <w:color w:val="auto"/>
                      <w:sz w:val="21"/>
                      <w:szCs w:val="21"/>
                    </w:rPr>
                  </w:pPr>
                  <w:r>
                    <w:rPr>
                      <w:rFonts w:hint="eastAsia"/>
                      <w:b/>
                      <w:bCs/>
                      <w:color w:val="auto"/>
                      <w:sz w:val="21"/>
                      <w:szCs w:val="21"/>
                    </w:rPr>
                    <w:t>环境管控单元类型</w:t>
                  </w:r>
                </w:p>
              </w:tc>
              <w:tc>
                <w:tcPr>
                  <w:tcW w:w="2393" w:type="pct"/>
                  <w:tcBorders>
                    <w:tl2br w:val="nil"/>
                    <w:tr2bl w:val="nil"/>
                  </w:tcBorders>
                  <w:noWrap w:val="0"/>
                  <w:vAlign w:val="center"/>
                </w:tcPr>
                <w:p>
                  <w:pPr>
                    <w:spacing w:line="240" w:lineRule="auto"/>
                    <w:jc w:val="center"/>
                    <w:rPr>
                      <w:rFonts w:hint="eastAsia"/>
                      <w:b/>
                      <w:bCs/>
                      <w:color w:val="auto"/>
                      <w:sz w:val="21"/>
                      <w:szCs w:val="21"/>
                    </w:rPr>
                  </w:pPr>
                  <w:r>
                    <w:rPr>
                      <w:rFonts w:hint="eastAsia"/>
                      <w:b/>
                      <w:bCs/>
                      <w:color w:val="auto"/>
                      <w:sz w:val="21"/>
                      <w:szCs w:val="21"/>
                    </w:rPr>
                    <w:t>总体生态环境管控要求</w:t>
                  </w:r>
                </w:p>
              </w:tc>
              <w:tc>
                <w:tcPr>
                  <w:tcW w:w="1314" w:type="pct"/>
                  <w:tcBorders>
                    <w:tl2br w:val="nil"/>
                    <w:tr2bl w:val="nil"/>
                  </w:tcBorders>
                  <w:noWrap w:val="0"/>
                  <w:vAlign w:val="center"/>
                </w:tcPr>
                <w:p>
                  <w:pPr>
                    <w:spacing w:line="240" w:lineRule="auto"/>
                    <w:jc w:val="center"/>
                    <w:rPr>
                      <w:rFonts w:hint="eastAsia"/>
                      <w:b/>
                      <w:bCs/>
                      <w:color w:val="auto"/>
                      <w:sz w:val="21"/>
                      <w:szCs w:val="21"/>
                    </w:rPr>
                  </w:pPr>
                  <w:r>
                    <w:rPr>
                      <w:rFonts w:hint="eastAsia"/>
                      <w:b/>
                      <w:bCs/>
                      <w:color w:val="auto"/>
                      <w:sz w:val="21"/>
                      <w:szCs w:val="21"/>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91" w:type="pct"/>
                  <w:tcBorders>
                    <w:tl2br w:val="nil"/>
                    <w:tr2bl w:val="nil"/>
                  </w:tcBorders>
                  <w:noWrap w:val="0"/>
                  <w:vAlign w:val="center"/>
                </w:tcPr>
                <w:p>
                  <w:pPr>
                    <w:spacing w:line="240" w:lineRule="auto"/>
                    <w:jc w:val="center"/>
                    <w:rPr>
                      <w:rFonts w:hint="eastAsia"/>
                      <w:color w:val="auto"/>
                      <w:sz w:val="21"/>
                      <w:szCs w:val="21"/>
                    </w:rPr>
                  </w:pPr>
                  <w:r>
                    <w:rPr>
                      <w:rFonts w:hint="eastAsia"/>
                      <w:color w:val="auto"/>
                      <w:sz w:val="21"/>
                      <w:szCs w:val="21"/>
                    </w:rPr>
                    <w:t>优先保护单元</w:t>
                  </w:r>
                </w:p>
              </w:tc>
              <w:tc>
                <w:tcPr>
                  <w:tcW w:w="2393" w:type="pct"/>
                  <w:tcBorders>
                    <w:tl2br w:val="nil"/>
                    <w:tr2bl w:val="nil"/>
                  </w:tcBorders>
                  <w:noWrap w:val="0"/>
                  <w:vAlign w:val="center"/>
                </w:tcPr>
                <w:p>
                  <w:pPr>
                    <w:spacing w:line="240" w:lineRule="auto"/>
                    <w:jc w:val="center"/>
                    <w:rPr>
                      <w:rFonts w:hint="eastAsia"/>
                      <w:color w:val="auto"/>
                      <w:sz w:val="21"/>
                      <w:szCs w:val="21"/>
                    </w:rPr>
                  </w:pPr>
                  <w:r>
                    <w:rPr>
                      <w:rFonts w:hint="eastAsia"/>
                      <w:color w:val="auto"/>
                      <w:sz w:val="21"/>
                      <w:szCs w:val="21"/>
                    </w:rPr>
                    <w:t>优先保护单元中，应以生态环境保护优先为原则，严格执行相关法律、法规要求，严守生态环境质量底线，确保生态环境功能不降低。</w:t>
                  </w:r>
                </w:p>
              </w:tc>
              <w:tc>
                <w:tcPr>
                  <w:tcW w:w="1314" w:type="pct"/>
                  <w:vMerge w:val="restart"/>
                  <w:tcBorders>
                    <w:tl2br w:val="nil"/>
                    <w:tr2bl w:val="nil"/>
                  </w:tcBorders>
                  <w:noWrap w:val="0"/>
                  <w:vAlign w:val="center"/>
                </w:tcPr>
                <w:p>
                  <w:pPr>
                    <w:spacing w:line="240" w:lineRule="auto"/>
                    <w:jc w:val="center"/>
                    <w:rPr>
                      <w:rFonts w:hint="eastAsia"/>
                      <w:color w:val="auto"/>
                      <w:sz w:val="21"/>
                      <w:szCs w:val="21"/>
                    </w:rPr>
                  </w:pPr>
                  <w:r>
                    <w:rPr>
                      <w:rFonts w:hint="eastAsia"/>
                      <w:color w:val="auto"/>
                      <w:sz w:val="21"/>
                      <w:szCs w:val="21"/>
                    </w:rPr>
                    <w:t>本项目</w:t>
                  </w:r>
                  <w:r>
                    <w:rPr>
                      <w:rFonts w:hint="eastAsia"/>
                      <w:color w:val="auto"/>
                      <w:sz w:val="21"/>
                      <w:szCs w:val="21"/>
                      <w:lang w:val="en-US" w:eastAsia="zh-CN"/>
                    </w:rPr>
                    <w:t>位于重点管控单元，项目</w:t>
                  </w:r>
                  <w:r>
                    <w:rPr>
                      <w:rFonts w:hint="eastAsia" w:eastAsia="宋体"/>
                      <w:color w:val="auto"/>
                      <w:sz w:val="21"/>
                      <w:szCs w:val="21"/>
                      <w:lang w:val="en-US" w:eastAsia="zh-CN"/>
                    </w:rPr>
                    <w:t>位于达标区域，建设单位</w:t>
                  </w:r>
                  <w:r>
                    <w:rPr>
                      <w:rFonts w:hint="eastAsia"/>
                      <w:bCs/>
                      <w:color w:val="auto"/>
                      <w:sz w:val="21"/>
                      <w:szCs w:val="21"/>
                      <w:highlight w:val="none"/>
                      <w:vertAlign w:val="baseline"/>
                      <w:lang w:val="en-US" w:eastAsia="zh-CN" w:bidi="en-US"/>
                    </w:rPr>
                    <w:t>在采取本项目提出的环保措施后，废水、废气、噪声能够达标排放，固废能够得到妥善处置，能够落实生态环境保护基本要求。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1" w:type="pct"/>
                  <w:tcBorders>
                    <w:tl2br w:val="nil"/>
                    <w:tr2bl w:val="nil"/>
                  </w:tcBorders>
                  <w:noWrap w:val="0"/>
                  <w:vAlign w:val="center"/>
                </w:tcPr>
                <w:p>
                  <w:pPr>
                    <w:spacing w:line="240" w:lineRule="auto"/>
                    <w:jc w:val="center"/>
                    <w:rPr>
                      <w:rFonts w:hint="eastAsia"/>
                      <w:color w:val="auto"/>
                      <w:sz w:val="21"/>
                      <w:szCs w:val="21"/>
                    </w:rPr>
                  </w:pPr>
                  <w:r>
                    <w:rPr>
                      <w:rFonts w:hint="eastAsia"/>
                      <w:color w:val="auto"/>
                      <w:sz w:val="21"/>
                      <w:szCs w:val="21"/>
                    </w:rPr>
                    <w:t>重点管控单元</w:t>
                  </w:r>
                </w:p>
              </w:tc>
              <w:tc>
                <w:tcPr>
                  <w:tcW w:w="2393" w:type="pct"/>
                  <w:tcBorders>
                    <w:tl2br w:val="nil"/>
                    <w:tr2bl w:val="nil"/>
                  </w:tcBorders>
                  <w:noWrap w:val="0"/>
                  <w:vAlign w:val="center"/>
                </w:tcPr>
                <w:p>
                  <w:pPr>
                    <w:spacing w:line="240" w:lineRule="auto"/>
                    <w:jc w:val="center"/>
                    <w:rPr>
                      <w:rFonts w:hint="eastAsia"/>
                      <w:color w:val="auto"/>
                      <w:sz w:val="21"/>
                      <w:szCs w:val="21"/>
                    </w:rPr>
                  </w:pPr>
                  <w:r>
                    <w:rPr>
                      <w:rFonts w:hint="eastAsia"/>
                      <w:color w:val="auto"/>
                      <w:sz w:val="21"/>
                      <w:szCs w:val="21"/>
                    </w:rPr>
                    <w:t>重点管控单元中，针对环境质量是否达标以及经济社会发展水平等因素制定别化的生态环境准入要求。对环境质量不达标区域，环境质量不达标区域，提出污染物削减比例要求，对环境质量达标区域，提出允许排放量建议指标。</w:t>
                  </w:r>
                </w:p>
              </w:tc>
              <w:tc>
                <w:tcPr>
                  <w:tcW w:w="1314" w:type="pct"/>
                  <w:vMerge w:val="continue"/>
                  <w:tcBorders>
                    <w:tl2br w:val="nil"/>
                    <w:tr2bl w:val="nil"/>
                  </w:tcBorders>
                  <w:noWrap w:val="0"/>
                  <w:vAlign w:val="center"/>
                </w:tcPr>
                <w:p>
                  <w:pPr>
                    <w:spacing w:line="240" w:lineRule="auto"/>
                    <w:jc w:val="center"/>
                    <w:rPr>
                      <w:rFonts w:hint="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91" w:type="pct"/>
                  <w:tcBorders>
                    <w:tl2br w:val="nil"/>
                    <w:tr2bl w:val="nil"/>
                  </w:tcBorders>
                  <w:noWrap w:val="0"/>
                  <w:vAlign w:val="center"/>
                </w:tcPr>
                <w:p>
                  <w:pPr>
                    <w:spacing w:line="240" w:lineRule="auto"/>
                    <w:jc w:val="center"/>
                    <w:rPr>
                      <w:rFonts w:hint="eastAsia"/>
                      <w:color w:val="auto"/>
                      <w:sz w:val="21"/>
                      <w:szCs w:val="21"/>
                    </w:rPr>
                  </w:pPr>
                  <w:r>
                    <w:rPr>
                      <w:rFonts w:hint="eastAsia"/>
                      <w:color w:val="auto"/>
                      <w:sz w:val="21"/>
                      <w:szCs w:val="21"/>
                    </w:rPr>
                    <w:t>一般管控单元</w:t>
                  </w:r>
                </w:p>
              </w:tc>
              <w:tc>
                <w:tcPr>
                  <w:tcW w:w="2393" w:type="pct"/>
                  <w:tcBorders>
                    <w:tl2br w:val="nil"/>
                    <w:tr2bl w:val="nil"/>
                  </w:tcBorders>
                  <w:noWrap w:val="0"/>
                  <w:vAlign w:val="center"/>
                </w:tcPr>
                <w:p>
                  <w:pPr>
                    <w:spacing w:line="240" w:lineRule="auto"/>
                    <w:jc w:val="center"/>
                    <w:rPr>
                      <w:rFonts w:hint="eastAsia"/>
                      <w:color w:val="auto"/>
                      <w:sz w:val="21"/>
                      <w:szCs w:val="21"/>
                    </w:rPr>
                  </w:pPr>
                  <w:r>
                    <w:rPr>
                      <w:rFonts w:hint="eastAsia"/>
                      <w:color w:val="auto"/>
                      <w:sz w:val="21"/>
                      <w:szCs w:val="21"/>
                    </w:rPr>
                    <w:t>一般管控单元中，执行区域生态环境保护的基本要求。重点加强农业、生活等领域污染治理。</w:t>
                  </w:r>
                </w:p>
              </w:tc>
              <w:tc>
                <w:tcPr>
                  <w:tcW w:w="1314" w:type="pct"/>
                  <w:vMerge w:val="continue"/>
                  <w:tcBorders>
                    <w:tl2br w:val="nil"/>
                    <w:tr2bl w:val="nil"/>
                  </w:tcBorders>
                  <w:noWrap w:val="0"/>
                  <w:vAlign w:val="center"/>
                </w:tcPr>
                <w:p>
                  <w:pPr>
                    <w:spacing w:line="240" w:lineRule="auto"/>
                    <w:jc w:val="center"/>
                    <w:rPr>
                      <w:rFonts w:hint="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91" w:type="pct"/>
                  <w:tcBorders>
                    <w:tl2br w:val="nil"/>
                    <w:tr2bl w:val="nil"/>
                  </w:tcBorders>
                  <w:noWrap w:val="0"/>
                  <w:vAlign w:val="center"/>
                </w:tcPr>
                <w:p>
                  <w:pPr>
                    <w:spacing w:line="240" w:lineRule="auto"/>
                    <w:jc w:val="center"/>
                    <w:rPr>
                      <w:rFonts w:hint="eastAsia"/>
                      <w:b/>
                      <w:bCs/>
                      <w:color w:val="auto"/>
                      <w:sz w:val="21"/>
                      <w:szCs w:val="21"/>
                    </w:rPr>
                  </w:pPr>
                  <w:r>
                    <w:rPr>
                      <w:rFonts w:hint="eastAsia"/>
                      <w:b/>
                      <w:bCs/>
                      <w:color w:val="auto"/>
                      <w:sz w:val="21"/>
                      <w:szCs w:val="21"/>
                    </w:rPr>
                    <w:t>区域</w:t>
                  </w:r>
                </w:p>
              </w:tc>
              <w:tc>
                <w:tcPr>
                  <w:tcW w:w="2393" w:type="pct"/>
                  <w:tcBorders>
                    <w:tl2br w:val="nil"/>
                    <w:tr2bl w:val="nil"/>
                  </w:tcBorders>
                  <w:noWrap w:val="0"/>
                  <w:vAlign w:val="center"/>
                </w:tcPr>
                <w:p>
                  <w:pPr>
                    <w:spacing w:line="240" w:lineRule="auto"/>
                    <w:jc w:val="center"/>
                    <w:rPr>
                      <w:rFonts w:hint="eastAsia"/>
                      <w:b/>
                      <w:bCs/>
                      <w:color w:val="auto"/>
                      <w:sz w:val="21"/>
                      <w:szCs w:val="21"/>
                    </w:rPr>
                  </w:pPr>
                  <w:r>
                    <w:rPr>
                      <w:rFonts w:hint="eastAsia"/>
                      <w:b/>
                      <w:bCs/>
                      <w:color w:val="auto"/>
                      <w:sz w:val="21"/>
                      <w:szCs w:val="21"/>
                    </w:rPr>
                    <w:t>总体生态环境管控要求</w:t>
                  </w:r>
                </w:p>
              </w:tc>
              <w:tc>
                <w:tcPr>
                  <w:tcW w:w="1314" w:type="pct"/>
                  <w:tcBorders>
                    <w:tl2br w:val="nil"/>
                    <w:tr2bl w:val="nil"/>
                  </w:tcBorders>
                  <w:noWrap w:val="0"/>
                  <w:vAlign w:val="center"/>
                </w:tcPr>
                <w:p>
                  <w:pPr>
                    <w:spacing w:line="240" w:lineRule="auto"/>
                    <w:jc w:val="center"/>
                    <w:rPr>
                      <w:rFonts w:hint="eastAsia"/>
                      <w:b/>
                      <w:bCs/>
                      <w:color w:val="auto"/>
                      <w:sz w:val="21"/>
                      <w:szCs w:val="21"/>
                    </w:rPr>
                  </w:pPr>
                  <w:r>
                    <w:rPr>
                      <w:rFonts w:hint="eastAsia"/>
                      <w:b/>
                      <w:bCs/>
                      <w:color w:val="auto"/>
                      <w:sz w:val="21"/>
                      <w:szCs w:val="21"/>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91" w:type="pct"/>
                  <w:tcBorders>
                    <w:tl2br w:val="nil"/>
                    <w:tr2bl w:val="nil"/>
                  </w:tcBorders>
                  <w:noWrap w:val="0"/>
                  <w:vAlign w:val="center"/>
                </w:tcPr>
                <w:p>
                  <w:pPr>
                    <w:spacing w:line="240" w:lineRule="auto"/>
                    <w:jc w:val="center"/>
                    <w:rPr>
                      <w:rFonts w:hint="eastAsia"/>
                      <w:color w:val="auto"/>
                      <w:sz w:val="21"/>
                      <w:szCs w:val="21"/>
                    </w:rPr>
                  </w:pPr>
                  <w:r>
                    <w:rPr>
                      <w:rFonts w:hint="eastAsia"/>
                      <w:color w:val="auto"/>
                      <w:sz w:val="21"/>
                      <w:szCs w:val="21"/>
                    </w:rPr>
                    <w:t>川东北经济区</w:t>
                  </w:r>
                </w:p>
              </w:tc>
              <w:tc>
                <w:tcPr>
                  <w:tcW w:w="2393" w:type="pct"/>
                  <w:tcBorders>
                    <w:tl2br w:val="nil"/>
                    <w:tr2bl w:val="nil"/>
                  </w:tcBorders>
                  <w:noWrap w:val="0"/>
                  <w:vAlign w:val="center"/>
                </w:tcPr>
                <w:p>
                  <w:pPr>
                    <w:spacing w:line="240" w:lineRule="auto"/>
                    <w:jc w:val="left"/>
                    <w:rPr>
                      <w:rFonts w:hint="eastAsia"/>
                      <w:color w:val="auto"/>
                      <w:sz w:val="21"/>
                      <w:szCs w:val="21"/>
                    </w:rPr>
                  </w:pPr>
                  <w:r>
                    <w:rPr>
                      <w:rFonts w:hint="eastAsia"/>
                      <w:color w:val="auto"/>
                      <w:sz w:val="21"/>
                      <w:szCs w:val="21"/>
                    </w:rPr>
                    <w:t>①控制农村面源污染，提高废水收集处理率，加快乡镇污水处理基础设施建设。</w:t>
                  </w:r>
                </w:p>
                <w:p>
                  <w:pPr>
                    <w:spacing w:line="240" w:lineRule="auto"/>
                    <w:jc w:val="left"/>
                    <w:rPr>
                      <w:rFonts w:hint="eastAsia"/>
                      <w:color w:val="auto"/>
                      <w:sz w:val="21"/>
                      <w:szCs w:val="21"/>
                    </w:rPr>
                  </w:pPr>
                  <w:r>
                    <w:rPr>
                      <w:rFonts w:hint="eastAsia"/>
                      <w:color w:val="auto"/>
                      <w:sz w:val="21"/>
                      <w:szCs w:val="21"/>
                    </w:rPr>
                    <w:t>②建设流域水环境风险联防联控体系。</w:t>
                  </w:r>
                </w:p>
                <w:p>
                  <w:pPr>
                    <w:spacing w:line="240" w:lineRule="auto"/>
                    <w:jc w:val="left"/>
                    <w:rPr>
                      <w:rFonts w:hint="eastAsia"/>
                      <w:color w:val="auto"/>
                      <w:sz w:val="21"/>
                      <w:szCs w:val="21"/>
                    </w:rPr>
                  </w:pPr>
                  <w:r>
                    <w:rPr>
                      <w:rFonts w:hint="eastAsia"/>
                      <w:color w:val="auto"/>
                      <w:sz w:val="21"/>
                      <w:szCs w:val="21"/>
                    </w:rPr>
                    <w:t>③提高大气污染治理水平。</w:t>
                  </w:r>
                </w:p>
              </w:tc>
              <w:tc>
                <w:tcPr>
                  <w:tcW w:w="1314" w:type="pct"/>
                  <w:tcBorders>
                    <w:tl2br w:val="nil"/>
                    <w:tr2bl w:val="nil"/>
                  </w:tcBorders>
                  <w:noWrap w:val="0"/>
                  <w:vAlign w:val="center"/>
                </w:tcPr>
                <w:p>
                  <w:pPr>
                    <w:spacing w:line="240" w:lineRule="auto"/>
                    <w:jc w:val="center"/>
                    <w:rPr>
                      <w:rFonts w:hint="eastAsia" w:eastAsia="宋体"/>
                      <w:color w:val="auto"/>
                      <w:sz w:val="21"/>
                      <w:szCs w:val="21"/>
                      <w:highlight w:val="none"/>
                      <w:lang w:eastAsia="zh-CN"/>
                    </w:rPr>
                  </w:pPr>
                  <w:r>
                    <w:rPr>
                      <w:rFonts w:hint="eastAsia"/>
                      <w:color w:val="auto"/>
                      <w:sz w:val="21"/>
                      <w:szCs w:val="21"/>
                      <w:highlight w:val="none"/>
                    </w:rPr>
                    <w:t>本项目</w:t>
                  </w:r>
                  <w:r>
                    <w:rPr>
                      <w:rFonts w:hint="eastAsia" w:ascii="Times New Roman" w:hAnsi="Times New Roman" w:cs="Times New Roman"/>
                      <w:color w:val="auto"/>
                      <w:sz w:val="21"/>
                      <w:szCs w:val="21"/>
                      <w:highlight w:val="none"/>
                      <w:lang w:val="en-US" w:eastAsia="zh-CN"/>
                    </w:rPr>
                    <w:t>生活污水</w:t>
                  </w:r>
                  <w:r>
                    <w:rPr>
                      <w:rFonts w:hint="eastAsia" w:cs="Times New Roman"/>
                      <w:color w:val="auto"/>
                      <w:sz w:val="21"/>
                      <w:szCs w:val="21"/>
                      <w:highlight w:val="none"/>
                      <w:lang w:val="en-US" w:eastAsia="zh-CN"/>
                    </w:rPr>
                    <w:t>（食堂废水先经隔油池处理）经旱厕处理后用作周边农田农肥</w:t>
                  </w:r>
                  <w:r>
                    <w:rPr>
                      <w:rFonts w:hint="eastAsia"/>
                      <w:color w:val="auto"/>
                      <w:sz w:val="21"/>
                      <w:szCs w:val="21"/>
                      <w:highlight w:val="none"/>
                      <w:lang w:val="en-US" w:eastAsia="zh-CN"/>
                    </w:rPr>
                    <w:t>，生产废水循环使用，不外排</w:t>
                  </w:r>
                  <w:r>
                    <w:rPr>
                      <w:rFonts w:hint="eastAsia"/>
                      <w:color w:val="auto"/>
                      <w:sz w:val="21"/>
                      <w:szCs w:val="21"/>
                      <w:highlight w:val="none"/>
                      <w:lang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rPr>
            </w:pPr>
            <w:r>
              <w:rPr>
                <w:rFonts w:hint="eastAsia" w:cs="Times New Roman"/>
                <w:color w:val="auto"/>
                <w:sz w:val="24"/>
                <w:szCs w:val="24"/>
                <w:highlight w:val="none"/>
              </w:rPr>
              <w:t>综上，本项目符合《关于落实生态保护红线、环境质量底线、资源利用上线制定生态环境准入清单实施生态环境分区管控的通知》（川府发〔2020〕9号）相关内容。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eastAsia="宋体" w:cs="Times New Roman"/>
                <w:b/>
                <w:bCs/>
                <w:color w:val="auto"/>
                <w:sz w:val="24"/>
                <w:szCs w:val="24"/>
                <w:highlight w:val="none"/>
                <w:lang w:eastAsia="zh-CN"/>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2</w:t>
            </w:r>
            <w:r>
              <w:rPr>
                <w:rFonts w:hint="eastAsia" w:cs="Times New Roman"/>
                <w:b/>
                <w:bCs/>
                <w:color w:val="auto"/>
                <w:sz w:val="24"/>
                <w:szCs w:val="24"/>
                <w:highlight w:val="none"/>
                <w:lang w:eastAsia="zh-CN"/>
              </w:rPr>
              <w:t>）与“三线一单”空间符合性分析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rPr>
            </w:pPr>
            <w:r>
              <w:rPr>
                <w:rFonts w:hint="eastAsia" w:cs="Times New Roman"/>
                <w:color w:val="auto"/>
                <w:sz w:val="24"/>
                <w:szCs w:val="24"/>
                <w:highlight w:val="none"/>
              </w:rPr>
              <w:t>根据《长江经济带战略环境评价四川省达州市“三线一单”生态环境分区管控优化完善研究报告》，达州市生态保护红线面积1214.56km</w:t>
            </w:r>
            <w:r>
              <w:rPr>
                <w:rFonts w:hint="eastAsia" w:cs="Times New Roman"/>
                <w:color w:val="auto"/>
                <w:sz w:val="24"/>
                <w:szCs w:val="24"/>
                <w:highlight w:val="none"/>
                <w:vertAlign w:val="superscript"/>
              </w:rPr>
              <w:t>2</w:t>
            </w:r>
            <w:r>
              <w:rPr>
                <w:rFonts w:hint="eastAsia" w:cs="Times New Roman"/>
                <w:color w:val="auto"/>
                <w:sz w:val="24"/>
                <w:szCs w:val="24"/>
                <w:highlight w:val="none"/>
              </w:rPr>
              <w:t>，占达州市国土面积比例的7.33%，与原2018年相比，面积减少了42.40km</w:t>
            </w:r>
            <w:r>
              <w:rPr>
                <w:rFonts w:hint="eastAsia" w:cs="Times New Roman"/>
                <w:color w:val="auto"/>
                <w:sz w:val="24"/>
                <w:szCs w:val="24"/>
                <w:highlight w:val="none"/>
                <w:vertAlign w:val="superscript"/>
              </w:rPr>
              <w:t>2</w:t>
            </w:r>
            <w:r>
              <w:rPr>
                <w:rFonts w:hint="eastAsia" w:cs="Times New Roman"/>
                <w:color w:val="auto"/>
                <w:sz w:val="24"/>
                <w:szCs w:val="24"/>
                <w:highlight w:val="none"/>
              </w:rPr>
              <w:t>，其中调入红线 287.98km</w:t>
            </w:r>
            <w:r>
              <w:rPr>
                <w:rFonts w:hint="eastAsia" w:cs="Times New Roman"/>
                <w:color w:val="auto"/>
                <w:sz w:val="24"/>
                <w:szCs w:val="24"/>
                <w:highlight w:val="none"/>
                <w:vertAlign w:val="superscript"/>
              </w:rPr>
              <w:t>2</w:t>
            </w:r>
            <w:r>
              <w:rPr>
                <w:rFonts w:hint="eastAsia" w:cs="Times New Roman"/>
                <w:color w:val="auto"/>
                <w:sz w:val="24"/>
                <w:szCs w:val="24"/>
                <w:highlight w:val="none"/>
              </w:rPr>
              <w:t>，调出红线330.38km</w:t>
            </w:r>
            <w:r>
              <w:rPr>
                <w:rFonts w:hint="eastAsia" w:cs="Times New Roman"/>
                <w:color w:val="auto"/>
                <w:sz w:val="24"/>
                <w:szCs w:val="24"/>
                <w:highlight w:val="none"/>
                <w:vertAlign w:val="superscript"/>
              </w:rPr>
              <w:t>2</w:t>
            </w:r>
            <w:r>
              <w:rPr>
                <w:rFonts w:hint="eastAsia" w:cs="Times New Roman"/>
                <w:color w:val="auto"/>
                <w:sz w:val="24"/>
                <w:szCs w:val="24"/>
                <w:highlight w:val="none"/>
              </w:rPr>
              <w:t>。达州市生态保护红线主要分布在大巴山和盆地区域，涉及大巴山生物多样性维护—水源涵养生态保护红线、盆中城市饮用水源—水土保持生态保护红线。达州市生态保护红线分布图见下图1-1，达州市生态空间分布图见下图1-2。</w:t>
            </w:r>
          </w:p>
          <w:p>
            <w:pPr>
              <w:autoSpaceDE w:val="0"/>
              <w:autoSpaceDN w:val="0"/>
              <w:adjustRightInd w:val="0"/>
              <w:snapToGrid w:val="0"/>
              <w:spacing w:line="360" w:lineRule="auto"/>
              <w:jc w:val="center"/>
              <w:rPr>
                <w:rFonts w:hint="eastAsia"/>
                <w:bCs/>
                <w:color w:val="auto"/>
                <w:sz w:val="24"/>
                <w:szCs w:val="24"/>
                <w:highlight w:val="none"/>
                <w:lang w:val="en-US" w:eastAsia="zh-CN" w:bidi="en-US"/>
              </w:rPr>
            </w:pPr>
            <w:r>
              <w:rPr>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528955</wp:posOffset>
                      </wp:positionH>
                      <wp:positionV relativeFrom="paragraph">
                        <wp:posOffset>1959610</wp:posOffset>
                      </wp:positionV>
                      <wp:extent cx="981075" cy="317500"/>
                      <wp:effectExtent l="4445" t="4445" r="24130" b="478155"/>
                      <wp:wrapNone/>
                      <wp:docPr id="31" name="矩形标注 31"/>
                      <wp:cNvGraphicFramePr/>
                      <a:graphic xmlns:a="http://schemas.openxmlformats.org/drawingml/2006/main">
                        <a:graphicData uri="http://schemas.microsoft.com/office/word/2010/wordprocessingShape">
                          <wps:wsp>
                            <wps:cNvSpPr>
                              <a:spLocks noChangeArrowheads="1"/>
                            </wps:cNvSpPr>
                            <wps:spPr bwMode="auto">
                              <a:xfrm>
                                <a:off x="0" y="0"/>
                                <a:ext cx="981075" cy="317500"/>
                              </a:xfrm>
                              <a:prstGeom prst="wedgeRectCallout">
                                <a:avLst>
                                  <a:gd name="adj1" fmla="val 50157"/>
                                  <a:gd name="adj2" fmla="val 191000"/>
                                </a:avLst>
                              </a:prstGeom>
                              <a:solidFill>
                                <a:srgbClr val="FFFFFF"/>
                              </a:solidFill>
                              <a:ln w="9525">
                                <a:solidFill>
                                  <a:srgbClr val="FF0000"/>
                                </a:solidFill>
                                <a:miter lim="800000"/>
                              </a:ln>
                              <a:effectLst/>
                            </wps:spPr>
                            <wps:txbx>
                              <w:txbxContent>
                                <w:p>
                                  <w:pPr>
                                    <w:jc w:val="center"/>
                                    <w:rPr>
                                      <w:rFonts w:hint="eastAsia" w:eastAsia="宋体"/>
                                      <w:color w:val="FF0000"/>
                                      <w:lang w:val="en-US" w:eastAsia="zh-CN"/>
                                    </w:rPr>
                                  </w:pPr>
                                  <w:r>
                                    <w:rPr>
                                      <w:rFonts w:hint="eastAsia"/>
                                      <w:color w:val="FF0000"/>
                                    </w:rPr>
                                    <w:t>项目所在</w:t>
                                  </w:r>
                                  <w:r>
                                    <w:rPr>
                                      <w:rFonts w:hint="eastAsia"/>
                                      <w:color w:val="FF0000"/>
                                      <w:lang w:val="en-US" w:eastAsia="zh-CN"/>
                                    </w:rPr>
                                    <w:t>地</w:t>
                                  </w:r>
                                </w:p>
                              </w:txbxContent>
                            </wps:txbx>
                            <wps:bodyPr rot="0" vert="horz" wrap="square" lIns="91440" tIns="45720" rIns="91440" bIns="45720" anchor="t" anchorCtr="0" upright="1">
                              <a:noAutofit/>
                            </wps:bodyPr>
                          </wps:wsp>
                        </a:graphicData>
                      </a:graphic>
                    </wp:anchor>
                  </w:drawing>
                </mc:Choice>
                <mc:Fallback>
                  <w:pict>
                    <v:shape id="_x0000_s1026" o:spid="_x0000_s1026" o:spt="61" type="#_x0000_t61" style="position:absolute;left:0pt;margin-left:41.65pt;margin-top:154.3pt;height:25pt;width:77.25pt;z-index:251661312;mso-width-relative:page;mso-height-relative:page;" fillcolor="#FFFFFF" filled="t" stroked="t" coordsize="21600,21600" o:gfxdata="UEsDBAoAAAAAAIdO4kAAAAAAAAAAAAAAAAAEAAAAZHJzL1BLAwQUAAAACACHTuJA+muiDtkAAAAK&#10;AQAADwAAAGRycy9kb3ducmV2LnhtbE2PwU7DMBBE70j9B2srcaN2GlGiEKcSiFwQQqLhA5zYTVLs&#10;dRq7aeHrWU70uLOjmTfF9uIsm80UBo8SkpUAZrD1esBOwmdd3WXAQlSolfVoJHybANtycVOoXPsz&#10;fph5FztGIRhyJaGPccw5D21vnAorPxqk395PTkU6p47rSZ0p3Fm+FmLDnRqQGno1mufetF+7k5OQ&#10;vdX7+f2lOT4lc3WsLD+81ocfKW+XiXgEFs0l/pvhD5/QoSSmxp9QB2YpI03JKSEV2QYYGdbpA21p&#10;SLknhZcFv55Q/gJQSwMEFAAAAAgAh07iQDrGXah0AgAA7QQAAA4AAABkcnMvZTJvRG9jLnhtbK1U&#10;wXLTMBC9M8M/aHSnttOYtJk4nU46ZZgp0KHwAYos2wJJKyQlTvkBPgOGE5w58zmU32AtOyEplx7w&#10;wSNpV2/f2+f17GyjFVkL5yWYgmZHKSXCcCilqQv69s3lkxNKfGCmZAqMKOit8PRs/vjRrLVTMYIG&#10;VCkcQRDjp60taBOCnSaJ543QzB+BFQaDFTjNAm5dnZSOtYiuVTJK06dJC660DrjwHk8v+iAdEN1D&#10;AKGqJBcXwFdamNCjOqFYQEm+kdbTeWRbVYKHV1XlRSCqoKg0xDcWwfWyeyfzGZvWjtlG8oECewiF&#10;e5o0kwaL7qAuWGBk5eQ/UFpyBx6qcMRBJ72Q2BFUkaX3enPTMCuiFmy1t7um+/8Hy1+urx2RZUGP&#10;M0oM0+j478/ff/38evfl092PbwSPsUet9VNMvbHXrlPp7RXw954YWDTM1OLcOWgbwUpkFvOTgwvd&#10;xuNVsmxfQIkV2CpAbNemcroDxEaQTXTldueK2ATC8fD0JEsnOSUcQ8fZJE+jawmbbi9b58MzAZp0&#10;i4K2oqzFa3R+wZSCVYiF2PrKh2hQOahk5TtUXGmFfq+ZInma5ZPhe9jLGe3nZKdZuis/QCKRLYHY&#10;GlCyvJRKxY2rlwvlCOIX9DI+XQW84vfTlCEt6sxHeeR6EPOHEFh+K/8gTcuAU6mkLuhJl7NNUqbj&#10;IeIkYAe64ls3elfDZrkZDF5CeYsmOeinBP8RuGjAfaSkxQkpqP+wYk5Qop4bNPo0G4+7kYqbcT4Z&#10;4cbtR5b7EWY4QhU0UNIvF6Efw5V1sm6wUhbFGzjHj6OSO6o9q4E3TkFs3zCx3Zjt72PW37/U/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6a6IO2QAAAAoBAAAPAAAAAAAAAAEAIAAAACIAAABkcnMv&#10;ZG93bnJldi54bWxQSwECFAAUAAAACACHTuJAOsZdqHQCAADtBAAADgAAAAAAAAABACAAAAAoAQAA&#10;ZHJzL2Uyb0RvYy54bWxQSwUGAAAAAAYABgBZAQAADgYAAAAA&#10;" adj="21634,52056">
                      <v:fill on="t" focussize="0,0"/>
                      <v:stroke color="#FF0000" miterlimit="8" joinstyle="miter"/>
                      <v:imagedata o:title=""/>
                      <o:lock v:ext="edit" aspectratio="f"/>
                      <v:textbox>
                        <w:txbxContent>
                          <w:p>
                            <w:pPr>
                              <w:jc w:val="center"/>
                              <w:rPr>
                                <w:rFonts w:hint="eastAsia" w:eastAsia="宋体"/>
                                <w:color w:val="FF0000"/>
                                <w:lang w:val="en-US" w:eastAsia="zh-CN"/>
                              </w:rPr>
                            </w:pPr>
                            <w:r>
                              <w:rPr>
                                <w:rFonts w:hint="eastAsia"/>
                                <w:color w:val="FF0000"/>
                              </w:rPr>
                              <w:t>项目所在</w:t>
                            </w:r>
                            <w:r>
                              <w:rPr>
                                <w:rFonts w:hint="eastAsia"/>
                                <w:color w:val="FF0000"/>
                                <w:lang w:val="en-US" w:eastAsia="zh-CN"/>
                              </w:rPr>
                              <w:t>地</w:t>
                            </w:r>
                          </w:p>
                        </w:txbxContent>
                      </v:textbox>
                    </v:shape>
                  </w:pict>
                </mc:Fallback>
              </mc:AlternateContent>
            </w:r>
            <w:r>
              <w:rPr>
                <w:rFonts w:ascii="Times New Roman" w:hAnsi="Times New Roman" w:eastAsia="仿宋_GB2312" w:cs="Times New Roman"/>
                <w:color w:val="auto"/>
                <w:spacing w:val="-4"/>
                <w:sz w:val="24"/>
                <w:szCs w:val="24"/>
                <w:highlight w:val="none"/>
              </w:rPr>
              <w:drawing>
                <wp:inline distT="0" distB="0" distL="0" distR="0">
                  <wp:extent cx="4545330" cy="3211195"/>
                  <wp:effectExtent l="0" t="0" r="7620" b="8255"/>
                  <wp:docPr id="10326" name="图片 10326" descr="G:\1\达州成果\现阶段成果\达州5月出图\生态保护红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 name="图片 10326" descr="G:\1\达州成果\现阶段成果\达州5月出图\生态保护红线.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545330" cy="3211195"/>
                          </a:xfrm>
                          <a:prstGeom prst="rect">
                            <a:avLst/>
                          </a:prstGeom>
                          <a:noFill/>
                          <a:ln>
                            <a:noFill/>
                          </a:ln>
                        </pic:spPr>
                      </pic:pic>
                    </a:graphicData>
                  </a:graphic>
                </wp:inline>
              </w:drawing>
            </w:r>
          </w:p>
          <w:p>
            <w:pPr>
              <w:spacing w:line="360" w:lineRule="auto"/>
              <w:jc w:val="center"/>
              <w:rPr>
                <w:rFonts w:hint="eastAsia" w:ascii="Times New Roman" w:hAnsi="Times New Roman" w:eastAsia="宋体"/>
                <w:b/>
                <w:color w:val="auto"/>
                <w:sz w:val="24"/>
                <w:szCs w:val="24"/>
                <w:highlight w:val="none"/>
              </w:rPr>
            </w:pPr>
            <w:r>
              <w:rPr>
                <w:rFonts w:hint="eastAsia" w:ascii="Times New Roman" w:hAnsi="Times New Roman" w:eastAsia="宋体"/>
                <w:b/>
                <w:color w:val="auto"/>
                <w:sz w:val="24"/>
                <w:szCs w:val="24"/>
                <w:highlight w:val="none"/>
              </w:rPr>
              <w:t>图1-</w:t>
            </w:r>
            <w:r>
              <w:rPr>
                <w:rFonts w:hint="eastAsia" w:ascii="Times New Roman" w:hAnsi="Times New Roman" w:eastAsia="宋体"/>
                <w:b/>
                <w:color w:val="auto"/>
                <w:sz w:val="24"/>
                <w:szCs w:val="24"/>
                <w:highlight w:val="none"/>
                <w:lang w:val="en-US" w:eastAsia="zh-CN"/>
              </w:rPr>
              <w:t>1</w:t>
            </w:r>
            <w:r>
              <w:rPr>
                <w:rFonts w:hint="eastAsia" w:ascii="Times New Roman" w:hAnsi="Times New Roman" w:eastAsia="宋体"/>
                <w:b/>
                <w:color w:val="auto"/>
                <w:sz w:val="24"/>
                <w:szCs w:val="24"/>
                <w:highlight w:val="none"/>
              </w:rPr>
              <w:t xml:space="preserve"> 项目与</w:t>
            </w:r>
            <w:r>
              <w:rPr>
                <w:rFonts w:hint="eastAsia" w:ascii="Times New Roman" w:hAnsi="Times New Roman" w:eastAsia="宋体"/>
                <w:b/>
                <w:color w:val="auto"/>
                <w:sz w:val="24"/>
                <w:szCs w:val="24"/>
                <w:highlight w:val="none"/>
                <w:lang w:val="en-US" w:eastAsia="zh-CN"/>
              </w:rPr>
              <w:t>达州</w:t>
            </w:r>
            <w:r>
              <w:rPr>
                <w:rFonts w:hint="eastAsia" w:ascii="Times New Roman" w:hAnsi="Times New Roman" w:eastAsia="宋体"/>
                <w:b/>
                <w:color w:val="auto"/>
                <w:sz w:val="24"/>
                <w:szCs w:val="24"/>
                <w:highlight w:val="none"/>
              </w:rPr>
              <w:t>市生态保护红线的位置关系图</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s="Times New Roman"/>
                <w:color w:val="auto"/>
                <w:sz w:val="24"/>
                <w:szCs w:val="24"/>
                <w:highlight w:val="none"/>
              </w:rPr>
            </w:pPr>
            <w:r>
              <w:rPr>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548005</wp:posOffset>
                      </wp:positionH>
                      <wp:positionV relativeFrom="paragraph">
                        <wp:posOffset>1836420</wp:posOffset>
                      </wp:positionV>
                      <wp:extent cx="981075" cy="317500"/>
                      <wp:effectExtent l="4445" t="4445" r="24130" b="478155"/>
                      <wp:wrapNone/>
                      <wp:docPr id="32" name="矩形标注 32"/>
                      <wp:cNvGraphicFramePr/>
                      <a:graphic xmlns:a="http://schemas.openxmlformats.org/drawingml/2006/main">
                        <a:graphicData uri="http://schemas.microsoft.com/office/word/2010/wordprocessingShape">
                          <wps:wsp>
                            <wps:cNvSpPr>
                              <a:spLocks noChangeArrowheads="1"/>
                            </wps:cNvSpPr>
                            <wps:spPr bwMode="auto">
                              <a:xfrm>
                                <a:off x="0" y="0"/>
                                <a:ext cx="981075" cy="317500"/>
                              </a:xfrm>
                              <a:prstGeom prst="wedgeRectCallout">
                                <a:avLst>
                                  <a:gd name="adj1" fmla="val 50157"/>
                                  <a:gd name="adj2" fmla="val 191000"/>
                                </a:avLst>
                              </a:prstGeom>
                              <a:solidFill>
                                <a:srgbClr val="FFFFFF"/>
                              </a:solidFill>
                              <a:ln w="9525">
                                <a:solidFill>
                                  <a:srgbClr val="FF0000"/>
                                </a:solidFill>
                                <a:miter lim="800000"/>
                              </a:ln>
                              <a:effectLst/>
                            </wps:spPr>
                            <wps:txbx>
                              <w:txbxContent>
                                <w:p>
                                  <w:pPr>
                                    <w:jc w:val="center"/>
                                    <w:rPr>
                                      <w:rFonts w:hint="eastAsia" w:eastAsia="宋体"/>
                                      <w:color w:val="FF0000"/>
                                      <w:lang w:val="en-US" w:eastAsia="zh-CN"/>
                                    </w:rPr>
                                  </w:pPr>
                                  <w:r>
                                    <w:rPr>
                                      <w:rFonts w:hint="eastAsia"/>
                                      <w:color w:val="FF0000"/>
                                    </w:rPr>
                                    <w:t>项目所在</w:t>
                                  </w:r>
                                  <w:r>
                                    <w:rPr>
                                      <w:rFonts w:hint="eastAsia"/>
                                      <w:color w:val="FF0000"/>
                                      <w:lang w:val="en-US" w:eastAsia="zh-CN"/>
                                    </w:rPr>
                                    <w:t>地</w:t>
                                  </w:r>
                                </w:p>
                              </w:txbxContent>
                            </wps:txbx>
                            <wps:bodyPr rot="0" vert="horz" wrap="square" lIns="91440" tIns="45720" rIns="91440" bIns="45720" anchor="t" anchorCtr="0" upright="1">
                              <a:noAutofit/>
                            </wps:bodyPr>
                          </wps:wsp>
                        </a:graphicData>
                      </a:graphic>
                    </wp:anchor>
                  </w:drawing>
                </mc:Choice>
                <mc:Fallback>
                  <w:pict>
                    <v:shape id="_x0000_s1026" o:spid="_x0000_s1026" o:spt="61" type="#_x0000_t61" style="position:absolute;left:0pt;margin-left:43.15pt;margin-top:144.6pt;height:25pt;width:77.25pt;z-index:251662336;mso-width-relative:page;mso-height-relative:page;" fillcolor="#FFFFFF" filled="t" stroked="t" coordsize="21600,21600" o:gfxdata="UEsDBAoAAAAAAIdO4kAAAAAAAAAAAAAAAAAEAAAAZHJzL1BLAwQUAAAACACHTuJAPLZ8cdkAAAAK&#10;AQAADwAAAGRycy9kb3ducmV2LnhtbE2Py07DMBBF90j8gzVI7KidBFUhxKkEIhuEkGj4ACeeJil+&#10;pLGbFr6eYVWWM3N15txyc7aGLTiH0TsJyUoAQ9d5PbpewmdT3+XAQlROK+MdSvjGAJvq+qpUhfYn&#10;94HLNvaMIC4USsIQ41RwHroBrQorP6Gj287PVkUa557rWZ0Ibg1PhVhzq0ZHHwY14fOA3df2aCXk&#10;b81ueX9pD0/JUh9qw/evzf5HytubRDwCi3iOlzD86ZM6VOTU+qPTgRlirDNKSkjzhxQYBdJ7QV1a&#10;CVlGG16V/H+F6hdQSwMEFAAAAAgAh07iQCHGS7J1AgAA7QQAAA4AAABkcnMvZTJvRG9jLnhtbK1U&#10;wXLTMBC9M8M/aHSnttOapJk6nU46ZZgp0KHwAYos2wJJKyQlTvmBfgYMJzhz5nMov8FadtKkXHrA&#10;B49Wu3q7+55WJ6drrchKOC/BFDQ7SCkRhkMpTV3Q9+8unk0o8YGZkikwoqA3wtPT2dMnJ62dihE0&#10;oErhCIIYP21tQZsQ7DRJPG+EZv4ArDDorMBpFtB0dVI61iK6VskoTZ8nLbjSOuDCe9w97510QHSP&#10;AYSqklycA19qYUKP6oRiAVvyjbSezmK1VSV4eFNVXgSiCoqdhvjHJLhedP9kdsKmtWO2kXwogT2m&#10;hAc9aSYNJt1CnbPAyNLJf6C05A48VOGAg076RiIj2EWWPuDmumFWxF6Qam+3pPv/B8tfr64ckWVB&#10;D0eUGKZR8T9ffvz+9e3u6+3dz+8Et5Gj1vophl7bK9d16e0l8I+eGJg3zNTizDloG8FKrCzr4pO9&#10;A53h8ShZtK+gxAxsGSDSta6c7gCRCLKOqtxsVRHrQDhuHk+ydJxTwtF1mI3zNKqWsOnmsHU+vBCg&#10;SbcoaCvKWrxF5edMKViGmIitLn2IApVDl6z8kFFSaYV6r5gieZrl4+E+7MQgK/cx2XGWbtMPkFjI&#10;poBIDShZXkilouHqxVw5gvgFvYhfZAcZ3A1ThrTYZz7KY617Pr8Pgek37e+FaRlwKpXUBZ10MZsg&#10;Zbo6RJwEZGAjTadGr2pYL9aDwAsob1AkB/2U4BuBiwbcZ0panJCC+k9L5gQl6qVBoY+zo6NupKJx&#10;lI9HaLhdz2LXwwxHqIIGSvrlPPRjuLRO1g1mymLzBs7wclRyW2pf1XClcApwtTdmu3aMun+lZ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PLZ8cdkAAAAKAQAADwAAAAAAAAABACAAAAAiAAAAZHJz&#10;L2Rvd25yZXYueG1sUEsBAhQAFAAAAAgAh07iQCHGS7J1AgAA7QQAAA4AAAAAAAAAAQAgAAAAKAEA&#10;AGRycy9lMm9Eb2MueG1sUEsFBgAAAAAGAAYAWQEAAA8GAAAAAA==&#10;" adj="21634,52056">
                      <v:fill on="t" focussize="0,0"/>
                      <v:stroke color="#FF0000" miterlimit="8" joinstyle="miter"/>
                      <v:imagedata o:title=""/>
                      <o:lock v:ext="edit" aspectratio="f"/>
                      <v:textbox>
                        <w:txbxContent>
                          <w:p>
                            <w:pPr>
                              <w:jc w:val="center"/>
                              <w:rPr>
                                <w:rFonts w:hint="eastAsia" w:eastAsia="宋体"/>
                                <w:color w:val="FF0000"/>
                                <w:lang w:val="en-US" w:eastAsia="zh-CN"/>
                              </w:rPr>
                            </w:pPr>
                            <w:r>
                              <w:rPr>
                                <w:rFonts w:hint="eastAsia"/>
                                <w:color w:val="FF0000"/>
                              </w:rPr>
                              <w:t>项目所在</w:t>
                            </w:r>
                            <w:r>
                              <w:rPr>
                                <w:rFonts w:hint="eastAsia"/>
                                <w:color w:val="FF0000"/>
                                <w:lang w:val="en-US" w:eastAsia="zh-CN"/>
                              </w:rPr>
                              <w:t>地</w:t>
                            </w:r>
                          </w:p>
                        </w:txbxContent>
                      </v:textbox>
                    </v:shape>
                  </w:pict>
                </mc:Fallback>
              </mc:AlternateContent>
            </w:r>
            <w:r>
              <w:rPr>
                <w:rFonts w:ascii="Times New Roman" w:hAnsi="Times New Roman" w:cs="Times New Roman"/>
                <w:color w:val="auto"/>
                <w:sz w:val="24"/>
                <w:szCs w:val="24"/>
                <w:highlight w:val="none"/>
              </w:rPr>
              <w:drawing>
                <wp:inline distT="0" distB="0" distL="0" distR="0">
                  <wp:extent cx="4488815" cy="2958465"/>
                  <wp:effectExtent l="0" t="0" r="6985" b="13335"/>
                  <wp:docPr id="10333" name="图片 10333" descr="G:\1\达州成果\现阶段成果\达州5月出图\生态空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 name="图片 10333" descr="G:\1\达州成果\现阶段成果\达州5月出图\生态空间.jpg"/>
                          <pic:cNvPicPr>
                            <a:picLocks noChangeAspect="1" noChangeArrowheads="1"/>
                          </pic:cNvPicPr>
                        </pic:nvPicPr>
                        <pic:blipFill>
                          <a:blip r:embed="rId6" cstate="print">
                            <a:extLst>
                              <a:ext uri="{28A0092B-C50C-407E-A947-70E740481C1C}">
                                <a14:useLocalDpi xmlns:a14="http://schemas.microsoft.com/office/drawing/2010/main" val="0"/>
                              </a:ext>
                            </a:extLst>
                          </a:blip>
                          <a:srcRect t="3025" b="3704"/>
                          <a:stretch>
                            <a:fillRect/>
                          </a:stretch>
                        </pic:blipFill>
                        <pic:spPr>
                          <a:xfrm>
                            <a:off x="0" y="0"/>
                            <a:ext cx="4488815" cy="2958465"/>
                          </a:xfrm>
                          <a:prstGeom prst="rect">
                            <a:avLst/>
                          </a:prstGeom>
                          <a:noFill/>
                          <a:ln>
                            <a:noFill/>
                          </a:ln>
                        </pic:spPr>
                      </pic:pic>
                    </a:graphicData>
                  </a:graphic>
                </wp:inline>
              </w:drawing>
            </w:r>
          </w:p>
          <w:p>
            <w:pPr>
              <w:spacing w:line="360" w:lineRule="auto"/>
              <w:jc w:val="center"/>
              <w:rPr>
                <w:rFonts w:hint="eastAsia" w:ascii="Times New Roman" w:hAnsi="Times New Roman" w:eastAsia="宋体"/>
                <w:b/>
                <w:color w:val="auto"/>
                <w:sz w:val="24"/>
                <w:szCs w:val="24"/>
                <w:highlight w:val="none"/>
                <w:lang w:val="en-US" w:eastAsia="zh-CN"/>
              </w:rPr>
            </w:pPr>
            <w:r>
              <w:rPr>
                <w:rFonts w:hint="eastAsia" w:ascii="Times New Roman" w:hAnsi="Times New Roman" w:eastAsia="宋体"/>
                <w:b/>
                <w:color w:val="auto"/>
                <w:sz w:val="24"/>
                <w:szCs w:val="24"/>
                <w:highlight w:val="none"/>
              </w:rPr>
              <w:t>图1-</w:t>
            </w:r>
            <w:r>
              <w:rPr>
                <w:rFonts w:hint="eastAsia" w:ascii="Times New Roman" w:hAnsi="Times New Roman" w:eastAsia="宋体"/>
                <w:b/>
                <w:color w:val="auto"/>
                <w:sz w:val="24"/>
                <w:szCs w:val="24"/>
                <w:highlight w:val="none"/>
                <w:lang w:val="en-US" w:eastAsia="zh-CN"/>
              </w:rPr>
              <w:t>2</w:t>
            </w:r>
            <w:r>
              <w:rPr>
                <w:rFonts w:hint="eastAsia" w:ascii="Times New Roman" w:hAnsi="Times New Roman" w:eastAsia="宋体"/>
                <w:b/>
                <w:color w:val="auto"/>
                <w:sz w:val="24"/>
                <w:szCs w:val="24"/>
                <w:highlight w:val="none"/>
              </w:rPr>
              <w:t xml:space="preserve"> 项目与</w:t>
            </w:r>
            <w:r>
              <w:rPr>
                <w:rFonts w:hint="eastAsia" w:ascii="Times New Roman" w:hAnsi="Times New Roman" w:eastAsia="宋体"/>
                <w:b/>
                <w:color w:val="auto"/>
                <w:sz w:val="24"/>
                <w:szCs w:val="24"/>
                <w:highlight w:val="none"/>
                <w:lang w:val="en-US" w:eastAsia="zh-CN"/>
              </w:rPr>
              <w:t>达州</w:t>
            </w:r>
            <w:r>
              <w:rPr>
                <w:rFonts w:hint="eastAsia" w:ascii="Times New Roman" w:hAnsi="Times New Roman" w:eastAsia="宋体"/>
                <w:b/>
                <w:color w:val="auto"/>
                <w:sz w:val="24"/>
                <w:szCs w:val="24"/>
                <w:highlight w:val="none"/>
              </w:rPr>
              <w:t>市生态</w:t>
            </w:r>
            <w:r>
              <w:rPr>
                <w:rFonts w:hint="eastAsia" w:ascii="Times New Roman" w:hAnsi="Times New Roman" w:eastAsia="宋体"/>
                <w:b/>
                <w:color w:val="auto"/>
                <w:sz w:val="24"/>
                <w:szCs w:val="24"/>
                <w:highlight w:val="none"/>
                <w:lang w:val="en-US" w:eastAsia="zh-CN"/>
              </w:rPr>
              <w:t>空间</w:t>
            </w:r>
            <w:r>
              <w:rPr>
                <w:rFonts w:hint="eastAsia" w:ascii="Times New Roman" w:hAnsi="Times New Roman" w:eastAsia="宋体"/>
                <w:b/>
                <w:color w:val="auto"/>
                <w:sz w:val="24"/>
                <w:szCs w:val="24"/>
                <w:highlight w:val="none"/>
              </w:rPr>
              <w:t>的位置关系图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sz w:val="24"/>
                <w:szCs w:val="24"/>
                <w:highlight w:val="none"/>
              </w:rPr>
            </w:pPr>
            <w:r>
              <w:rPr>
                <w:rFonts w:hint="eastAsia" w:cs="Times New Roman"/>
                <w:b/>
                <w:bCs/>
                <w:color w:val="auto"/>
                <w:sz w:val="24"/>
                <w:szCs w:val="24"/>
                <w:highlight w:val="none"/>
              </w:rPr>
              <w:t>由图1-1、图1-2可知，本项目位于</w:t>
            </w:r>
            <w:r>
              <w:rPr>
                <w:rFonts w:hint="eastAsia" w:cs="Times New Roman"/>
                <w:b/>
                <w:bCs/>
                <w:color w:val="auto"/>
                <w:sz w:val="24"/>
                <w:szCs w:val="24"/>
                <w:highlight w:val="none"/>
                <w:lang w:val="en-US" w:eastAsia="zh-CN"/>
              </w:rPr>
              <w:t>达州市大竹县文星镇龙门村</w:t>
            </w:r>
            <w:r>
              <w:rPr>
                <w:rFonts w:hint="eastAsia" w:cs="Times New Roman"/>
                <w:b/>
                <w:bCs/>
                <w:color w:val="auto"/>
                <w:sz w:val="24"/>
                <w:szCs w:val="24"/>
                <w:highlight w:val="none"/>
              </w:rPr>
              <w:t>，不涉及达州市生态保护红线和一般生态空间。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rPr>
            </w:pPr>
            <w:r>
              <w:rPr>
                <w:rFonts w:hint="eastAsia" w:cs="Times New Roman"/>
                <w:color w:val="auto"/>
                <w:sz w:val="24"/>
                <w:szCs w:val="24"/>
                <w:highlight w:val="none"/>
              </w:rPr>
              <w:t>本项目为</w:t>
            </w:r>
            <w:r>
              <w:rPr>
                <w:rFonts w:hint="eastAsia" w:cs="Times New Roman"/>
                <w:color w:val="auto"/>
                <w:sz w:val="24"/>
                <w:szCs w:val="24"/>
                <w:highlight w:val="none"/>
                <w:lang w:val="en-US" w:eastAsia="zh-CN"/>
              </w:rPr>
              <w:t>砖瓦、石材等建筑材料制造项目</w:t>
            </w:r>
            <w:r>
              <w:rPr>
                <w:rFonts w:hint="eastAsia" w:cs="Times New Roman"/>
                <w:color w:val="auto"/>
                <w:sz w:val="24"/>
                <w:szCs w:val="24"/>
                <w:highlight w:val="none"/>
              </w:rPr>
              <w:t>（大竹旭晟石材厂石材切割雕刻加工项目），项目的建设不会突破水环境质量底线，</w:t>
            </w:r>
            <w:r>
              <w:rPr>
                <w:rFonts w:hint="default" w:ascii="Times New Roman" w:hAnsi="Times New Roman" w:cs="Times New Roman"/>
                <w:color w:val="auto"/>
                <w:sz w:val="24"/>
                <w:szCs w:val="24"/>
                <w:highlight w:val="none"/>
                <w:vertAlign w:val="baseline"/>
              </w:rPr>
              <w:t>本项目</w:t>
            </w:r>
            <w:r>
              <w:rPr>
                <w:rFonts w:hint="eastAsia" w:ascii="Times New Roman" w:hAnsi="Times New Roman" w:cs="Times New Roman"/>
                <w:color w:val="auto"/>
                <w:sz w:val="24"/>
                <w:szCs w:val="24"/>
                <w:highlight w:val="none"/>
                <w:lang w:val="en-US" w:eastAsia="zh-CN"/>
              </w:rPr>
              <w:t>生活污水</w:t>
            </w:r>
            <w:r>
              <w:rPr>
                <w:rFonts w:hint="eastAsia" w:cs="Times New Roman"/>
                <w:color w:val="auto"/>
                <w:sz w:val="24"/>
                <w:szCs w:val="24"/>
                <w:highlight w:val="none"/>
                <w:lang w:val="en-US" w:eastAsia="zh-CN"/>
              </w:rPr>
              <w:t>（食堂废水先经隔油池处理）经旱厕处理后用作周边农田农肥</w:t>
            </w:r>
            <w:r>
              <w:rPr>
                <w:rFonts w:hint="eastAsia" w:ascii="Times New Roman" w:hAnsi="Times New Roman" w:eastAsia="宋体" w:cs="Times New Roman"/>
                <w:color w:val="auto"/>
                <w:sz w:val="24"/>
                <w:szCs w:val="24"/>
                <w:highlight w:val="none"/>
                <w:vertAlign w:val="baseline"/>
                <w:lang w:val="en-US" w:eastAsia="zh-CN"/>
              </w:rPr>
              <w:t>，</w:t>
            </w:r>
            <w:r>
              <w:rPr>
                <w:rFonts w:hint="eastAsia" w:cs="Times New Roman"/>
                <w:color w:val="0000FF"/>
                <w:sz w:val="24"/>
                <w:szCs w:val="24"/>
                <w:highlight w:val="none"/>
                <w:lang w:eastAsia="zh-CN"/>
              </w:rPr>
              <w:t>项目生产废水经螺旋绞砂机对粗砂颗粒分离后，进入三级沉淀池处理，沉淀池底泥经板框压滤机压成泥饼，废水处理后全部循环使用，不外排</w:t>
            </w:r>
            <w:r>
              <w:rPr>
                <w:rFonts w:hint="eastAsia" w:cs="Times New Roman"/>
                <w:color w:val="0000FF"/>
                <w:sz w:val="24"/>
                <w:szCs w:val="24"/>
                <w:highlight w:val="none"/>
                <w:lang w:val="en-US" w:eastAsia="zh-CN"/>
              </w:rPr>
              <w:t>；</w:t>
            </w:r>
            <w:r>
              <w:rPr>
                <w:rFonts w:hint="eastAsia" w:cs="Times New Roman"/>
                <w:color w:val="auto"/>
                <w:sz w:val="24"/>
                <w:szCs w:val="24"/>
                <w:highlight w:val="none"/>
              </w:rPr>
              <w:t>项目废气主要为</w:t>
            </w:r>
            <w:r>
              <w:rPr>
                <w:rFonts w:hint="eastAsia" w:cs="Times New Roman"/>
                <w:color w:val="auto"/>
                <w:sz w:val="24"/>
                <w:szCs w:val="24"/>
                <w:highlight w:val="none"/>
                <w:lang w:val="en-US" w:eastAsia="zh-CN"/>
              </w:rPr>
              <w:t>石料加工粉尘、</w:t>
            </w:r>
            <w:r>
              <w:rPr>
                <w:rFonts w:hint="default" w:ascii="Times New Roman" w:hAnsi="Times New Roman" w:eastAsia="宋体" w:cs="Times New Roman"/>
                <w:bCs/>
                <w:color w:val="auto"/>
                <w:sz w:val="24"/>
                <w:szCs w:val="24"/>
                <w:highlight w:val="none"/>
              </w:rPr>
              <w:t>车辆运输起尘</w:t>
            </w:r>
            <w:r>
              <w:rPr>
                <w:rFonts w:hint="eastAsia" w:cs="Times New Roman"/>
                <w:color w:val="auto"/>
                <w:sz w:val="24"/>
                <w:szCs w:val="24"/>
                <w:highlight w:val="none"/>
              </w:rPr>
              <w:t>，排放量均较小，不会突破大气环境质量底线；项目用地不涉及农用地与土壤污染风险；本项目的建设不涉及高污染燃料的使用，</w:t>
            </w:r>
            <w:r>
              <w:rPr>
                <w:rFonts w:hint="eastAsia" w:cs="Times New Roman"/>
                <w:color w:val="auto"/>
                <w:sz w:val="24"/>
                <w:szCs w:val="24"/>
                <w:highlight w:val="none"/>
                <w:vertAlign w:val="baseline"/>
                <w:lang w:val="en-US" w:eastAsia="zh-CN"/>
              </w:rPr>
              <w:t>生活用水和生产用水均采用自来水</w:t>
            </w:r>
            <w:r>
              <w:rPr>
                <w:rFonts w:hint="eastAsia" w:cs="Times New Roman"/>
                <w:color w:val="auto"/>
                <w:sz w:val="24"/>
                <w:szCs w:val="24"/>
                <w:highlight w:val="none"/>
              </w:rPr>
              <w:t>，用电由市政电网供给。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sz w:val="24"/>
                <w:szCs w:val="24"/>
                <w:highlight w:val="none"/>
              </w:rPr>
            </w:pPr>
            <w:r>
              <w:rPr>
                <w:rFonts w:hint="eastAsia" w:cs="Times New Roman"/>
                <w:b/>
                <w:bCs/>
                <w:color w:val="auto"/>
                <w:sz w:val="24"/>
                <w:szCs w:val="24"/>
                <w:highlight w:val="none"/>
              </w:rPr>
              <w:t>综上，本项目的建设符合“三线一单”中“三线”的相关管理要求。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eastAsia="宋体" w:cs="Times New Roman"/>
                <w:b/>
                <w:bCs/>
                <w:color w:val="auto"/>
                <w:sz w:val="24"/>
                <w:szCs w:val="24"/>
                <w:highlight w:val="none"/>
                <w:lang w:val="en-US" w:eastAsia="zh-CN"/>
              </w:rPr>
            </w:pPr>
            <w:r>
              <w:rPr>
                <w:rFonts w:hint="eastAsia" w:cs="Times New Roman"/>
                <w:b/>
                <w:bCs/>
                <w:color w:val="auto"/>
                <w:sz w:val="24"/>
                <w:szCs w:val="24"/>
                <w:highlight w:val="none"/>
              </w:rPr>
              <w:t>（</w:t>
            </w:r>
            <w:r>
              <w:rPr>
                <w:rFonts w:hint="eastAsia" w:cs="Times New Roman"/>
                <w:b/>
                <w:bCs/>
                <w:color w:val="auto"/>
                <w:sz w:val="24"/>
                <w:szCs w:val="24"/>
                <w:highlight w:val="none"/>
                <w:lang w:val="en-US" w:eastAsia="zh-CN"/>
              </w:rPr>
              <w:t>3</w:t>
            </w:r>
            <w:r>
              <w:rPr>
                <w:rFonts w:hint="eastAsia" w:cs="Times New Roman"/>
                <w:b/>
                <w:bCs/>
                <w:color w:val="auto"/>
                <w:sz w:val="24"/>
                <w:szCs w:val="24"/>
                <w:highlight w:val="none"/>
              </w:rPr>
              <w:t>）</w:t>
            </w:r>
            <w:r>
              <w:rPr>
                <w:rFonts w:hint="default" w:ascii="Times New Roman" w:hAnsi="Times New Roman" w:cs="Times New Roman"/>
                <w:b/>
                <w:bCs/>
                <w:color w:val="auto"/>
                <w:sz w:val="24"/>
                <w:szCs w:val="24"/>
                <w:highlight w:val="none"/>
              </w:rPr>
              <w:t>与《关于落实生态保护红线、环境质量底线、资源利用上线制定生态环境</w:t>
            </w:r>
            <w:r>
              <w:rPr>
                <w:rFonts w:hint="eastAsia" w:cs="Times New Roman"/>
                <w:b/>
                <w:bCs/>
                <w:color w:val="auto"/>
                <w:sz w:val="24"/>
                <w:szCs w:val="24"/>
                <w:highlight w:val="none"/>
                <w:lang w:val="en-US" w:eastAsia="zh-CN"/>
              </w:rPr>
              <w:t>准入</w:t>
            </w:r>
            <w:r>
              <w:rPr>
                <w:rFonts w:hint="default" w:ascii="Times New Roman" w:hAnsi="Times New Roman" w:cs="Times New Roman"/>
                <w:b/>
                <w:bCs/>
                <w:color w:val="auto"/>
                <w:sz w:val="24"/>
                <w:szCs w:val="24"/>
                <w:highlight w:val="none"/>
              </w:rPr>
              <w:t>清单实施生态环境分区管控的通知》（达市府发〔2021〕17号）</w:t>
            </w:r>
            <w:r>
              <w:rPr>
                <w:rFonts w:hint="eastAsia" w:ascii="Times New Roman" w:hAnsi="Times New Roman" w:cs="Times New Roman"/>
                <w:b/>
                <w:bCs/>
                <w:color w:val="auto"/>
                <w:sz w:val="24"/>
                <w:szCs w:val="24"/>
                <w:highlight w:val="none"/>
                <w:lang w:val="en-US" w:eastAsia="zh-CN"/>
              </w:rPr>
              <w:t>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rPr>
            </w:pPr>
            <w:r>
              <w:rPr>
                <w:rFonts w:hint="eastAsia" w:cs="Times New Roman"/>
                <w:color w:val="auto"/>
                <w:sz w:val="24"/>
                <w:szCs w:val="24"/>
                <w:highlight w:val="none"/>
              </w:rPr>
              <w:t>根据《达州市政府办公室〈关于落实生态保护红线、环境质量底线、资源利用上线制定生态环境准人清单实施生态环境分区管控的通知〉》（达市府发〔2021〕17号），本项目区域为</w:t>
            </w:r>
            <w:r>
              <w:rPr>
                <w:rFonts w:hint="default" w:ascii="Times New Roman" w:hAnsi="Times New Roman" w:cs="Times New Roman"/>
                <w:b/>
                <w:bCs/>
                <w:color w:val="auto"/>
                <w:sz w:val="24"/>
                <w:szCs w:val="24"/>
                <w:highlight w:val="none"/>
              </w:rPr>
              <w:t>大竹县要素重点管控单元</w:t>
            </w:r>
            <w:r>
              <w:rPr>
                <w:rFonts w:hint="eastAsia"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rPr>
            </w:pPr>
          </w:p>
          <w:p>
            <w:pPr>
              <w:spacing w:line="360" w:lineRule="auto"/>
              <w:jc w:val="center"/>
              <w:rPr>
                <w:rFonts w:hint="default" w:ascii="Times New Roman" w:hAnsi="Times New Roman" w:cs="Times New Roman"/>
                <w:b w:val="0"/>
                <w:bCs/>
                <w:color w:val="auto"/>
                <w:sz w:val="24"/>
                <w:szCs w:val="24"/>
                <w:highlight w:val="none"/>
              </w:rPr>
            </w:pPr>
            <w:r>
              <w:rPr>
                <w:color w:val="auto"/>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262255</wp:posOffset>
                      </wp:positionH>
                      <wp:positionV relativeFrom="paragraph">
                        <wp:posOffset>1920875</wp:posOffset>
                      </wp:positionV>
                      <wp:extent cx="981075" cy="317500"/>
                      <wp:effectExtent l="4445" t="4445" r="24130" b="478155"/>
                      <wp:wrapNone/>
                      <wp:docPr id="5" name="矩形标注 5"/>
                      <wp:cNvGraphicFramePr/>
                      <a:graphic xmlns:a="http://schemas.openxmlformats.org/drawingml/2006/main">
                        <a:graphicData uri="http://schemas.microsoft.com/office/word/2010/wordprocessingShape">
                          <wps:wsp>
                            <wps:cNvSpPr>
                              <a:spLocks noChangeArrowheads="1"/>
                            </wps:cNvSpPr>
                            <wps:spPr bwMode="auto">
                              <a:xfrm>
                                <a:off x="0" y="0"/>
                                <a:ext cx="981075" cy="317500"/>
                              </a:xfrm>
                              <a:prstGeom prst="wedgeRectCallout">
                                <a:avLst>
                                  <a:gd name="adj1" fmla="val 50157"/>
                                  <a:gd name="adj2" fmla="val 191000"/>
                                </a:avLst>
                              </a:prstGeom>
                              <a:solidFill>
                                <a:srgbClr val="FFFFFF"/>
                              </a:solidFill>
                              <a:ln w="9525">
                                <a:solidFill>
                                  <a:srgbClr val="FF0000"/>
                                </a:solidFill>
                                <a:miter lim="800000"/>
                              </a:ln>
                              <a:effectLst/>
                            </wps:spPr>
                            <wps:txbx>
                              <w:txbxContent>
                                <w:p>
                                  <w:pPr>
                                    <w:jc w:val="center"/>
                                    <w:rPr>
                                      <w:rFonts w:hint="eastAsia" w:eastAsia="宋体"/>
                                      <w:color w:val="FF0000"/>
                                      <w:lang w:val="en-US" w:eastAsia="zh-CN"/>
                                    </w:rPr>
                                  </w:pPr>
                                  <w:r>
                                    <w:rPr>
                                      <w:rFonts w:hint="eastAsia"/>
                                      <w:color w:val="FF0000"/>
                                    </w:rPr>
                                    <w:t>项目所在</w:t>
                                  </w:r>
                                  <w:r>
                                    <w:rPr>
                                      <w:rFonts w:hint="eastAsia"/>
                                      <w:color w:val="FF0000"/>
                                      <w:lang w:val="en-US" w:eastAsia="zh-CN"/>
                                    </w:rPr>
                                    <w:t>地</w:t>
                                  </w:r>
                                </w:p>
                              </w:txbxContent>
                            </wps:txbx>
                            <wps:bodyPr rot="0" vert="horz" wrap="square" lIns="91440" tIns="45720" rIns="91440" bIns="45720" anchor="t" anchorCtr="0" upright="1">
                              <a:noAutofit/>
                            </wps:bodyPr>
                          </wps:wsp>
                        </a:graphicData>
                      </a:graphic>
                    </wp:anchor>
                  </w:drawing>
                </mc:Choice>
                <mc:Fallback>
                  <w:pict>
                    <v:shape id="_x0000_s1026" o:spid="_x0000_s1026" o:spt="61" type="#_x0000_t61" style="position:absolute;left:0pt;margin-left:20.65pt;margin-top:151.25pt;height:25pt;width:77.25pt;z-index:251663360;mso-width-relative:page;mso-height-relative:page;" fillcolor="#FFFFFF" filled="t" stroked="t" coordsize="21600,21600" o:gfxdata="UEsDBAoAAAAAAIdO4kAAAAAAAAAAAAAAAAAEAAAAZHJzL1BLAwQUAAAACACHTuJAL+PaUNkAAAAK&#10;AQAADwAAAGRycy9kb3ducmV2LnhtbE2PTU7DMBCF90jcwRokdtROS1BJ41QCkQ1CSG04gBO7SVp7&#10;nMZuWjg90xUs582n95OvL86yyYyh9yghmQlgBhuve2wlfFXlwxJYiAq1sh6NhG8TYF3c3uQq0/6M&#10;GzNtY8vIBEOmJHQxDhnnoemMU2HmB4P02/nRqUjn2HI9qjOZO8vnQjxxp3qkhE4N5rUzzWF7chKW&#10;H9Vu+nyrjy/JVB5Ly/fv1f5Hyvu7RKyARXOJfzBc61N1KKhT7U+oA7MSHpMFkRIWYp4CuwLPKW2p&#10;SUlJ4UXO/08ofgFQSwMEFAAAAAgAh07iQFfEcghxAgAA6wQAAA4AAABkcnMvZTJvRG9jLnhtbK1U&#10;wXLTMBC9M8M/aHSntkNM2kycTiedMswU6FD4AEWWbYGkFZISp/xAPwOGE5w58zmU32AtOyEplx7w&#10;wbPrXb3dt0/r2elGK7IWzkswBc2OUkqE4VBKUxf03duLJ8eU+MBMyRQYUdAb4enp/PGjWWunYgQN&#10;qFI4giDGT1tb0CYEO00SzxuhmT8CKwwGK3CaBXRdnZSOtYiuVTJK02dJC660DrjwHr+e90E6ILqH&#10;AEJVSS7Oga+0MKFHdUKxgJR8I62n89htVQkeXleVF4GogiLTEN9YBO1l907mMzatHbON5EML7CEt&#10;3OOkmTRYdAd1zgIjKyf/gdKSO/BQhSMOOumJxIkgiyy9N5vrhlkRueCovd0N3f8/WP5qfeWILAua&#10;U2KYRsF/f/7+6+fXuy+3dz++kbybUGv9FBOv7ZXrOHp7CfyDJwYWDTO1OHMO2kawEvvKuvzk4EDn&#10;eDxKlu1LKLEAWwWIw9pUTneAOAayiZrc7DQRm0A4fjw5ztIJ9sYx9DSb5GnULGHT7WHrfHguQJPO&#10;KGgrylq8Qd0XTClYhViIrS99iPKUA0lWvs8oqbRCtddMkTzN8slwG/ZyRvs52UmW7soPkNjItoE4&#10;GlCyvJBKRcfVy4VyBPELehGfOB2c4H6aMqRFnvkoj70exPwhBJbf0j9I0zLgTiqpC3rc5WyTlOn6&#10;EHEPcAJbaTo1elXDZrkZBF5CeYMiOeh3BP8QaDTgPlHS4n4U1H9cMScoUS8MCn2SjcfdQkVnnE9G&#10;6Lj9yHI/wgxHqIIGSnpzEfolXFkn6wYrZZG8gTO8HJXctdp3NVwp3AG0DpZs349Zf/9R8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v49pQ2QAAAAoBAAAPAAAAAAAAAAEAIAAAACIAAABkcnMvZG93&#10;bnJldi54bWxQSwECFAAUAAAACACHTuJAV8RyCHECAADrBAAADgAAAAAAAAABACAAAAAoAQAAZHJz&#10;L2Uyb0RvYy54bWxQSwUGAAAAAAYABgBZAQAACwYAAAAA&#10;" adj="21634,52056">
                      <v:fill on="t" focussize="0,0"/>
                      <v:stroke color="#FF0000" miterlimit="8" joinstyle="miter"/>
                      <v:imagedata o:title=""/>
                      <o:lock v:ext="edit" aspectratio="f"/>
                      <v:textbox>
                        <w:txbxContent>
                          <w:p>
                            <w:pPr>
                              <w:jc w:val="center"/>
                              <w:rPr>
                                <w:rFonts w:hint="eastAsia" w:eastAsia="宋体"/>
                                <w:color w:val="FF0000"/>
                                <w:lang w:val="en-US" w:eastAsia="zh-CN"/>
                              </w:rPr>
                            </w:pPr>
                            <w:r>
                              <w:rPr>
                                <w:rFonts w:hint="eastAsia"/>
                                <w:color w:val="FF0000"/>
                              </w:rPr>
                              <w:t>项目所在</w:t>
                            </w:r>
                            <w:r>
                              <w:rPr>
                                <w:rFonts w:hint="eastAsia"/>
                                <w:color w:val="FF0000"/>
                                <w:lang w:val="en-US" w:eastAsia="zh-CN"/>
                              </w:rPr>
                              <w:t>地</w:t>
                            </w:r>
                          </w:p>
                        </w:txbxContent>
                      </v:textbox>
                    </v:shape>
                  </w:pict>
                </mc:Fallback>
              </mc:AlternateContent>
            </w:r>
            <w:r>
              <w:rPr>
                <w:rFonts w:ascii="Times New Roman" w:hAnsi="Times New Roman" w:eastAsia="仿宋_GB2312" w:cs="Times New Roman"/>
                <w:color w:val="auto"/>
                <w:sz w:val="24"/>
                <w:szCs w:val="24"/>
                <w:highlight w:val="none"/>
              </w:rPr>
              <w:drawing>
                <wp:inline distT="0" distB="0" distL="0" distR="0">
                  <wp:extent cx="4670425" cy="3297555"/>
                  <wp:effectExtent l="0" t="0" r="15875" b="17145"/>
                  <wp:docPr id="58" name="图片 58" descr="G:\达州7月出图\环境管控单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G:\达州7月出图\环境管控单元.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670425" cy="3297555"/>
                          </a:xfrm>
                          <a:prstGeom prst="rect">
                            <a:avLst/>
                          </a:prstGeom>
                          <a:noFill/>
                          <a:ln>
                            <a:noFill/>
                          </a:ln>
                        </pic:spPr>
                      </pic:pic>
                    </a:graphicData>
                  </a:graphic>
                </wp:inline>
              </w:drawing>
            </w:r>
          </w:p>
          <w:p>
            <w:pPr>
              <w:spacing w:line="360" w:lineRule="auto"/>
              <w:jc w:val="center"/>
              <w:rPr>
                <w:rFonts w:hint="default" w:ascii="Times New Roman" w:hAnsi="Times New Roman" w:cs="Times New Roman"/>
                <w:b/>
                <w:bCs w:val="0"/>
                <w:color w:val="auto"/>
                <w:sz w:val="24"/>
                <w:szCs w:val="24"/>
                <w:highlight w:val="none"/>
              </w:rPr>
            </w:pPr>
            <w:r>
              <w:rPr>
                <w:rFonts w:hint="default" w:ascii="Times New Roman" w:hAnsi="Times New Roman" w:cs="Times New Roman"/>
                <w:b/>
                <w:bCs w:val="0"/>
                <w:color w:val="auto"/>
                <w:sz w:val="24"/>
                <w:szCs w:val="24"/>
                <w:highlight w:val="none"/>
              </w:rPr>
              <w:t>图1-</w:t>
            </w:r>
            <w:r>
              <w:rPr>
                <w:rFonts w:hint="eastAsia" w:cs="Times New Roman"/>
                <w:b/>
                <w:bCs w:val="0"/>
                <w:color w:val="auto"/>
                <w:sz w:val="24"/>
                <w:szCs w:val="24"/>
                <w:highlight w:val="none"/>
                <w:lang w:val="en-US" w:eastAsia="zh-CN"/>
              </w:rPr>
              <w:t>3</w:t>
            </w:r>
            <w:r>
              <w:rPr>
                <w:rFonts w:hint="default" w:ascii="Times New Roman" w:hAnsi="Times New Roman" w:cs="Times New Roman"/>
                <w:b/>
                <w:bCs w:val="0"/>
                <w:color w:val="auto"/>
                <w:sz w:val="24"/>
                <w:szCs w:val="24"/>
                <w:highlight w:val="none"/>
              </w:rPr>
              <w:t xml:space="preserve">  达州市综合环境管控单元分布图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color w:val="auto"/>
                <w:sz w:val="24"/>
                <w:szCs w:val="24"/>
                <w:highlight w:val="none"/>
              </w:rPr>
              <w:t>根据四川省“三线一单”数据分析系统</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大竹旭晟石材厂石材切割雕刻加工项目位于达州市大竹县环境综合管控单元要素重点管控单元（管控单元名称：大竹县要素重点管控单元，管控单元编号：ZH51172420003）</w:t>
            </w:r>
            <w:r>
              <w:rPr>
                <w:rFonts w:hint="eastAsia" w:eastAsia="宋体" w:cs="Times New Roman"/>
                <w:b w:val="0"/>
                <w:bCs w:val="0"/>
                <w:color w:val="auto"/>
                <w:sz w:val="24"/>
                <w:szCs w:val="24"/>
                <w:highlight w:val="none"/>
                <w:lang w:val="en-US" w:eastAsia="zh-CN"/>
              </w:rPr>
              <w:t>。</w:t>
            </w:r>
          </w:p>
          <w:p>
            <w:pPr>
              <w:spacing w:line="360" w:lineRule="auto"/>
              <w:ind w:firstLine="480" w:firstLineChars="200"/>
              <w:jc w:val="left"/>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项目与管控单元相对位置如下图所示：（图中▼表示项目位置）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s="Times New Roman"/>
                <w:color w:val="auto"/>
                <w:sz w:val="24"/>
                <w:szCs w:val="24"/>
                <w:highlight w:val="none"/>
              </w:rPr>
            </w:pPr>
            <w:r>
              <w:rPr>
                <w:rFonts w:hint="default" w:ascii="Helvetica" w:hAnsi="Helvetica" w:eastAsia="Helvetica"/>
                <w:color w:val="auto"/>
                <w:sz w:val="24"/>
                <w:szCs w:val="24"/>
              </w:rPr>
              <w:drawing>
                <wp:inline distT="0" distB="0" distL="114300" distR="114300">
                  <wp:extent cx="4674235" cy="2804795"/>
                  <wp:effectExtent l="9525" t="9525" r="21590" b="241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8"/>
                          <a:stretch>
                            <a:fillRect/>
                          </a:stretch>
                        </pic:blipFill>
                        <pic:spPr>
                          <a:xfrm>
                            <a:off x="0" y="0"/>
                            <a:ext cx="4674235" cy="2804795"/>
                          </a:xfrm>
                          <a:prstGeom prst="rect">
                            <a:avLst/>
                          </a:prstGeom>
                          <a:noFill/>
                          <a:ln>
                            <a:solidFill>
                              <a:schemeClr val="tx1"/>
                            </a:solidFill>
                          </a:ln>
                        </pic:spPr>
                      </pic:pic>
                    </a:graphicData>
                  </a:graphic>
                </wp:inline>
              </w:drawing>
            </w:r>
          </w:p>
          <w:p>
            <w:pPr>
              <w:spacing w:line="360" w:lineRule="auto"/>
              <w:jc w:val="center"/>
              <w:rPr>
                <w:rFonts w:hint="default" w:ascii="Times New Roman" w:hAnsi="Times New Roman" w:cs="Times New Roman"/>
                <w:color w:val="auto"/>
                <w:sz w:val="24"/>
                <w:szCs w:val="24"/>
                <w:highlight w:val="none"/>
              </w:rPr>
            </w:pPr>
            <w:r>
              <w:rPr>
                <w:rFonts w:hint="eastAsia"/>
                <w:b/>
                <w:color w:val="auto"/>
                <w:sz w:val="24"/>
                <w:szCs w:val="24"/>
                <w:highlight w:val="none"/>
              </w:rPr>
              <w:t>表1-</w:t>
            </w:r>
            <w:r>
              <w:rPr>
                <w:rFonts w:hint="eastAsia"/>
                <w:b/>
                <w:color w:val="auto"/>
                <w:sz w:val="24"/>
                <w:szCs w:val="24"/>
                <w:highlight w:val="none"/>
                <w:lang w:val="en-US" w:eastAsia="zh-CN"/>
              </w:rPr>
              <w:t>6</w:t>
            </w:r>
            <w:r>
              <w:rPr>
                <w:rFonts w:hint="eastAsia"/>
                <w:b/>
                <w:color w:val="auto"/>
                <w:sz w:val="24"/>
                <w:szCs w:val="24"/>
                <w:highlight w:val="none"/>
              </w:rPr>
              <w:t xml:space="preserve"> 与达市府发〔2021〕17号的符合性</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6"/>
              <w:gridCol w:w="3746"/>
              <w:gridCol w:w="2701"/>
              <w:gridCol w:w="6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3" w:type="pct"/>
                  <w:noWrap w:val="0"/>
                  <w:vAlign w:val="center"/>
                </w:tcPr>
                <w:p>
                  <w:pPr>
                    <w:spacing w:line="240" w:lineRule="auto"/>
                    <w:jc w:val="center"/>
                    <w:rPr>
                      <w:rFonts w:hint="eastAsia"/>
                      <w:b/>
                      <w:color w:val="auto"/>
                      <w:sz w:val="21"/>
                      <w:szCs w:val="21"/>
                      <w:highlight w:val="none"/>
                    </w:rPr>
                  </w:pPr>
                  <w:r>
                    <w:rPr>
                      <w:rFonts w:hint="eastAsia"/>
                      <w:b/>
                      <w:color w:val="auto"/>
                      <w:sz w:val="21"/>
                      <w:szCs w:val="21"/>
                      <w:highlight w:val="none"/>
                    </w:rPr>
                    <w:t>名称</w:t>
                  </w:r>
                </w:p>
              </w:tc>
              <w:tc>
                <w:tcPr>
                  <w:tcW w:w="2338" w:type="pct"/>
                  <w:noWrap w:val="0"/>
                  <w:vAlign w:val="center"/>
                </w:tcPr>
                <w:p>
                  <w:pPr>
                    <w:spacing w:line="240" w:lineRule="auto"/>
                    <w:jc w:val="center"/>
                    <w:rPr>
                      <w:rFonts w:hint="eastAsia"/>
                      <w:b/>
                      <w:color w:val="auto"/>
                      <w:sz w:val="21"/>
                      <w:szCs w:val="21"/>
                      <w:highlight w:val="none"/>
                    </w:rPr>
                  </w:pPr>
                  <w:r>
                    <w:rPr>
                      <w:rFonts w:hint="eastAsia"/>
                      <w:b/>
                      <w:color w:val="auto"/>
                      <w:sz w:val="21"/>
                      <w:szCs w:val="21"/>
                      <w:highlight w:val="none"/>
                    </w:rPr>
                    <w:t>文件要求</w:t>
                  </w:r>
                </w:p>
              </w:tc>
              <w:tc>
                <w:tcPr>
                  <w:tcW w:w="1686" w:type="pct"/>
                  <w:noWrap w:val="0"/>
                  <w:vAlign w:val="center"/>
                </w:tcPr>
                <w:p>
                  <w:pPr>
                    <w:spacing w:line="240" w:lineRule="auto"/>
                    <w:jc w:val="center"/>
                    <w:rPr>
                      <w:rFonts w:hint="eastAsia"/>
                      <w:b/>
                      <w:color w:val="auto"/>
                      <w:sz w:val="21"/>
                      <w:szCs w:val="21"/>
                      <w:highlight w:val="none"/>
                    </w:rPr>
                  </w:pPr>
                  <w:r>
                    <w:rPr>
                      <w:rFonts w:hint="eastAsia"/>
                      <w:b/>
                      <w:color w:val="auto"/>
                      <w:sz w:val="21"/>
                      <w:szCs w:val="21"/>
                      <w:highlight w:val="none"/>
                    </w:rPr>
                    <w:t>本项目情况</w:t>
                  </w:r>
                </w:p>
              </w:tc>
              <w:tc>
                <w:tcPr>
                  <w:tcW w:w="421" w:type="pct"/>
                  <w:noWrap w:val="0"/>
                  <w:vAlign w:val="center"/>
                </w:tcPr>
                <w:p>
                  <w:pPr>
                    <w:spacing w:line="240" w:lineRule="auto"/>
                    <w:jc w:val="center"/>
                    <w:rPr>
                      <w:rFonts w:hint="eastAsia"/>
                      <w:b/>
                      <w:color w:val="auto"/>
                      <w:sz w:val="21"/>
                      <w:szCs w:val="21"/>
                      <w:highlight w:val="none"/>
                    </w:rPr>
                  </w:pPr>
                  <w:r>
                    <w:rPr>
                      <w:rFonts w:hint="eastAsia"/>
                      <w:b/>
                      <w:color w:val="auto"/>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3" w:type="pct"/>
                  <w:noWrap w:val="0"/>
                  <w:vAlign w:val="center"/>
                </w:tcPr>
                <w:p>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重点管控单元</w:t>
                  </w:r>
                </w:p>
              </w:tc>
              <w:tc>
                <w:tcPr>
                  <w:tcW w:w="2338" w:type="pct"/>
                  <w:noWrap w:val="0"/>
                  <w:vAlign w:val="center"/>
                </w:tcPr>
                <w:p>
                  <w:pPr>
                    <w:spacing w:line="240" w:lineRule="auto"/>
                    <w:jc w:val="left"/>
                    <w:rPr>
                      <w:rFonts w:hint="eastAsia"/>
                      <w:color w:val="auto"/>
                      <w:sz w:val="21"/>
                      <w:szCs w:val="21"/>
                      <w:highlight w:val="none"/>
                    </w:rPr>
                  </w:pPr>
                  <w:r>
                    <w:rPr>
                      <w:rFonts w:hint="default" w:ascii="Times New Roman" w:hAnsi="Times New Roman" w:cs="Times New Roman"/>
                      <w:color w:val="auto"/>
                      <w:sz w:val="21"/>
                      <w:szCs w:val="21"/>
                      <w:highlight w:val="none"/>
                    </w:rPr>
                    <w:t>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tc>
              <w:tc>
                <w:tcPr>
                  <w:tcW w:w="1686" w:type="pct"/>
                  <w:noWrap w:val="0"/>
                  <w:vAlign w:val="center"/>
                </w:tcPr>
                <w:p>
                  <w:pPr>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本项目属于要素重点管控单元，本项目不设置总量。</w:t>
                  </w:r>
                </w:p>
              </w:tc>
              <w:tc>
                <w:tcPr>
                  <w:tcW w:w="421" w:type="pct"/>
                  <w:noWrap w:val="0"/>
                  <w:vAlign w:val="center"/>
                </w:tcPr>
                <w:p>
                  <w:pPr>
                    <w:spacing w:line="240" w:lineRule="auto"/>
                    <w:jc w:val="center"/>
                    <w:rPr>
                      <w:rFonts w:hint="eastAsia"/>
                      <w:color w:val="auto"/>
                      <w:sz w:val="21"/>
                      <w:szCs w:val="21"/>
                      <w:highlight w:val="none"/>
                    </w:rPr>
                  </w:pPr>
                  <w:r>
                    <w:rPr>
                      <w:rFonts w:hint="eastAsia"/>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3" w:type="pct"/>
                  <w:noWrap w:val="0"/>
                  <w:vAlign w:val="center"/>
                </w:tcPr>
                <w:p>
                  <w:pPr>
                    <w:spacing w:line="240" w:lineRule="auto"/>
                    <w:jc w:val="center"/>
                    <w:rPr>
                      <w:rFonts w:hint="default"/>
                      <w:color w:val="auto"/>
                      <w:sz w:val="21"/>
                      <w:szCs w:val="21"/>
                      <w:highlight w:val="none"/>
                      <w:lang w:val="en-US"/>
                    </w:rPr>
                  </w:pPr>
                  <w:r>
                    <w:rPr>
                      <w:rFonts w:hint="eastAsia" w:cs="Times New Roman"/>
                      <w:color w:val="auto"/>
                      <w:sz w:val="21"/>
                      <w:szCs w:val="21"/>
                      <w:highlight w:val="none"/>
                      <w:lang w:val="en-US" w:eastAsia="zh-CN"/>
                    </w:rPr>
                    <w:t>达州市大竹县管控要求</w:t>
                  </w:r>
                </w:p>
              </w:tc>
              <w:tc>
                <w:tcPr>
                  <w:tcW w:w="2338" w:type="pct"/>
                  <w:noWrap w:val="0"/>
                  <w:vAlign w:val="center"/>
                </w:tcPr>
                <w:p>
                  <w:pPr>
                    <w:spacing w:line="240" w:lineRule="auto"/>
                    <w:jc w:val="left"/>
                    <w:rPr>
                      <w:rFonts w:hint="eastAsia"/>
                      <w:color w:val="auto"/>
                      <w:sz w:val="21"/>
                      <w:szCs w:val="21"/>
                      <w:highlight w:val="none"/>
                    </w:rPr>
                  </w:pPr>
                  <w:r>
                    <w:rPr>
                      <w:rFonts w:hint="eastAsia"/>
                      <w:color w:val="auto"/>
                      <w:sz w:val="21"/>
                      <w:szCs w:val="21"/>
                      <w:highlight w:val="none"/>
                    </w:rPr>
                    <w:t>（1）优化中心城区产业布局，严控城市主导风向的上风向引入大气污染物排放量大的企业；</w:t>
                  </w:r>
                </w:p>
                <w:p>
                  <w:pPr>
                    <w:spacing w:line="240" w:lineRule="auto"/>
                    <w:jc w:val="left"/>
                    <w:rPr>
                      <w:rFonts w:hint="eastAsia"/>
                      <w:color w:val="auto"/>
                      <w:sz w:val="21"/>
                      <w:szCs w:val="21"/>
                      <w:highlight w:val="none"/>
                    </w:rPr>
                  </w:pPr>
                  <w:r>
                    <w:rPr>
                      <w:rFonts w:hint="eastAsia"/>
                      <w:color w:val="auto"/>
                      <w:sz w:val="21"/>
                      <w:szCs w:val="21"/>
                      <w:highlight w:val="none"/>
                    </w:rPr>
                    <w:t>（2）加强污水处理等基础设施建设，推进东柳河、铜钵河、黄滩河、东河等水污染防治、水生态修复、水安全保障、湿地资源保护等流域综合治理；</w:t>
                  </w:r>
                </w:p>
                <w:p>
                  <w:pPr>
                    <w:spacing w:line="240" w:lineRule="auto"/>
                    <w:jc w:val="left"/>
                    <w:rPr>
                      <w:rFonts w:hint="eastAsia"/>
                      <w:color w:val="auto"/>
                      <w:sz w:val="21"/>
                      <w:szCs w:val="21"/>
                      <w:highlight w:val="none"/>
                    </w:rPr>
                  </w:pPr>
                  <w:r>
                    <w:rPr>
                      <w:rFonts w:hint="eastAsia"/>
                      <w:color w:val="auto"/>
                      <w:sz w:val="21"/>
                      <w:szCs w:val="21"/>
                      <w:highlight w:val="none"/>
                    </w:rPr>
                    <w:t>（3）完善城镇生活污水源头减量，严格管控农业面源污染，加强规模以上畜禽养殖污染治理，鼓励工业企业开展尾水回收利用；</w:t>
                  </w:r>
                </w:p>
                <w:p>
                  <w:pPr>
                    <w:spacing w:line="240" w:lineRule="auto"/>
                    <w:jc w:val="left"/>
                    <w:rPr>
                      <w:rFonts w:hint="eastAsia"/>
                      <w:color w:val="auto"/>
                      <w:sz w:val="21"/>
                      <w:szCs w:val="21"/>
                      <w:highlight w:val="none"/>
                    </w:rPr>
                  </w:pPr>
                  <w:r>
                    <w:rPr>
                      <w:rFonts w:hint="eastAsia"/>
                      <w:color w:val="auto"/>
                      <w:sz w:val="21"/>
                      <w:szCs w:val="21"/>
                      <w:highlight w:val="none"/>
                    </w:rPr>
                    <w:t>（4）加强矿山矿企的环境治理和生态修复，大力查处非法开采和破坏矿山地质环境行为。</w:t>
                  </w:r>
                </w:p>
              </w:tc>
              <w:tc>
                <w:tcPr>
                  <w:tcW w:w="1686" w:type="pct"/>
                  <w:noWrap w:val="0"/>
                  <w:vAlign w:val="center"/>
                </w:tcPr>
                <w:p>
                  <w:pPr>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rPr>
                    <w:t>本项目</w:t>
                  </w:r>
                  <w:r>
                    <w:rPr>
                      <w:rFonts w:hint="eastAsia"/>
                      <w:color w:val="auto"/>
                      <w:sz w:val="21"/>
                      <w:szCs w:val="21"/>
                      <w:highlight w:val="none"/>
                      <w:lang w:val="en-US" w:eastAsia="zh-CN"/>
                    </w:rPr>
                    <w:t>属于</w:t>
                  </w:r>
                  <w:r>
                    <w:rPr>
                      <w:rFonts w:hint="eastAsia" w:cs="Times New Roman"/>
                      <w:color w:val="auto"/>
                      <w:sz w:val="21"/>
                      <w:szCs w:val="21"/>
                      <w:highlight w:val="none"/>
                      <w:lang w:val="en-US" w:eastAsia="zh-CN"/>
                    </w:rPr>
                    <w:t>非金属矿物制品业，</w:t>
                  </w:r>
                  <w:r>
                    <w:rPr>
                      <w:rFonts w:hint="eastAsia"/>
                      <w:color w:val="auto"/>
                      <w:sz w:val="21"/>
                      <w:szCs w:val="21"/>
                      <w:highlight w:val="none"/>
                    </w:rPr>
                    <w:t>利用</w:t>
                  </w:r>
                  <w:r>
                    <w:rPr>
                      <w:rFonts w:hint="eastAsia"/>
                      <w:color w:val="auto"/>
                      <w:sz w:val="21"/>
                      <w:szCs w:val="21"/>
                      <w:highlight w:val="none"/>
                      <w:lang w:val="en-US" w:eastAsia="zh-CN"/>
                    </w:rPr>
                    <w:t>石料（</w:t>
                  </w:r>
                  <w:r>
                    <w:rPr>
                      <w:rFonts w:hint="default" w:ascii="Times New Roman" w:hAnsi="Times New Roman" w:cs="Times New Roman"/>
                      <w:color w:val="auto"/>
                      <w:sz w:val="21"/>
                      <w:szCs w:val="21"/>
                      <w:lang w:val="en-US" w:eastAsia="zh-CN"/>
                    </w:rPr>
                    <w:t>青石</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花岗岩</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大理石</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汉白玉</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石板</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板材</w:t>
                  </w:r>
                  <w:r>
                    <w:rPr>
                      <w:rFonts w:hint="eastAsia" w:ascii="Times New Roman" w:hAnsi="Times New Roman" w:cs="Times New Roman"/>
                      <w:color w:val="auto"/>
                      <w:sz w:val="21"/>
                      <w:szCs w:val="21"/>
                      <w:lang w:val="en-US" w:eastAsia="zh-CN"/>
                    </w:rPr>
                    <w:t>等</w:t>
                  </w:r>
                  <w:r>
                    <w:rPr>
                      <w:rFonts w:hint="eastAsia"/>
                      <w:color w:val="auto"/>
                      <w:sz w:val="21"/>
                      <w:szCs w:val="21"/>
                      <w:highlight w:val="none"/>
                      <w:lang w:val="en-US" w:eastAsia="zh-CN"/>
                    </w:rPr>
                    <w:t>）进行</w:t>
                  </w:r>
                  <w:r>
                    <w:rPr>
                      <w:rFonts w:hint="eastAsia" w:cs="Times New Roman"/>
                      <w:color w:val="auto"/>
                      <w:sz w:val="21"/>
                      <w:szCs w:val="21"/>
                      <w:highlight w:val="none"/>
                    </w:rPr>
                    <w:t>切割雕刻加工</w:t>
                  </w:r>
                  <w:r>
                    <w:rPr>
                      <w:rFonts w:hint="eastAsia"/>
                      <w:color w:val="auto"/>
                      <w:sz w:val="21"/>
                      <w:szCs w:val="21"/>
                      <w:highlight w:val="none"/>
                      <w:lang w:val="en-US" w:eastAsia="zh-CN"/>
                    </w:rPr>
                    <w:t>，不属于</w:t>
                  </w:r>
                  <w:r>
                    <w:rPr>
                      <w:rFonts w:hint="eastAsia"/>
                      <w:color w:val="auto"/>
                      <w:sz w:val="21"/>
                      <w:szCs w:val="21"/>
                      <w:highlight w:val="none"/>
                    </w:rPr>
                    <w:t>排放量大的企业</w:t>
                  </w:r>
                  <w:r>
                    <w:rPr>
                      <w:rFonts w:hint="eastAsia"/>
                      <w:color w:val="auto"/>
                      <w:sz w:val="21"/>
                      <w:szCs w:val="21"/>
                      <w:highlight w:val="none"/>
                      <w:lang w:eastAsia="zh-CN"/>
                    </w:rPr>
                    <w:t>，</w:t>
                  </w:r>
                  <w:r>
                    <w:rPr>
                      <w:rFonts w:hint="eastAsia"/>
                      <w:color w:val="auto"/>
                      <w:sz w:val="21"/>
                      <w:szCs w:val="21"/>
                      <w:highlight w:val="none"/>
                      <w:lang w:val="en-US" w:eastAsia="zh-CN"/>
                    </w:rPr>
                    <w:t>本项目生产废水经处理后循环使用，不外排，</w:t>
                  </w:r>
                  <w:r>
                    <w:rPr>
                      <w:rFonts w:hint="eastAsia" w:cs="Times New Roman"/>
                      <w:color w:val="auto"/>
                      <w:sz w:val="21"/>
                      <w:szCs w:val="21"/>
                      <w:highlight w:val="none"/>
                      <w:vertAlign w:val="baseline"/>
                      <w:lang w:val="en-US" w:eastAsia="zh-CN"/>
                    </w:rPr>
                    <w:t>生活污水经旱厕处理后用于周边农田农肥</w:t>
                  </w:r>
                  <w:r>
                    <w:rPr>
                      <w:rFonts w:hint="eastAsia"/>
                      <w:color w:val="auto"/>
                      <w:sz w:val="21"/>
                      <w:szCs w:val="21"/>
                      <w:highlight w:val="none"/>
                      <w:lang w:val="en-US" w:eastAsia="zh-CN"/>
                    </w:rPr>
                    <w:t>。符合管控要求。</w:t>
                  </w:r>
                </w:p>
              </w:tc>
              <w:tc>
                <w:tcPr>
                  <w:tcW w:w="421" w:type="pct"/>
                  <w:noWrap w:val="0"/>
                  <w:vAlign w:val="center"/>
                </w:tcPr>
                <w:p>
                  <w:pPr>
                    <w:spacing w:line="240" w:lineRule="auto"/>
                    <w:jc w:val="center"/>
                    <w:rPr>
                      <w:rFonts w:hint="eastAsia"/>
                      <w:color w:val="auto"/>
                      <w:sz w:val="21"/>
                      <w:szCs w:val="21"/>
                      <w:highlight w:val="none"/>
                    </w:rPr>
                  </w:pPr>
                  <w:r>
                    <w:rPr>
                      <w:rFonts w:hint="eastAsia"/>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553" w:type="pct"/>
                  <w:noWrap w:val="0"/>
                  <w:vAlign w:val="center"/>
                </w:tcPr>
                <w:p>
                  <w:pPr>
                    <w:spacing w:line="240" w:lineRule="auto"/>
                    <w:jc w:val="center"/>
                    <w:rPr>
                      <w:rFonts w:hint="eastAsia"/>
                      <w:color w:val="auto"/>
                      <w:sz w:val="21"/>
                      <w:szCs w:val="21"/>
                      <w:highlight w:val="none"/>
                    </w:rPr>
                  </w:pPr>
                  <w:r>
                    <w:rPr>
                      <w:rFonts w:hint="eastAsia"/>
                      <w:color w:val="auto"/>
                      <w:sz w:val="21"/>
                      <w:szCs w:val="21"/>
                      <w:highlight w:val="none"/>
                    </w:rPr>
                    <w:t>达州市管控要求</w:t>
                  </w:r>
                </w:p>
              </w:tc>
              <w:tc>
                <w:tcPr>
                  <w:tcW w:w="2338" w:type="pct"/>
                  <w:noWrap w:val="0"/>
                  <w:vAlign w:val="center"/>
                </w:tcPr>
                <w:p>
                  <w:pPr>
                    <w:spacing w:line="240" w:lineRule="auto"/>
                    <w:jc w:val="left"/>
                    <w:rPr>
                      <w:rFonts w:hint="eastAsia"/>
                      <w:color w:val="auto"/>
                      <w:sz w:val="21"/>
                      <w:szCs w:val="21"/>
                      <w:highlight w:val="none"/>
                    </w:rPr>
                  </w:pPr>
                  <w:r>
                    <w:rPr>
                      <w:rFonts w:hint="eastAsia"/>
                      <w:color w:val="auto"/>
                      <w:sz w:val="21"/>
                      <w:szCs w:val="21"/>
                      <w:highlight w:val="none"/>
                    </w:rPr>
                    <w:t>1、对钢铁行业提出严格资源环境绩效水平要求；</w:t>
                  </w:r>
                </w:p>
                <w:p>
                  <w:pPr>
                    <w:spacing w:line="240" w:lineRule="auto"/>
                    <w:jc w:val="left"/>
                    <w:rPr>
                      <w:rFonts w:hint="eastAsia"/>
                      <w:color w:val="auto"/>
                      <w:sz w:val="21"/>
                      <w:szCs w:val="21"/>
                      <w:highlight w:val="none"/>
                    </w:rPr>
                  </w:pPr>
                  <w:r>
                    <w:rPr>
                      <w:rFonts w:hint="eastAsia"/>
                      <w:color w:val="auto"/>
                      <w:sz w:val="21"/>
                      <w:szCs w:val="21"/>
                      <w:highlight w:val="none"/>
                    </w:rPr>
                    <w:t>2、高污染企业限期退城入园；</w:t>
                  </w:r>
                </w:p>
                <w:p>
                  <w:pPr>
                    <w:spacing w:line="240" w:lineRule="auto"/>
                    <w:jc w:val="left"/>
                    <w:rPr>
                      <w:rFonts w:hint="eastAsia"/>
                      <w:color w:val="auto"/>
                      <w:sz w:val="21"/>
                      <w:szCs w:val="21"/>
                      <w:highlight w:val="none"/>
                    </w:rPr>
                  </w:pPr>
                  <w:r>
                    <w:rPr>
                      <w:rFonts w:hint="eastAsia"/>
                      <w:color w:val="auto"/>
                      <w:sz w:val="21"/>
                      <w:szCs w:val="21"/>
                      <w:highlight w:val="none"/>
                    </w:rPr>
                    <w:t>3、普光气田开发污染防治和环境管理等方面要达到国内先进水平；</w:t>
                  </w:r>
                </w:p>
                <w:p>
                  <w:pPr>
                    <w:spacing w:line="240" w:lineRule="auto"/>
                    <w:jc w:val="left"/>
                    <w:rPr>
                      <w:rFonts w:hint="eastAsia"/>
                      <w:color w:val="auto"/>
                      <w:sz w:val="21"/>
                      <w:szCs w:val="21"/>
                      <w:highlight w:val="none"/>
                    </w:rPr>
                  </w:pPr>
                  <w:r>
                    <w:rPr>
                      <w:rFonts w:hint="eastAsia"/>
                      <w:color w:val="auto"/>
                      <w:sz w:val="21"/>
                      <w:szCs w:val="21"/>
                      <w:highlight w:val="none"/>
                    </w:rPr>
                    <w:t>4、引进项目应符合园区规划环评和区域产业准入清单要求；</w:t>
                  </w:r>
                </w:p>
                <w:p>
                  <w:pPr>
                    <w:spacing w:line="240" w:lineRule="auto"/>
                    <w:jc w:val="left"/>
                    <w:rPr>
                      <w:rFonts w:hint="eastAsia"/>
                      <w:color w:val="auto"/>
                      <w:sz w:val="21"/>
                      <w:szCs w:val="21"/>
                      <w:highlight w:val="none"/>
                    </w:rPr>
                  </w:pPr>
                  <w:r>
                    <w:rPr>
                      <w:rFonts w:hint="eastAsia"/>
                      <w:color w:val="auto"/>
                      <w:sz w:val="21"/>
                      <w:szCs w:val="21"/>
                      <w:highlight w:val="none"/>
                    </w:rPr>
                    <w:t>5、长江干支流岸线1km范围内，不得新建、扩建化工园区和</w:t>
                  </w:r>
                  <w:r>
                    <w:rPr>
                      <w:rFonts w:hint="eastAsia"/>
                      <w:color w:val="auto"/>
                      <w:sz w:val="21"/>
                      <w:szCs w:val="21"/>
                      <w:highlight w:val="none"/>
                      <w:lang w:val="en-US" w:eastAsia="zh-CN"/>
                    </w:rPr>
                    <w:t>化工</w:t>
                  </w:r>
                  <w:r>
                    <w:rPr>
                      <w:rFonts w:hint="eastAsia"/>
                      <w:color w:val="auto"/>
                      <w:sz w:val="21"/>
                      <w:szCs w:val="21"/>
                      <w:highlight w:val="none"/>
                    </w:rPr>
                    <w:t>项目；</w:t>
                  </w:r>
                </w:p>
                <w:p>
                  <w:pPr>
                    <w:spacing w:line="240" w:lineRule="auto"/>
                    <w:jc w:val="left"/>
                    <w:rPr>
                      <w:rFonts w:hint="eastAsia"/>
                      <w:color w:val="auto"/>
                      <w:sz w:val="21"/>
                      <w:szCs w:val="21"/>
                      <w:highlight w:val="none"/>
                    </w:rPr>
                  </w:pPr>
                  <w:r>
                    <w:rPr>
                      <w:rFonts w:hint="eastAsia"/>
                      <w:color w:val="auto"/>
                      <w:sz w:val="21"/>
                      <w:szCs w:val="21"/>
                      <w:highlight w:val="none"/>
                    </w:rPr>
                    <w:t>6、严控产业转移环境准入；</w:t>
                  </w:r>
                </w:p>
                <w:p>
                  <w:pPr>
                    <w:spacing w:line="240" w:lineRule="auto"/>
                    <w:jc w:val="left"/>
                    <w:rPr>
                      <w:rFonts w:hint="eastAsia"/>
                      <w:color w:val="auto"/>
                      <w:sz w:val="21"/>
                      <w:szCs w:val="21"/>
                      <w:highlight w:val="none"/>
                    </w:rPr>
                  </w:pPr>
                  <w:r>
                    <w:rPr>
                      <w:rFonts w:hint="eastAsia"/>
                      <w:color w:val="auto"/>
                      <w:sz w:val="21"/>
                      <w:szCs w:val="21"/>
                      <w:highlight w:val="none"/>
                    </w:rPr>
                    <w:t>7、造纸等产业污染治理和环境管理应达到国内先进水平。优化制浆造纸产业布局，提升行业清洁生产水平，推动制浆造纸工业向节能、环保、绿色方向发展。</w:t>
                  </w:r>
                </w:p>
              </w:tc>
              <w:tc>
                <w:tcPr>
                  <w:tcW w:w="1686" w:type="pct"/>
                  <w:noWrap w:val="0"/>
                  <w:vAlign w:val="center"/>
                </w:tcPr>
                <w:p>
                  <w:pPr>
                    <w:spacing w:line="240" w:lineRule="auto"/>
                    <w:jc w:val="left"/>
                    <w:rPr>
                      <w:rFonts w:hint="eastAsia"/>
                      <w:color w:val="auto"/>
                      <w:sz w:val="21"/>
                      <w:szCs w:val="21"/>
                      <w:highlight w:val="none"/>
                    </w:rPr>
                  </w:pPr>
                  <w:r>
                    <w:rPr>
                      <w:rFonts w:hint="eastAsia"/>
                      <w:color w:val="auto"/>
                      <w:sz w:val="21"/>
                      <w:szCs w:val="21"/>
                      <w:highlight w:val="none"/>
                    </w:rPr>
                    <w:t>1、本项目不属于钢铁行业；</w:t>
                  </w:r>
                </w:p>
                <w:p>
                  <w:pPr>
                    <w:spacing w:line="240" w:lineRule="auto"/>
                    <w:jc w:val="left"/>
                    <w:rPr>
                      <w:rFonts w:hint="eastAsia"/>
                      <w:color w:val="auto"/>
                      <w:sz w:val="21"/>
                      <w:szCs w:val="21"/>
                      <w:highlight w:val="none"/>
                    </w:rPr>
                  </w:pPr>
                  <w:r>
                    <w:rPr>
                      <w:rFonts w:hint="eastAsia"/>
                      <w:color w:val="auto"/>
                      <w:sz w:val="21"/>
                      <w:szCs w:val="21"/>
                      <w:highlight w:val="none"/>
                    </w:rPr>
                    <w:t>2、本项目利用</w:t>
                  </w:r>
                  <w:r>
                    <w:rPr>
                      <w:rFonts w:hint="eastAsia"/>
                      <w:color w:val="auto"/>
                      <w:sz w:val="21"/>
                      <w:szCs w:val="21"/>
                      <w:highlight w:val="none"/>
                      <w:lang w:val="en-US" w:eastAsia="zh-CN"/>
                    </w:rPr>
                    <w:t>石料（</w:t>
                  </w:r>
                  <w:r>
                    <w:rPr>
                      <w:rFonts w:hint="default" w:ascii="Times New Roman" w:hAnsi="Times New Roman" w:cs="Times New Roman"/>
                      <w:color w:val="auto"/>
                      <w:sz w:val="21"/>
                      <w:szCs w:val="21"/>
                      <w:lang w:val="en-US" w:eastAsia="zh-CN"/>
                    </w:rPr>
                    <w:t>青石</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花岗岩</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大理石</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汉白玉</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石板</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板材</w:t>
                  </w:r>
                  <w:r>
                    <w:rPr>
                      <w:rFonts w:hint="eastAsia" w:ascii="Times New Roman" w:hAnsi="Times New Roman" w:cs="Times New Roman"/>
                      <w:color w:val="auto"/>
                      <w:sz w:val="21"/>
                      <w:szCs w:val="21"/>
                      <w:lang w:val="en-US" w:eastAsia="zh-CN"/>
                    </w:rPr>
                    <w:t>等</w:t>
                  </w:r>
                  <w:r>
                    <w:rPr>
                      <w:rFonts w:hint="eastAsia"/>
                      <w:color w:val="auto"/>
                      <w:sz w:val="21"/>
                      <w:szCs w:val="21"/>
                      <w:highlight w:val="none"/>
                      <w:lang w:val="en-US" w:eastAsia="zh-CN"/>
                    </w:rPr>
                    <w:t>）进行</w:t>
                  </w:r>
                  <w:r>
                    <w:rPr>
                      <w:rFonts w:hint="eastAsia" w:cs="Times New Roman"/>
                      <w:color w:val="auto"/>
                      <w:sz w:val="21"/>
                      <w:szCs w:val="21"/>
                      <w:highlight w:val="none"/>
                    </w:rPr>
                    <w:t>切割雕刻加工</w:t>
                  </w:r>
                  <w:r>
                    <w:rPr>
                      <w:rFonts w:hint="eastAsia"/>
                      <w:color w:val="auto"/>
                      <w:sz w:val="21"/>
                      <w:szCs w:val="21"/>
                      <w:highlight w:val="none"/>
                    </w:rPr>
                    <w:t>，不属于高污染企业，建设位于</w:t>
                  </w:r>
                  <w:r>
                    <w:rPr>
                      <w:rFonts w:hint="eastAsia" w:cs="Times New Roman"/>
                      <w:color w:val="auto"/>
                      <w:sz w:val="21"/>
                      <w:szCs w:val="21"/>
                      <w:highlight w:val="none"/>
                      <w:lang w:val="en-US" w:eastAsia="zh-CN"/>
                    </w:rPr>
                    <w:t>大竹县文星镇龙门村</w:t>
                  </w:r>
                  <w:r>
                    <w:rPr>
                      <w:rFonts w:hint="eastAsia"/>
                      <w:color w:val="auto"/>
                      <w:sz w:val="21"/>
                      <w:szCs w:val="21"/>
                      <w:highlight w:val="none"/>
                    </w:rPr>
                    <w:t>；</w:t>
                  </w:r>
                </w:p>
                <w:p>
                  <w:pPr>
                    <w:spacing w:line="240" w:lineRule="auto"/>
                    <w:jc w:val="left"/>
                    <w:rPr>
                      <w:rFonts w:hint="eastAsia"/>
                      <w:color w:val="auto"/>
                      <w:sz w:val="21"/>
                      <w:szCs w:val="21"/>
                      <w:highlight w:val="none"/>
                    </w:rPr>
                  </w:pPr>
                  <w:r>
                    <w:rPr>
                      <w:rFonts w:hint="eastAsia"/>
                      <w:color w:val="auto"/>
                      <w:sz w:val="21"/>
                      <w:szCs w:val="21"/>
                      <w:highlight w:val="none"/>
                    </w:rPr>
                    <w:t>3、本项目不是气田开发项目；</w:t>
                  </w:r>
                </w:p>
                <w:p>
                  <w:pPr>
                    <w:spacing w:line="240" w:lineRule="auto"/>
                    <w:jc w:val="left"/>
                    <w:rPr>
                      <w:rFonts w:hint="eastAsia"/>
                      <w:color w:val="auto"/>
                      <w:sz w:val="21"/>
                      <w:szCs w:val="21"/>
                      <w:highlight w:val="none"/>
                    </w:rPr>
                  </w:pPr>
                  <w:r>
                    <w:rPr>
                      <w:rFonts w:hint="eastAsia"/>
                      <w:color w:val="auto"/>
                      <w:sz w:val="21"/>
                      <w:szCs w:val="21"/>
                      <w:highlight w:val="none"/>
                    </w:rPr>
                    <w:t>4、</w:t>
                  </w:r>
                  <w:r>
                    <w:rPr>
                      <w:rFonts w:hint="eastAsia"/>
                      <w:bCs/>
                      <w:color w:val="auto"/>
                      <w:sz w:val="21"/>
                      <w:szCs w:val="21"/>
                      <w:highlight w:val="none"/>
                      <w:vertAlign w:val="baseline"/>
                      <w:lang w:val="en-US" w:eastAsia="zh-CN" w:bidi="en-US"/>
                    </w:rPr>
                    <w:t>项目位于园区外</w:t>
                  </w:r>
                  <w:r>
                    <w:rPr>
                      <w:rFonts w:hint="eastAsia"/>
                      <w:color w:val="auto"/>
                      <w:sz w:val="21"/>
                      <w:szCs w:val="21"/>
                      <w:highlight w:val="none"/>
                    </w:rPr>
                    <w:t>；</w:t>
                  </w:r>
                </w:p>
                <w:p>
                  <w:pPr>
                    <w:spacing w:line="240" w:lineRule="auto"/>
                    <w:jc w:val="left"/>
                    <w:rPr>
                      <w:rFonts w:hint="eastAsia"/>
                      <w:color w:val="auto"/>
                      <w:sz w:val="21"/>
                      <w:szCs w:val="21"/>
                      <w:highlight w:val="none"/>
                    </w:rPr>
                  </w:pPr>
                  <w:r>
                    <w:rPr>
                      <w:rFonts w:hint="eastAsia"/>
                      <w:color w:val="auto"/>
                      <w:sz w:val="21"/>
                      <w:szCs w:val="21"/>
                      <w:highlight w:val="none"/>
                    </w:rPr>
                    <w:t>5、本项目不在长江干支流岸线1km范围内；</w:t>
                  </w:r>
                </w:p>
                <w:p>
                  <w:pPr>
                    <w:spacing w:line="240" w:lineRule="auto"/>
                    <w:jc w:val="left"/>
                    <w:rPr>
                      <w:rFonts w:hint="eastAsia"/>
                      <w:color w:val="auto"/>
                      <w:sz w:val="21"/>
                      <w:szCs w:val="21"/>
                      <w:highlight w:val="none"/>
                    </w:rPr>
                  </w:pPr>
                  <w:r>
                    <w:rPr>
                      <w:rFonts w:hint="eastAsia"/>
                      <w:color w:val="auto"/>
                      <w:sz w:val="21"/>
                      <w:szCs w:val="21"/>
                      <w:highlight w:val="none"/>
                    </w:rPr>
                    <w:t>6、本项目不属于产业转移；</w:t>
                  </w:r>
                </w:p>
                <w:p>
                  <w:pPr>
                    <w:spacing w:line="240" w:lineRule="auto"/>
                    <w:jc w:val="left"/>
                    <w:rPr>
                      <w:rFonts w:hint="eastAsia"/>
                      <w:color w:val="auto"/>
                      <w:sz w:val="21"/>
                      <w:szCs w:val="21"/>
                      <w:highlight w:val="none"/>
                    </w:rPr>
                  </w:pPr>
                  <w:r>
                    <w:rPr>
                      <w:rFonts w:hint="eastAsia"/>
                      <w:color w:val="auto"/>
                      <w:sz w:val="21"/>
                      <w:szCs w:val="21"/>
                      <w:highlight w:val="none"/>
                    </w:rPr>
                    <w:t>7、本项目不是造纸等行业。</w:t>
                  </w:r>
                </w:p>
              </w:tc>
              <w:tc>
                <w:tcPr>
                  <w:tcW w:w="421" w:type="pct"/>
                  <w:noWrap w:val="0"/>
                  <w:vAlign w:val="center"/>
                </w:tcPr>
                <w:p>
                  <w:pPr>
                    <w:spacing w:line="240" w:lineRule="auto"/>
                    <w:jc w:val="center"/>
                    <w:rPr>
                      <w:rFonts w:hint="eastAsia"/>
                      <w:color w:val="auto"/>
                      <w:sz w:val="21"/>
                      <w:szCs w:val="21"/>
                      <w:highlight w:val="none"/>
                    </w:rPr>
                  </w:pPr>
                  <w:r>
                    <w:rPr>
                      <w:rFonts w:hint="eastAsia"/>
                      <w:color w:val="auto"/>
                      <w:sz w:val="21"/>
                      <w:szCs w:val="21"/>
                      <w:highlight w:val="none"/>
                    </w:rPr>
                    <w:t>符合</w:t>
                  </w:r>
                </w:p>
              </w:tc>
            </w:tr>
          </w:tbl>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color w:val="auto"/>
                <w:sz w:val="24"/>
                <w:szCs w:val="24"/>
                <w:highlight w:val="none"/>
              </w:rPr>
              <w:t>本项目</w:t>
            </w:r>
            <w:r>
              <w:rPr>
                <w:rFonts w:hint="eastAsia"/>
                <w:color w:val="auto"/>
                <w:sz w:val="24"/>
                <w:szCs w:val="24"/>
                <w:highlight w:val="none"/>
                <w:lang w:val="en-US" w:eastAsia="zh-CN"/>
              </w:rPr>
              <w:t>属于</w:t>
            </w:r>
            <w:r>
              <w:rPr>
                <w:rFonts w:hint="eastAsia" w:cs="Times New Roman"/>
                <w:color w:val="auto"/>
                <w:sz w:val="24"/>
                <w:szCs w:val="24"/>
                <w:highlight w:val="none"/>
                <w:lang w:val="en-US" w:eastAsia="zh-CN"/>
              </w:rPr>
              <w:t>非金属矿物制品业，</w:t>
            </w:r>
            <w:r>
              <w:rPr>
                <w:rFonts w:hint="eastAsia"/>
                <w:color w:val="auto"/>
                <w:sz w:val="24"/>
                <w:szCs w:val="24"/>
                <w:highlight w:val="none"/>
              </w:rPr>
              <w:t>利用</w:t>
            </w:r>
            <w:r>
              <w:rPr>
                <w:rFonts w:hint="eastAsia"/>
                <w:color w:val="auto"/>
                <w:sz w:val="24"/>
                <w:szCs w:val="24"/>
                <w:highlight w:val="none"/>
                <w:lang w:val="en-US" w:eastAsia="zh-CN"/>
              </w:rPr>
              <w:t>板材、石板、墓碑石等进行</w:t>
            </w:r>
            <w:r>
              <w:rPr>
                <w:rFonts w:hint="eastAsia" w:cs="Times New Roman"/>
                <w:color w:val="auto"/>
                <w:sz w:val="24"/>
                <w:szCs w:val="24"/>
                <w:highlight w:val="none"/>
              </w:rPr>
              <w:t>切割雕刻加工</w:t>
            </w:r>
            <w:r>
              <w:rPr>
                <w:rFonts w:hint="eastAsia" w:cs="Times New Roman"/>
                <w:color w:val="auto"/>
                <w:sz w:val="24"/>
                <w:szCs w:val="24"/>
                <w:highlight w:val="none"/>
                <w:lang w:eastAsia="zh-CN"/>
              </w:rPr>
              <w:t>，</w:t>
            </w:r>
            <w:r>
              <w:rPr>
                <w:rFonts w:hint="eastAsia" w:cs="Times New Roman"/>
                <w:color w:val="auto"/>
                <w:sz w:val="24"/>
                <w:szCs w:val="24"/>
                <w:highlight w:val="none"/>
              </w:rPr>
              <w:t>不属于区域重点管控项目，区域环境质量良好，污染物均能实现达标排放。本项目满足土壤风险管控底线相关要求。同时项目使用清洁能源电，合理利用水资源，符合资源利用上限要求。</w:t>
            </w:r>
          </w:p>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本项目废水、废气</w:t>
            </w:r>
            <w:r>
              <w:rPr>
                <w:rFonts w:hint="eastAsia" w:cs="Times New Roman"/>
                <w:color w:val="auto"/>
                <w:sz w:val="24"/>
                <w:szCs w:val="24"/>
                <w:highlight w:val="none"/>
                <w:lang w:val="en-US" w:eastAsia="zh-CN"/>
              </w:rPr>
              <w:t>、噪声、固废等</w:t>
            </w:r>
            <w:r>
              <w:rPr>
                <w:rFonts w:hint="default" w:ascii="Times New Roman" w:hAnsi="Times New Roman" w:cs="Times New Roman"/>
                <w:color w:val="auto"/>
                <w:sz w:val="24"/>
                <w:szCs w:val="24"/>
                <w:highlight w:val="none"/>
                <w:lang w:val="en-US" w:eastAsia="zh-CN"/>
              </w:rPr>
              <w:t>均提出了相应的治理措施，在落实好相关的治理措施后，符合达州市</w:t>
            </w:r>
            <w:r>
              <w:rPr>
                <w:rFonts w:hint="eastAsia" w:cs="Times New Roman"/>
                <w:color w:val="auto"/>
                <w:sz w:val="24"/>
                <w:szCs w:val="24"/>
                <w:highlight w:val="none"/>
                <w:lang w:val="en-US" w:eastAsia="zh-CN"/>
              </w:rPr>
              <w:t>大竹县</w:t>
            </w:r>
            <w:r>
              <w:rPr>
                <w:rFonts w:hint="default" w:ascii="Times New Roman" w:hAnsi="Times New Roman" w:cs="Times New Roman"/>
                <w:color w:val="auto"/>
                <w:sz w:val="24"/>
                <w:szCs w:val="24"/>
                <w:highlight w:val="none"/>
                <w:lang w:val="en-US" w:eastAsia="zh-CN"/>
              </w:rPr>
              <w:t>总体生态环境管控要求。</w:t>
            </w:r>
          </w:p>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rPr>
              <w:t>大竹旭晟石材厂石材切割雕刻加工项目</w:t>
            </w:r>
            <w:r>
              <w:rPr>
                <w:rFonts w:hint="eastAsia" w:cs="Times New Roman"/>
                <w:color w:val="auto"/>
                <w:sz w:val="24"/>
                <w:szCs w:val="24"/>
                <w:highlight w:val="none"/>
                <w:lang w:val="en-US" w:eastAsia="zh-CN"/>
              </w:rPr>
              <w:t>所属非金属矿物制品业</w:t>
            </w:r>
            <w:r>
              <w:rPr>
                <w:rFonts w:hint="eastAsia" w:eastAsia="宋体" w:cs="Times New Roman"/>
                <w:color w:val="auto"/>
                <w:sz w:val="24"/>
                <w:szCs w:val="24"/>
                <w:highlight w:val="none"/>
                <w:lang w:val="en-US" w:eastAsia="zh-CN"/>
              </w:rPr>
              <w:t>中</w:t>
            </w:r>
            <w:r>
              <w:rPr>
                <w:rFonts w:hint="eastAsia" w:cs="Times New Roman"/>
                <w:color w:val="auto"/>
                <w:sz w:val="24"/>
                <w:szCs w:val="24"/>
                <w:highlight w:val="none"/>
                <w:lang w:val="en-US" w:eastAsia="zh-CN"/>
              </w:rPr>
              <w:t>建筑用石加工，共涉及4个管控单元。</w:t>
            </w:r>
            <w:r>
              <w:rPr>
                <w:rFonts w:hint="default" w:ascii="Times New Roman" w:hAnsi="Times New Roman" w:cs="Times New Roman"/>
                <w:color w:val="auto"/>
                <w:sz w:val="24"/>
                <w:szCs w:val="24"/>
                <w:highlight w:val="none"/>
                <w:lang w:val="en-US" w:eastAsia="zh-CN"/>
              </w:rPr>
              <w:t>查询情况见下图，涉及到的管控单元见表1-</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w:t>
            </w:r>
          </w:p>
          <w:p>
            <w:pPr>
              <w:spacing w:line="360" w:lineRule="auto"/>
              <w:rPr>
                <w:rFonts w:hint="eastAsia" w:cs="Times New Roman"/>
                <w:color w:val="auto"/>
                <w:sz w:val="24"/>
                <w:szCs w:val="24"/>
                <w:highlight w:val="none"/>
                <w:lang w:eastAsia="zh-CN"/>
              </w:rPr>
            </w:pPr>
            <w:r>
              <w:rPr>
                <w:rFonts w:hint="eastAsia" w:eastAsia="宋体" w:cs="Times New Roman"/>
                <w:color w:val="auto"/>
                <w:sz w:val="24"/>
                <w:szCs w:val="24"/>
                <w:highlight w:val="none"/>
                <w:lang w:eastAsia="zh-CN"/>
              </w:rPr>
              <w:drawing>
                <wp:inline distT="0" distB="0" distL="114300" distR="114300">
                  <wp:extent cx="5078730" cy="3880485"/>
                  <wp:effectExtent l="0" t="0" r="7620" b="5715"/>
                  <wp:docPr id="2" name="图片 2" descr="}SP03EC%$9~2~@@JHHV[5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P03EC%$9~2~@@JHHV[5VK"/>
                          <pic:cNvPicPr>
                            <a:picLocks noChangeAspect="1"/>
                          </pic:cNvPicPr>
                        </pic:nvPicPr>
                        <pic:blipFill>
                          <a:blip r:embed="rId9"/>
                          <a:stretch>
                            <a:fillRect/>
                          </a:stretch>
                        </pic:blipFill>
                        <pic:spPr>
                          <a:xfrm>
                            <a:off x="0" y="0"/>
                            <a:ext cx="5078730" cy="3880485"/>
                          </a:xfrm>
                          <a:prstGeom prst="rect">
                            <a:avLst/>
                          </a:prstGeom>
                        </pic:spPr>
                      </pic:pic>
                    </a:graphicData>
                  </a:graphic>
                </wp:inline>
              </w:drawing>
            </w:r>
          </w:p>
          <w:p>
            <w:pPr>
              <w:spacing w:line="360" w:lineRule="auto"/>
              <w:jc w:val="center"/>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表1-7 本项目涉及的环境管控单元一览表</w:t>
            </w:r>
          </w:p>
          <w:tbl>
            <w:tblPr>
              <w:tblStyle w:val="23"/>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1731"/>
              <w:gridCol w:w="915"/>
              <w:gridCol w:w="924"/>
              <w:gridCol w:w="1170"/>
              <w:gridCol w:w="15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2" w:type="pct"/>
                  <w:tcBorders>
                    <w:tl2br w:val="nil"/>
                    <w:tr2bl w:val="nil"/>
                  </w:tcBorders>
                  <w:shd w:val="clear" w:color="000000" w:themeColor="text1" w:fill="auto"/>
                  <w:noWrap w:val="0"/>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bidi="ar"/>
                    </w:rPr>
                  </w:pPr>
                  <w:r>
                    <w:rPr>
                      <w:rFonts w:hint="eastAsia" w:ascii="Times New Roman" w:hAnsi="Times New Roman" w:eastAsia="宋体" w:cs="Times New Roman"/>
                      <w:b/>
                      <w:bCs/>
                      <w:color w:val="auto"/>
                      <w:kern w:val="0"/>
                      <w:sz w:val="21"/>
                      <w:szCs w:val="21"/>
                      <w:highlight w:val="none"/>
                      <w:vertAlign w:val="baseline"/>
                      <w:lang w:val="en-US" w:eastAsia="zh-CN" w:bidi="ar"/>
                    </w:rPr>
                    <w:t>环境管控单元编码</w:t>
                  </w:r>
                </w:p>
              </w:tc>
              <w:tc>
                <w:tcPr>
                  <w:tcW w:w="1080" w:type="pct"/>
                  <w:tcBorders>
                    <w:tl2br w:val="nil"/>
                    <w:tr2bl w:val="nil"/>
                  </w:tcBorders>
                  <w:shd w:val="clear" w:color="000000" w:themeColor="text1" w:fill="auto"/>
                  <w:noWrap w:val="0"/>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bidi="ar"/>
                    </w:rPr>
                  </w:pPr>
                  <w:r>
                    <w:rPr>
                      <w:rFonts w:hint="eastAsia" w:ascii="Times New Roman" w:hAnsi="Times New Roman" w:eastAsia="宋体" w:cs="Times New Roman"/>
                      <w:b/>
                      <w:bCs/>
                      <w:color w:val="auto"/>
                      <w:kern w:val="0"/>
                      <w:sz w:val="21"/>
                      <w:szCs w:val="21"/>
                      <w:highlight w:val="none"/>
                      <w:vertAlign w:val="baseline"/>
                      <w:lang w:val="en-US" w:eastAsia="zh-CN" w:bidi="ar"/>
                    </w:rPr>
                    <w:t>环境管控单元名称</w:t>
                  </w:r>
                </w:p>
              </w:tc>
              <w:tc>
                <w:tcPr>
                  <w:tcW w:w="571" w:type="pct"/>
                  <w:tcBorders>
                    <w:tl2br w:val="nil"/>
                    <w:tr2bl w:val="nil"/>
                  </w:tcBorders>
                  <w:shd w:val="clear" w:color="000000" w:themeColor="text1" w:fill="auto"/>
                  <w:noWrap w:val="0"/>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bidi="ar"/>
                    </w:rPr>
                  </w:pPr>
                  <w:r>
                    <w:rPr>
                      <w:rFonts w:hint="eastAsia" w:ascii="Times New Roman" w:hAnsi="Times New Roman" w:eastAsia="宋体" w:cs="Times New Roman"/>
                      <w:b/>
                      <w:bCs/>
                      <w:color w:val="auto"/>
                      <w:kern w:val="0"/>
                      <w:sz w:val="21"/>
                      <w:szCs w:val="21"/>
                      <w:highlight w:val="none"/>
                      <w:vertAlign w:val="baseline"/>
                      <w:lang w:val="en-US" w:eastAsia="zh-CN" w:bidi="ar"/>
                    </w:rPr>
                    <w:t>所属城市</w:t>
                  </w:r>
                </w:p>
              </w:tc>
              <w:tc>
                <w:tcPr>
                  <w:tcW w:w="576" w:type="pct"/>
                  <w:tcBorders>
                    <w:tl2br w:val="nil"/>
                    <w:tr2bl w:val="nil"/>
                  </w:tcBorders>
                  <w:shd w:val="clear" w:color="000000" w:themeColor="text1" w:fill="auto"/>
                  <w:noWrap w:val="0"/>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bidi="ar"/>
                    </w:rPr>
                  </w:pPr>
                  <w:r>
                    <w:rPr>
                      <w:rFonts w:hint="eastAsia" w:ascii="Times New Roman" w:hAnsi="Times New Roman" w:eastAsia="宋体" w:cs="Times New Roman"/>
                      <w:b/>
                      <w:bCs/>
                      <w:color w:val="auto"/>
                      <w:kern w:val="0"/>
                      <w:sz w:val="21"/>
                      <w:szCs w:val="21"/>
                      <w:highlight w:val="none"/>
                      <w:vertAlign w:val="baseline"/>
                      <w:lang w:val="en-US" w:eastAsia="zh-CN" w:bidi="ar"/>
                    </w:rPr>
                    <w:t>所属区</w:t>
                  </w:r>
                  <w:r>
                    <w:rPr>
                      <w:rFonts w:hint="eastAsia" w:cs="Times New Roman"/>
                      <w:b/>
                      <w:bCs/>
                      <w:color w:val="auto"/>
                      <w:kern w:val="0"/>
                      <w:sz w:val="21"/>
                      <w:szCs w:val="21"/>
                      <w:highlight w:val="none"/>
                      <w:vertAlign w:val="baseline"/>
                      <w:lang w:val="en-US" w:eastAsia="zh-CN" w:bidi="ar"/>
                    </w:rPr>
                    <w:t>（</w:t>
                  </w:r>
                  <w:r>
                    <w:rPr>
                      <w:rFonts w:hint="eastAsia" w:ascii="Times New Roman" w:hAnsi="Times New Roman" w:eastAsia="宋体" w:cs="Times New Roman"/>
                      <w:b/>
                      <w:bCs/>
                      <w:color w:val="auto"/>
                      <w:kern w:val="0"/>
                      <w:sz w:val="21"/>
                      <w:szCs w:val="21"/>
                      <w:highlight w:val="none"/>
                      <w:vertAlign w:val="baseline"/>
                      <w:lang w:val="en-US" w:eastAsia="zh-CN" w:bidi="ar"/>
                    </w:rPr>
                    <w:t>县</w:t>
                  </w:r>
                  <w:r>
                    <w:rPr>
                      <w:rFonts w:hint="eastAsia" w:cs="Times New Roman"/>
                      <w:b/>
                      <w:bCs/>
                      <w:color w:val="auto"/>
                      <w:kern w:val="0"/>
                      <w:sz w:val="21"/>
                      <w:szCs w:val="21"/>
                      <w:highlight w:val="none"/>
                      <w:vertAlign w:val="baseline"/>
                      <w:lang w:val="en-US" w:eastAsia="zh-CN" w:bidi="ar"/>
                    </w:rPr>
                    <w:t>）</w:t>
                  </w:r>
                </w:p>
              </w:tc>
              <w:tc>
                <w:tcPr>
                  <w:tcW w:w="730" w:type="pct"/>
                  <w:tcBorders>
                    <w:tl2br w:val="nil"/>
                    <w:tr2bl w:val="nil"/>
                  </w:tcBorders>
                  <w:shd w:val="clear" w:color="000000" w:themeColor="text1" w:fill="auto"/>
                  <w:noWrap w:val="0"/>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bidi="ar"/>
                    </w:rPr>
                  </w:pPr>
                  <w:r>
                    <w:rPr>
                      <w:rFonts w:hint="eastAsia" w:ascii="Times New Roman" w:hAnsi="Times New Roman" w:eastAsia="宋体" w:cs="Times New Roman"/>
                      <w:b/>
                      <w:bCs/>
                      <w:color w:val="auto"/>
                      <w:kern w:val="0"/>
                      <w:sz w:val="21"/>
                      <w:szCs w:val="21"/>
                      <w:highlight w:val="none"/>
                      <w:vertAlign w:val="baseline"/>
                      <w:lang w:val="en-US" w:eastAsia="zh-CN" w:bidi="ar"/>
                    </w:rPr>
                    <w:t>准入清单类型</w:t>
                  </w:r>
                </w:p>
              </w:tc>
              <w:tc>
                <w:tcPr>
                  <w:tcW w:w="988" w:type="pct"/>
                  <w:tcBorders>
                    <w:tl2br w:val="nil"/>
                    <w:tr2bl w:val="nil"/>
                  </w:tcBorders>
                  <w:shd w:val="clear" w:color="000000" w:themeColor="text1" w:fill="auto"/>
                  <w:noWrap w:val="0"/>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bidi="ar"/>
                    </w:rPr>
                  </w:pPr>
                  <w:r>
                    <w:rPr>
                      <w:rFonts w:hint="eastAsia" w:ascii="Times New Roman" w:hAnsi="Times New Roman" w:eastAsia="宋体" w:cs="Times New Roman"/>
                      <w:b/>
                      <w:bCs/>
                      <w:color w:val="auto"/>
                      <w:kern w:val="0"/>
                      <w:sz w:val="21"/>
                      <w:szCs w:val="21"/>
                      <w:highlight w:val="none"/>
                      <w:vertAlign w:val="baseline"/>
                      <w:lang w:val="en-US" w:eastAsia="zh-CN" w:bidi="ar"/>
                    </w:rPr>
                    <w:t>管控类型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7"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ZH51172420003</w:t>
                  </w:r>
                </w:p>
              </w:tc>
              <w:tc>
                <w:tcPr>
                  <w:tcW w:w="1731"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大竹县要素重点管控单元</w:t>
                  </w:r>
                </w:p>
              </w:tc>
              <w:tc>
                <w:tcPr>
                  <w:tcW w:w="571" w:type="pct"/>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达州市</w:t>
                  </w:r>
                </w:p>
              </w:tc>
              <w:tc>
                <w:tcPr>
                  <w:tcW w:w="924"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大竹县</w:t>
                  </w:r>
                </w:p>
              </w:tc>
              <w:tc>
                <w:tcPr>
                  <w:tcW w:w="1170"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环境管控单元</w:t>
                  </w:r>
                </w:p>
              </w:tc>
              <w:tc>
                <w:tcPr>
                  <w:tcW w:w="1584"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环境综合管控单元要素重点管控单元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7"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YS5117243210002</w:t>
                  </w:r>
                </w:p>
              </w:tc>
              <w:tc>
                <w:tcPr>
                  <w:tcW w:w="1731"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大洪河大竹县岗架大桥控制单元</w:t>
                  </w:r>
                </w:p>
              </w:tc>
              <w:tc>
                <w:tcPr>
                  <w:tcW w:w="571" w:type="pct"/>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达州市</w:t>
                  </w:r>
                </w:p>
              </w:tc>
              <w:tc>
                <w:tcPr>
                  <w:tcW w:w="924"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大竹县</w:t>
                  </w:r>
                </w:p>
              </w:tc>
              <w:tc>
                <w:tcPr>
                  <w:tcW w:w="1170"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水环境管控分区</w:t>
                  </w:r>
                </w:p>
              </w:tc>
              <w:tc>
                <w:tcPr>
                  <w:tcW w:w="1584"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水环境一般管控区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7"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YS5117242330003</w:t>
                  </w:r>
                </w:p>
              </w:tc>
              <w:tc>
                <w:tcPr>
                  <w:tcW w:w="1731"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大竹县大气环境弱扩散重点管控区</w:t>
                  </w:r>
                </w:p>
              </w:tc>
              <w:tc>
                <w:tcPr>
                  <w:tcW w:w="571" w:type="pct"/>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达州市</w:t>
                  </w:r>
                </w:p>
              </w:tc>
              <w:tc>
                <w:tcPr>
                  <w:tcW w:w="924"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大竹县</w:t>
                  </w:r>
                </w:p>
              </w:tc>
              <w:tc>
                <w:tcPr>
                  <w:tcW w:w="1170"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大气环境管控分区</w:t>
                  </w:r>
                </w:p>
              </w:tc>
              <w:tc>
                <w:tcPr>
                  <w:tcW w:w="1584"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大气环境弱扩散重点管控区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7" w:type="dxa"/>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YS5117241410005</w:t>
                  </w:r>
                </w:p>
              </w:tc>
              <w:tc>
                <w:tcPr>
                  <w:tcW w:w="1731" w:type="dxa"/>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大竹县土壤优先保护区</w:t>
                  </w:r>
                </w:p>
              </w:tc>
              <w:tc>
                <w:tcPr>
                  <w:tcW w:w="571"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达州市</w:t>
                  </w:r>
                </w:p>
              </w:tc>
              <w:tc>
                <w:tcPr>
                  <w:tcW w:w="924" w:type="dxa"/>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大竹县</w:t>
                  </w:r>
                </w:p>
              </w:tc>
              <w:tc>
                <w:tcPr>
                  <w:tcW w:w="1170" w:type="dxa"/>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土壤污染风险管控分区</w:t>
                  </w:r>
                </w:p>
              </w:tc>
              <w:tc>
                <w:tcPr>
                  <w:tcW w:w="1584" w:type="dxa"/>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农用地优先保护区</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本项目与上述环境管控单元符合性分析见下表。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表 1-8 项目与达州市普适性管控要求要素重点管控单元符合性分析一览表</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04"/>
              <w:gridCol w:w="718"/>
              <w:gridCol w:w="620"/>
              <w:gridCol w:w="550"/>
              <w:gridCol w:w="3380"/>
              <w:gridCol w:w="1470"/>
              <w:gridCol w:w="5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4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环境管控单元编码</w:t>
                  </w:r>
                </w:p>
              </w:tc>
              <w:tc>
                <w:tcPr>
                  <w:tcW w:w="4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环境管控单元名称</w:t>
                  </w:r>
                </w:p>
              </w:tc>
              <w:tc>
                <w:tcPr>
                  <w:tcW w:w="3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pacing w:val="-8"/>
                      <w:sz w:val="21"/>
                      <w:szCs w:val="21"/>
                      <w:highlight w:val="none"/>
                    </w:rPr>
                  </w:pPr>
                  <w:r>
                    <w:rPr>
                      <w:rFonts w:hint="default" w:ascii="Times New Roman" w:hAnsi="Times New Roman" w:eastAsia="宋体" w:cs="Times New Roman"/>
                      <w:b/>
                      <w:bCs/>
                      <w:color w:val="auto"/>
                      <w:kern w:val="0"/>
                      <w:sz w:val="21"/>
                      <w:szCs w:val="21"/>
                      <w:highlight w:val="none"/>
                    </w:rPr>
                    <w:t>管控单元分类</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21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管控要求</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项目对应情况介绍</w:t>
                  </w:r>
                </w:p>
              </w:tc>
              <w:tc>
                <w:tcPr>
                  <w:tcW w:w="3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3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ZH51172420003</w:t>
                  </w:r>
                </w:p>
              </w:tc>
              <w:tc>
                <w:tcPr>
                  <w:tcW w:w="448" w:type="pct"/>
                  <w:vMerge w:val="restart"/>
                  <w:tcBorders>
                    <w:tl2br w:val="nil"/>
                    <w:tr2bl w:val="nil"/>
                  </w:tcBorders>
                  <w:noWrap w:val="0"/>
                  <w:vAlign w:val="center"/>
                </w:tcPr>
                <w:p>
                  <w:pPr>
                    <w:widowControl/>
                    <w:spacing w:line="240" w:lineRule="auto"/>
                    <w:jc w:val="center"/>
                    <w:outlineLvl w:val="3"/>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Cs/>
                      <w:color w:val="auto"/>
                      <w:kern w:val="0"/>
                      <w:sz w:val="21"/>
                      <w:szCs w:val="21"/>
                      <w:highlight w:val="none"/>
                    </w:rPr>
                    <w:t>达州市普适性管控要求</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c>
                <w:tcPr>
                  <w:tcW w:w="38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要素重点管控单元</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空间布局约束</w:t>
                  </w:r>
                </w:p>
              </w:tc>
              <w:tc>
                <w:tcPr>
                  <w:tcW w:w="2111" w:type="pct"/>
                  <w:tcBorders>
                    <w:tl2br w:val="nil"/>
                    <w:tr2bl w:val="nil"/>
                  </w:tcBorders>
                  <w:noWrap w:val="0"/>
                  <w:vAlign w:val="center"/>
                </w:tcPr>
                <w:p>
                  <w:pPr>
                    <w:spacing w:line="240" w:lineRule="auto"/>
                    <w:textAlignment w:val="bottom"/>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禁止开发建设活动的要求</w:t>
                  </w:r>
                  <w:r>
                    <w:rPr>
                      <w:rFonts w:hint="default" w:ascii="Times New Roman" w:hAnsi="Times New Roman" w:eastAsia="宋体" w:cs="Times New Roman"/>
                      <w:b/>
                      <w:bCs/>
                      <w:color w:val="auto"/>
                      <w:sz w:val="21"/>
                      <w:szCs w:val="21"/>
                      <w:highlight w:val="none"/>
                      <w:lang w:eastAsia="zh-CN"/>
                    </w:rPr>
                    <w:t>：</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-禁止在法律法规规定的禁采区内新建矿山；禁止土法采、选、冶严重污染环境的矿产资源。</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-涉及永久基本农田的区域，除法律规定的重点建设项目选址确实无法避让外，其他任何建设不得占用。</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-禁止在长江流域河湖管理范围内倾倒、填埋、堆放、弃置、处理固体废物。</w:t>
                  </w:r>
                </w:p>
                <w:p>
                  <w:pPr>
                    <w:spacing w:line="240" w:lineRule="auto"/>
                    <w:textAlignment w:val="bottom"/>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限制开发建设活动的要求</w:t>
                  </w:r>
                  <w:r>
                    <w:rPr>
                      <w:rFonts w:hint="default" w:ascii="Times New Roman" w:hAnsi="Times New Roman" w:eastAsia="宋体" w:cs="Times New Roman"/>
                      <w:b/>
                      <w:bCs/>
                      <w:color w:val="auto"/>
                      <w:sz w:val="21"/>
                      <w:szCs w:val="21"/>
                      <w:highlight w:val="none"/>
                      <w:lang w:eastAsia="zh-CN"/>
                    </w:rPr>
                    <w:t>：</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环境城镇污染、工业污染、农业污染重点管控区内，应严格限制布设以电力、钢铁、造纸、石化、化工、印染、化纤等高耗水行业为主导产业的园区；严格项目引入政策，严控新建造纸、屠宰、用排水量大的农副产品加工企业等以水污染为主的企业。</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布局敏感、弱扩散重点管控区内，应严格限制布设以钢铁、建材、石化、化工、金属冶炼等高污染行业为主导产业的园区；严格项目引入政策，严控新建水泥、危废焚烧、砖瓦、陶瓷、平板玻璃、全流程炼钢、有色金属冶炼等以大气污染为主的企业。</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-按照相关要求严控水泥新增产能。</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-严控在长江及主要支流岸线1公里范围内新建石油化工、煤化工、涉磷、造纸、印染、制革等项目。</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-现有工业企业不得新增污染物排放。</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-禁止在长江干流岸线三公里范围内和重要支流岸线一公里范围内新建、改建、扩建尾矿库；但是以提升安全、生态环境保护水平为目的的改建除外。</w:t>
                  </w:r>
                </w:p>
                <w:p>
                  <w:pPr>
                    <w:spacing w:line="240" w:lineRule="auto"/>
                    <w:textAlignment w:val="bottom"/>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允许开发建设活动的要求</w:t>
                  </w:r>
                  <w:r>
                    <w:rPr>
                      <w:rFonts w:hint="eastAsia" w:cs="Times New Roman"/>
                      <w:b/>
                      <w:bCs/>
                      <w:color w:val="auto"/>
                      <w:sz w:val="21"/>
                      <w:szCs w:val="21"/>
                      <w:highlight w:val="none"/>
                      <w:lang w:eastAsia="zh-CN"/>
                    </w:rPr>
                    <w:t>：</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-在不损害生态系统功能的前提下，适度发展旅游、农林牧产品生产和加工、生态农业、休闲农业等产业。</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-除保护区外开展林下种养殖业。</w:t>
                  </w:r>
                </w:p>
                <w:p>
                  <w:pPr>
                    <w:spacing w:line="240" w:lineRule="auto"/>
                    <w:textAlignment w:val="bottom"/>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不符合空间布局要求活动的退出要求</w:t>
                  </w:r>
                  <w:r>
                    <w:rPr>
                      <w:rFonts w:hint="default" w:ascii="Times New Roman" w:hAnsi="Times New Roman" w:eastAsia="宋体" w:cs="Times New Roman"/>
                      <w:b/>
                      <w:bCs/>
                      <w:color w:val="auto"/>
                      <w:sz w:val="21"/>
                      <w:szCs w:val="21"/>
                      <w:highlight w:val="none"/>
                      <w:lang w:eastAsia="zh-CN"/>
                    </w:rPr>
                    <w:t>：</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-全面取缔禁养区内规模化畜禽养殖场。</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-不断优化长江经济带化工行业空间布局，有效控制化工污染。推进化工企业搬迁入园，加强化工园区基础设施建设。</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-2025年全面完成全域内“散乱污”企业整治工作。</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-针对现有水泥企业，强化污染治理和污染物减排，依法依规整治或搬迁。</w:t>
                  </w:r>
                </w:p>
                <w:p>
                  <w:pPr>
                    <w:spacing w:line="240" w:lineRule="auto"/>
                    <w:textAlignment w:val="bottom"/>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color w:val="auto"/>
                      <w:sz w:val="21"/>
                      <w:szCs w:val="21"/>
                      <w:highlight w:val="none"/>
                    </w:rPr>
                    <w:t>-对违反资源环境法律法规、规划，污染环境、破坏生态、乱采烂挖的露天矿山，依法予以关闭；对污染治理不规范的露天矿山，依法责令停产整治。对责任主体灭失的露天矿山，加强修复绿化、减尘抑尘。加强矸石山治理。关闭不合理开发的小矿山。</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本项目为</w:t>
                  </w:r>
                  <w:r>
                    <w:rPr>
                      <w:rFonts w:hint="eastAsia" w:cs="Times New Roman"/>
                      <w:color w:val="auto"/>
                      <w:sz w:val="21"/>
                      <w:szCs w:val="21"/>
                      <w:highlight w:val="none"/>
                    </w:rPr>
                    <w:t>石材切割雕刻加工项目</w:t>
                  </w:r>
                  <w:r>
                    <w:rPr>
                      <w:rFonts w:hint="default" w:ascii="Times New Roman" w:hAnsi="Times New Roman" w:eastAsia="宋体" w:cs="Times New Roman"/>
                      <w:b w:val="0"/>
                      <w:bCs/>
                      <w:color w:val="auto"/>
                      <w:sz w:val="21"/>
                      <w:szCs w:val="21"/>
                      <w:highlight w:val="none"/>
                    </w:rPr>
                    <w:t>，</w:t>
                  </w:r>
                  <w:r>
                    <w:rPr>
                      <w:rFonts w:hint="eastAsia" w:cs="Times New Roman"/>
                      <w:b w:val="0"/>
                      <w:bCs/>
                      <w:color w:val="auto"/>
                      <w:sz w:val="21"/>
                      <w:szCs w:val="21"/>
                      <w:highlight w:val="none"/>
                      <w:lang w:val="en-US" w:eastAsia="zh-CN"/>
                    </w:rPr>
                    <w:t>不属于高污染项目，</w:t>
                  </w:r>
                  <w:r>
                    <w:rPr>
                      <w:rFonts w:hint="eastAsia" w:ascii="Times New Roman" w:hAnsi="Times New Roman" w:eastAsia="宋体" w:cs="Times New Roman"/>
                      <w:b w:val="0"/>
                      <w:bCs/>
                      <w:color w:val="auto"/>
                      <w:sz w:val="21"/>
                      <w:szCs w:val="21"/>
                      <w:highlight w:val="none"/>
                      <w:lang w:val="en-US" w:eastAsia="zh-CN"/>
                    </w:rPr>
                    <w:t>不占用永久基本农田，</w:t>
                  </w:r>
                  <w:r>
                    <w:rPr>
                      <w:rFonts w:hint="default" w:ascii="Times New Roman" w:hAnsi="Times New Roman" w:eastAsia="宋体" w:cs="Times New Roman"/>
                      <w:b w:val="0"/>
                      <w:bCs/>
                      <w:color w:val="auto"/>
                      <w:sz w:val="21"/>
                      <w:szCs w:val="21"/>
                      <w:highlight w:val="none"/>
                    </w:rPr>
                    <w:t>不属于禁止开发</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限制开发、</w:t>
                  </w:r>
                  <w:r>
                    <w:rPr>
                      <w:rFonts w:hint="default" w:ascii="Times New Roman" w:hAnsi="Times New Roman" w:eastAsia="宋体" w:cs="Times New Roman"/>
                      <w:b w:val="0"/>
                      <w:bCs/>
                      <w:color w:val="auto"/>
                      <w:sz w:val="21"/>
                      <w:szCs w:val="21"/>
                      <w:highlight w:val="none"/>
                    </w:rPr>
                    <w:t>不符合空间布局要求等建设活动，符合要求。</w:t>
                  </w:r>
                </w:p>
              </w:tc>
              <w:tc>
                <w:tcPr>
                  <w:tcW w:w="3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c>
                <w:tcPr>
                  <w:tcW w:w="4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c>
                <w:tcPr>
                  <w:tcW w:w="3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污染物排放管控</w:t>
                  </w:r>
                </w:p>
              </w:tc>
              <w:tc>
                <w:tcPr>
                  <w:tcW w:w="21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现有源提标升级改造</w:t>
                  </w:r>
                  <w:r>
                    <w:rPr>
                      <w:rFonts w:hint="default" w:ascii="Times New Roman" w:hAnsi="Times New Roman" w:eastAsia="宋体" w:cs="Times New Roman"/>
                      <w:b/>
                      <w:bCs/>
                      <w:color w:val="auto"/>
                      <w:sz w:val="21"/>
                      <w:szCs w:val="21"/>
                      <w:highlight w:val="none"/>
                      <w:lang w:eastAsia="zh-CN"/>
                    </w:rPr>
                    <w:t>：</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-加快现有乡镇污水处理设施升级改造，按要求达《城镇污水处理厂污染物排放标准》一级A标后排放。</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-在矿产资源开发活动集中区域，废水执行重金属污染物排放特别限值。</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-火电、水泥、钢铁等行业按相关要求推进大气污染物超低排放和深度治理。</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-砖瓦行业实施脱硫、除尘升级改造，污染物排放达到《砖瓦工业大气污染物排放标准》相关要求。</w:t>
                  </w:r>
                </w:p>
                <w:p>
                  <w:pPr>
                    <w:spacing w:line="240" w:lineRule="auto"/>
                    <w:textAlignment w:val="bottom"/>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新增源等量或倍量替代</w:t>
                  </w:r>
                  <w:r>
                    <w:rPr>
                      <w:rFonts w:hint="default" w:ascii="Times New Roman" w:hAnsi="Times New Roman" w:eastAsia="宋体" w:cs="Times New Roman"/>
                      <w:b/>
                      <w:bCs/>
                      <w:color w:val="auto"/>
                      <w:sz w:val="21"/>
                      <w:szCs w:val="21"/>
                      <w:highlight w:val="none"/>
                      <w:lang w:eastAsia="zh-CN"/>
                    </w:rPr>
                    <w:t>：</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-上一年度水环境质量未完成目标的，新建排放水污染的建设项目按照总量管控要求进行倍量削减替代。</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-上一年度空气质量年平均浓度不达标的城市，建设项目新增相关污染物按照总量管控要求进行倍量削减替代。</w:t>
                  </w:r>
                </w:p>
                <w:p>
                  <w:pPr>
                    <w:spacing w:line="240" w:lineRule="auto"/>
                    <w:textAlignment w:val="bottom"/>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-大气环境重点管控区内，新增大气污染物排放的建设项目实施总量削减替代。</w:t>
                  </w:r>
                </w:p>
                <w:p>
                  <w:pPr>
                    <w:spacing w:line="240" w:lineRule="auto"/>
                    <w:textAlignment w:val="bottom"/>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污染物排放绩效水平准入要求</w:t>
                  </w:r>
                  <w:r>
                    <w:rPr>
                      <w:rFonts w:hint="default" w:ascii="Times New Roman" w:hAnsi="Times New Roman" w:eastAsia="宋体" w:cs="Times New Roman"/>
                      <w:b/>
                      <w:bCs/>
                      <w:color w:val="auto"/>
                      <w:sz w:val="21"/>
                      <w:szCs w:val="21"/>
                      <w:highlight w:val="none"/>
                      <w:lang w:eastAsia="zh-CN"/>
                    </w:rPr>
                    <w:t>：</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-屠宰项目必须配套污水处理设施或进入城市污水管网。</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-大气环境重点管控区内加强“高架源”污染治理，深化施工扬尘监管，严格落实“六必须、六不准”管控要求，强化道路施工管控，提高道路清扫机械化和精细化作业水平。</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2025年：全市水环境质量总体保持优良。纳入国家及省级考核的监测断面优良（达到或优于Ⅲ类）比例保持达91.3%；国省重要江河湖泊水功能区达标率保持为100%；地级县级集中式饮用水水源水质达到或优于Ⅲ类比例保持为100%；乡镇集中式饮用水水源水质达到或优于Ⅲ类比例保持为98%；城镇建成区无黑臭水体。</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2035年：全市水环境质量总体保持优良。纳入国家及省级考核的监测断面优良（达到或优于Ⅲ类）比例保持为100%；国省重要江河湖泊水功能区达标率保持为100%；地级、县级、乡镇集中式饮用水水源水质达到或优于Ⅲ类比例保持为100%；国省重要江河湖泊水功能区达标率保持为100%；城乡无黑臭水体。</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以州河、铜钵河、明月江、东柳河、双龙河、魏家河（洞耳河）、平滩河（观音河）、石桥河、任市河等农业面源污染较突出的流域为重点，深入推进化肥、农药零增长行动，推广测土配方施肥技术，开展化肥减量增效示范和果菜茶有机肥代替化肥试点，提升科学施肥水平。</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-到2021年，达州农村生活污水得到有效治理的比例为60%；到2022年，达州农村生活污水得到有效处理的比例为65%。</w:t>
                  </w:r>
                </w:p>
                <w:p>
                  <w:pPr>
                    <w:spacing w:line="240" w:lineRule="auto"/>
                    <w:textAlignment w:val="bottom"/>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-大气污染防治重点区域执行大气污染物执行特别排放限值，严禁新增钢铁、电力、水泥、玻璃、砖瓦、陶瓷、焦化、电解铝、有色等重点行业大气污染物排放。</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项目施工期严格落实“六必须、六不准”的管控要求，减少施工扬尘的产生；施工废水经处理后回用，施工期生活污水</w:t>
                  </w:r>
                  <w:r>
                    <w:rPr>
                      <w:rFonts w:hint="eastAsia" w:cs="Times New Roman"/>
                      <w:b w:val="0"/>
                      <w:bCs/>
                      <w:color w:val="auto"/>
                      <w:sz w:val="21"/>
                      <w:szCs w:val="21"/>
                      <w:highlight w:val="none"/>
                      <w:lang w:val="en-US" w:eastAsia="zh-CN"/>
                    </w:rPr>
                    <w:t>依托</w:t>
                  </w:r>
                  <w:r>
                    <w:rPr>
                      <w:rFonts w:hint="eastAsia" w:ascii="宋体" w:hAnsi="宋体" w:cs="宋体"/>
                      <w:color w:val="auto"/>
                      <w:kern w:val="0"/>
                      <w:sz w:val="21"/>
                      <w:szCs w:val="21"/>
                      <w:highlight w:val="none"/>
                      <w:lang w:val="en-US" w:eastAsia="zh-CN" w:bidi="ar"/>
                    </w:rPr>
                    <w:t>周边</w:t>
                  </w:r>
                  <w:r>
                    <w:rPr>
                      <w:rFonts w:hint="eastAsia" w:ascii="宋体" w:hAnsi="宋体" w:eastAsia="宋体" w:cs="宋体"/>
                      <w:color w:val="auto"/>
                      <w:kern w:val="0"/>
                      <w:sz w:val="21"/>
                      <w:szCs w:val="21"/>
                      <w:highlight w:val="none"/>
                      <w:lang w:val="en-US" w:eastAsia="zh-CN" w:bidi="ar"/>
                    </w:rPr>
                    <w:t>民房现有的污水处理设施进行处理</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b w:val="0"/>
                      <w:bCs/>
                      <w:color w:val="auto"/>
                      <w:sz w:val="21"/>
                      <w:szCs w:val="21"/>
                      <w:highlight w:val="none"/>
                      <w:lang w:val="en-US" w:eastAsia="zh-CN"/>
                    </w:rPr>
                    <w:t>本项目</w:t>
                  </w:r>
                  <w:r>
                    <w:rPr>
                      <w:rFonts w:hint="default" w:ascii="Times New Roman" w:hAnsi="Times New Roman" w:eastAsia="宋体" w:cs="Times New Roman"/>
                      <w:color w:val="auto"/>
                      <w:kern w:val="0"/>
                      <w:sz w:val="21"/>
                      <w:szCs w:val="21"/>
                      <w:highlight w:val="none"/>
                      <w:lang w:val="en-US" w:eastAsia="zh-CN" w:bidi="ar-SA"/>
                    </w:rPr>
                    <w:t>运营期石料加工粉尘经厂房阻隔和湿法作业后无组织排放；运输扬尘经洒水降尘后无组织排放；食堂油烟经自带油烟净化功能的抽油烟机处理后外排。</w:t>
                  </w:r>
                  <w:r>
                    <w:rPr>
                      <w:rFonts w:hint="eastAsia" w:cs="Times New Roman"/>
                      <w:color w:val="auto"/>
                      <w:sz w:val="21"/>
                      <w:szCs w:val="21"/>
                      <w:highlight w:val="none"/>
                      <w:lang w:eastAsia="zh-CN"/>
                    </w:rPr>
                    <w:t>生活污水（</w:t>
                  </w:r>
                  <w:r>
                    <w:rPr>
                      <w:rFonts w:hint="eastAsia" w:cs="Times New Roman"/>
                      <w:color w:val="auto"/>
                      <w:sz w:val="21"/>
                      <w:szCs w:val="21"/>
                      <w:highlight w:val="none"/>
                      <w:lang w:val="en-US" w:eastAsia="zh-CN"/>
                    </w:rPr>
                    <w:t>食堂废水先经隔油池处理</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经旱厕</w:t>
                  </w:r>
                  <w:r>
                    <w:rPr>
                      <w:rFonts w:hint="eastAsia" w:cs="Times New Roman"/>
                      <w:color w:val="auto"/>
                      <w:sz w:val="21"/>
                      <w:szCs w:val="21"/>
                      <w:highlight w:val="none"/>
                      <w:lang w:eastAsia="zh-CN"/>
                    </w:rPr>
                    <w:t>处理后用作周边农田农肥</w:t>
                  </w:r>
                  <w:r>
                    <w:rPr>
                      <w:rFonts w:hint="eastAsia" w:cs="Times New Roman"/>
                      <w:iCs/>
                      <w:snapToGrid w:val="0"/>
                      <w:color w:val="auto"/>
                      <w:kern w:val="0"/>
                      <w:sz w:val="21"/>
                      <w:szCs w:val="21"/>
                      <w:highlight w:val="none"/>
                      <w:lang w:val="en-US" w:eastAsia="zh-CN"/>
                    </w:rPr>
                    <w:t>；</w:t>
                  </w:r>
                  <w:r>
                    <w:rPr>
                      <w:rFonts w:hint="eastAsia" w:cs="Times New Roman"/>
                      <w:bCs/>
                      <w:color w:val="0000FF"/>
                      <w:sz w:val="21"/>
                      <w:szCs w:val="21"/>
                      <w:highlight w:val="none"/>
                      <w:lang w:eastAsia="zh-CN"/>
                    </w:rPr>
                    <w:t>项目生产废水经螺旋绞砂机对粗砂颗粒分离后，进入三级沉淀池处理，沉淀池底泥经板框压滤机压成泥饼，废水处理后全部循环使用，不外排</w:t>
                  </w:r>
                  <w:r>
                    <w:rPr>
                      <w:rFonts w:hint="default"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b w:val="0"/>
                      <w:bCs/>
                      <w:color w:val="auto"/>
                      <w:sz w:val="21"/>
                      <w:szCs w:val="21"/>
                      <w:highlight w:val="none"/>
                    </w:rPr>
                    <w:t>符合要求。</w:t>
                  </w:r>
                </w:p>
              </w:tc>
              <w:tc>
                <w:tcPr>
                  <w:tcW w:w="3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c>
                <w:tcPr>
                  <w:tcW w:w="4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c>
                <w:tcPr>
                  <w:tcW w:w="3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环境风险防控</w:t>
                  </w:r>
                </w:p>
              </w:tc>
              <w:tc>
                <w:tcPr>
                  <w:tcW w:w="21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企业环境风险防控要求</w:t>
                  </w:r>
                  <w:r>
                    <w:rPr>
                      <w:rFonts w:hint="default" w:ascii="Times New Roman" w:hAnsi="Times New Roman" w:eastAsia="宋体" w:cs="Times New Roman"/>
                      <w:b/>
                      <w:bCs/>
                      <w:color w:val="auto"/>
                      <w:sz w:val="21"/>
                      <w:szCs w:val="21"/>
                      <w:highlight w:val="none"/>
                      <w:lang w:eastAsia="zh-CN"/>
                    </w:rPr>
                    <w:t>：</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-工业企业退出用地，须经评估、修复满足相应用地功能后，方可改变用途。</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-加强“散乱污”企业环境风险防控。</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工业循环用水大户和涉磷企业进行全面排查，建立总磷污染源数据库，实施循环水非磷配方药品替代改造，强化工业循环用水监管和总磷排放控制；从严控制新、改、扩建涉磷项目建设。落实涉磷堆场防渗、防风、防洪措施。</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z w:val="21"/>
                      <w:szCs w:val="21"/>
                      <w:highlight w:val="none"/>
                    </w:rPr>
                    <w:t>用地环境风险防控要求</w:t>
                  </w:r>
                  <w:r>
                    <w:rPr>
                      <w:rFonts w:hint="default" w:ascii="Times New Roman" w:hAnsi="Times New Roman" w:eastAsia="宋体" w:cs="Times New Roman"/>
                      <w:b/>
                      <w:bCs/>
                      <w:color w:val="auto"/>
                      <w:sz w:val="21"/>
                      <w:szCs w:val="21"/>
                      <w:highlight w:val="none"/>
                      <w:lang w:eastAsia="zh-CN"/>
                    </w:rPr>
                    <w:t>：</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-严禁将城镇生活垃圾、污泥、工业废物直接用作肥料，禁止处理不达标的污泥进入耕地；禁止在农用地排放、倾倒、使用污泥、清淤底泥、尾矿（渣）等可能对土壤造成污染的固体废物。</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-禁止处理不达标的污泥进入耕地。</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-禁止在农用地排放、倾倒、使用污泥、清淤底泥、尾矿（渣）等可能对土壤造成污染的固体废物。</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-严格控制林地、草地、园地的农药使用量，禁止使用高毒、高残留农药。</w:t>
                  </w:r>
                </w:p>
                <w:p>
                  <w:pPr>
                    <w:spacing w:line="240" w:lineRule="auto"/>
                    <w:textAlignment w:val="bottom"/>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-到2030年，全市受污染耕地安全利用率达到95%以上，污染地块安全利用率达到95%以上。</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eastAsia" w:cs="Times New Roman"/>
                      <w:color w:val="auto"/>
                      <w:sz w:val="21"/>
                      <w:szCs w:val="21"/>
                      <w:highlight w:val="none"/>
                      <w:lang w:val="en-US" w:eastAsia="zh-CN"/>
                    </w:rPr>
                    <w:t>本项目租用文星镇龙门村8组土地，已签订租赁协议。</w:t>
                  </w:r>
                  <w:r>
                    <w:rPr>
                      <w:rFonts w:hint="default" w:ascii="Times New Roman" w:hAnsi="Times New Roman" w:eastAsia="宋体" w:cs="Times New Roman"/>
                      <w:color w:val="auto"/>
                      <w:kern w:val="0"/>
                      <w:sz w:val="21"/>
                      <w:szCs w:val="21"/>
                      <w:highlight w:val="none"/>
                      <w:lang w:val="en-US" w:eastAsia="zh-CN" w:bidi="ar-SA"/>
                    </w:rPr>
                    <w:t>运营期</w:t>
                  </w:r>
                  <w:r>
                    <w:rPr>
                      <w:rFonts w:hint="eastAsia" w:cs="Times New Roman"/>
                      <w:color w:val="auto"/>
                      <w:sz w:val="21"/>
                      <w:szCs w:val="21"/>
                      <w:highlight w:val="none"/>
                      <w:lang w:eastAsia="zh-CN"/>
                    </w:rPr>
                    <w:t>生活污水（</w:t>
                  </w:r>
                  <w:r>
                    <w:rPr>
                      <w:rFonts w:hint="eastAsia" w:cs="Times New Roman"/>
                      <w:color w:val="auto"/>
                      <w:sz w:val="21"/>
                      <w:szCs w:val="21"/>
                      <w:highlight w:val="none"/>
                      <w:lang w:val="en-US" w:eastAsia="zh-CN"/>
                    </w:rPr>
                    <w:t>食堂废水先经隔油池处理</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经旱厕</w:t>
                  </w:r>
                  <w:r>
                    <w:rPr>
                      <w:rFonts w:hint="eastAsia" w:cs="Times New Roman"/>
                      <w:color w:val="auto"/>
                      <w:sz w:val="21"/>
                      <w:szCs w:val="21"/>
                      <w:highlight w:val="none"/>
                      <w:lang w:eastAsia="zh-CN"/>
                    </w:rPr>
                    <w:t>处理后用作周边农田农肥</w:t>
                  </w:r>
                  <w:r>
                    <w:rPr>
                      <w:rFonts w:hint="eastAsia" w:cs="Times New Roman"/>
                      <w:iCs/>
                      <w:snapToGrid w:val="0"/>
                      <w:color w:val="auto"/>
                      <w:kern w:val="0"/>
                      <w:sz w:val="21"/>
                      <w:szCs w:val="21"/>
                      <w:highlight w:val="none"/>
                      <w:lang w:val="en-US" w:eastAsia="zh-CN"/>
                    </w:rPr>
                    <w:t>；</w:t>
                  </w:r>
                  <w:r>
                    <w:rPr>
                      <w:rFonts w:hint="eastAsia" w:cs="Times New Roman"/>
                      <w:bCs/>
                      <w:color w:val="0000FF"/>
                      <w:sz w:val="21"/>
                      <w:szCs w:val="21"/>
                      <w:highlight w:val="none"/>
                      <w:lang w:eastAsia="zh-CN"/>
                    </w:rPr>
                    <w:t>项目生产废水经螺旋绞砂机对粗砂颗粒分离后，进入三级沉淀池处理，沉淀池底泥经板框压滤机压成泥饼，废水处理后全部循环使用，不外排</w:t>
                  </w:r>
                  <w:r>
                    <w:rPr>
                      <w:rFonts w:hint="eastAsia" w:cs="Times New Roman"/>
                      <w:iCs/>
                      <w:snapToGrid w:val="0"/>
                      <w:color w:val="auto"/>
                      <w:kern w:val="0"/>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项目</w:t>
                  </w:r>
                  <w:r>
                    <w:rPr>
                      <w:rFonts w:hint="eastAsia" w:cs="Times New Roman"/>
                      <w:b w:val="0"/>
                      <w:bCs/>
                      <w:color w:val="auto"/>
                      <w:sz w:val="21"/>
                      <w:szCs w:val="21"/>
                      <w:highlight w:val="none"/>
                      <w:lang w:val="en-US" w:eastAsia="zh-CN"/>
                    </w:rPr>
                    <w:t>污泥经脱水后外售给砖厂制砖</w:t>
                  </w:r>
                  <w:r>
                    <w:rPr>
                      <w:rFonts w:hint="default" w:ascii="Times New Roman" w:hAnsi="Times New Roman" w:eastAsia="宋体" w:cs="Times New Roman"/>
                      <w:b w:val="0"/>
                      <w:bCs/>
                      <w:color w:val="auto"/>
                      <w:sz w:val="21"/>
                      <w:szCs w:val="21"/>
                      <w:highlight w:val="none"/>
                    </w:rPr>
                    <w:t>。</w:t>
                  </w:r>
                </w:p>
              </w:tc>
              <w:tc>
                <w:tcPr>
                  <w:tcW w:w="3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c>
                <w:tcPr>
                  <w:tcW w:w="4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c>
                <w:tcPr>
                  <w:tcW w:w="3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资源开发效率</w:t>
                  </w:r>
                </w:p>
              </w:tc>
              <w:tc>
                <w:tcPr>
                  <w:tcW w:w="2111" w:type="pct"/>
                  <w:tcBorders>
                    <w:tl2br w:val="nil"/>
                    <w:tr2bl w:val="nil"/>
                  </w:tcBorders>
                  <w:noWrap w:val="0"/>
                  <w:vAlign w:val="center"/>
                </w:tcPr>
                <w:p>
                  <w:pPr>
                    <w:spacing w:line="240" w:lineRule="auto"/>
                    <w:textAlignment w:val="bottom"/>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水资源利用要求</w:t>
                  </w:r>
                  <w:r>
                    <w:rPr>
                      <w:rFonts w:hint="default" w:ascii="Times New Roman" w:hAnsi="Times New Roman" w:eastAsia="宋体" w:cs="Times New Roman"/>
                      <w:b/>
                      <w:bCs/>
                      <w:color w:val="auto"/>
                      <w:sz w:val="21"/>
                      <w:szCs w:val="21"/>
                      <w:highlight w:val="none"/>
                      <w:lang w:eastAsia="zh-CN"/>
                    </w:rPr>
                    <w:t>：</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-到2025年完成流域内大型灌区续建配套和节水改造任务，农田灌溉水有效利用系数提高到0.508以上。</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-达州市2025年用水控制总量14.6亿m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（其中地下水开采控制量1.09m³），2035年用水控制总量为15.0亿m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（其中地下水开采控制量1.09m³）。</w:t>
                  </w:r>
                </w:p>
                <w:p>
                  <w:pPr>
                    <w:spacing w:line="240" w:lineRule="auto"/>
                    <w:textAlignment w:val="bottom"/>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能源利用效率要求</w:t>
                  </w:r>
                  <w:r>
                    <w:rPr>
                      <w:rFonts w:hint="default" w:ascii="Times New Roman" w:hAnsi="Times New Roman" w:eastAsia="宋体" w:cs="Times New Roman"/>
                      <w:b/>
                      <w:bCs/>
                      <w:color w:val="auto"/>
                      <w:sz w:val="21"/>
                      <w:szCs w:val="21"/>
                      <w:highlight w:val="none"/>
                      <w:lang w:eastAsia="zh-CN"/>
                    </w:rPr>
                    <w:t>：</w:t>
                  </w:r>
                </w:p>
                <w:p>
                  <w:pPr>
                    <w:spacing w:line="240" w:lineRule="auto"/>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-推进清洁能源的推广使用，全面推进散煤清洁化整治；禁止新建每小时10蒸吨以下的燃煤锅炉及其他燃煤设施。</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-禁止焚烧秸秆和垃圾，到2025年底，秸秆综合利用率达到90%以上。</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-实施煤炭消费总量控制：严格控制煤炭消费总量；严格控制新建、改建、扩建耗煤项目，新增耗煤项目实行当年煤炭消耗减量倍量替代。</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b/>
                      <w:bCs w:val="0"/>
                      <w:color w:val="auto"/>
                      <w:sz w:val="21"/>
                      <w:szCs w:val="21"/>
                      <w:highlight w:val="none"/>
                      <w:lang w:eastAsia="zh-CN"/>
                    </w:rPr>
                  </w:pPr>
                  <w:r>
                    <w:rPr>
                      <w:rFonts w:hint="eastAsia" w:cs="Times New Roman"/>
                      <w:b/>
                      <w:bCs w:val="0"/>
                      <w:color w:val="auto"/>
                      <w:sz w:val="21"/>
                      <w:szCs w:val="21"/>
                      <w:highlight w:val="none"/>
                      <w:lang w:eastAsia="zh-CN"/>
                    </w:rPr>
                    <w:t>禁燃区要求</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b w:val="0"/>
                      <w:bCs/>
                      <w:color w:val="auto"/>
                      <w:sz w:val="21"/>
                      <w:szCs w:val="21"/>
                      <w:highlight w:val="none"/>
                      <w:lang w:eastAsia="zh-CN"/>
                    </w:rPr>
                  </w:pPr>
                  <w:r>
                    <w:rPr>
                      <w:rFonts w:hint="eastAsia" w:cs="Times New Roman"/>
                      <w:b w:val="0"/>
                      <w:bCs/>
                      <w:color w:val="auto"/>
                      <w:sz w:val="21"/>
                      <w:szCs w:val="21"/>
                      <w:highlight w:val="none"/>
                      <w:lang w:eastAsia="zh-CN"/>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b w:val="0"/>
                      <w:bCs/>
                      <w:color w:val="auto"/>
                      <w:sz w:val="21"/>
                      <w:szCs w:val="21"/>
                      <w:highlight w:val="none"/>
                      <w:lang w:eastAsia="zh-CN"/>
                    </w:rPr>
                  </w:pPr>
                  <w:r>
                    <w:rPr>
                      <w:rFonts w:hint="eastAsia" w:cs="Times New Roman"/>
                      <w:b w:val="0"/>
                      <w:bCs/>
                      <w:color w:val="auto"/>
                      <w:sz w:val="21"/>
                      <w:szCs w:val="21"/>
                      <w:highlight w:val="none"/>
                      <w:lang w:eastAsia="zh-CN"/>
                    </w:rPr>
                    <w:t>-禁燃区内禁止销售、燃用高污染燃料；禁止新建、改建、扩建燃用高污染燃料的设施和设备。</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auto"/>
                      <w:sz w:val="21"/>
                      <w:szCs w:val="21"/>
                      <w:highlight w:val="none"/>
                      <w:lang w:eastAsia="zh-CN"/>
                    </w:rPr>
                  </w:pPr>
                  <w:r>
                    <w:rPr>
                      <w:rFonts w:hint="eastAsia" w:cs="Times New Roman"/>
                      <w:b w:val="0"/>
                      <w:bCs/>
                      <w:color w:val="auto"/>
                      <w:sz w:val="21"/>
                      <w:szCs w:val="21"/>
                      <w:highlight w:val="none"/>
                      <w:lang w:eastAsia="zh-CN"/>
                    </w:rPr>
                    <w:t>-禁燃区内已建成的高污染燃料燃用设施由辖区人民政府制定限期改造计划，改用天然气、页岩气、液化石油气、电或其他清洁能源。</w:t>
                  </w:r>
                </w:p>
              </w:tc>
              <w:tc>
                <w:tcPr>
                  <w:tcW w:w="918" w:type="pct"/>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本项目</w:t>
                  </w:r>
                  <w:r>
                    <w:rPr>
                      <w:rFonts w:hint="eastAsia" w:ascii="Times New Roman" w:hAnsi="Times New Roman" w:eastAsia="宋体" w:cs="Times New Roman"/>
                      <w:b w:val="0"/>
                      <w:bCs w:val="0"/>
                      <w:color w:val="auto"/>
                      <w:kern w:val="0"/>
                      <w:sz w:val="21"/>
                      <w:szCs w:val="21"/>
                      <w:highlight w:val="none"/>
                      <w:vertAlign w:val="baseline"/>
                      <w:lang w:val="en-US" w:eastAsia="zh-CN" w:bidi="ar"/>
                    </w:rPr>
                    <w:t>为</w:t>
                  </w:r>
                  <w:r>
                    <w:rPr>
                      <w:rFonts w:hint="eastAsia" w:cs="Times New Roman"/>
                      <w:color w:val="auto"/>
                      <w:sz w:val="21"/>
                      <w:szCs w:val="21"/>
                      <w:highlight w:val="none"/>
                    </w:rPr>
                    <w:t>石材切割雕刻加工项目</w:t>
                  </w:r>
                  <w:r>
                    <w:rPr>
                      <w:rFonts w:hint="eastAsia" w:ascii="Times New Roman" w:hAnsi="Times New Roman" w:eastAsia="宋体" w:cs="Times New Roman"/>
                      <w:b w:val="0"/>
                      <w:bCs w:val="0"/>
                      <w:color w:val="auto"/>
                      <w:kern w:val="0"/>
                      <w:sz w:val="21"/>
                      <w:szCs w:val="21"/>
                      <w:highlight w:val="none"/>
                      <w:vertAlign w:val="baseline"/>
                      <w:lang w:val="en-US" w:eastAsia="zh-CN" w:bidi="ar"/>
                    </w:rPr>
                    <w:t>，</w:t>
                  </w:r>
                  <w:r>
                    <w:rPr>
                      <w:rFonts w:hint="default" w:ascii="Times New Roman" w:hAnsi="Times New Roman" w:eastAsia="宋体" w:cs="Times New Roman"/>
                      <w:b w:val="0"/>
                      <w:bCs w:val="0"/>
                      <w:color w:val="auto"/>
                      <w:kern w:val="0"/>
                      <w:sz w:val="21"/>
                      <w:szCs w:val="21"/>
                      <w:highlight w:val="none"/>
                      <w:vertAlign w:val="baseline"/>
                      <w:lang w:val="en-US" w:eastAsia="zh-CN" w:bidi="ar"/>
                    </w:rPr>
                    <w:t>主要能耗为电和水，不涉及燃煤等高污染燃料、锅炉</w:t>
                  </w:r>
                  <w:r>
                    <w:rPr>
                      <w:rFonts w:hint="eastAsia" w:ascii="Times New Roman" w:hAnsi="Times New Roman" w:eastAsia="宋体" w:cs="Times New Roman"/>
                      <w:b w:val="0"/>
                      <w:bCs w:val="0"/>
                      <w:color w:val="auto"/>
                      <w:kern w:val="0"/>
                      <w:sz w:val="21"/>
                      <w:szCs w:val="21"/>
                      <w:highlight w:val="none"/>
                      <w:vertAlign w:val="baseline"/>
                      <w:lang w:val="en-US" w:eastAsia="zh-CN" w:bidi="ar"/>
                    </w:rPr>
                    <w:t>、</w:t>
                  </w:r>
                  <w:r>
                    <w:rPr>
                      <w:rFonts w:hint="default" w:ascii="Times New Roman" w:hAnsi="Times New Roman" w:eastAsia="宋体" w:cs="Times New Roman"/>
                      <w:b w:val="0"/>
                      <w:bCs w:val="0"/>
                      <w:color w:val="auto"/>
                      <w:kern w:val="0"/>
                      <w:sz w:val="21"/>
                      <w:szCs w:val="21"/>
                      <w:highlight w:val="none"/>
                      <w:vertAlign w:val="baseline"/>
                      <w:lang w:val="en-US" w:eastAsia="zh-CN" w:bidi="ar"/>
                    </w:rPr>
                    <w:t>焚烧秸秆和垃圾等。</w:t>
                  </w:r>
                </w:p>
              </w:tc>
              <w:tc>
                <w:tcPr>
                  <w:tcW w:w="351" w:type="pct"/>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符合</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表 1-9 本项目与所涉及环境管控单元符合性分析一览表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02"/>
              <w:gridCol w:w="606"/>
              <w:gridCol w:w="4149"/>
              <w:gridCol w:w="1753"/>
              <w:gridCol w:w="7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38" w:type="pct"/>
                  <w:tcBorders>
                    <w:tl2br w:val="nil"/>
                    <w:tr2bl w:val="nil"/>
                  </w:tcBorders>
                  <w:shd w:val="clear" w:color="auto" w:fill="auto"/>
                  <w:noWrap w:val="0"/>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bidi="ar"/>
                    </w:rPr>
                  </w:pPr>
                  <w:r>
                    <w:rPr>
                      <w:rFonts w:hint="eastAsia" w:ascii="Times New Roman" w:hAnsi="Times New Roman" w:cs="Times New Roman"/>
                      <w:b/>
                      <w:bCs/>
                      <w:color w:val="auto"/>
                      <w:kern w:val="0"/>
                      <w:sz w:val="21"/>
                      <w:szCs w:val="21"/>
                      <w:highlight w:val="none"/>
                      <w:vertAlign w:val="baseline"/>
                      <w:lang w:val="en-US" w:eastAsia="zh-CN" w:bidi="ar"/>
                    </w:rPr>
                    <w:t>控制单元</w:t>
                  </w:r>
                </w:p>
              </w:tc>
              <w:tc>
                <w:tcPr>
                  <w:tcW w:w="378" w:type="pct"/>
                  <w:tcBorders>
                    <w:tl2br w:val="nil"/>
                    <w:tr2bl w:val="nil"/>
                  </w:tcBorders>
                  <w:shd w:val="clear" w:color="auto" w:fill="auto"/>
                  <w:noWrap w:val="0"/>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bidi="ar"/>
                    </w:rPr>
                  </w:pPr>
                  <w:r>
                    <w:rPr>
                      <w:rFonts w:hint="eastAsia" w:ascii="Times New Roman" w:hAnsi="Times New Roman" w:cs="Times New Roman"/>
                      <w:b/>
                      <w:bCs/>
                      <w:color w:val="auto"/>
                      <w:kern w:val="0"/>
                      <w:sz w:val="21"/>
                      <w:szCs w:val="21"/>
                      <w:highlight w:val="none"/>
                      <w:vertAlign w:val="baseline"/>
                      <w:lang w:val="en-US" w:eastAsia="zh-CN" w:bidi="ar"/>
                    </w:rPr>
                    <w:t>管控类别</w:t>
                  </w:r>
                </w:p>
              </w:tc>
              <w:tc>
                <w:tcPr>
                  <w:tcW w:w="2590" w:type="pct"/>
                  <w:tcBorders>
                    <w:tl2br w:val="nil"/>
                    <w:tr2bl w:val="nil"/>
                  </w:tcBorders>
                  <w:shd w:val="clear" w:color="auto" w:fill="auto"/>
                  <w:noWrap w:val="0"/>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bidi="ar"/>
                    </w:rPr>
                  </w:pPr>
                  <w:r>
                    <w:rPr>
                      <w:rFonts w:hint="eastAsia" w:ascii="Times New Roman" w:hAnsi="Times New Roman" w:cs="Times New Roman"/>
                      <w:b/>
                      <w:bCs/>
                      <w:color w:val="auto"/>
                      <w:kern w:val="0"/>
                      <w:sz w:val="21"/>
                      <w:szCs w:val="21"/>
                      <w:highlight w:val="none"/>
                      <w:vertAlign w:val="baseline"/>
                      <w:lang w:val="en-US" w:eastAsia="zh-CN" w:bidi="ar"/>
                    </w:rPr>
                    <w:t>单元特性管控要求</w:t>
                  </w:r>
                </w:p>
              </w:tc>
              <w:tc>
                <w:tcPr>
                  <w:tcW w:w="1094" w:type="pct"/>
                  <w:tcBorders>
                    <w:tl2br w:val="nil"/>
                    <w:tr2bl w:val="nil"/>
                  </w:tcBorders>
                  <w:shd w:val="clear" w:color="auto" w:fill="auto"/>
                  <w:noWrap w:val="0"/>
                  <w:vAlign w:val="center"/>
                </w:tcPr>
                <w:p>
                  <w:pPr>
                    <w:keepNext w:val="0"/>
                    <w:keepLines w:val="0"/>
                    <w:widowControl/>
                    <w:suppressLineNumbers w:val="0"/>
                    <w:spacing w:line="240" w:lineRule="auto"/>
                    <w:jc w:val="center"/>
                    <w:rPr>
                      <w:rFonts w:hint="eastAsia" w:ascii="Times New Roman" w:hAnsi="Times New Roman" w:cs="Times New Roman"/>
                      <w:b/>
                      <w:bCs/>
                      <w:color w:val="auto"/>
                      <w:kern w:val="0"/>
                      <w:sz w:val="21"/>
                      <w:szCs w:val="21"/>
                      <w:highlight w:val="none"/>
                      <w:vertAlign w:val="baseline"/>
                      <w:lang w:val="en-US" w:eastAsia="zh-CN" w:bidi="ar"/>
                    </w:rPr>
                  </w:pPr>
                  <w:r>
                    <w:rPr>
                      <w:rFonts w:hint="eastAsia" w:cs="Times New Roman"/>
                      <w:b/>
                      <w:bCs/>
                      <w:color w:val="auto"/>
                      <w:kern w:val="0"/>
                      <w:sz w:val="21"/>
                      <w:szCs w:val="21"/>
                      <w:highlight w:val="none"/>
                      <w:vertAlign w:val="baseline"/>
                      <w:lang w:val="en-US" w:eastAsia="zh-CN" w:bidi="ar"/>
                    </w:rPr>
                    <w:t>本项目情况</w:t>
                  </w:r>
                </w:p>
              </w:tc>
              <w:tc>
                <w:tcPr>
                  <w:tcW w:w="498" w:type="pct"/>
                  <w:tcBorders>
                    <w:tl2br w:val="nil"/>
                    <w:tr2bl w:val="nil"/>
                  </w:tcBorders>
                  <w:shd w:val="clear" w:color="auto" w:fill="auto"/>
                  <w:noWrap w:val="0"/>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bidi="ar"/>
                    </w:rPr>
                  </w:pPr>
                  <w:r>
                    <w:rPr>
                      <w:rFonts w:hint="eastAsia" w:ascii="Times New Roman" w:hAnsi="Times New Roman" w:cs="Times New Roman"/>
                      <w:b/>
                      <w:bCs/>
                      <w:color w:val="auto"/>
                      <w:kern w:val="0"/>
                      <w:sz w:val="21"/>
                      <w:szCs w:val="21"/>
                      <w:highlight w:val="none"/>
                      <w:vertAlign w:val="baseline"/>
                      <w:lang w:val="en-US" w:eastAsia="zh-CN" w:bidi="ar"/>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38" w:type="pct"/>
                  <w:vMerge w:val="restar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大竹县要素重点管控单元</w:t>
                  </w:r>
                </w:p>
              </w:tc>
              <w:tc>
                <w:tcPr>
                  <w:tcW w:w="378"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Style w:val="25"/>
                      <w:rFonts w:hint="eastAsia" w:ascii="宋体" w:hAnsi="宋体" w:eastAsia="宋体" w:cs="Times New Roman"/>
                      <w:color w:val="auto"/>
                      <w:kern w:val="2"/>
                      <w:sz w:val="21"/>
                      <w:szCs w:val="21"/>
                      <w:highlight w:val="none"/>
                      <w:lang w:val="en-US" w:eastAsia="zh-CN" w:bidi="ar-SA"/>
                    </w:rPr>
                    <w:t>空间布局约束</w:t>
                  </w:r>
                </w:p>
              </w:tc>
              <w:tc>
                <w:tcPr>
                  <w:tcW w:w="2590" w:type="pct"/>
                  <w:tcBorders>
                    <w:tl2br w:val="nil"/>
                    <w:tr2bl w:val="nil"/>
                  </w:tcBorders>
                  <w:noWrap w:val="0"/>
                  <w:vAlign w:val="center"/>
                </w:tcPr>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禁止开发建设活动的要求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执行达州市要素重点管控单元总体准入要求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限制开发建设活动的要求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执行达州市要素重点管控单元总体准入要求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允许开发建设活动的要求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不符合空间布局要求活动的退出要求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其它同要素重点总体准入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其他空间布局约束要求</w:t>
                  </w:r>
                </w:p>
              </w:tc>
              <w:tc>
                <w:tcPr>
                  <w:tcW w:w="1094" w:type="pct"/>
                  <w:vMerge w:val="restart"/>
                  <w:tcBorders>
                    <w:tl2br w:val="nil"/>
                    <w:tr2bl w:val="nil"/>
                  </w:tcBorders>
                  <w:noWrap w:val="0"/>
                  <w:vAlign w:val="center"/>
                </w:tcPr>
                <w:p>
                  <w:pPr>
                    <w:keepNext w:val="0"/>
                    <w:keepLines w:val="0"/>
                    <w:widowControl/>
                    <w:suppressLineNumbers w:val="0"/>
                    <w:spacing w:line="240" w:lineRule="auto"/>
                    <w:jc w:val="center"/>
                    <w:rPr>
                      <w:rFonts w:hint="eastAsia" w:cs="Times New Roman"/>
                      <w:color w:val="auto"/>
                      <w:sz w:val="21"/>
                      <w:szCs w:val="21"/>
                      <w:highlight w:val="yellow"/>
                      <w:lang w:val="en-US" w:eastAsia="zh-CN"/>
                    </w:rPr>
                  </w:pPr>
                  <w:r>
                    <w:rPr>
                      <w:rFonts w:hint="eastAsia" w:cs="Times New Roman"/>
                      <w:b w:val="0"/>
                      <w:bCs w:val="0"/>
                      <w:color w:val="auto"/>
                      <w:kern w:val="0"/>
                      <w:sz w:val="21"/>
                      <w:szCs w:val="21"/>
                      <w:highlight w:val="none"/>
                      <w:vertAlign w:val="baseline"/>
                      <w:lang w:val="en-US" w:eastAsia="zh-CN" w:bidi="ar"/>
                    </w:rPr>
                    <w:t>本项目位于</w:t>
                  </w:r>
                  <w:r>
                    <w:rPr>
                      <w:rFonts w:hint="eastAsia" w:cs="Times New Roman"/>
                      <w:color w:val="auto"/>
                      <w:sz w:val="21"/>
                      <w:szCs w:val="21"/>
                      <w:highlight w:val="none"/>
                      <w:lang w:val="en-US" w:eastAsia="zh-CN"/>
                    </w:rPr>
                    <w:t>大竹县文星镇龙门村8组，项目用地属于集体用地，已签订租赁协议，本项目不设置总量。项目石料加工粉尘经厂房阻隔和湿法作业后无组织排放；运输扬尘经洒水降尘后无组织排放；食堂油烟经自带油烟净化功能的抽油烟机处理后外排。</w:t>
                  </w:r>
                </w:p>
                <w:p>
                  <w:pPr>
                    <w:keepNext w:val="0"/>
                    <w:keepLines w:val="0"/>
                    <w:widowControl/>
                    <w:suppressLineNumbers w:val="0"/>
                    <w:spacing w:line="240" w:lineRule="auto"/>
                    <w:jc w:val="center"/>
                    <w:rPr>
                      <w:rFonts w:hint="default" w:ascii="Times New Roman" w:hAnsi="Times New Roman" w:cs="Times New Roman"/>
                      <w:b w:val="0"/>
                      <w:bCs w:val="0"/>
                      <w:color w:val="auto"/>
                      <w:kern w:val="0"/>
                      <w:sz w:val="21"/>
                      <w:szCs w:val="21"/>
                      <w:highlight w:val="none"/>
                      <w:vertAlign w:val="baseline"/>
                      <w:lang w:val="en-US" w:eastAsia="zh-CN" w:bidi="ar"/>
                    </w:rPr>
                  </w:pPr>
                  <w:r>
                    <w:rPr>
                      <w:rFonts w:hint="eastAsia" w:cs="Times New Roman"/>
                      <w:bCs/>
                      <w:color w:val="0000FF"/>
                      <w:sz w:val="21"/>
                      <w:szCs w:val="21"/>
                      <w:highlight w:val="none"/>
                      <w:lang w:eastAsia="zh-CN"/>
                    </w:rPr>
                    <w:t>项目生产废水经螺旋绞砂机对粗砂颗粒分离后，进入三级沉淀池处理，沉淀池底泥经板框压滤机压成泥饼，废水处理后全部循环使用，不外排</w:t>
                  </w:r>
                  <w:r>
                    <w:rPr>
                      <w:rFonts w:hint="eastAsia" w:cs="Times New Roman"/>
                      <w:color w:val="0000FF"/>
                      <w:sz w:val="21"/>
                      <w:szCs w:val="21"/>
                      <w:highlight w:val="none"/>
                      <w:lang w:val="en-US" w:eastAsia="zh-CN"/>
                    </w:rPr>
                    <w:t>；</w:t>
                  </w:r>
                  <w:r>
                    <w:rPr>
                      <w:rFonts w:hint="eastAsia" w:ascii="Times New Roman" w:hAnsi="Times New Roman" w:cs="Times New Roman"/>
                      <w:color w:val="auto"/>
                      <w:sz w:val="21"/>
                      <w:szCs w:val="21"/>
                      <w:highlight w:val="none"/>
                      <w:lang w:val="en-US" w:eastAsia="zh-CN"/>
                    </w:rPr>
                    <w:t>生活污水</w:t>
                  </w:r>
                  <w:r>
                    <w:rPr>
                      <w:rFonts w:hint="eastAsia" w:cs="Times New Roman"/>
                      <w:color w:val="auto"/>
                      <w:sz w:val="21"/>
                      <w:szCs w:val="21"/>
                      <w:highlight w:val="none"/>
                      <w:lang w:val="en-US" w:eastAsia="zh-CN"/>
                    </w:rPr>
                    <w:t>（食堂废水先经隔油池处理）经旱厕处理后用作周边农田农肥</w:t>
                  </w:r>
                  <w:r>
                    <w:rPr>
                      <w:rFonts w:hint="default" w:ascii="Times New Roman" w:hAnsi="Times New Roman" w:cs="Times New Roman"/>
                      <w:color w:val="auto"/>
                      <w:sz w:val="21"/>
                      <w:szCs w:val="21"/>
                      <w:highlight w:val="none"/>
                      <w:lang w:val="en-US" w:eastAsia="zh-CN"/>
                    </w:rPr>
                    <w:t>。</w:t>
                  </w:r>
                </w:p>
              </w:tc>
              <w:tc>
                <w:tcPr>
                  <w:tcW w:w="498" w:type="pct"/>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cs="Times New Roman"/>
                      <w:b w:val="0"/>
                      <w:bCs w:val="0"/>
                      <w:color w:val="auto"/>
                      <w:kern w:val="0"/>
                      <w:sz w:val="21"/>
                      <w:szCs w:val="21"/>
                      <w:highlight w:val="none"/>
                      <w:vertAlign w:val="baseline"/>
                      <w:lang w:val="en-US" w:eastAsia="zh-CN" w:bidi="ar"/>
                    </w:rPr>
                  </w:pPr>
                  <w:r>
                    <w:rPr>
                      <w:rFonts w:hint="eastAsia" w:ascii="Times New Roman" w:hAnsi="Times New Roman" w:cs="Times New Roman"/>
                      <w:b w:val="0"/>
                      <w:bCs w:val="0"/>
                      <w:color w:val="auto"/>
                      <w:kern w:val="0"/>
                      <w:sz w:val="21"/>
                      <w:szCs w:val="21"/>
                      <w:highlight w:val="none"/>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38" w:type="pct"/>
                  <w:vMerge w:val="continue"/>
                  <w:tcBorders>
                    <w:tl2br w:val="nil"/>
                    <w:tr2bl w:val="nil"/>
                  </w:tcBorders>
                  <w:noWrap w:val="0"/>
                  <w:vAlign w:val="center"/>
                </w:tcPr>
                <w:p>
                  <w:pPr>
                    <w:keepNext w:val="0"/>
                    <w:keepLines w:val="0"/>
                    <w:widowControl/>
                    <w:suppressLineNumbers w:val="0"/>
                    <w:spacing w:line="240" w:lineRule="auto"/>
                    <w:jc w:val="center"/>
                    <w:rPr>
                      <w:rStyle w:val="25"/>
                      <w:rFonts w:hint="eastAsia" w:ascii="宋体" w:hAnsi="宋体" w:eastAsia="宋体" w:cs="Times New Roman"/>
                      <w:color w:val="auto"/>
                      <w:kern w:val="2"/>
                      <w:sz w:val="21"/>
                      <w:szCs w:val="21"/>
                      <w:highlight w:val="none"/>
                      <w:lang w:val="en-US" w:eastAsia="zh-CN" w:bidi="ar-SA"/>
                    </w:rPr>
                  </w:pPr>
                </w:p>
              </w:tc>
              <w:tc>
                <w:tcPr>
                  <w:tcW w:w="378" w:type="pct"/>
                  <w:tcBorders>
                    <w:tl2br w:val="nil"/>
                    <w:tr2bl w:val="nil"/>
                  </w:tcBorders>
                  <w:noWrap w:val="0"/>
                  <w:vAlign w:val="center"/>
                </w:tcPr>
                <w:p>
                  <w:pPr>
                    <w:keepNext w:val="0"/>
                    <w:keepLines w:val="0"/>
                    <w:widowControl/>
                    <w:suppressLineNumbers w:val="0"/>
                    <w:spacing w:line="240" w:lineRule="auto"/>
                    <w:jc w:val="center"/>
                    <w:rPr>
                      <w:rStyle w:val="25"/>
                      <w:rFonts w:hint="eastAsia" w:ascii="宋体" w:hAnsi="宋体" w:eastAsia="宋体" w:cs="Times New Roman"/>
                      <w:color w:val="auto"/>
                      <w:kern w:val="2"/>
                      <w:sz w:val="21"/>
                      <w:szCs w:val="21"/>
                      <w:highlight w:val="none"/>
                      <w:lang w:val="en-US" w:eastAsia="zh-CN" w:bidi="ar-SA"/>
                    </w:rPr>
                  </w:pPr>
                  <w:r>
                    <w:rPr>
                      <w:rStyle w:val="25"/>
                      <w:rFonts w:hint="eastAsia" w:ascii="宋体" w:hAnsi="宋体" w:eastAsia="宋体" w:cs="Times New Roman"/>
                      <w:color w:val="auto"/>
                      <w:kern w:val="2"/>
                      <w:sz w:val="21"/>
                      <w:szCs w:val="21"/>
                      <w:highlight w:val="none"/>
                      <w:lang w:val="en-US" w:eastAsia="zh-CN" w:bidi="ar-SA"/>
                    </w:rPr>
                    <w:t>污染物排放管控</w:t>
                  </w:r>
                </w:p>
              </w:tc>
              <w:tc>
                <w:tcPr>
                  <w:tcW w:w="2590" w:type="pct"/>
                  <w:tcBorders>
                    <w:tl2br w:val="nil"/>
                    <w:tr2bl w:val="nil"/>
                  </w:tcBorders>
                  <w:noWrap w:val="0"/>
                  <w:vAlign w:val="center"/>
                </w:tcPr>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现有源提标升级改造</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同达州市要素重点管控单元总体准入要求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新增源等量或倍量替代</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同达州市要素重点管控单元总体准入要求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新增源排放标准限值</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同达州市要素重点管控单元总体准入要求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污染物排放绩效水平准入要求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同达州市要素重点管控单元总体准入要求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其他污染物排放管控要求</w:t>
                  </w:r>
                </w:p>
              </w:tc>
              <w:tc>
                <w:tcPr>
                  <w:tcW w:w="1094" w:type="pct"/>
                  <w:vMerge w:val="continue"/>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cs="Times New Roman"/>
                      <w:b w:val="0"/>
                      <w:bCs w:val="0"/>
                      <w:color w:val="auto"/>
                      <w:kern w:val="0"/>
                      <w:sz w:val="21"/>
                      <w:szCs w:val="21"/>
                      <w:highlight w:val="none"/>
                      <w:vertAlign w:val="baseline"/>
                      <w:lang w:val="en-US" w:eastAsia="zh-CN" w:bidi="ar"/>
                    </w:rPr>
                  </w:pPr>
                </w:p>
              </w:tc>
              <w:tc>
                <w:tcPr>
                  <w:tcW w:w="498"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cs="Times New Roman"/>
                      <w:b w:val="0"/>
                      <w:bCs w:val="0"/>
                      <w:color w:val="auto"/>
                      <w:kern w:val="0"/>
                      <w:sz w:val="21"/>
                      <w:szCs w:val="21"/>
                      <w:highlight w:val="none"/>
                      <w:vertAlign w:val="baseline"/>
                      <w:lang w:val="en-US" w:eastAsia="zh-CN" w:bidi="ar"/>
                    </w:rPr>
                  </w:pPr>
                  <w:r>
                    <w:rPr>
                      <w:rFonts w:hint="eastAsia" w:ascii="Times New Roman" w:hAnsi="Times New Roman" w:cs="Times New Roman"/>
                      <w:b w:val="0"/>
                      <w:bCs w:val="0"/>
                      <w:color w:val="auto"/>
                      <w:kern w:val="0"/>
                      <w:sz w:val="21"/>
                      <w:szCs w:val="21"/>
                      <w:highlight w:val="none"/>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38" w:type="pct"/>
                  <w:vMerge w:val="continue"/>
                  <w:tcBorders>
                    <w:tl2br w:val="nil"/>
                    <w:tr2bl w:val="nil"/>
                  </w:tcBorders>
                  <w:noWrap w:val="0"/>
                  <w:vAlign w:val="center"/>
                </w:tcPr>
                <w:p>
                  <w:pPr>
                    <w:keepNext w:val="0"/>
                    <w:keepLines w:val="0"/>
                    <w:widowControl/>
                    <w:suppressLineNumbers w:val="0"/>
                    <w:spacing w:line="240" w:lineRule="auto"/>
                    <w:jc w:val="center"/>
                    <w:rPr>
                      <w:rStyle w:val="25"/>
                      <w:rFonts w:hint="eastAsia" w:ascii="宋体" w:hAnsi="宋体" w:eastAsia="宋体" w:cs="Times New Roman"/>
                      <w:color w:val="auto"/>
                      <w:kern w:val="2"/>
                      <w:sz w:val="21"/>
                      <w:szCs w:val="21"/>
                      <w:highlight w:val="none"/>
                      <w:lang w:val="en-US" w:eastAsia="zh-CN" w:bidi="ar-SA"/>
                    </w:rPr>
                  </w:pPr>
                </w:p>
              </w:tc>
              <w:tc>
                <w:tcPr>
                  <w:tcW w:w="378" w:type="pct"/>
                  <w:tcBorders>
                    <w:tl2br w:val="nil"/>
                    <w:tr2bl w:val="nil"/>
                  </w:tcBorders>
                  <w:noWrap w:val="0"/>
                  <w:vAlign w:val="center"/>
                </w:tcPr>
                <w:p>
                  <w:pPr>
                    <w:keepNext w:val="0"/>
                    <w:keepLines w:val="0"/>
                    <w:widowControl/>
                    <w:suppressLineNumbers w:val="0"/>
                    <w:spacing w:line="240" w:lineRule="auto"/>
                    <w:jc w:val="center"/>
                    <w:rPr>
                      <w:rStyle w:val="25"/>
                      <w:rFonts w:hint="eastAsia" w:ascii="宋体" w:hAnsi="宋体" w:eastAsia="宋体" w:cs="Times New Roman"/>
                      <w:color w:val="auto"/>
                      <w:kern w:val="2"/>
                      <w:sz w:val="21"/>
                      <w:szCs w:val="21"/>
                      <w:highlight w:val="none"/>
                      <w:lang w:val="en-US" w:eastAsia="zh-CN" w:bidi="ar-SA"/>
                    </w:rPr>
                  </w:pPr>
                  <w:r>
                    <w:rPr>
                      <w:rStyle w:val="25"/>
                      <w:rFonts w:hint="eastAsia" w:ascii="宋体" w:hAnsi="宋体" w:eastAsia="宋体" w:cs="Times New Roman"/>
                      <w:color w:val="auto"/>
                      <w:kern w:val="2"/>
                      <w:sz w:val="21"/>
                      <w:szCs w:val="21"/>
                      <w:highlight w:val="none"/>
                      <w:lang w:val="en-US" w:eastAsia="zh-CN" w:bidi="ar-SA"/>
                    </w:rPr>
                    <w:t>环境风险防控</w:t>
                  </w:r>
                </w:p>
              </w:tc>
              <w:tc>
                <w:tcPr>
                  <w:tcW w:w="2590" w:type="pct"/>
                  <w:tcBorders>
                    <w:tl2br w:val="nil"/>
                    <w:tr2bl w:val="nil"/>
                  </w:tcBorders>
                  <w:noWrap w:val="0"/>
                  <w:vAlign w:val="center"/>
                </w:tcPr>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严格管控类农用地管控要求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同达州市要素重点管控单元总体准入要求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安全利用类农用地管控要求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同达州市要素重点管控单元总体准入要求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污染地块管控要求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同达州市要素重点管控单元总体准入要求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园区环境风险防控要求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企业环境风险防控要求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同达州市要素重点管控单元总体准入要求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其他环境风险防控要求</w:t>
                  </w:r>
                </w:p>
              </w:tc>
              <w:tc>
                <w:tcPr>
                  <w:tcW w:w="1094" w:type="pct"/>
                  <w:vMerge w:val="continue"/>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cs="Times New Roman"/>
                      <w:b w:val="0"/>
                      <w:bCs w:val="0"/>
                      <w:color w:val="auto"/>
                      <w:kern w:val="0"/>
                      <w:sz w:val="21"/>
                      <w:szCs w:val="21"/>
                      <w:highlight w:val="none"/>
                      <w:vertAlign w:val="baseline"/>
                      <w:lang w:val="en-US" w:eastAsia="zh-CN" w:bidi="ar"/>
                    </w:rPr>
                  </w:pPr>
                </w:p>
              </w:tc>
              <w:tc>
                <w:tcPr>
                  <w:tcW w:w="498"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cs="Times New Roman"/>
                      <w:b w:val="0"/>
                      <w:bCs w:val="0"/>
                      <w:color w:val="auto"/>
                      <w:kern w:val="0"/>
                      <w:sz w:val="21"/>
                      <w:szCs w:val="21"/>
                      <w:highlight w:val="none"/>
                      <w:vertAlign w:val="baseline"/>
                      <w:lang w:val="en-US" w:eastAsia="zh-CN" w:bidi="ar"/>
                    </w:rPr>
                  </w:pPr>
                  <w:r>
                    <w:rPr>
                      <w:rFonts w:hint="eastAsia" w:ascii="Times New Roman" w:hAnsi="Times New Roman" w:cs="Times New Roman"/>
                      <w:b w:val="0"/>
                      <w:bCs w:val="0"/>
                      <w:color w:val="auto"/>
                      <w:kern w:val="0"/>
                      <w:sz w:val="21"/>
                      <w:szCs w:val="21"/>
                      <w:highlight w:val="none"/>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38" w:type="pct"/>
                  <w:vMerge w:val="continue"/>
                  <w:tcBorders>
                    <w:tl2br w:val="nil"/>
                    <w:tr2bl w:val="nil"/>
                  </w:tcBorders>
                  <w:noWrap w:val="0"/>
                  <w:vAlign w:val="center"/>
                </w:tcPr>
                <w:p>
                  <w:pPr>
                    <w:keepNext w:val="0"/>
                    <w:keepLines w:val="0"/>
                    <w:widowControl/>
                    <w:suppressLineNumbers w:val="0"/>
                    <w:spacing w:line="240" w:lineRule="auto"/>
                    <w:jc w:val="center"/>
                    <w:rPr>
                      <w:rStyle w:val="25"/>
                      <w:rFonts w:hint="eastAsia" w:ascii="宋体" w:hAnsi="宋体" w:eastAsia="宋体" w:cs="Times New Roman"/>
                      <w:color w:val="auto"/>
                      <w:kern w:val="2"/>
                      <w:sz w:val="21"/>
                      <w:szCs w:val="21"/>
                      <w:highlight w:val="none"/>
                      <w:lang w:val="en-US" w:eastAsia="zh-CN" w:bidi="ar-SA"/>
                    </w:rPr>
                  </w:pPr>
                </w:p>
              </w:tc>
              <w:tc>
                <w:tcPr>
                  <w:tcW w:w="378" w:type="pct"/>
                  <w:tcBorders>
                    <w:tl2br w:val="nil"/>
                    <w:tr2bl w:val="nil"/>
                  </w:tcBorders>
                  <w:noWrap w:val="0"/>
                  <w:vAlign w:val="center"/>
                </w:tcPr>
                <w:p>
                  <w:pPr>
                    <w:keepNext w:val="0"/>
                    <w:keepLines w:val="0"/>
                    <w:widowControl/>
                    <w:suppressLineNumbers w:val="0"/>
                    <w:spacing w:line="240" w:lineRule="auto"/>
                    <w:jc w:val="center"/>
                    <w:rPr>
                      <w:rStyle w:val="25"/>
                      <w:rFonts w:hint="eastAsia" w:ascii="宋体" w:hAnsi="宋体" w:eastAsia="宋体" w:cs="Times New Roman"/>
                      <w:color w:val="auto"/>
                      <w:kern w:val="2"/>
                      <w:sz w:val="21"/>
                      <w:szCs w:val="21"/>
                      <w:highlight w:val="none"/>
                      <w:lang w:val="en-US" w:eastAsia="zh-CN" w:bidi="ar-SA"/>
                    </w:rPr>
                  </w:pPr>
                  <w:r>
                    <w:rPr>
                      <w:rStyle w:val="25"/>
                      <w:rFonts w:hint="eastAsia" w:ascii="宋体" w:hAnsi="宋体" w:eastAsia="宋体" w:cs="Times New Roman"/>
                      <w:color w:val="auto"/>
                      <w:kern w:val="2"/>
                      <w:sz w:val="21"/>
                      <w:szCs w:val="21"/>
                      <w:highlight w:val="none"/>
                      <w:lang w:val="en-US" w:eastAsia="zh-CN" w:bidi="ar-SA"/>
                    </w:rPr>
                    <w:t>资源开发效率要求</w:t>
                  </w:r>
                </w:p>
              </w:tc>
              <w:tc>
                <w:tcPr>
                  <w:tcW w:w="2590" w:type="pct"/>
                  <w:tcBorders>
                    <w:tl2br w:val="nil"/>
                    <w:tr2bl w:val="nil"/>
                  </w:tcBorders>
                  <w:noWrap w:val="0"/>
                  <w:vAlign w:val="center"/>
                </w:tcPr>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水资源利用效率要求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同达州市要素重点管控单元总体准入要求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地下水开采要求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同达州市要素重点管控单元总体准入要求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能源利用效率要求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同达州市要素重点管控单元总体准入要求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其他资源利用效率要求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禁燃区要求：同达州市要素重点总体准入要求</w:t>
                  </w:r>
                </w:p>
              </w:tc>
              <w:tc>
                <w:tcPr>
                  <w:tcW w:w="1094" w:type="pct"/>
                  <w:vMerge w:val="continue"/>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cs="Times New Roman"/>
                      <w:b w:val="0"/>
                      <w:bCs w:val="0"/>
                      <w:color w:val="auto"/>
                      <w:kern w:val="0"/>
                      <w:sz w:val="21"/>
                      <w:szCs w:val="21"/>
                      <w:highlight w:val="none"/>
                      <w:vertAlign w:val="baseline"/>
                      <w:lang w:val="en-US" w:eastAsia="zh-CN" w:bidi="ar"/>
                    </w:rPr>
                  </w:pPr>
                </w:p>
              </w:tc>
              <w:tc>
                <w:tcPr>
                  <w:tcW w:w="498"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cs="Times New Roman"/>
                      <w:b w:val="0"/>
                      <w:bCs w:val="0"/>
                      <w:color w:val="auto"/>
                      <w:kern w:val="0"/>
                      <w:sz w:val="21"/>
                      <w:szCs w:val="21"/>
                      <w:highlight w:val="none"/>
                      <w:vertAlign w:val="baseline"/>
                      <w:lang w:val="en-US" w:eastAsia="zh-CN" w:bidi="ar"/>
                    </w:rPr>
                  </w:pPr>
                  <w:r>
                    <w:rPr>
                      <w:rFonts w:hint="eastAsia" w:ascii="Times New Roman" w:hAnsi="Times New Roman" w:cs="Times New Roman"/>
                      <w:b w:val="0"/>
                      <w:bCs w:val="0"/>
                      <w:color w:val="auto"/>
                      <w:kern w:val="0"/>
                      <w:sz w:val="21"/>
                      <w:szCs w:val="21"/>
                      <w:highlight w:val="none"/>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38" w:type="pct"/>
                  <w:vMerge w:val="restart"/>
                  <w:tcBorders>
                    <w:tl2br w:val="nil"/>
                    <w:tr2bl w:val="nil"/>
                  </w:tcBorders>
                  <w:noWrap w:val="0"/>
                  <w:vAlign w:val="center"/>
                </w:tcPr>
                <w:p>
                  <w:pPr>
                    <w:keepNext w:val="0"/>
                    <w:keepLines w:val="0"/>
                    <w:widowControl/>
                    <w:suppressLineNumbers w:val="0"/>
                    <w:spacing w:line="240" w:lineRule="auto"/>
                    <w:jc w:val="center"/>
                    <w:rPr>
                      <w:rStyle w:val="25"/>
                      <w:rFonts w:hint="eastAsia" w:ascii="宋体" w:hAnsi="宋体" w:eastAsia="宋体" w:cs="Times New Roman"/>
                      <w:color w:val="auto"/>
                      <w:kern w:val="2"/>
                      <w:sz w:val="21"/>
                      <w:szCs w:val="21"/>
                      <w:highlight w:val="none"/>
                      <w:lang w:val="en-US" w:eastAsia="zh-CN" w:bidi="ar-SA"/>
                    </w:rPr>
                  </w:pPr>
                  <w:r>
                    <w:rPr>
                      <w:rStyle w:val="25"/>
                      <w:rFonts w:hint="eastAsia" w:ascii="宋体" w:hAnsi="宋体" w:eastAsia="宋体" w:cs="Times New Roman"/>
                      <w:color w:val="auto"/>
                      <w:kern w:val="2"/>
                      <w:sz w:val="21"/>
                      <w:szCs w:val="21"/>
                      <w:highlight w:val="none"/>
                      <w:lang w:val="en-US" w:eastAsia="zh-CN" w:bidi="ar-SA"/>
                    </w:rPr>
                    <w:t>大洪河大竹县岗架大桥控制单元</w:t>
                  </w:r>
                </w:p>
              </w:tc>
              <w:tc>
                <w:tcPr>
                  <w:tcW w:w="378" w:type="pct"/>
                  <w:tcBorders>
                    <w:tl2br w:val="nil"/>
                    <w:tr2bl w:val="nil"/>
                  </w:tcBorders>
                  <w:noWrap w:val="0"/>
                  <w:vAlign w:val="center"/>
                </w:tcPr>
                <w:p>
                  <w:pPr>
                    <w:keepNext w:val="0"/>
                    <w:keepLines w:val="0"/>
                    <w:widowControl/>
                    <w:suppressLineNumbers w:val="0"/>
                    <w:spacing w:line="240" w:lineRule="auto"/>
                    <w:jc w:val="center"/>
                    <w:rPr>
                      <w:rStyle w:val="25"/>
                      <w:rFonts w:hint="eastAsia" w:ascii="宋体" w:hAnsi="宋体" w:eastAsia="宋体" w:cs="Times New Roman"/>
                      <w:color w:val="auto"/>
                      <w:kern w:val="2"/>
                      <w:sz w:val="21"/>
                      <w:szCs w:val="21"/>
                      <w:highlight w:val="none"/>
                      <w:lang w:val="en-US" w:eastAsia="zh-CN" w:bidi="ar-SA"/>
                    </w:rPr>
                  </w:pPr>
                  <w:r>
                    <w:rPr>
                      <w:rStyle w:val="25"/>
                      <w:rFonts w:hint="eastAsia" w:ascii="宋体" w:hAnsi="宋体" w:eastAsia="宋体" w:cs="Times New Roman"/>
                      <w:color w:val="auto"/>
                      <w:kern w:val="2"/>
                      <w:sz w:val="21"/>
                      <w:szCs w:val="21"/>
                      <w:highlight w:val="none"/>
                      <w:lang w:val="en-US" w:eastAsia="zh-CN" w:bidi="ar-SA"/>
                    </w:rPr>
                    <w:t>空间布局约束</w:t>
                  </w:r>
                </w:p>
              </w:tc>
              <w:tc>
                <w:tcPr>
                  <w:tcW w:w="2590" w:type="pct"/>
                  <w:tcBorders>
                    <w:tl2br w:val="nil"/>
                    <w:tr2bl w:val="nil"/>
                  </w:tcBorders>
                  <w:noWrap w:val="0"/>
                  <w:vAlign w:val="center"/>
                </w:tcPr>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禁止开发建设活动的要求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限制开发建设活动的要求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允许开发建设活动的要求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不符合空间布局要求活动的退出要求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其他空间布局约束要求</w:t>
                  </w:r>
                </w:p>
              </w:tc>
              <w:tc>
                <w:tcPr>
                  <w:tcW w:w="1094" w:type="pct"/>
                  <w:vMerge w:val="continue"/>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cs="Times New Roman"/>
                      <w:b w:val="0"/>
                      <w:bCs w:val="0"/>
                      <w:color w:val="auto"/>
                      <w:kern w:val="0"/>
                      <w:sz w:val="21"/>
                      <w:szCs w:val="21"/>
                      <w:highlight w:val="none"/>
                      <w:vertAlign w:val="baseline"/>
                      <w:lang w:val="en-US" w:eastAsia="zh-CN" w:bidi="ar"/>
                    </w:rPr>
                  </w:pPr>
                </w:p>
              </w:tc>
              <w:tc>
                <w:tcPr>
                  <w:tcW w:w="498"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cs="Times New Roman"/>
                      <w:b w:val="0"/>
                      <w:bCs w:val="0"/>
                      <w:color w:val="auto"/>
                      <w:kern w:val="0"/>
                      <w:sz w:val="21"/>
                      <w:szCs w:val="21"/>
                      <w:highlight w:val="none"/>
                      <w:vertAlign w:val="baseline"/>
                      <w:lang w:val="en-US" w:eastAsia="zh-CN" w:bidi="ar"/>
                    </w:rPr>
                  </w:pPr>
                  <w:r>
                    <w:rPr>
                      <w:rFonts w:hint="eastAsia" w:ascii="Times New Roman" w:hAnsi="Times New Roman" w:cs="Times New Roman"/>
                      <w:b w:val="0"/>
                      <w:bCs w:val="0"/>
                      <w:color w:val="auto"/>
                      <w:kern w:val="0"/>
                      <w:sz w:val="21"/>
                      <w:szCs w:val="21"/>
                      <w:highlight w:val="none"/>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38" w:type="pct"/>
                  <w:vMerge w:val="continue"/>
                  <w:tcBorders>
                    <w:tl2br w:val="nil"/>
                    <w:tr2bl w:val="nil"/>
                  </w:tcBorders>
                  <w:noWrap w:val="0"/>
                  <w:vAlign w:val="center"/>
                </w:tcPr>
                <w:p>
                  <w:pPr>
                    <w:keepNext w:val="0"/>
                    <w:keepLines w:val="0"/>
                    <w:widowControl/>
                    <w:suppressLineNumbers w:val="0"/>
                    <w:spacing w:line="240" w:lineRule="auto"/>
                    <w:jc w:val="center"/>
                    <w:rPr>
                      <w:rStyle w:val="25"/>
                      <w:rFonts w:hint="eastAsia" w:ascii="宋体" w:hAnsi="宋体" w:eastAsia="宋体" w:cs="Times New Roman"/>
                      <w:color w:val="auto"/>
                      <w:kern w:val="2"/>
                      <w:sz w:val="21"/>
                      <w:szCs w:val="21"/>
                      <w:highlight w:val="none"/>
                      <w:lang w:val="en-US" w:eastAsia="zh-CN" w:bidi="ar-SA"/>
                    </w:rPr>
                  </w:pPr>
                </w:p>
              </w:tc>
              <w:tc>
                <w:tcPr>
                  <w:tcW w:w="378" w:type="pct"/>
                  <w:tcBorders>
                    <w:tl2br w:val="nil"/>
                    <w:tr2bl w:val="nil"/>
                  </w:tcBorders>
                  <w:noWrap w:val="0"/>
                  <w:vAlign w:val="center"/>
                </w:tcPr>
                <w:p>
                  <w:pPr>
                    <w:keepNext w:val="0"/>
                    <w:keepLines w:val="0"/>
                    <w:widowControl/>
                    <w:suppressLineNumbers w:val="0"/>
                    <w:spacing w:line="240" w:lineRule="auto"/>
                    <w:jc w:val="center"/>
                    <w:rPr>
                      <w:rStyle w:val="25"/>
                      <w:rFonts w:hint="eastAsia" w:ascii="宋体" w:hAnsi="宋体" w:eastAsia="宋体" w:cs="Times New Roman"/>
                      <w:color w:val="auto"/>
                      <w:kern w:val="2"/>
                      <w:sz w:val="21"/>
                      <w:szCs w:val="21"/>
                      <w:highlight w:val="none"/>
                      <w:lang w:val="en-US" w:eastAsia="zh-CN" w:bidi="ar-SA"/>
                    </w:rPr>
                  </w:pPr>
                  <w:r>
                    <w:rPr>
                      <w:rStyle w:val="25"/>
                      <w:rFonts w:hint="eastAsia" w:ascii="宋体" w:hAnsi="宋体" w:eastAsia="宋体" w:cs="Times New Roman"/>
                      <w:color w:val="auto"/>
                      <w:kern w:val="2"/>
                      <w:sz w:val="21"/>
                      <w:szCs w:val="21"/>
                      <w:highlight w:val="none"/>
                      <w:lang w:val="en-US" w:eastAsia="zh-CN" w:bidi="ar-SA"/>
                    </w:rPr>
                    <w:t>污染物排放管控</w:t>
                  </w:r>
                </w:p>
              </w:tc>
              <w:tc>
                <w:tcPr>
                  <w:tcW w:w="2590" w:type="pct"/>
                  <w:tcBorders>
                    <w:tl2br w:val="nil"/>
                    <w:tr2bl w:val="nil"/>
                  </w:tcBorders>
                  <w:noWrap w:val="0"/>
                  <w:vAlign w:val="center"/>
                </w:tcPr>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城镇污水污染控制措施要求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工业废水污染控制措施要求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农业面源水污染控制措施要求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船舶港口水污染控制措施要求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饮用水水源和其它特殊水体保护要求</w:t>
                  </w:r>
                </w:p>
              </w:tc>
              <w:tc>
                <w:tcPr>
                  <w:tcW w:w="1094" w:type="pct"/>
                  <w:vMerge w:val="continue"/>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cs="Times New Roman"/>
                      <w:b w:val="0"/>
                      <w:bCs w:val="0"/>
                      <w:color w:val="auto"/>
                      <w:kern w:val="0"/>
                      <w:sz w:val="21"/>
                      <w:szCs w:val="21"/>
                      <w:highlight w:val="none"/>
                      <w:vertAlign w:val="baseline"/>
                      <w:lang w:val="en-US" w:eastAsia="zh-CN" w:bidi="ar"/>
                    </w:rPr>
                  </w:pPr>
                </w:p>
              </w:tc>
              <w:tc>
                <w:tcPr>
                  <w:tcW w:w="498"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cs="Times New Roman"/>
                      <w:b w:val="0"/>
                      <w:bCs w:val="0"/>
                      <w:color w:val="auto"/>
                      <w:kern w:val="0"/>
                      <w:sz w:val="21"/>
                      <w:szCs w:val="21"/>
                      <w:highlight w:val="none"/>
                      <w:vertAlign w:val="baseline"/>
                      <w:lang w:val="en-US" w:eastAsia="zh-CN" w:bidi="ar"/>
                    </w:rPr>
                  </w:pPr>
                  <w:r>
                    <w:rPr>
                      <w:rFonts w:hint="eastAsia" w:ascii="Times New Roman" w:hAnsi="Times New Roman" w:cs="Times New Roman"/>
                      <w:b w:val="0"/>
                      <w:bCs w:val="0"/>
                      <w:color w:val="auto"/>
                      <w:kern w:val="0"/>
                      <w:sz w:val="21"/>
                      <w:szCs w:val="21"/>
                      <w:highlight w:val="none"/>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38" w:type="pct"/>
                  <w:vMerge w:val="restart"/>
                  <w:tcBorders>
                    <w:tl2br w:val="nil"/>
                    <w:tr2bl w:val="nil"/>
                  </w:tcBorders>
                  <w:noWrap w:val="0"/>
                  <w:vAlign w:val="center"/>
                </w:tcPr>
                <w:p>
                  <w:pPr>
                    <w:keepNext w:val="0"/>
                    <w:keepLines w:val="0"/>
                    <w:widowControl/>
                    <w:suppressLineNumbers w:val="0"/>
                    <w:spacing w:line="240" w:lineRule="auto"/>
                    <w:jc w:val="center"/>
                    <w:rPr>
                      <w:rStyle w:val="25"/>
                      <w:rFonts w:hint="eastAsia" w:ascii="宋体" w:hAnsi="宋体" w:eastAsia="宋体" w:cs="Times New Roman"/>
                      <w:color w:val="auto"/>
                      <w:kern w:val="2"/>
                      <w:sz w:val="21"/>
                      <w:szCs w:val="21"/>
                      <w:highlight w:val="none"/>
                      <w:lang w:val="en-US" w:eastAsia="zh-CN" w:bidi="ar-SA"/>
                    </w:rPr>
                  </w:pPr>
                  <w:r>
                    <w:rPr>
                      <w:rStyle w:val="25"/>
                      <w:rFonts w:hint="eastAsia" w:ascii="宋体" w:hAnsi="宋体" w:eastAsia="宋体" w:cs="Times New Roman"/>
                      <w:color w:val="auto"/>
                      <w:kern w:val="2"/>
                      <w:sz w:val="21"/>
                      <w:szCs w:val="21"/>
                      <w:highlight w:val="none"/>
                      <w:lang w:val="en-US" w:eastAsia="zh-CN" w:bidi="ar-SA"/>
                    </w:rPr>
                    <w:t>大竹县大气环境弱扩散重点管控区</w:t>
                  </w:r>
                </w:p>
              </w:tc>
              <w:tc>
                <w:tcPr>
                  <w:tcW w:w="378" w:type="pct"/>
                  <w:tcBorders>
                    <w:tl2br w:val="nil"/>
                    <w:tr2bl w:val="nil"/>
                  </w:tcBorders>
                  <w:noWrap w:val="0"/>
                  <w:vAlign w:val="center"/>
                </w:tcPr>
                <w:p>
                  <w:pPr>
                    <w:keepNext w:val="0"/>
                    <w:keepLines w:val="0"/>
                    <w:widowControl/>
                    <w:suppressLineNumbers w:val="0"/>
                    <w:spacing w:line="240" w:lineRule="auto"/>
                    <w:jc w:val="center"/>
                    <w:rPr>
                      <w:rStyle w:val="25"/>
                      <w:rFonts w:hint="eastAsia" w:ascii="宋体" w:hAnsi="宋体" w:eastAsia="宋体" w:cs="Times New Roman"/>
                      <w:color w:val="auto"/>
                      <w:kern w:val="2"/>
                      <w:sz w:val="21"/>
                      <w:szCs w:val="21"/>
                      <w:highlight w:val="none"/>
                      <w:lang w:val="en-US" w:eastAsia="zh-CN" w:bidi="ar-SA"/>
                    </w:rPr>
                  </w:pPr>
                  <w:r>
                    <w:rPr>
                      <w:rStyle w:val="25"/>
                      <w:rFonts w:hint="eastAsia" w:ascii="宋体" w:hAnsi="宋体" w:eastAsia="宋体" w:cs="Times New Roman"/>
                      <w:color w:val="auto"/>
                      <w:kern w:val="2"/>
                      <w:sz w:val="21"/>
                      <w:szCs w:val="21"/>
                      <w:highlight w:val="none"/>
                      <w:lang w:val="en-US" w:eastAsia="zh-CN" w:bidi="ar-SA"/>
                    </w:rPr>
                    <w:t>空间布局约束</w:t>
                  </w:r>
                </w:p>
              </w:tc>
              <w:tc>
                <w:tcPr>
                  <w:tcW w:w="2590" w:type="pct"/>
                  <w:tcBorders>
                    <w:tl2br w:val="nil"/>
                    <w:tr2bl w:val="nil"/>
                  </w:tcBorders>
                  <w:noWrap w:val="0"/>
                  <w:vAlign w:val="center"/>
                </w:tcPr>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禁止开发建设活动的要求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限制开发建设活动的要求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允许开发建设活动的要求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不符合空间布局要求活动的退出要求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其他空间布局约束要求</w:t>
                  </w:r>
                </w:p>
              </w:tc>
              <w:tc>
                <w:tcPr>
                  <w:tcW w:w="1094" w:type="pct"/>
                  <w:vMerge w:val="continue"/>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cs="Times New Roman"/>
                      <w:b w:val="0"/>
                      <w:bCs w:val="0"/>
                      <w:color w:val="auto"/>
                      <w:kern w:val="0"/>
                      <w:sz w:val="21"/>
                      <w:szCs w:val="21"/>
                      <w:highlight w:val="none"/>
                      <w:vertAlign w:val="baseline"/>
                      <w:lang w:val="en-US" w:eastAsia="zh-CN" w:bidi="ar"/>
                    </w:rPr>
                  </w:pPr>
                </w:p>
              </w:tc>
              <w:tc>
                <w:tcPr>
                  <w:tcW w:w="498"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cs="Times New Roman"/>
                      <w:b w:val="0"/>
                      <w:bCs w:val="0"/>
                      <w:color w:val="auto"/>
                      <w:kern w:val="0"/>
                      <w:sz w:val="21"/>
                      <w:szCs w:val="21"/>
                      <w:highlight w:val="none"/>
                      <w:vertAlign w:val="baseline"/>
                      <w:lang w:val="en-US" w:eastAsia="zh-CN" w:bidi="ar"/>
                    </w:rPr>
                  </w:pPr>
                  <w:r>
                    <w:rPr>
                      <w:rFonts w:hint="eastAsia" w:ascii="Times New Roman" w:hAnsi="Times New Roman" w:cs="Times New Roman"/>
                      <w:b w:val="0"/>
                      <w:bCs w:val="0"/>
                      <w:color w:val="auto"/>
                      <w:kern w:val="0"/>
                      <w:sz w:val="21"/>
                      <w:szCs w:val="21"/>
                      <w:highlight w:val="none"/>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38" w:type="pct"/>
                  <w:vMerge w:val="continue"/>
                  <w:tcBorders>
                    <w:tl2br w:val="nil"/>
                    <w:tr2bl w:val="nil"/>
                  </w:tcBorders>
                  <w:noWrap w:val="0"/>
                  <w:vAlign w:val="center"/>
                </w:tcPr>
                <w:p>
                  <w:pPr>
                    <w:keepNext w:val="0"/>
                    <w:keepLines w:val="0"/>
                    <w:widowControl/>
                    <w:suppressLineNumbers w:val="0"/>
                    <w:spacing w:line="240" w:lineRule="auto"/>
                    <w:jc w:val="center"/>
                    <w:rPr>
                      <w:rStyle w:val="25"/>
                      <w:rFonts w:hint="eastAsia" w:ascii="宋体" w:hAnsi="宋体" w:eastAsia="宋体" w:cs="Times New Roman"/>
                      <w:color w:val="auto"/>
                      <w:kern w:val="2"/>
                      <w:sz w:val="21"/>
                      <w:szCs w:val="21"/>
                      <w:highlight w:val="none"/>
                      <w:lang w:val="en-US" w:eastAsia="zh-CN" w:bidi="ar-SA"/>
                    </w:rPr>
                  </w:pPr>
                </w:p>
              </w:tc>
              <w:tc>
                <w:tcPr>
                  <w:tcW w:w="378" w:type="pct"/>
                  <w:tcBorders>
                    <w:tl2br w:val="nil"/>
                    <w:tr2bl w:val="nil"/>
                  </w:tcBorders>
                  <w:noWrap w:val="0"/>
                  <w:vAlign w:val="center"/>
                </w:tcPr>
                <w:p>
                  <w:pPr>
                    <w:keepNext w:val="0"/>
                    <w:keepLines w:val="0"/>
                    <w:widowControl/>
                    <w:suppressLineNumbers w:val="0"/>
                    <w:spacing w:line="240" w:lineRule="auto"/>
                    <w:jc w:val="center"/>
                    <w:rPr>
                      <w:rStyle w:val="25"/>
                      <w:rFonts w:hint="eastAsia" w:ascii="宋体" w:hAnsi="宋体" w:eastAsia="宋体" w:cs="Times New Roman"/>
                      <w:color w:val="auto"/>
                      <w:kern w:val="2"/>
                      <w:sz w:val="21"/>
                      <w:szCs w:val="21"/>
                      <w:highlight w:val="none"/>
                      <w:lang w:val="en-US" w:eastAsia="zh-CN" w:bidi="ar-SA"/>
                    </w:rPr>
                  </w:pPr>
                  <w:r>
                    <w:rPr>
                      <w:rStyle w:val="25"/>
                      <w:rFonts w:hint="eastAsia" w:ascii="宋体" w:hAnsi="宋体" w:eastAsia="宋体" w:cs="Times New Roman"/>
                      <w:color w:val="auto"/>
                      <w:kern w:val="2"/>
                      <w:sz w:val="21"/>
                      <w:szCs w:val="21"/>
                      <w:highlight w:val="none"/>
                      <w:lang w:val="en-US" w:eastAsia="zh-CN" w:bidi="ar-SA"/>
                    </w:rPr>
                    <w:t>污染物排放管控</w:t>
                  </w:r>
                </w:p>
              </w:tc>
              <w:tc>
                <w:tcPr>
                  <w:tcW w:w="2590" w:type="pct"/>
                  <w:tcBorders>
                    <w:tl2br w:val="nil"/>
                    <w:tr2bl w:val="nil"/>
                  </w:tcBorders>
                  <w:noWrap w:val="0"/>
                  <w:vAlign w:val="center"/>
                </w:tcPr>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大气环境质量执行标准</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《环境空气质量标准》（GB3095-2012）：二级</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区域大气污染物削减/替代要求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新增大气污染物排放的建设项目实施总量削减替代。</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燃煤和其他能源大气污染控制要求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工业废气污染控制要求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机动车船大气污染控制要求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扬尘污染控制要求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农业生产经营活动大气污染控制要求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重点行业企业专项治理要求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其他大气污染物排放管控要求</w:t>
                  </w:r>
                </w:p>
              </w:tc>
              <w:tc>
                <w:tcPr>
                  <w:tcW w:w="1094" w:type="pct"/>
                  <w:vMerge w:val="continue"/>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cs="Times New Roman"/>
                      <w:b w:val="0"/>
                      <w:bCs w:val="0"/>
                      <w:color w:val="auto"/>
                      <w:kern w:val="0"/>
                      <w:sz w:val="21"/>
                      <w:szCs w:val="21"/>
                      <w:highlight w:val="none"/>
                      <w:vertAlign w:val="baseline"/>
                      <w:lang w:val="en-US" w:eastAsia="zh-CN" w:bidi="ar"/>
                    </w:rPr>
                  </w:pPr>
                </w:p>
              </w:tc>
              <w:tc>
                <w:tcPr>
                  <w:tcW w:w="498"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cs="Times New Roman"/>
                      <w:b w:val="0"/>
                      <w:bCs w:val="0"/>
                      <w:color w:val="auto"/>
                      <w:kern w:val="0"/>
                      <w:sz w:val="21"/>
                      <w:szCs w:val="21"/>
                      <w:highlight w:val="none"/>
                      <w:vertAlign w:val="baseline"/>
                      <w:lang w:val="en-US" w:eastAsia="zh-CN" w:bidi="ar"/>
                    </w:rPr>
                  </w:pPr>
                  <w:r>
                    <w:rPr>
                      <w:rFonts w:hint="eastAsia" w:ascii="Times New Roman" w:hAnsi="Times New Roman" w:cs="Times New Roman"/>
                      <w:b w:val="0"/>
                      <w:bCs w:val="0"/>
                      <w:color w:val="auto"/>
                      <w:kern w:val="0"/>
                      <w:sz w:val="21"/>
                      <w:szCs w:val="21"/>
                      <w:highlight w:val="none"/>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38" w:type="pct"/>
                  <w:tcBorders>
                    <w:tl2br w:val="nil"/>
                    <w:tr2bl w:val="nil"/>
                  </w:tcBorders>
                  <w:noWrap w:val="0"/>
                  <w:vAlign w:val="center"/>
                </w:tcPr>
                <w:p>
                  <w:pPr>
                    <w:keepNext w:val="0"/>
                    <w:keepLines w:val="0"/>
                    <w:widowControl/>
                    <w:suppressLineNumbers w:val="0"/>
                    <w:spacing w:line="240" w:lineRule="auto"/>
                    <w:jc w:val="center"/>
                    <w:rPr>
                      <w:rStyle w:val="25"/>
                      <w:rFonts w:hint="eastAsia" w:ascii="宋体" w:hAnsi="宋体" w:eastAsia="宋体" w:cs="Times New Roman"/>
                      <w:color w:val="auto"/>
                      <w:kern w:val="2"/>
                      <w:sz w:val="21"/>
                      <w:szCs w:val="21"/>
                      <w:highlight w:val="none"/>
                      <w:lang w:val="en-US" w:eastAsia="zh-CN" w:bidi="ar-SA"/>
                    </w:rPr>
                  </w:pPr>
                  <w:r>
                    <w:rPr>
                      <w:rStyle w:val="25"/>
                      <w:rFonts w:hint="eastAsia" w:ascii="宋体" w:hAnsi="宋体" w:eastAsia="宋体" w:cs="Times New Roman"/>
                      <w:color w:val="auto"/>
                      <w:kern w:val="2"/>
                      <w:sz w:val="21"/>
                      <w:szCs w:val="21"/>
                      <w:highlight w:val="none"/>
                      <w:lang w:val="en-US" w:eastAsia="zh-CN" w:bidi="ar-SA"/>
                    </w:rPr>
                    <w:t>大竹县土壤优先保护区</w:t>
                  </w:r>
                </w:p>
              </w:tc>
              <w:tc>
                <w:tcPr>
                  <w:tcW w:w="378" w:type="pct"/>
                  <w:tcBorders>
                    <w:tl2br w:val="nil"/>
                    <w:tr2bl w:val="nil"/>
                  </w:tcBorders>
                  <w:noWrap w:val="0"/>
                  <w:vAlign w:val="center"/>
                </w:tcPr>
                <w:p>
                  <w:pPr>
                    <w:keepNext w:val="0"/>
                    <w:keepLines w:val="0"/>
                    <w:widowControl/>
                    <w:suppressLineNumbers w:val="0"/>
                    <w:spacing w:line="240" w:lineRule="auto"/>
                    <w:jc w:val="center"/>
                    <w:rPr>
                      <w:rStyle w:val="25"/>
                      <w:rFonts w:hint="eastAsia" w:ascii="宋体" w:hAnsi="宋体" w:eastAsia="宋体" w:cs="Times New Roman"/>
                      <w:color w:val="auto"/>
                      <w:kern w:val="2"/>
                      <w:sz w:val="21"/>
                      <w:szCs w:val="21"/>
                      <w:highlight w:val="none"/>
                      <w:lang w:val="en-US" w:eastAsia="zh-CN" w:bidi="ar-SA"/>
                    </w:rPr>
                  </w:pPr>
                  <w:r>
                    <w:rPr>
                      <w:rStyle w:val="25"/>
                      <w:rFonts w:hint="eastAsia" w:ascii="宋体" w:hAnsi="宋体" w:eastAsia="宋体" w:cs="Times New Roman"/>
                      <w:color w:val="auto"/>
                      <w:kern w:val="2"/>
                      <w:sz w:val="21"/>
                      <w:szCs w:val="21"/>
                      <w:highlight w:val="none"/>
                      <w:lang w:val="en-US" w:eastAsia="zh-CN" w:bidi="ar-SA"/>
                    </w:rPr>
                    <w:t>空间布局约束</w:t>
                  </w:r>
                </w:p>
              </w:tc>
              <w:tc>
                <w:tcPr>
                  <w:tcW w:w="2590" w:type="pct"/>
                  <w:tcBorders>
                    <w:tl2br w:val="nil"/>
                    <w:tr2bl w:val="nil"/>
                  </w:tcBorders>
                  <w:noWrap w:val="0"/>
                  <w:vAlign w:val="center"/>
                </w:tcPr>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禁止开发建设活动的要求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限制开发建设活动的要求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允许开发建设活动的要求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不符合空间布局要求活动的退出要求</w:t>
                  </w:r>
                </w:p>
                <w:p>
                  <w:pPr>
                    <w:keepNext w:val="0"/>
                    <w:keepLines w:val="0"/>
                    <w:widowControl/>
                    <w:suppressLineNumbers w:val="0"/>
                    <w:spacing w:line="240" w:lineRule="auto"/>
                    <w:jc w:val="left"/>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其他空间布局约束要求</w:t>
                  </w:r>
                </w:p>
              </w:tc>
              <w:tc>
                <w:tcPr>
                  <w:tcW w:w="1094" w:type="pct"/>
                  <w:vMerge w:val="continue"/>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cs="Times New Roman"/>
                      <w:b w:val="0"/>
                      <w:bCs w:val="0"/>
                      <w:color w:val="auto"/>
                      <w:kern w:val="0"/>
                      <w:sz w:val="21"/>
                      <w:szCs w:val="21"/>
                      <w:highlight w:val="none"/>
                      <w:vertAlign w:val="baseline"/>
                      <w:lang w:val="en-US" w:eastAsia="zh-CN" w:bidi="ar"/>
                    </w:rPr>
                  </w:pPr>
                </w:p>
              </w:tc>
              <w:tc>
                <w:tcPr>
                  <w:tcW w:w="498"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cs="Times New Roman"/>
                      <w:b w:val="0"/>
                      <w:bCs w:val="0"/>
                      <w:color w:val="auto"/>
                      <w:kern w:val="0"/>
                      <w:sz w:val="21"/>
                      <w:szCs w:val="21"/>
                      <w:highlight w:val="none"/>
                      <w:vertAlign w:val="baseline"/>
                      <w:lang w:val="en-US" w:eastAsia="zh-CN" w:bidi="ar"/>
                    </w:rPr>
                  </w:pPr>
                  <w:r>
                    <w:rPr>
                      <w:rFonts w:hint="eastAsia" w:ascii="Times New Roman" w:hAnsi="Times New Roman" w:cs="Times New Roman"/>
                      <w:b w:val="0"/>
                      <w:bCs w:val="0"/>
                      <w:color w:val="auto"/>
                      <w:kern w:val="0"/>
                      <w:sz w:val="21"/>
                      <w:szCs w:val="21"/>
                      <w:highlight w:val="none"/>
                      <w:vertAlign w:val="baseline"/>
                      <w:lang w:val="en-US" w:eastAsia="zh-CN" w:bidi="ar"/>
                    </w:rPr>
                    <w:t>符合</w:t>
                  </w:r>
                </w:p>
              </w:tc>
            </w:tr>
          </w:tbl>
          <w:p>
            <w:pPr>
              <w:spacing w:line="360" w:lineRule="auto"/>
              <w:ind w:firstLine="482" w:firstLineChars="200"/>
              <w:rPr>
                <w:rFonts w:hint="eastAsia" w:cs="Times New Roman"/>
                <w:b/>
                <w:bCs/>
                <w:color w:val="auto"/>
                <w:sz w:val="24"/>
                <w:szCs w:val="24"/>
                <w:highlight w:val="none"/>
                <w:lang w:eastAsia="zh-CN"/>
              </w:rPr>
            </w:pPr>
            <w:r>
              <w:rPr>
                <w:rFonts w:hint="eastAsia" w:cs="Times New Roman"/>
                <w:b/>
                <w:bCs/>
                <w:color w:val="auto"/>
                <w:sz w:val="24"/>
                <w:szCs w:val="24"/>
                <w:highlight w:val="none"/>
                <w:lang w:val="en-US" w:eastAsia="zh-CN"/>
              </w:rPr>
              <w:t>8</w:t>
            </w:r>
            <w:r>
              <w:rPr>
                <w:rFonts w:hint="eastAsia" w:cs="Times New Roman"/>
                <w:b/>
                <w:bCs/>
                <w:color w:val="auto"/>
                <w:sz w:val="24"/>
                <w:szCs w:val="24"/>
                <w:highlight w:val="none"/>
                <w:lang w:eastAsia="zh-CN"/>
              </w:rPr>
              <w:t>、与大气污染防治相关规划符合性分析</w:t>
            </w:r>
          </w:p>
          <w:p>
            <w:pPr>
              <w:spacing w:line="360" w:lineRule="auto"/>
              <w:ind w:firstLine="480" w:firstLineChars="200"/>
              <w:rPr>
                <w:rFonts w:hint="eastAsia" w:cs="Times New Roman"/>
                <w:color w:val="auto"/>
                <w:sz w:val="24"/>
                <w:szCs w:val="24"/>
                <w:highlight w:val="none"/>
                <w:lang w:eastAsia="zh-CN"/>
              </w:rPr>
            </w:pPr>
            <w:r>
              <w:rPr>
                <w:rFonts w:hint="eastAsia" w:cs="Times New Roman"/>
                <w:color w:val="auto"/>
                <w:sz w:val="24"/>
                <w:szCs w:val="24"/>
                <w:highlight w:val="none"/>
                <w:lang w:eastAsia="zh-CN"/>
              </w:rPr>
              <w:t>与大气污染防治相关规划符合性分析见下表。</w:t>
            </w:r>
          </w:p>
          <w:p>
            <w:pPr>
              <w:spacing w:line="360" w:lineRule="auto"/>
              <w:jc w:val="center"/>
              <w:rPr>
                <w:rFonts w:hint="eastAsia" w:cs="Times New Roman"/>
                <w:b/>
                <w:bCs/>
                <w:color w:val="auto"/>
                <w:sz w:val="24"/>
                <w:szCs w:val="24"/>
                <w:highlight w:val="none"/>
                <w:lang w:eastAsia="zh-CN"/>
              </w:rPr>
            </w:pPr>
            <w:r>
              <w:rPr>
                <w:rFonts w:hint="eastAsia" w:cs="Times New Roman"/>
                <w:b/>
                <w:bCs/>
                <w:color w:val="auto"/>
                <w:sz w:val="24"/>
                <w:szCs w:val="24"/>
                <w:highlight w:val="none"/>
                <w:lang w:eastAsia="zh-CN"/>
              </w:rPr>
              <w:t>表1-</w:t>
            </w:r>
            <w:r>
              <w:rPr>
                <w:rFonts w:hint="eastAsia" w:cs="Times New Roman"/>
                <w:b/>
                <w:bCs/>
                <w:color w:val="auto"/>
                <w:sz w:val="24"/>
                <w:szCs w:val="24"/>
                <w:highlight w:val="none"/>
                <w:lang w:val="en-US" w:eastAsia="zh-CN"/>
              </w:rPr>
              <w:t>10</w:t>
            </w:r>
            <w:r>
              <w:rPr>
                <w:rFonts w:hint="eastAsia" w:cs="Times New Roman"/>
                <w:b/>
                <w:bCs/>
                <w:color w:val="auto"/>
                <w:sz w:val="24"/>
                <w:szCs w:val="24"/>
                <w:highlight w:val="none"/>
                <w:lang w:eastAsia="zh-CN"/>
              </w:rPr>
              <w:t xml:space="preserve">  大气污染防治相关规划符合性</w:t>
            </w:r>
          </w:p>
          <w:tbl>
            <w:tblPr>
              <w:tblStyle w:val="23"/>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93"/>
              <w:gridCol w:w="1761"/>
              <w:gridCol w:w="3221"/>
              <w:gridCol w:w="1926"/>
              <w:gridCol w:w="6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序号</w:t>
                  </w:r>
                </w:p>
              </w:tc>
              <w:tc>
                <w:tcPr>
                  <w:tcW w:w="1100"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文件名称</w:t>
                  </w:r>
                </w:p>
              </w:tc>
              <w:tc>
                <w:tcPr>
                  <w:tcW w:w="2012"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相关要求</w:t>
                  </w:r>
                </w:p>
              </w:tc>
              <w:tc>
                <w:tcPr>
                  <w:tcW w:w="1203"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项目相关情况</w:t>
                  </w:r>
                </w:p>
              </w:tc>
              <w:tc>
                <w:tcPr>
                  <w:tcW w:w="374"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1100"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《国务院关于印发大气污染防治行动计划的通知》国发</w:t>
                  </w:r>
                  <w:r>
                    <w:rPr>
                      <w:rFonts w:hint="eastAsia" w:cs="Times New Roman"/>
                      <w:b w:val="0"/>
                      <w:bCs/>
                      <w:color w:val="auto"/>
                      <w:sz w:val="21"/>
                      <w:szCs w:val="21"/>
                      <w:highlight w:val="none"/>
                      <w:lang w:val="en-US" w:eastAsia="zh-CN"/>
                    </w:rPr>
                    <w:t>〔2013〕</w:t>
                  </w:r>
                  <w:r>
                    <w:rPr>
                      <w:rFonts w:hint="default" w:ascii="Times New Roman" w:hAnsi="Times New Roman" w:eastAsia="宋体" w:cs="Times New Roman"/>
                      <w:bCs/>
                      <w:color w:val="auto"/>
                      <w:sz w:val="21"/>
                      <w:szCs w:val="21"/>
                      <w:highlight w:val="none"/>
                    </w:rPr>
                    <w:t>37号</w:t>
                  </w:r>
                </w:p>
              </w:tc>
              <w:tc>
                <w:tcPr>
                  <w:tcW w:w="2012"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“一、加大综合治理力度，减少多污染物排放”中“（一）加强工业企业大气污染综合治理。加快重点行业脱硫、脱硝、除尘改造工程建设”</w:t>
                  </w:r>
                </w:p>
              </w:tc>
              <w:tc>
                <w:tcPr>
                  <w:tcW w:w="1203" w:type="pct"/>
                  <w:vMerge w:val="restart"/>
                  <w:tcBorders>
                    <w:tl2br w:val="nil"/>
                    <w:tr2bl w:val="nil"/>
                  </w:tcBorders>
                  <w:noWrap w:val="0"/>
                  <w:vAlign w:val="center"/>
                </w:tcPr>
                <w:p>
                  <w:pPr>
                    <w:keepNext w:val="0"/>
                    <w:keepLines w:val="0"/>
                    <w:widowControl/>
                    <w:suppressLineNumbers w:val="0"/>
                    <w:spacing w:line="240" w:lineRule="auto"/>
                    <w:jc w:val="center"/>
                    <w:rPr>
                      <w:rFonts w:hint="eastAsia"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项目运营期产生的大气污染物主要为粉尘，</w:t>
                  </w:r>
                  <w:r>
                    <w:rPr>
                      <w:rFonts w:hint="eastAsia" w:cs="Times New Roman"/>
                      <w:color w:val="auto"/>
                      <w:sz w:val="21"/>
                      <w:szCs w:val="21"/>
                      <w:highlight w:val="none"/>
                      <w:lang w:val="en-US" w:eastAsia="zh-CN"/>
                    </w:rPr>
                    <w:t>项目石料加工粉尘经厂房阻隔和湿法作业后无组织排放；运输扬尘经洒水降尘后无组织排放；食堂油烟经自带油烟净化功能的抽油烟机处理后外排。</w:t>
                  </w:r>
                </w:p>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采取</w:t>
                  </w:r>
                  <w:r>
                    <w:rPr>
                      <w:rFonts w:hint="eastAsia" w:cs="Times New Roman"/>
                      <w:bCs/>
                      <w:color w:val="auto"/>
                      <w:sz w:val="21"/>
                      <w:szCs w:val="21"/>
                      <w:highlight w:val="none"/>
                      <w:lang w:val="en-US" w:eastAsia="zh-CN"/>
                    </w:rPr>
                    <w:t>以上</w:t>
                  </w:r>
                  <w:r>
                    <w:rPr>
                      <w:rFonts w:hint="default" w:ascii="Times New Roman" w:hAnsi="Times New Roman" w:eastAsia="宋体" w:cs="Times New Roman"/>
                      <w:bCs/>
                      <w:color w:val="auto"/>
                      <w:sz w:val="21"/>
                      <w:szCs w:val="21"/>
                      <w:highlight w:val="none"/>
                    </w:rPr>
                    <w:t>措施后可得到妥善处置</w:t>
                  </w:r>
                </w:p>
              </w:tc>
              <w:tc>
                <w:tcPr>
                  <w:tcW w:w="374"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c>
                <w:tcPr>
                  <w:tcW w:w="1100"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《四川省人民政府关于印发四川省大气污染防治行动计划实施细则2016年度实施计划的通知》（川办函</w:t>
                  </w:r>
                  <w:r>
                    <w:rPr>
                      <w:rFonts w:hint="eastAsia" w:cs="Times New Roman"/>
                      <w:b w:val="0"/>
                      <w:bCs/>
                      <w:color w:val="auto"/>
                      <w:sz w:val="21"/>
                      <w:szCs w:val="21"/>
                      <w:highlight w:val="none"/>
                      <w:lang w:val="en-US" w:eastAsia="zh-CN"/>
                    </w:rPr>
                    <w:t>〔2016〕</w:t>
                  </w:r>
                  <w:r>
                    <w:rPr>
                      <w:rFonts w:hint="default" w:ascii="Times New Roman" w:hAnsi="Times New Roman" w:eastAsia="宋体" w:cs="Times New Roman"/>
                      <w:bCs/>
                      <w:color w:val="auto"/>
                      <w:sz w:val="21"/>
                      <w:szCs w:val="21"/>
                      <w:highlight w:val="none"/>
                    </w:rPr>
                    <w:t>42号）</w:t>
                  </w:r>
                </w:p>
              </w:tc>
              <w:tc>
                <w:tcPr>
                  <w:tcW w:w="2012"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二、重点工作”中“（一）强力实施多污染物协同减排，加大工业污染治理力度。”第1条“加快重点行业脱硫脱硝除尘设施建设及改造”，“加快重点行业除尘设施建设及改造。加快电力、水泥、钢铁等重点行业除尘设施建设与升级改造，严格执行重点行业大气污染物排放标准，实现稳定达标排放。”；“强化工业企业堆场扬尘控制。强化重点工业企业燃料、原料、产品堆场扬尘控制，积极推行安装视频监控设施。大力推进堆场的密闭料仓与传送、自动喷淋等装置覆绿、铺装、硬化等措施。”</w:t>
                  </w:r>
                </w:p>
              </w:tc>
              <w:tc>
                <w:tcPr>
                  <w:tcW w:w="1203"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Cs/>
                      <w:color w:val="auto"/>
                      <w:sz w:val="21"/>
                      <w:szCs w:val="21"/>
                      <w:highlight w:val="none"/>
                    </w:rPr>
                  </w:pPr>
                </w:p>
              </w:tc>
              <w:tc>
                <w:tcPr>
                  <w:tcW w:w="374"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w:t>
                  </w:r>
                </w:p>
              </w:tc>
              <w:tc>
                <w:tcPr>
                  <w:tcW w:w="1100"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达州市重污染天气应急预案</w:t>
                  </w:r>
                  <w:r>
                    <w:rPr>
                      <w:rFonts w:hint="eastAsia" w:cs="Times New Roman"/>
                      <w:bCs/>
                      <w:color w:val="auto"/>
                      <w:sz w:val="21"/>
                      <w:szCs w:val="21"/>
                      <w:highlight w:val="none"/>
                      <w:lang w:val="en-US" w:eastAsia="zh-CN"/>
                    </w:rPr>
                    <w:t>2022</w:t>
                  </w:r>
                  <w:r>
                    <w:rPr>
                      <w:rFonts w:hint="default" w:ascii="Times New Roman" w:hAnsi="Times New Roman" w:eastAsia="宋体" w:cs="Times New Roman"/>
                      <w:bCs/>
                      <w:color w:val="auto"/>
                      <w:sz w:val="21"/>
                      <w:szCs w:val="21"/>
                      <w:highlight w:val="none"/>
                    </w:rPr>
                    <w:t>（试行）</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的通知</w:t>
                  </w:r>
                </w:p>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Cs/>
                      <w:color w:val="auto"/>
                      <w:sz w:val="21"/>
                      <w:szCs w:val="21"/>
                      <w:highlight w:val="none"/>
                    </w:rPr>
                  </w:pPr>
                </w:p>
              </w:tc>
              <w:tc>
                <w:tcPr>
                  <w:tcW w:w="2012"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项目建设运营过程中，应根据预警等级要求，严格执行强制性污染减排措施。重污染天气预警级别由低到高分为黄色、橙色和红色预警三级</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与之对应的应急响应级别分别为Ⅲ级、Ⅱ级、Ⅰ级应急响应</w:t>
                  </w:r>
                  <w:r>
                    <w:rPr>
                      <w:rFonts w:hint="eastAsia" w:cs="Times New Roman"/>
                      <w:bCs/>
                      <w:color w:val="auto"/>
                      <w:sz w:val="21"/>
                      <w:szCs w:val="21"/>
                      <w:highlight w:val="none"/>
                      <w:lang w:eastAsia="zh-CN"/>
                    </w:rPr>
                    <w:t>。不同等级应急响应级别配套应急响应措施。应急响应措施包括健康防护措施、倡议性污染减排措施、强制性污染减排措施等。</w:t>
                  </w:r>
                </w:p>
              </w:tc>
              <w:tc>
                <w:tcPr>
                  <w:tcW w:w="1203"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本项目</w:t>
                  </w:r>
                  <w:r>
                    <w:rPr>
                      <w:rFonts w:hint="default" w:ascii="Times New Roman" w:hAnsi="Times New Roman" w:eastAsia="宋体" w:cs="Times New Roman"/>
                      <w:bCs/>
                      <w:color w:val="auto"/>
                      <w:sz w:val="21"/>
                      <w:szCs w:val="21"/>
                      <w:highlight w:val="none"/>
                    </w:rPr>
                    <w:t>根据预警等级要求，严格执行强制性污染减排措施</w:t>
                  </w:r>
                </w:p>
              </w:tc>
              <w:tc>
                <w:tcPr>
                  <w:tcW w:w="374"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4</w:t>
                  </w:r>
                </w:p>
              </w:tc>
              <w:tc>
                <w:tcPr>
                  <w:tcW w:w="1100"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《达州市大气环境质量限期达标规划（2018-2030年）》</w:t>
                  </w:r>
                </w:p>
              </w:tc>
              <w:tc>
                <w:tcPr>
                  <w:tcW w:w="2012"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以大气环境质量达标为核心，以PM</w:t>
                  </w:r>
                  <w:r>
                    <w:rPr>
                      <w:rFonts w:hint="eastAsia" w:ascii="Times New Roman" w:hAnsi="Times New Roman" w:eastAsia="宋体" w:cs="Times New Roman"/>
                      <w:bCs/>
                      <w:color w:val="auto"/>
                      <w:sz w:val="21"/>
                      <w:szCs w:val="21"/>
                      <w:highlight w:val="none"/>
                      <w:vertAlign w:val="subscript"/>
                      <w:lang w:val="en-US" w:eastAsia="zh-CN"/>
                    </w:rPr>
                    <w:t>2.5</w:t>
                  </w:r>
                  <w:r>
                    <w:rPr>
                      <w:rFonts w:hint="eastAsia" w:ascii="Times New Roman" w:hAnsi="Times New Roman" w:eastAsia="宋体" w:cs="Times New Roman"/>
                      <w:bCs/>
                      <w:color w:val="auto"/>
                      <w:sz w:val="21"/>
                      <w:szCs w:val="21"/>
                      <w:highlight w:val="none"/>
                      <w:lang w:val="en-US" w:eastAsia="zh-CN"/>
                    </w:rPr>
                    <w:t>作为重点控制对象，实施空气质量达标战略，包括：优化产业结构和布局，推进能源结构调整，深化火电超低排放、工业锅炉、建材行业、冶金行业治理整顿，有效控制扬尘、移动源、秸秆焚烧的污染排放，加快推进VOC</w:t>
                  </w:r>
                  <w:r>
                    <w:rPr>
                      <w:rFonts w:hint="eastAsia" w:ascii="Times New Roman" w:hAnsi="Times New Roman" w:eastAsia="宋体" w:cs="Times New Roman"/>
                      <w:bCs/>
                      <w:color w:val="auto"/>
                      <w:sz w:val="21"/>
                      <w:szCs w:val="21"/>
                      <w:highlight w:val="none"/>
                      <w:vertAlign w:val="subscript"/>
                      <w:lang w:val="en-US" w:eastAsia="zh-CN"/>
                    </w:rPr>
                    <w:t>S</w:t>
                  </w:r>
                  <w:r>
                    <w:rPr>
                      <w:rFonts w:hint="eastAsia" w:ascii="Times New Roman" w:hAnsi="Times New Roman" w:eastAsia="宋体" w:cs="Times New Roman"/>
                      <w:bCs/>
                      <w:color w:val="auto"/>
                      <w:sz w:val="21"/>
                      <w:szCs w:val="21"/>
                      <w:highlight w:val="none"/>
                      <w:lang w:val="en-US" w:eastAsia="zh-CN"/>
                    </w:rPr>
                    <w:t>综合整治，促进多污染物协同控制及区域联防联控，提升大气污染精细化防控能力。</w:t>
                  </w:r>
                </w:p>
              </w:tc>
              <w:tc>
                <w:tcPr>
                  <w:tcW w:w="1203"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本项目位于达州市大竹县，根据</w:t>
                  </w:r>
                  <w:r>
                    <w:rPr>
                      <w:rFonts w:hint="default" w:ascii="Times New Roman" w:hAnsi="Times New Roman" w:eastAsia="宋体" w:cs="Times New Roman"/>
                      <w:bCs/>
                      <w:color w:val="auto"/>
                      <w:sz w:val="21"/>
                      <w:szCs w:val="21"/>
                      <w:highlight w:val="none"/>
                      <w:lang w:val="en-US" w:eastAsia="zh-CN"/>
                    </w:rPr>
                    <w:t>《达州市</w:t>
                  </w:r>
                  <w:r>
                    <w:rPr>
                      <w:rFonts w:hint="eastAsia" w:ascii="Times New Roman" w:hAnsi="Times New Roman" w:eastAsia="宋体" w:cs="Times New Roman"/>
                      <w:bCs/>
                      <w:color w:val="auto"/>
                      <w:sz w:val="21"/>
                      <w:szCs w:val="21"/>
                      <w:highlight w:val="none"/>
                      <w:lang w:val="en-US" w:eastAsia="zh-CN"/>
                    </w:rPr>
                    <w:t>2022</w:t>
                  </w:r>
                  <w:r>
                    <w:rPr>
                      <w:rFonts w:hint="default" w:ascii="Times New Roman" w:hAnsi="Times New Roman" w:eastAsia="宋体" w:cs="Times New Roman"/>
                      <w:bCs/>
                      <w:color w:val="auto"/>
                      <w:sz w:val="21"/>
                      <w:szCs w:val="21"/>
                      <w:highlight w:val="none"/>
                      <w:lang w:val="en-US" w:eastAsia="zh-CN"/>
                    </w:rPr>
                    <w:t>年环境空气质量</w:t>
                  </w:r>
                  <w:r>
                    <w:rPr>
                      <w:rFonts w:hint="eastAsia" w:ascii="Times New Roman" w:hAnsi="Times New Roman" w:eastAsia="宋体" w:cs="Times New Roman"/>
                      <w:bCs/>
                      <w:color w:val="auto"/>
                      <w:sz w:val="21"/>
                      <w:szCs w:val="21"/>
                      <w:highlight w:val="none"/>
                      <w:lang w:val="en-US" w:eastAsia="zh-CN"/>
                    </w:rPr>
                    <w:t>状况</w:t>
                  </w:r>
                  <w:r>
                    <w:rPr>
                      <w:rFonts w:hint="default" w:ascii="Times New Roman" w:hAnsi="Times New Roman" w:eastAsia="宋体" w:cs="Times New Roman"/>
                      <w:bCs/>
                      <w:color w:val="auto"/>
                      <w:sz w:val="21"/>
                      <w:szCs w:val="21"/>
                      <w:highlight w:val="none"/>
                      <w:lang w:val="en-US" w:eastAsia="zh-CN"/>
                    </w:rPr>
                    <w:t>》中相关数据和结论</w:t>
                  </w:r>
                  <w:r>
                    <w:rPr>
                      <w:rFonts w:hint="eastAsia" w:ascii="Times New Roman" w:hAnsi="Times New Roman" w:eastAsia="宋体" w:cs="Times New Roman"/>
                      <w:bCs/>
                      <w:color w:val="auto"/>
                      <w:sz w:val="21"/>
                      <w:szCs w:val="21"/>
                      <w:highlight w:val="none"/>
                      <w:lang w:val="en-US" w:eastAsia="zh-CN"/>
                    </w:rPr>
                    <w:t>，本项目位于达标区。</w:t>
                  </w:r>
                </w:p>
              </w:tc>
              <w:tc>
                <w:tcPr>
                  <w:tcW w:w="374"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sz w:val="24"/>
                <w:szCs w:val="24"/>
                <w:highlight w:val="none"/>
                <w:lang w:eastAsia="zh-CN"/>
              </w:rPr>
            </w:pPr>
            <w:r>
              <w:rPr>
                <w:rFonts w:hint="eastAsia" w:cs="Times New Roman"/>
                <w:b/>
                <w:bCs/>
                <w:color w:val="auto"/>
                <w:sz w:val="24"/>
                <w:szCs w:val="24"/>
                <w:highlight w:val="none"/>
                <w:lang w:val="en-US" w:eastAsia="zh-CN"/>
              </w:rPr>
              <w:t>9</w:t>
            </w:r>
            <w:r>
              <w:rPr>
                <w:rFonts w:hint="eastAsia" w:cs="Times New Roman"/>
                <w:b/>
                <w:bCs/>
                <w:color w:val="auto"/>
                <w:sz w:val="24"/>
                <w:szCs w:val="24"/>
                <w:highlight w:val="none"/>
                <w:lang w:eastAsia="zh-CN"/>
              </w:rPr>
              <w:t>、选址合理性分析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eastAsia="zh-CN"/>
              </w:rPr>
              <w:t>本项目</w:t>
            </w:r>
            <w:r>
              <w:rPr>
                <w:rFonts w:hint="eastAsia" w:cs="Times New Roman"/>
                <w:color w:val="auto"/>
                <w:sz w:val="24"/>
                <w:szCs w:val="24"/>
                <w:highlight w:val="none"/>
                <w:lang w:val="en-US" w:eastAsia="zh-CN"/>
              </w:rPr>
              <w:t>位于达州市大竹县文星镇</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占地面积约4664.4</w:t>
            </w:r>
            <w:r>
              <w:rPr>
                <w:rFonts w:hint="eastAsia" w:cs="Times New Roman"/>
                <w:color w:val="auto"/>
                <w:sz w:val="24"/>
                <w:szCs w:val="24"/>
                <w:highlight w:val="none"/>
                <w:lang w:val="en-US" w:eastAsia="zh-CN"/>
              </w:rPr>
              <w:t>m</w:t>
            </w:r>
            <w:r>
              <w:rPr>
                <w:rFonts w:hint="eastAsia" w:cs="Times New Roman"/>
                <w:color w:val="auto"/>
                <w:sz w:val="24"/>
                <w:szCs w:val="24"/>
                <w:highlight w:val="none"/>
                <w:vertAlign w:val="superscript"/>
                <w:lang w:val="en-US" w:eastAsia="zh-CN"/>
              </w:rPr>
              <w:t>2</w:t>
            </w:r>
            <w:r>
              <w:rPr>
                <w:rFonts w:hint="eastAsia" w:eastAsia="宋体" w:cs="Times New Roman"/>
                <w:color w:val="auto"/>
                <w:sz w:val="24"/>
                <w:szCs w:val="24"/>
                <w:highlight w:val="none"/>
                <w:lang w:val="en-US" w:eastAsia="zh-CN"/>
              </w:rPr>
              <w:t>。</w:t>
            </w:r>
            <w:r>
              <w:rPr>
                <w:rFonts w:hint="eastAsia" w:cs="Times New Roman"/>
                <w:color w:val="auto"/>
                <w:sz w:val="24"/>
                <w:szCs w:val="24"/>
                <w:highlight w:val="none"/>
                <w:lang w:eastAsia="zh-CN"/>
              </w:rPr>
              <w:t>根据现场踏勘，外环境关系如下：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东北侧：约405m为小河咀，12户农户，约48人；约423m有4户农户，约16人；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东南侧：约225m为下湾，3户农户，约12人；约275m为李家湾，4户农户，约16人；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南侧：约30m处有2户农户，约8人；约50m~150m为龙门下湾，10户农户，约40人；约175m~415m为大沙坝，30户农户，约120人；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西侧：约65m~320m为高地坝，35户农户，约140人；约300m为大坡，7户农户，约28人；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西北侧、北侧：约180m~500m为文星镇龙门村，100户农户，约400人；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eastAsia="zh-CN"/>
              </w:rPr>
            </w:pPr>
            <w:r>
              <w:rPr>
                <w:rFonts w:hint="eastAsia" w:ascii="宋体" w:hAnsi="宋体"/>
                <w:color w:val="auto"/>
                <w:sz w:val="24"/>
                <w:szCs w:val="24"/>
                <w:highlight w:val="none"/>
              </w:rPr>
              <w:t>本项目位于</w:t>
            </w:r>
            <w:r>
              <w:rPr>
                <w:rFonts w:hint="eastAsia" w:cs="Times New Roman"/>
                <w:color w:val="auto"/>
                <w:sz w:val="24"/>
                <w:szCs w:val="24"/>
                <w:highlight w:val="none"/>
                <w:lang w:val="en-US" w:eastAsia="zh-CN"/>
              </w:rPr>
              <w:t>达州市大竹县文星镇龙门村8组</w:t>
            </w:r>
            <w:r>
              <w:rPr>
                <w:rFonts w:hint="eastAsia" w:ascii="宋体" w:hAnsi="宋体"/>
                <w:color w:val="auto"/>
                <w:sz w:val="24"/>
                <w:szCs w:val="24"/>
                <w:highlight w:val="none"/>
              </w:rPr>
              <w:t>，</w:t>
            </w:r>
            <w:r>
              <w:rPr>
                <w:rFonts w:hint="eastAsia" w:cs="Times New Roman"/>
                <w:color w:val="auto"/>
                <w:sz w:val="24"/>
                <w:szCs w:val="24"/>
                <w:highlight w:val="none"/>
                <w:lang w:eastAsia="zh-CN"/>
              </w:rPr>
              <w:t>本项目厂界</w:t>
            </w:r>
            <w:r>
              <w:rPr>
                <w:rFonts w:hint="eastAsia" w:cs="Times New Roman"/>
                <w:color w:val="auto"/>
                <w:sz w:val="24"/>
                <w:szCs w:val="24"/>
                <w:highlight w:val="none"/>
                <w:lang w:val="en-US" w:eastAsia="zh-CN"/>
              </w:rPr>
              <w:t>50</w:t>
            </w:r>
            <w:r>
              <w:rPr>
                <w:rFonts w:hint="eastAsia" w:cs="Times New Roman"/>
                <w:color w:val="auto"/>
                <w:sz w:val="24"/>
                <w:szCs w:val="24"/>
                <w:highlight w:val="none"/>
                <w:lang w:eastAsia="zh-CN"/>
              </w:rPr>
              <w:t>m范围内</w:t>
            </w:r>
            <w:r>
              <w:rPr>
                <w:rFonts w:hint="eastAsia" w:cs="Times New Roman"/>
                <w:color w:val="auto"/>
                <w:sz w:val="24"/>
                <w:szCs w:val="24"/>
                <w:highlight w:val="none"/>
                <w:lang w:val="en-US" w:eastAsia="zh-CN"/>
              </w:rPr>
              <w:t>存在2户农户</w:t>
            </w:r>
            <w:r>
              <w:rPr>
                <w:rFonts w:hint="eastAsia" w:cs="Times New Roman"/>
                <w:color w:val="auto"/>
                <w:sz w:val="24"/>
                <w:szCs w:val="24"/>
                <w:highlight w:val="none"/>
                <w:lang w:eastAsia="zh-CN"/>
              </w:rPr>
              <w:t>，项目周围无自然保护区、风景名胜区、</w:t>
            </w:r>
            <w:r>
              <w:rPr>
                <w:rFonts w:hint="eastAsia" w:cs="Times New Roman"/>
                <w:color w:val="auto"/>
                <w:sz w:val="24"/>
                <w:szCs w:val="24"/>
                <w:highlight w:val="none"/>
                <w:lang w:val="en-US" w:eastAsia="zh-CN"/>
              </w:rPr>
              <w:t>饮用水源保护区</w:t>
            </w:r>
            <w:r>
              <w:rPr>
                <w:rFonts w:hint="eastAsia" w:cs="Times New Roman"/>
                <w:color w:val="auto"/>
                <w:sz w:val="24"/>
                <w:szCs w:val="24"/>
                <w:highlight w:val="none"/>
                <w:lang w:eastAsia="zh-CN"/>
              </w:rPr>
              <w:t>等环境敏感区，亦无文物古迹等敏感点。本项目营运期产生的污染物主要为粉尘、</w:t>
            </w:r>
            <w:r>
              <w:rPr>
                <w:rFonts w:hint="eastAsia" w:cs="Times New Roman"/>
                <w:color w:val="auto"/>
                <w:sz w:val="24"/>
                <w:szCs w:val="24"/>
                <w:highlight w:val="none"/>
                <w:lang w:val="en-US" w:eastAsia="zh-CN"/>
              </w:rPr>
              <w:t>废水</w:t>
            </w:r>
            <w:r>
              <w:rPr>
                <w:rFonts w:hint="eastAsia" w:cs="Times New Roman"/>
                <w:color w:val="auto"/>
                <w:sz w:val="24"/>
                <w:szCs w:val="24"/>
                <w:highlight w:val="none"/>
                <w:lang w:eastAsia="zh-CN"/>
              </w:rPr>
              <w:t>、噪声</w:t>
            </w:r>
            <w:r>
              <w:rPr>
                <w:rFonts w:hint="eastAsia" w:cs="Times New Roman"/>
                <w:color w:val="auto"/>
                <w:sz w:val="24"/>
                <w:szCs w:val="24"/>
                <w:highlight w:val="none"/>
                <w:lang w:val="en-US" w:eastAsia="zh-CN"/>
              </w:rPr>
              <w:t>和固废</w:t>
            </w:r>
            <w:r>
              <w:rPr>
                <w:rFonts w:hint="eastAsia" w:cs="Times New Roman"/>
                <w:color w:val="auto"/>
                <w:sz w:val="24"/>
                <w:szCs w:val="24"/>
                <w:highlight w:val="none"/>
                <w:lang w:eastAsia="zh-CN"/>
              </w:rPr>
              <w:t>。</w:t>
            </w:r>
            <w:r>
              <w:rPr>
                <w:rFonts w:hint="eastAsia" w:ascii="Times New Roman" w:hAnsi="Times New Roman" w:cs="Times New Roman"/>
                <w:color w:val="auto"/>
                <w:sz w:val="24"/>
                <w:szCs w:val="24"/>
                <w:highlight w:val="none"/>
                <w:lang w:eastAsia="zh-CN"/>
              </w:rPr>
              <w:t>项目</w:t>
            </w:r>
            <w:r>
              <w:rPr>
                <w:rFonts w:hint="eastAsia" w:ascii="Times New Roman" w:hAnsi="Times New Roman" w:cs="Times New Roman"/>
                <w:color w:val="auto"/>
                <w:sz w:val="24"/>
                <w:szCs w:val="24"/>
                <w:highlight w:val="none"/>
                <w:lang w:val="en-US" w:eastAsia="zh-CN"/>
              </w:rPr>
              <w:t>石料</w:t>
            </w:r>
            <w:r>
              <w:rPr>
                <w:rFonts w:hint="eastAsia" w:ascii="Times New Roman" w:hAnsi="Times New Roman" w:cs="Times New Roman"/>
                <w:color w:val="auto"/>
                <w:sz w:val="24"/>
                <w:szCs w:val="24"/>
                <w:highlight w:val="none"/>
                <w:lang w:eastAsia="zh-CN"/>
              </w:rPr>
              <w:t>加工粉尘经厂房阻隔和</w:t>
            </w:r>
            <w:r>
              <w:rPr>
                <w:rFonts w:hint="eastAsia" w:ascii="Times New Roman" w:hAnsi="Times New Roman" w:cs="Times New Roman"/>
                <w:color w:val="auto"/>
                <w:sz w:val="24"/>
                <w:szCs w:val="24"/>
                <w:highlight w:val="none"/>
                <w:lang w:val="en-US" w:eastAsia="zh-CN"/>
              </w:rPr>
              <w:t>湿法作业</w:t>
            </w:r>
            <w:r>
              <w:rPr>
                <w:rFonts w:hint="eastAsia" w:ascii="Times New Roman" w:hAnsi="Times New Roman" w:cs="Times New Roman"/>
                <w:color w:val="auto"/>
                <w:sz w:val="24"/>
                <w:szCs w:val="24"/>
                <w:highlight w:val="none"/>
                <w:lang w:eastAsia="zh-CN"/>
              </w:rPr>
              <w:t>后无组织排放；</w:t>
            </w:r>
            <w:r>
              <w:rPr>
                <w:rFonts w:hint="eastAsia" w:ascii="Times New Roman" w:hAnsi="Times New Roman" w:cs="Times New Roman"/>
                <w:color w:val="auto"/>
                <w:sz w:val="24"/>
                <w:szCs w:val="24"/>
                <w:highlight w:val="none"/>
                <w:lang w:val="en-US" w:eastAsia="zh-CN"/>
              </w:rPr>
              <w:t>运输扬尘经洒水降尘后无组织排放；食堂油烟经</w:t>
            </w:r>
            <w:r>
              <w:rPr>
                <w:rFonts w:hint="default" w:ascii="Times New Roman" w:hAnsi="Times New Roman" w:cs="Times New Roman"/>
                <w:color w:val="auto"/>
                <w:sz w:val="24"/>
                <w:szCs w:val="24"/>
                <w:highlight w:val="none"/>
                <w:lang w:eastAsia="zh-CN"/>
              </w:rPr>
              <w:t>自带油烟净化功能的</w:t>
            </w:r>
            <w:r>
              <w:rPr>
                <w:rFonts w:hint="eastAsia" w:ascii="Times New Roman" w:hAnsi="Times New Roman" w:cs="Times New Roman"/>
                <w:color w:val="auto"/>
                <w:sz w:val="24"/>
                <w:szCs w:val="24"/>
                <w:highlight w:val="none"/>
                <w:lang w:val="en-US" w:eastAsia="zh-CN"/>
              </w:rPr>
              <w:t>抽油烟机处理后外</w:t>
            </w:r>
            <w:r>
              <w:rPr>
                <w:rFonts w:hint="eastAsia" w:cs="Times New Roman"/>
                <w:color w:val="auto"/>
                <w:sz w:val="24"/>
                <w:szCs w:val="24"/>
                <w:highlight w:val="none"/>
                <w:lang w:val="en-US" w:eastAsia="zh-CN"/>
              </w:rPr>
              <w:t>排。项目生产废水经螺旋绞砂机对粗砂颗粒分离后，进入三级沉淀池处理，沉淀池底泥经板框压滤机压成泥饼，废水处理后全部循环使用，不外排；</w:t>
            </w:r>
            <w:r>
              <w:rPr>
                <w:rFonts w:hint="eastAsia" w:ascii="Times New Roman" w:hAnsi="Times New Roman" w:cs="Times New Roman"/>
                <w:color w:val="auto"/>
                <w:sz w:val="24"/>
                <w:szCs w:val="24"/>
                <w:highlight w:val="none"/>
                <w:lang w:val="en-US" w:eastAsia="zh-CN"/>
              </w:rPr>
              <w:t>生活污水</w:t>
            </w:r>
            <w:r>
              <w:rPr>
                <w:rFonts w:hint="eastAsia" w:cs="Times New Roman"/>
                <w:color w:val="auto"/>
                <w:sz w:val="24"/>
                <w:szCs w:val="24"/>
                <w:highlight w:val="none"/>
                <w:lang w:val="en-US" w:eastAsia="zh-CN"/>
              </w:rPr>
              <w:t>（食堂废水先经隔油池处理）经旱厕处理后用作周边农田农肥。</w:t>
            </w:r>
            <w:r>
              <w:rPr>
                <w:rFonts w:hint="eastAsia" w:cs="Times New Roman"/>
                <w:color w:val="auto"/>
                <w:sz w:val="24"/>
                <w:szCs w:val="24"/>
                <w:highlight w:val="none"/>
                <w:lang w:eastAsia="zh-CN"/>
              </w:rPr>
              <w:t>噪声采取</w:t>
            </w:r>
            <w:r>
              <w:rPr>
                <w:rFonts w:hint="eastAsia" w:cs="Times New Roman"/>
                <w:color w:val="auto"/>
                <w:sz w:val="24"/>
                <w:szCs w:val="24"/>
                <w:highlight w:val="none"/>
                <w:lang w:val="en-US" w:eastAsia="zh-CN"/>
              </w:rPr>
              <w:t>采用低噪声设备，合理布局、采取减震</w:t>
            </w:r>
            <w:r>
              <w:rPr>
                <w:rFonts w:hint="eastAsia" w:cs="Times New Roman"/>
                <w:color w:val="auto"/>
                <w:sz w:val="24"/>
                <w:szCs w:val="24"/>
                <w:highlight w:val="none"/>
                <w:lang w:eastAsia="zh-CN"/>
              </w:rPr>
              <w:t>等降噪措施，可确保噪声达标排放，不会对周围居民造成影响，</w:t>
            </w:r>
            <w:r>
              <w:rPr>
                <w:rFonts w:hint="eastAsia" w:cs="Times New Roman"/>
                <w:color w:val="auto"/>
                <w:sz w:val="24"/>
                <w:szCs w:val="24"/>
                <w:highlight w:val="none"/>
                <w:lang w:val="en-US" w:eastAsia="zh-CN"/>
              </w:rPr>
              <w:t>固体废物去向合理</w:t>
            </w:r>
            <w:r>
              <w:rPr>
                <w:rFonts w:hint="eastAsia"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综上，本评价认为本项目选址合理。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imes New Roman"/>
                <w:color w:val="auto"/>
                <w:sz w:val="24"/>
                <w:szCs w:val="24"/>
                <w:highlight w:val="none"/>
              </w:rPr>
            </w:pPr>
          </w:p>
        </w:tc>
      </w:tr>
    </w:tbl>
    <w:p>
      <w:pPr>
        <w:spacing w:line="360" w:lineRule="auto"/>
        <w:rPr>
          <w:b/>
          <w:color w:val="auto"/>
          <w:sz w:val="28"/>
          <w:szCs w:val="28"/>
          <w:highlight w:val="none"/>
        </w:rPr>
        <w:sectPr>
          <w:footerReference r:id="rId3" w:type="default"/>
          <w:pgSz w:w="11906" w:h="16838"/>
          <w:pgMar w:top="1134" w:right="1134" w:bottom="1134" w:left="1418"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55"/>
        <w:jc w:val="center"/>
        <w:rPr>
          <w:rFonts w:ascii="黑体" w:hAnsi="黑体" w:eastAsia="黑体"/>
          <w:b w:val="0"/>
          <w:color w:val="auto"/>
          <w:sz w:val="30"/>
          <w:szCs w:val="30"/>
          <w:highlight w:val="none"/>
        </w:rPr>
      </w:pPr>
      <w:r>
        <w:rPr>
          <w:rFonts w:hint="eastAsia" w:ascii="黑体" w:hAnsi="黑体" w:eastAsia="黑体"/>
          <w:b w:val="0"/>
          <w:color w:val="auto"/>
          <w:sz w:val="30"/>
          <w:szCs w:val="30"/>
          <w:highlight w:val="none"/>
        </w:rPr>
        <w:t>二、建设项目工程分析</w:t>
      </w:r>
    </w:p>
    <w:tbl>
      <w:tblPr>
        <w:tblStyle w:val="23"/>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6" w:type="dxa"/>
            <w:vAlign w:val="center"/>
          </w:tcPr>
          <w:p>
            <w:pPr>
              <w:spacing w:line="360" w:lineRule="auto"/>
              <w:jc w:val="center"/>
              <w:rPr>
                <w:rFonts w:cs="Times New Roman"/>
                <w:color w:val="auto"/>
                <w:sz w:val="24"/>
                <w:szCs w:val="24"/>
                <w:highlight w:val="none"/>
              </w:rPr>
            </w:pPr>
            <w:r>
              <w:rPr>
                <w:rFonts w:cs="Times New Roman"/>
                <w:color w:val="auto"/>
                <w:sz w:val="24"/>
                <w:szCs w:val="24"/>
                <w:highlight w:val="none"/>
              </w:rPr>
              <w:t>建设内容</w:t>
            </w:r>
          </w:p>
        </w:tc>
        <w:tc>
          <w:tcPr>
            <w:tcW w:w="8834" w:type="dxa"/>
            <w:vAlign w:val="center"/>
          </w:tcPr>
          <w:p>
            <w:pPr>
              <w:spacing w:line="360" w:lineRule="auto"/>
              <w:ind w:firstLine="482" w:firstLineChars="200"/>
              <w:rPr>
                <w:rFonts w:cs="Times New Roman"/>
                <w:b/>
                <w:color w:val="auto"/>
                <w:sz w:val="24"/>
                <w:szCs w:val="24"/>
                <w:highlight w:val="none"/>
              </w:rPr>
            </w:pPr>
            <w:r>
              <w:rPr>
                <w:rFonts w:cs="Times New Roman"/>
                <w:b/>
                <w:color w:val="auto"/>
                <w:sz w:val="24"/>
                <w:szCs w:val="24"/>
                <w:highlight w:val="none"/>
              </w:rPr>
              <w:t>1、项目概况</w:t>
            </w:r>
          </w:p>
          <w:p>
            <w:pPr>
              <w:spacing w:line="360" w:lineRule="auto"/>
              <w:ind w:firstLine="480" w:firstLineChars="200"/>
              <w:rPr>
                <w:color w:val="auto"/>
                <w:sz w:val="24"/>
                <w:szCs w:val="24"/>
                <w:highlight w:val="none"/>
              </w:rPr>
            </w:pPr>
            <w:r>
              <w:rPr>
                <w:rFonts w:hint="eastAsia"/>
                <w:color w:val="auto"/>
                <w:sz w:val="24"/>
                <w:szCs w:val="24"/>
                <w:highlight w:val="none"/>
              </w:rPr>
              <w:t>项目名称：</w:t>
            </w:r>
            <w:r>
              <w:rPr>
                <w:rFonts w:hint="eastAsia" w:cs="Times New Roman"/>
                <w:color w:val="auto"/>
                <w:sz w:val="24"/>
                <w:szCs w:val="24"/>
                <w:highlight w:val="none"/>
              </w:rPr>
              <w:t>大竹旭晟石材厂石材切割雕刻加工项目</w:t>
            </w:r>
          </w:p>
          <w:p>
            <w:pPr>
              <w:spacing w:line="360" w:lineRule="auto"/>
              <w:ind w:firstLine="480" w:firstLineChars="200"/>
              <w:rPr>
                <w:color w:val="auto"/>
                <w:sz w:val="24"/>
                <w:szCs w:val="24"/>
                <w:highlight w:val="none"/>
              </w:rPr>
            </w:pPr>
            <w:r>
              <w:rPr>
                <w:rFonts w:hint="eastAsia"/>
                <w:color w:val="auto"/>
                <w:sz w:val="24"/>
                <w:szCs w:val="24"/>
                <w:highlight w:val="none"/>
              </w:rPr>
              <w:t>建设单位：</w:t>
            </w:r>
            <w:r>
              <w:rPr>
                <w:rFonts w:hint="eastAsia" w:cs="Times New Roman"/>
                <w:color w:val="auto"/>
                <w:sz w:val="24"/>
                <w:szCs w:val="24"/>
                <w:highlight w:val="none"/>
              </w:rPr>
              <w:t>大竹旭晟石材厂</w:t>
            </w:r>
          </w:p>
          <w:p>
            <w:pPr>
              <w:spacing w:line="360" w:lineRule="auto"/>
              <w:ind w:firstLine="480" w:firstLineChars="200"/>
              <w:rPr>
                <w:color w:val="auto"/>
                <w:sz w:val="24"/>
                <w:szCs w:val="24"/>
                <w:highlight w:val="none"/>
              </w:rPr>
            </w:pPr>
            <w:r>
              <w:rPr>
                <w:rFonts w:hint="eastAsia"/>
                <w:color w:val="auto"/>
                <w:sz w:val="24"/>
                <w:szCs w:val="24"/>
                <w:highlight w:val="none"/>
              </w:rPr>
              <w:t>建设地点：</w:t>
            </w:r>
            <w:r>
              <w:rPr>
                <w:rFonts w:hint="eastAsia" w:cs="Times New Roman"/>
                <w:color w:val="auto"/>
                <w:sz w:val="24"/>
                <w:szCs w:val="24"/>
                <w:highlight w:val="none"/>
                <w:lang w:val="en-US" w:eastAsia="zh-CN"/>
              </w:rPr>
              <w:t>达州市大竹县文星镇龙门村8组</w:t>
            </w:r>
          </w:p>
          <w:p>
            <w:pPr>
              <w:spacing w:line="360" w:lineRule="auto"/>
              <w:ind w:firstLine="480" w:firstLineChars="200"/>
              <w:rPr>
                <w:rFonts w:hint="eastAsia" w:eastAsia="宋体"/>
                <w:color w:val="auto"/>
                <w:sz w:val="24"/>
                <w:szCs w:val="24"/>
                <w:highlight w:val="none"/>
                <w:lang w:val="en-US" w:eastAsia="zh-CN"/>
              </w:rPr>
            </w:pPr>
            <w:r>
              <w:rPr>
                <w:rFonts w:hint="eastAsia"/>
                <w:color w:val="auto"/>
                <w:sz w:val="24"/>
                <w:szCs w:val="24"/>
                <w:highlight w:val="none"/>
              </w:rPr>
              <w:t>建设性质：</w:t>
            </w:r>
            <w:r>
              <w:rPr>
                <w:rFonts w:hint="eastAsia"/>
                <w:color w:val="auto"/>
                <w:sz w:val="24"/>
                <w:szCs w:val="24"/>
                <w:highlight w:val="none"/>
                <w:lang w:val="en-US" w:eastAsia="zh-CN"/>
              </w:rPr>
              <w:t>新建</w:t>
            </w:r>
          </w:p>
          <w:p>
            <w:pPr>
              <w:spacing w:line="360" w:lineRule="auto"/>
              <w:ind w:firstLine="480" w:firstLineChars="200"/>
              <w:rPr>
                <w:color w:val="auto"/>
                <w:sz w:val="24"/>
                <w:szCs w:val="24"/>
                <w:highlight w:val="none"/>
              </w:rPr>
            </w:pPr>
            <w:r>
              <w:rPr>
                <w:rFonts w:hint="eastAsia"/>
                <w:color w:val="auto"/>
                <w:sz w:val="24"/>
                <w:szCs w:val="24"/>
                <w:highlight w:val="none"/>
              </w:rPr>
              <w:t>项目投资：总投资</w:t>
            </w:r>
            <w:r>
              <w:rPr>
                <w:rFonts w:hint="eastAsia" w:cs="Times New Roman"/>
                <w:color w:val="auto"/>
                <w:sz w:val="24"/>
                <w:szCs w:val="24"/>
                <w:highlight w:val="none"/>
                <w:lang w:val="en-US" w:eastAsia="zh-CN"/>
              </w:rPr>
              <w:t>100</w:t>
            </w:r>
            <w:r>
              <w:rPr>
                <w:color w:val="auto"/>
                <w:sz w:val="24"/>
                <w:szCs w:val="24"/>
                <w:highlight w:val="none"/>
              </w:rPr>
              <w:t>万元</w:t>
            </w:r>
          </w:p>
          <w:p>
            <w:pPr>
              <w:spacing w:line="360" w:lineRule="auto"/>
              <w:ind w:firstLine="480" w:firstLineChars="200"/>
              <w:rPr>
                <w:rFonts w:hint="default" w:eastAsia="宋体"/>
                <w:color w:val="auto"/>
                <w:sz w:val="24"/>
                <w:szCs w:val="24"/>
                <w:highlight w:val="none"/>
                <w:lang w:val="en-US" w:eastAsia="zh-CN"/>
              </w:rPr>
            </w:pPr>
            <w:r>
              <w:rPr>
                <w:rFonts w:hint="eastAsia"/>
                <w:color w:val="auto"/>
                <w:sz w:val="24"/>
                <w:szCs w:val="24"/>
                <w:highlight w:val="none"/>
              </w:rPr>
              <w:t>建设内容：</w:t>
            </w:r>
            <w:r>
              <w:rPr>
                <w:rFonts w:hint="eastAsia"/>
                <w:color w:val="auto"/>
                <w:sz w:val="24"/>
                <w:szCs w:val="24"/>
                <w:highlight w:val="none"/>
                <w:lang w:val="en-US" w:eastAsia="zh-CN"/>
              </w:rPr>
              <w:t>本项目投资100万元，租用场地布置生产车间及生活区。购置2台大切机，2台中切机，2条雕刻机等设备，建设石材加工生产线，石材年加工能力为3000m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w:t>
            </w:r>
          </w:p>
          <w:p>
            <w:pPr>
              <w:spacing w:line="360" w:lineRule="auto"/>
              <w:ind w:firstLine="482" w:firstLineChars="200"/>
              <w:rPr>
                <w:rFonts w:cs="Times New Roman"/>
                <w:b/>
                <w:color w:val="auto"/>
                <w:sz w:val="24"/>
                <w:szCs w:val="24"/>
                <w:highlight w:val="none"/>
              </w:rPr>
            </w:pPr>
            <w:r>
              <w:rPr>
                <w:rFonts w:hint="eastAsia" w:cs="Times New Roman"/>
                <w:b/>
                <w:color w:val="auto"/>
                <w:sz w:val="24"/>
                <w:szCs w:val="24"/>
                <w:highlight w:val="none"/>
                <w:lang w:val="en-US" w:eastAsia="zh-CN"/>
              </w:rPr>
              <w:t>2</w:t>
            </w:r>
            <w:r>
              <w:rPr>
                <w:rFonts w:cs="Times New Roman"/>
                <w:b/>
                <w:color w:val="auto"/>
                <w:sz w:val="24"/>
                <w:szCs w:val="24"/>
                <w:highlight w:val="none"/>
              </w:rPr>
              <w:t>、项目组成及主要环境问题</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rPr>
              <w:t>组成及主要环境问题见表2-</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p>
          <w:p>
            <w:pPr>
              <w:spacing w:line="360" w:lineRule="auto"/>
              <w:jc w:val="center"/>
              <w:rPr>
                <w:rFonts w:hint="default" w:ascii="Times New Roman" w:hAnsi="Times New Roman" w:eastAsia="宋体" w:cs="Times New Roman"/>
                <w:b/>
                <w:bCs/>
                <w:color w:val="auto"/>
                <w:kern w:val="24"/>
                <w:sz w:val="24"/>
                <w:szCs w:val="24"/>
                <w:highlight w:val="none"/>
              </w:rPr>
            </w:pPr>
            <w:r>
              <w:rPr>
                <w:rFonts w:hint="default" w:ascii="Times New Roman" w:hAnsi="Times New Roman" w:eastAsia="宋体" w:cs="Times New Roman"/>
                <w:b/>
                <w:bCs/>
                <w:color w:val="auto"/>
                <w:kern w:val="24"/>
                <w:sz w:val="24"/>
                <w:szCs w:val="24"/>
                <w:highlight w:val="none"/>
              </w:rPr>
              <w:t>表2-</w:t>
            </w:r>
            <w:r>
              <w:rPr>
                <w:rFonts w:hint="eastAsia" w:cs="Times New Roman"/>
                <w:b/>
                <w:bCs/>
                <w:color w:val="auto"/>
                <w:kern w:val="24"/>
                <w:sz w:val="24"/>
                <w:szCs w:val="24"/>
                <w:highlight w:val="none"/>
                <w:lang w:val="en-US" w:eastAsia="zh-CN"/>
              </w:rPr>
              <w:t>1</w:t>
            </w:r>
            <w:r>
              <w:rPr>
                <w:rFonts w:hint="default" w:ascii="Times New Roman" w:hAnsi="Times New Roman" w:eastAsia="宋体" w:cs="Times New Roman"/>
                <w:b/>
                <w:bCs/>
                <w:color w:val="auto"/>
                <w:kern w:val="24"/>
                <w:sz w:val="24"/>
                <w:szCs w:val="24"/>
                <w:highlight w:val="none"/>
              </w:rPr>
              <w:t xml:space="preserve">  项目组成及主要环境问题</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57"/>
              <w:gridCol w:w="571"/>
              <w:gridCol w:w="1200"/>
              <w:gridCol w:w="4293"/>
              <w:gridCol w:w="1072"/>
              <w:gridCol w:w="8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1" w:type="pct"/>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工程分类</w:t>
                  </w:r>
                </w:p>
              </w:tc>
              <w:tc>
                <w:tcPr>
                  <w:tcW w:w="1027" w:type="pct"/>
                  <w:gridSpan w:val="2"/>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项目名称</w:t>
                  </w:r>
                </w:p>
              </w:tc>
              <w:tc>
                <w:tcPr>
                  <w:tcW w:w="2491" w:type="pct"/>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建设内容及规模</w:t>
                  </w:r>
                </w:p>
              </w:tc>
              <w:tc>
                <w:tcPr>
                  <w:tcW w:w="1099" w:type="pct"/>
                  <w:gridSpan w:val="2"/>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可能产生的环境问题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27" w:type="pct"/>
                  <w:gridSpan w:val="2"/>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249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622" w:type="pct"/>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施工期</w:t>
                  </w:r>
                </w:p>
              </w:tc>
              <w:tc>
                <w:tcPr>
                  <w:tcW w:w="477" w:type="pct"/>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运营期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1" w:type="pc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主体工程</w:t>
                  </w:r>
                </w:p>
              </w:tc>
              <w:tc>
                <w:tcPr>
                  <w:tcW w:w="1027" w:type="pct"/>
                  <w:gridSpan w:val="2"/>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加工区</w:t>
                  </w:r>
                </w:p>
              </w:tc>
              <w:tc>
                <w:tcPr>
                  <w:tcW w:w="2491" w:type="pct"/>
                  <w:tcBorders>
                    <w:tl2br w:val="nil"/>
                    <w:tr2bl w:val="nil"/>
                  </w:tcBorders>
                  <w:shd w:val="clear" w:color="auto" w:fill="auto"/>
                  <w:vAlign w:val="center"/>
                </w:tcPr>
                <w:p>
                  <w:pPr>
                    <w:spacing w:line="240" w:lineRule="auto"/>
                    <w:jc w:val="left"/>
                    <w:rPr>
                      <w:rFonts w:hint="default" w:ascii="Times New Roman" w:hAnsi="Times New Roman" w:eastAsia="宋体" w:cs="Times New Roman"/>
                      <w:color w:val="auto"/>
                      <w:sz w:val="21"/>
                      <w:szCs w:val="21"/>
                      <w:highlight w:val="none"/>
                      <w:lang w:val="en-US" w:eastAsia="zh-CN"/>
                    </w:rPr>
                  </w:pPr>
                  <w:r>
                    <w:rPr>
                      <w:rFonts w:hint="eastAsia" w:cs="Times New Roman"/>
                      <w:snapToGrid w:val="0"/>
                      <w:color w:val="0000FF"/>
                      <w:kern w:val="0"/>
                      <w:sz w:val="21"/>
                      <w:szCs w:val="21"/>
                      <w:highlight w:val="none"/>
                      <w:lang w:val="en-US" w:eastAsia="zh-CN"/>
                    </w:rPr>
                    <w:t>钢混结构</w:t>
                  </w:r>
                  <w:r>
                    <w:rPr>
                      <w:rFonts w:hint="default" w:ascii="Times New Roman" w:hAnsi="Times New Roman" w:cs="Times New Roman"/>
                      <w:snapToGrid w:val="0"/>
                      <w:color w:val="0000FF"/>
                      <w:kern w:val="0"/>
                      <w:sz w:val="21"/>
                      <w:szCs w:val="21"/>
                      <w:highlight w:val="none"/>
                      <w:lang w:val="en-US" w:eastAsia="zh-CN"/>
                    </w:rPr>
                    <w:t>，</w:t>
                  </w:r>
                  <w:r>
                    <w:rPr>
                      <w:rFonts w:hint="default" w:ascii="Times New Roman" w:hAnsi="Times New Roman" w:eastAsia="宋体" w:cs="Times New Roman"/>
                      <w:snapToGrid w:val="0"/>
                      <w:color w:val="0000FF"/>
                      <w:kern w:val="0"/>
                      <w:sz w:val="21"/>
                      <w:szCs w:val="21"/>
                      <w:highlight w:val="none"/>
                      <w:lang w:val="en-US" w:eastAsia="zh-CN"/>
                    </w:rPr>
                    <w:t>占地面积约</w:t>
                  </w:r>
                  <w:r>
                    <w:rPr>
                      <w:rFonts w:hint="default" w:ascii="Times New Roman" w:hAnsi="Times New Roman" w:cs="Times New Roman"/>
                      <w:snapToGrid w:val="0"/>
                      <w:color w:val="0000FF"/>
                      <w:kern w:val="0"/>
                      <w:sz w:val="21"/>
                      <w:szCs w:val="21"/>
                      <w:highlight w:val="none"/>
                      <w:lang w:val="en-US" w:eastAsia="zh-CN"/>
                    </w:rPr>
                    <w:t>8</w:t>
                  </w:r>
                  <w:r>
                    <w:rPr>
                      <w:rFonts w:hint="default" w:ascii="Times New Roman" w:hAnsi="Times New Roman" w:eastAsia="宋体" w:cs="Times New Roman"/>
                      <w:snapToGrid w:val="0"/>
                      <w:color w:val="0000FF"/>
                      <w:kern w:val="0"/>
                      <w:sz w:val="21"/>
                      <w:szCs w:val="21"/>
                      <w:highlight w:val="none"/>
                      <w:lang w:val="en-US" w:eastAsia="zh-CN"/>
                    </w:rPr>
                    <w:t>00</w:t>
                  </w:r>
                  <w:r>
                    <w:rPr>
                      <w:rFonts w:hint="default" w:ascii="Times New Roman" w:hAnsi="Times New Roman" w:eastAsia="宋体" w:cs="Times New Roman"/>
                      <w:bCs/>
                      <w:color w:val="0000FF"/>
                      <w:sz w:val="21"/>
                      <w:szCs w:val="21"/>
                      <w:highlight w:val="none"/>
                    </w:rPr>
                    <w:t>m</w:t>
                  </w:r>
                  <w:r>
                    <w:rPr>
                      <w:rFonts w:hint="default" w:ascii="Times New Roman" w:hAnsi="Times New Roman" w:eastAsia="宋体" w:cs="Times New Roman"/>
                      <w:bCs/>
                      <w:color w:val="0000FF"/>
                      <w:sz w:val="21"/>
                      <w:szCs w:val="21"/>
                      <w:highlight w:val="none"/>
                      <w:vertAlign w:val="superscript"/>
                      <w:lang w:val="en-US" w:eastAsia="zh-CN"/>
                    </w:rPr>
                    <w:t>2</w:t>
                  </w:r>
                  <w:r>
                    <w:rPr>
                      <w:rFonts w:hint="default" w:ascii="Times New Roman" w:hAnsi="Times New Roman" w:eastAsia="宋体" w:cs="Times New Roman"/>
                      <w:color w:val="0000FF"/>
                      <w:sz w:val="21"/>
                      <w:szCs w:val="21"/>
                      <w:highlight w:val="none"/>
                      <w:lang w:eastAsia="zh-CN"/>
                    </w:rPr>
                    <w:t>，</w:t>
                  </w:r>
                  <w:r>
                    <w:rPr>
                      <w:rFonts w:hint="eastAsia" w:cs="Times New Roman"/>
                      <w:color w:val="0000FF"/>
                      <w:sz w:val="21"/>
                      <w:szCs w:val="21"/>
                      <w:highlight w:val="none"/>
                      <w:lang w:val="en-US" w:eastAsia="zh-CN"/>
                    </w:rPr>
                    <w:t>三面围挡+顶部加盖</w:t>
                  </w:r>
                  <w:r>
                    <w:rPr>
                      <w:rFonts w:hint="default" w:ascii="Times New Roman" w:hAnsi="Times New Roman" w:cs="Times New Roman"/>
                      <w:color w:val="0000FF"/>
                      <w:sz w:val="21"/>
                      <w:szCs w:val="21"/>
                      <w:highlight w:val="none"/>
                      <w:lang w:val="en-US" w:eastAsia="zh-CN"/>
                    </w:rPr>
                    <w:t>，</w:t>
                  </w:r>
                  <w:r>
                    <w:rPr>
                      <w:rFonts w:hint="default" w:ascii="Times New Roman" w:hAnsi="Times New Roman" w:cs="Times New Roman"/>
                      <w:color w:val="auto"/>
                      <w:sz w:val="21"/>
                      <w:szCs w:val="21"/>
                      <w:highlight w:val="none"/>
                      <w:lang w:val="en-US" w:eastAsia="zh-CN"/>
                    </w:rPr>
                    <w:t>内设置有2台大切机，2台中切机，2条雕刻机</w:t>
                  </w:r>
                  <w:r>
                    <w:rPr>
                      <w:rFonts w:hint="default" w:ascii="Times New Roman" w:hAnsi="Times New Roman" w:eastAsia="宋体" w:cs="Times New Roman"/>
                      <w:color w:val="auto"/>
                      <w:sz w:val="21"/>
                      <w:szCs w:val="21"/>
                      <w:highlight w:val="none"/>
                      <w:lang w:val="en-US" w:eastAsia="zh-CN"/>
                    </w:rPr>
                    <w:t>等设备。</w:t>
                  </w:r>
                </w:p>
              </w:tc>
              <w:tc>
                <w:tcPr>
                  <w:tcW w:w="622" w:type="pct"/>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施工废气</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施工废水</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施工噪声</w:t>
                  </w:r>
                </w:p>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固体废物</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设置1间建筑面积</w:t>
                  </w:r>
                  <w:r>
                    <w:rPr>
                      <w:rFonts w:hint="eastAsia" w:cs="Times New Roman"/>
                      <w:color w:val="auto"/>
                      <w:sz w:val="21"/>
                      <w:szCs w:val="21"/>
                      <w:highlight w:val="none"/>
                      <w:lang w:val="en-US" w:eastAsia="zh-CN" w:bidi="ar"/>
                    </w:rPr>
                    <w:t>5</w:t>
                  </w:r>
                  <w:r>
                    <w:rPr>
                      <w:rFonts w:hint="default" w:ascii="Times New Roman" w:hAnsi="Times New Roman" w:eastAsia="宋体" w:cs="Times New Roman"/>
                      <w:color w:val="auto"/>
                      <w:sz w:val="21"/>
                      <w:szCs w:val="21"/>
                      <w:highlight w:val="none"/>
                      <w:lang w:bidi="ar"/>
                    </w:rPr>
                    <w:t>m</w:t>
                  </w:r>
                  <w:r>
                    <w:rPr>
                      <w:rFonts w:hint="default" w:ascii="Times New Roman" w:hAnsi="Times New Roman" w:eastAsia="宋体" w:cs="Times New Roman"/>
                      <w:color w:val="auto"/>
                      <w:sz w:val="21"/>
                      <w:szCs w:val="21"/>
                      <w:highlight w:val="none"/>
                      <w:vertAlign w:val="superscript"/>
                      <w:lang w:bidi="ar"/>
                    </w:rPr>
                    <w:t>2</w:t>
                  </w:r>
                  <w:r>
                    <w:rPr>
                      <w:rFonts w:hint="default" w:ascii="Times New Roman" w:hAnsi="Times New Roman" w:eastAsia="宋体" w:cs="Times New Roman"/>
                      <w:color w:val="auto"/>
                      <w:sz w:val="21"/>
                      <w:szCs w:val="21"/>
                      <w:highlight w:val="none"/>
                      <w:lang w:bidi="ar"/>
                    </w:rPr>
                    <w:t>的危废暂存间，用于危险废物暂存</w:t>
                  </w:r>
                  <w:r>
                    <w:rPr>
                      <w:rFonts w:hint="default" w:ascii="Times New Roman" w:hAnsi="Times New Roman" w:eastAsia="宋体" w:cs="Times New Roman"/>
                      <w:color w:val="auto"/>
                      <w:sz w:val="21"/>
                      <w:szCs w:val="21"/>
                      <w:highlight w:val="none"/>
                      <w:lang w:eastAsia="zh-CN" w:bidi="ar"/>
                    </w:rPr>
                    <w:t>。</w:t>
                  </w:r>
                </w:p>
              </w:tc>
              <w:tc>
                <w:tcPr>
                  <w:tcW w:w="477" w:type="pc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粉尘、</w:t>
                  </w:r>
                  <w:r>
                    <w:rPr>
                      <w:rFonts w:hint="default" w:ascii="Times New Roman" w:hAnsi="Times New Roman" w:cs="Times New Roman"/>
                      <w:color w:val="auto"/>
                      <w:sz w:val="21"/>
                      <w:szCs w:val="21"/>
                      <w:highlight w:val="none"/>
                      <w:lang w:val="en-US" w:eastAsia="zh-CN"/>
                    </w:rPr>
                    <w:t>废水、</w:t>
                  </w:r>
                  <w:r>
                    <w:rPr>
                      <w:rFonts w:hint="default" w:ascii="Times New Roman" w:hAnsi="Times New Roman" w:eastAsia="宋体" w:cs="Times New Roman"/>
                      <w:color w:val="auto"/>
                      <w:sz w:val="21"/>
                      <w:szCs w:val="21"/>
                      <w:highlight w:val="none"/>
                    </w:rPr>
                    <w:t>噪声、固废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1" w:type="pct"/>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储运工程</w:t>
                  </w:r>
                </w:p>
              </w:tc>
              <w:tc>
                <w:tcPr>
                  <w:tcW w:w="1027" w:type="pct"/>
                  <w:gridSpan w:val="2"/>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原料</w:t>
                  </w:r>
                  <w:r>
                    <w:rPr>
                      <w:rFonts w:hint="default" w:ascii="Times New Roman" w:hAnsi="Times New Roman" w:cs="Times New Roman"/>
                      <w:color w:val="auto"/>
                      <w:sz w:val="21"/>
                      <w:szCs w:val="21"/>
                      <w:highlight w:val="none"/>
                      <w:lang w:val="en-US" w:eastAsia="zh-CN"/>
                    </w:rPr>
                    <w:t>堆场</w:t>
                  </w:r>
                </w:p>
              </w:tc>
              <w:tc>
                <w:tcPr>
                  <w:tcW w:w="2491" w:type="pct"/>
                  <w:tcBorders>
                    <w:tl2br w:val="nil"/>
                    <w:tr2bl w:val="nil"/>
                  </w:tcBorders>
                  <w:shd w:val="clear" w:color="auto" w:fill="auto"/>
                  <w:vAlign w:val="center"/>
                </w:tcPr>
                <w:p>
                  <w:p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eastAsia="zh-CN"/>
                    </w:rPr>
                    <w:t>位于</w:t>
                  </w:r>
                  <w:r>
                    <w:rPr>
                      <w:rFonts w:hint="default" w:ascii="Times New Roman" w:hAnsi="Times New Roman" w:cs="Times New Roman"/>
                      <w:snapToGrid w:val="0"/>
                      <w:color w:val="auto"/>
                      <w:kern w:val="0"/>
                      <w:sz w:val="21"/>
                      <w:szCs w:val="21"/>
                      <w:highlight w:val="none"/>
                      <w:lang w:val="en-US" w:eastAsia="zh-CN"/>
                    </w:rPr>
                    <w:t>厂区西侧</w:t>
                  </w:r>
                  <w:r>
                    <w:rPr>
                      <w:rFonts w:hint="default" w:ascii="Times New Roman" w:hAnsi="Times New Roman" w:eastAsia="宋体" w:cs="Times New Roman"/>
                      <w:snapToGrid w:val="0"/>
                      <w:color w:val="auto"/>
                      <w:kern w:val="0"/>
                      <w:sz w:val="21"/>
                      <w:szCs w:val="21"/>
                      <w:highlight w:val="none"/>
                      <w:lang w:eastAsia="zh-CN"/>
                    </w:rPr>
                    <w:t>，占地面积约</w:t>
                  </w:r>
                  <w:r>
                    <w:rPr>
                      <w:rFonts w:hint="default" w:ascii="Times New Roman" w:hAnsi="Times New Roman" w:cs="Times New Roman"/>
                      <w:snapToGrid w:val="0"/>
                      <w:color w:val="auto"/>
                      <w:kern w:val="0"/>
                      <w:sz w:val="21"/>
                      <w:szCs w:val="21"/>
                      <w:highlight w:val="none"/>
                      <w:lang w:val="en-US" w:eastAsia="zh-CN"/>
                    </w:rPr>
                    <w:t>10</w:t>
                  </w:r>
                  <w:r>
                    <w:rPr>
                      <w:rFonts w:hint="default" w:ascii="Times New Roman" w:hAnsi="Times New Roman" w:eastAsia="宋体" w:cs="Times New Roman"/>
                      <w:snapToGrid w:val="0"/>
                      <w:color w:val="auto"/>
                      <w:kern w:val="0"/>
                      <w:sz w:val="21"/>
                      <w:szCs w:val="21"/>
                      <w:highlight w:val="none"/>
                      <w:lang w:val="en-US" w:eastAsia="zh-CN"/>
                    </w:rPr>
                    <w:t>00</w:t>
                  </w:r>
                  <w:r>
                    <w:rPr>
                      <w:rFonts w:hint="default" w:ascii="Times New Roman" w:hAnsi="Times New Roman" w:eastAsia="宋体" w:cs="Times New Roman"/>
                      <w:snapToGrid w:val="0"/>
                      <w:color w:val="auto"/>
                      <w:kern w:val="0"/>
                      <w:sz w:val="21"/>
                      <w:szCs w:val="21"/>
                      <w:highlight w:val="none"/>
                      <w:lang w:eastAsia="zh-CN"/>
                    </w:rPr>
                    <w:t>m</w:t>
                  </w:r>
                  <w:r>
                    <w:rPr>
                      <w:rFonts w:hint="default" w:ascii="Times New Roman" w:hAnsi="Times New Roman" w:eastAsia="宋体" w:cs="Times New Roman"/>
                      <w:snapToGrid w:val="0"/>
                      <w:color w:val="auto"/>
                      <w:kern w:val="0"/>
                      <w:sz w:val="21"/>
                      <w:szCs w:val="21"/>
                      <w:highlight w:val="none"/>
                      <w:vertAlign w:val="superscript"/>
                      <w:lang w:eastAsia="zh-CN"/>
                    </w:rPr>
                    <w:t>2</w:t>
                  </w:r>
                  <w:r>
                    <w:rPr>
                      <w:rFonts w:hint="default" w:ascii="Times New Roman" w:hAnsi="Times New Roman" w:eastAsia="宋体" w:cs="Times New Roman"/>
                      <w:snapToGrid w:val="0"/>
                      <w:color w:val="auto"/>
                      <w:kern w:val="0"/>
                      <w:sz w:val="21"/>
                      <w:szCs w:val="21"/>
                      <w:highlight w:val="none"/>
                      <w:lang w:eastAsia="zh-CN"/>
                    </w:rPr>
                    <w:t>，用于</w:t>
                  </w:r>
                  <w:r>
                    <w:rPr>
                      <w:rFonts w:hint="default" w:ascii="Times New Roman" w:hAnsi="Times New Roman" w:eastAsia="宋体" w:cs="Times New Roman"/>
                      <w:snapToGrid w:val="0"/>
                      <w:color w:val="auto"/>
                      <w:kern w:val="0"/>
                      <w:sz w:val="21"/>
                      <w:szCs w:val="21"/>
                      <w:highlight w:val="none"/>
                      <w:lang w:val="en-US" w:eastAsia="zh-CN"/>
                    </w:rPr>
                    <w:t>原料</w:t>
                  </w:r>
                  <w:r>
                    <w:rPr>
                      <w:rFonts w:hint="default" w:ascii="Times New Roman" w:hAnsi="Times New Roman" w:eastAsia="宋体" w:cs="Times New Roman"/>
                      <w:snapToGrid w:val="0"/>
                      <w:color w:val="auto"/>
                      <w:kern w:val="0"/>
                      <w:sz w:val="21"/>
                      <w:szCs w:val="21"/>
                      <w:highlight w:val="none"/>
                      <w:lang w:eastAsia="zh-CN"/>
                    </w:rPr>
                    <w:t>暂存。</w:t>
                  </w:r>
                </w:p>
              </w:tc>
              <w:tc>
                <w:tcPr>
                  <w:tcW w:w="622"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477" w:type="pc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1027" w:type="pct"/>
                  <w:gridSpan w:val="2"/>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成品</w:t>
                  </w:r>
                  <w:r>
                    <w:rPr>
                      <w:rFonts w:hint="default" w:ascii="Times New Roman" w:hAnsi="Times New Roman" w:cs="Times New Roman"/>
                      <w:color w:val="auto"/>
                      <w:sz w:val="21"/>
                      <w:szCs w:val="21"/>
                      <w:highlight w:val="none"/>
                      <w:lang w:val="en-US" w:eastAsia="zh-CN"/>
                    </w:rPr>
                    <w:t>堆场</w:t>
                  </w:r>
                </w:p>
              </w:tc>
              <w:tc>
                <w:tcPr>
                  <w:tcW w:w="2491" w:type="pct"/>
                  <w:tcBorders>
                    <w:tl2br w:val="nil"/>
                    <w:tr2bl w:val="nil"/>
                  </w:tcBorders>
                  <w:shd w:val="clear" w:color="auto" w:fill="auto"/>
                  <w:vAlign w:val="center"/>
                </w:tcPr>
                <w:p>
                  <w:p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位于厂区</w:t>
                  </w:r>
                  <w:r>
                    <w:rPr>
                      <w:rFonts w:hint="default" w:ascii="Times New Roman" w:hAnsi="Times New Roman" w:cs="Times New Roman"/>
                      <w:color w:val="auto"/>
                      <w:sz w:val="21"/>
                      <w:szCs w:val="21"/>
                      <w:highlight w:val="none"/>
                      <w:lang w:val="en-US" w:eastAsia="zh-CN"/>
                    </w:rPr>
                    <w:t>中部</w:t>
                  </w:r>
                  <w:r>
                    <w:rPr>
                      <w:rFonts w:hint="default" w:ascii="Times New Roman" w:hAnsi="Times New Roman" w:eastAsia="宋体" w:cs="Times New Roman"/>
                      <w:color w:val="auto"/>
                      <w:sz w:val="21"/>
                      <w:szCs w:val="21"/>
                      <w:highlight w:val="none"/>
                      <w:lang w:val="en-US" w:eastAsia="zh-CN"/>
                    </w:rPr>
                    <w:t>，占地面积</w:t>
                  </w:r>
                  <w:r>
                    <w:rPr>
                      <w:rFonts w:hint="default" w:ascii="Times New Roman" w:hAnsi="Times New Roman"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snapToGrid w:val="0"/>
                      <w:color w:val="auto"/>
                      <w:kern w:val="0"/>
                      <w:sz w:val="21"/>
                      <w:szCs w:val="21"/>
                      <w:highlight w:val="none"/>
                      <w:lang w:eastAsia="zh-CN"/>
                    </w:rPr>
                    <w:t>，用于成品暂存</w:t>
                  </w:r>
                </w:p>
              </w:tc>
              <w:tc>
                <w:tcPr>
                  <w:tcW w:w="622"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477" w:type="pc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1" w:type="pct"/>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办公及生活工程</w:t>
                  </w:r>
                </w:p>
              </w:tc>
              <w:tc>
                <w:tcPr>
                  <w:tcW w:w="1027" w:type="pct"/>
                  <w:gridSpan w:val="2"/>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食堂</w:t>
                  </w:r>
                </w:p>
              </w:tc>
              <w:tc>
                <w:tcPr>
                  <w:tcW w:w="2491" w:type="pct"/>
                  <w:tcBorders>
                    <w:tl2br w:val="nil"/>
                    <w:tr2bl w:val="nil"/>
                  </w:tcBorders>
                  <w:shd w:val="clear" w:color="auto" w:fill="auto"/>
                  <w:vAlign w:val="center"/>
                </w:tcPr>
                <w:p>
                  <w:pPr>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位于</w:t>
                  </w:r>
                  <w:r>
                    <w:rPr>
                      <w:rFonts w:hint="default" w:ascii="Times New Roman" w:hAnsi="Times New Roman" w:cs="Times New Roman"/>
                      <w:color w:val="auto"/>
                      <w:kern w:val="2"/>
                      <w:sz w:val="21"/>
                      <w:szCs w:val="21"/>
                      <w:highlight w:val="none"/>
                      <w:lang w:val="en-US" w:eastAsia="zh-CN" w:bidi="ar-SA"/>
                    </w:rPr>
                    <w:t>厂区东南角</w:t>
                  </w:r>
                  <w:r>
                    <w:rPr>
                      <w:rFonts w:hint="default"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rPr>
                    <w:t>食堂</w:t>
                  </w:r>
                  <w:r>
                    <w:rPr>
                      <w:rFonts w:hint="default" w:ascii="Times New Roman" w:hAnsi="Times New Roman" w:cs="Times New Roman"/>
                      <w:color w:val="auto"/>
                      <w:sz w:val="21"/>
                      <w:szCs w:val="21"/>
                      <w:highlight w:val="none"/>
                      <w:lang w:val="en-US" w:eastAsia="zh-CN"/>
                    </w:rPr>
                    <w:t>和餐厅</w:t>
                  </w:r>
                  <w:r>
                    <w:rPr>
                      <w:rFonts w:hint="default" w:ascii="Times New Roman" w:hAnsi="Times New Roman" w:eastAsia="宋体" w:cs="Times New Roman"/>
                      <w:color w:val="auto"/>
                      <w:sz w:val="21"/>
                      <w:szCs w:val="21"/>
                      <w:highlight w:val="none"/>
                      <w:lang w:val="en-US" w:eastAsia="zh-CN"/>
                    </w:rPr>
                    <w:t>占地面积</w:t>
                  </w:r>
                  <w:r>
                    <w:rPr>
                      <w:rFonts w:hint="default" w:ascii="Times New Roman" w:hAnsi="Times New Roman" w:cs="Times New Roman"/>
                      <w:color w:val="auto"/>
                      <w:sz w:val="21"/>
                      <w:szCs w:val="21"/>
                      <w:highlight w:val="none"/>
                      <w:lang w:val="en-US" w:eastAsia="zh-CN"/>
                    </w:rPr>
                    <w:t>约25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2"/>
                      <w:sz w:val="21"/>
                      <w:szCs w:val="21"/>
                      <w:highlight w:val="none"/>
                      <w:lang w:val="en-US" w:eastAsia="zh-CN" w:bidi="ar-SA"/>
                    </w:rPr>
                    <w:t>设置有</w:t>
                  </w:r>
                  <w:r>
                    <w:rPr>
                      <w:rFonts w:hint="default" w:ascii="Times New Roman" w:hAnsi="Times New Roman" w:cs="Times New Roman"/>
                      <w:color w:val="auto"/>
                      <w:kern w:val="2"/>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个</w:t>
                  </w:r>
                  <w:r>
                    <w:rPr>
                      <w:rFonts w:hint="default" w:ascii="Times New Roman" w:hAnsi="Times New Roman" w:cs="Times New Roman"/>
                      <w:color w:val="auto"/>
                      <w:kern w:val="2"/>
                      <w:sz w:val="21"/>
                      <w:szCs w:val="21"/>
                      <w:highlight w:val="none"/>
                      <w:lang w:val="en-US" w:eastAsia="zh-CN" w:bidi="ar-SA"/>
                    </w:rPr>
                    <w:t>电磁炉，使用电，不使用天然气和液化气</w:t>
                  </w:r>
                  <w:r>
                    <w:rPr>
                      <w:rFonts w:hint="default" w:ascii="Times New Roman" w:hAnsi="Times New Roman" w:eastAsia="宋体" w:cs="Times New Roman"/>
                      <w:color w:val="auto"/>
                      <w:kern w:val="2"/>
                      <w:sz w:val="21"/>
                      <w:szCs w:val="21"/>
                      <w:highlight w:val="none"/>
                      <w:lang w:val="en-US" w:eastAsia="zh-CN" w:bidi="ar-SA"/>
                    </w:rPr>
                    <w:t>。</w:t>
                  </w:r>
                </w:p>
              </w:tc>
              <w:tc>
                <w:tcPr>
                  <w:tcW w:w="622"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477" w:type="pct"/>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油烟废气</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生活污水</w:t>
                  </w:r>
                </w:p>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生活垃圾</w:t>
                  </w:r>
                  <w:r>
                    <w:rPr>
                      <w:rFonts w:hint="default" w:ascii="Times New Roman" w:hAnsi="Times New Roman" w:eastAsia="宋体" w:cs="Times New Roman"/>
                      <w:color w:val="auto"/>
                      <w:sz w:val="21"/>
                      <w:szCs w:val="21"/>
                      <w:highlight w:val="none"/>
                      <w:lang w:val="en-US" w:eastAsia="zh-CN"/>
                    </w:rPr>
                    <w:t>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1027" w:type="pct"/>
                  <w:gridSpan w:val="2"/>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highlight w:val="none"/>
                    </w:rPr>
                    <w:t>办公</w:t>
                  </w:r>
                  <w:r>
                    <w:rPr>
                      <w:rFonts w:hint="default" w:ascii="Times New Roman" w:hAnsi="Times New Roman" w:eastAsia="宋体" w:cs="Times New Roman"/>
                      <w:color w:val="auto"/>
                      <w:sz w:val="21"/>
                      <w:szCs w:val="21"/>
                      <w:highlight w:val="none"/>
                      <w:lang w:val="en-US" w:eastAsia="zh-CN"/>
                    </w:rPr>
                    <w:t>室</w:t>
                  </w:r>
                  <w:r>
                    <w:rPr>
                      <w:rFonts w:hint="default" w:ascii="Times New Roman" w:hAnsi="Times New Roman" w:cs="Times New Roman"/>
                      <w:color w:val="auto"/>
                      <w:sz w:val="21"/>
                      <w:szCs w:val="21"/>
                      <w:highlight w:val="none"/>
                      <w:lang w:val="en-US" w:eastAsia="zh-CN"/>
                    </w:rPr>
                    <w:t>和</w:t>
                  </w:r>
                  <w:r>
                    <w:rPr>
                      <w:rFonts w:hint="default" w:ascii="Times New Roman" w:hAnsi="Times New Roman" w:eastAsia="宋体" w:cs="Times New Roman"/>
                      <w:color w:val="auto"/>
                      <w:sz w:val="21"/>
                      <w:szCs w:val="21"/>
                      <w:highlight w:val="none"/>
                      <w:lang w:val="en-US" w:eastAsia="zh-CN"/>
                    </w:rPr>
                    <w:t>宿舍</w:t>
                  </w:r>
                </w:p>
              </w:tc>
              <w:tc>
                <w:tcPr>
                  <w:tcW w:w="2491" w:type="pct"/>
                  <w:tcBorders>
                    <w:tl2br w:val="nil"/>
                    <w:tr2bl w:val="nil"/>
                  </w:tcBorders>
                  <w:shd w:val="clear" w:color="auto" w:fill="auto"/>
                  <w:vAlign w:val="center"/>
                </w:tcPr>
                <w:p>
                  <w:pPr>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F</w:t>
                  </w:r>
                  <w:r>
                    <w:rPr>
                      <w:rFonts w:hint="default" w:ascii="Times New Roman" w:hAnsi="Times New Roman" w:cs="Times New Roman"/>
                      <w:color w:val="auto"/>
                      <w:kern w:val="2"/>
                      <w:sz w:val="21"/>
                      <w:szCs w:val="21"/>
                      <w:highlight w:val="none"/>
                      <w:lang w:val="en-US" w:eastAsia="zh-CN" w:bidi="ar-SA"/>
                    </w:rPr>
                    <w:t>，砖房</w:t>
                  </w:r>
                  <w:r>
                    <w:rPr>
                      <w:rFonts w:hint="default" w:ascii="Times New Roman" w:hAnsi="Times New Roman" w:eastAsia="宋体" w:cs="Times New Roman"/>
                      <w:color w:val="auto"/>
                      <w:kern w:val="2"/>
                      <w:sz w:val="21"/>
                      <w:szCs w:val="21"/>
                      <w:highlight w:val="none"/>
                      <w:lang w:val="en-US" w:eastAsia="zh-CN" w:bidi="ar-SA"/>
                    </w:rPr>
                    <w:t>，位于厂区</w:t>
                  </w:r>
                  <w:r>
                    <w:rPr>
                      <w:rFonts w:hint="default" w:ascii="Times New Roman" w:hAnsi="Times New Roman" w:cs="Times New Roman"/>
                      <w:color w:val="auto"/>
                      <w:kern w:val="2"/>
                      <w:sz w:val="21"/>
                      <w:szCs w:val="21"/>
                      <w:highlight w:val="none"/>
                      <w:lang w:val="en-US" w:eastAsia="zh-CN" w:bidi="ar-SA"/>
                    </w:rPr>
                    <w:t>东</w:t>
                  </w:r>
                  <w:r>
                    <w:rPr>
                      <w:rFonts w:hint="default" w:ascii="Times New Roman" w:hAnsi="Times New Roman" w:eastAsia="宋体" w:cs="Times New Roman"/>
                      <w:color w:val="auto"/>
                      <w:kern w:val="2"/>
                      <w:sz w:val="21"/>
                      <w:szCs w:val="21"/>
                      <w:highlight w:val="none"/>
                      <w:lang w:val="en-US" w:eastAsia="zh-CN" w:bidi="ar-SA"/>
                    </w:rPr>
                    <w:t>侧，</w:t>
                  </w:r>
                  <w:r>
                    <w:rPr>
                      <w:rFonts w:hint="default" w:ascii="Times New Roman" w:hAnsi="Times New Roman" w:eastAsia="宋体" w:cs="Times New Roman"/>
                      <w:color w:val="auto"/>
                      <w:sz w:val="21"/>
                      <w:szCs w:val="21"/>
                      <w:highlight w:val="none"/>
                      <w:lang w:val="en-US" w:eastAsia="zh-CN"/>
                    </w:rPr>
                    <w:t>占地面积</w:t>
                  </w:r>
                  <w:r>
                    <w:rPr>
                      <w:rFonts w:hint="default" w:ascii="Times New Roman" w:hAnsi="Times New Roman" w:eastAsia="宋体" w:cs="Times New Roman"/>
                      <w:color w:val="auto"/>
                      <w:kern w:val="2"/>
                      <w:sz w:val="21"/>
                      <w:szCs w:val="21"/>
                      <w:highlight w:val="none"/>
                      <w:lang w:val="en-US" w:eastAsia="zh-CN" w:bidi="ar-SA"/>
                    </w:rPr>
                    <w:t>约</w:t>
                  </w:r>
                  <w:r>
                    <w:rPr>
                      <w:rFonts w:hint="default" w:ascii="Times New Roman" w:hAnsi="Times New Roman" w:cs="Times New Roman"/>
                      <w:color w:val="auto"/>
                      <w:sz w:val="21"/>
                      <w:szCs w:val="21"/>
                      <w:highlight w:val="none"/>
                      <w:lang w:val="en-US" w:eastAsia="zh-CN"/>
                    </w:rPr>
                    <w:t>18</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kern w:val="2"/>
                      <w:sz w:val="21"/>
                      <w:szCs w:val="21"/>
                      <w:highlight w:val="none"/>
                      <w:lang w:val="en-US" w:eastAsia="zh-CN" w:bidi="ar-SA"/>
                    </w:rPr>
                    <w:t>6人在厂区住宿</w:t>
                  </w:r>
                  <w:r>
                    <w:rPr>
                      <w:rFonts w:hint="default" w:ascii="Times New Roman" w:hAnsi="Times New Roman" w:eastAsia="宋体" w:cs="Times New Roman"/>
                      <w:color w:val="auto"/>
                      <w:sz w:val="21"/>
                      <w:szCs w:val="21"/>
                      <w:highlight w:val="none"/>
                      <w:lang w:val="en-US" w:eastAsia="zh-CN"/>
                    </w:rPr>
                    <w:t>。</w:t>
                  </w:r>
                </w:p>
              </w:tc>
              <w:tc>
                <w:tcPr>
                  <w:tcW w:w="622"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477"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1" w:type="pct"/>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辅助工程</w:t>
                  </w:r>
                </w:p>
              </w:tc>
              <w:tc>
                <w:tcPr>
                  <w:tcW w:w="1027" w:type="pct"/>
                  <w:gridSpan w:val="2"/>
                  <w:tcBorders>
                    <w:tl2br w:val="nil"/>
                    <w:tr2bl w:val="nil"/>
                  </w:tcBorders>
                  <w:shd w:val="clear" w:color="auto" w:fill="auto"/>
                  <w:vAlign w:val="center"/>
                </w:tcPr>
                <w:p>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配电房</w:t>
                  </w:r>
                </w:p>
              </w:tc>
              <w:tc>
                <w:tcPr>
                  <w:tcW w:w="2491" w:type="pct"/>
                  <w:tcBorders>
                    <w:tl2br w:val="nil"/>
                    <w:tr2bl w:val="nil"/>
                  </w:tcBorders>
                  <w:shd w:val="clear" w:color="auto" w:fill="auto"/>
                  <w:vAlign w:val="center"/>
                </w:tcPr>
                <w:p>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1间，占地面积</w:t>
                  </w:r>
                  <w:r>
                    <w:rPr>
                      <w:rFonts w:hint="default" w:ascii="Times New Roman" w:hAnsi="Times New Roman" w:cs="Times New Roman"/>
                      <w:color w:val="auto"/>
                      <w:sz w:val="21"/>
                      <w:szCs w:val="21"/>
                      <w:highlight w:val="none"/>
                      <w:lang w:val="en-US" w:eastAsia="zh-CN"/>
                    </w:rPr>
                    <w:t>约</w:t>
                  </w:r>
                  <w:r>
                    <w:rPr>
                      <w:rFonts w:hint="default" w:ascii="Times New Roman" w:hAnsi="Times New Roman" w:cs="Times New Roman"/>
                      <w:snapToGrid w:val="0"/>
                      <w:color w:val="auto"/>
                      <w:kern w:val="0"/>
                      <w:sz w:val="21"/>
                      <w:szCs w:val="21"/>
                      <w:highlight w:val="none"/>
                      <w:lang w:val="en-US" w:eastAsia="zh-CN"/>
                    </w:rPr>
                    <w:t>2</w:t>
                  </w:r>
                  <w:r>
                    <w:rPr>
                      <w:rFonts w:hint="default" w:ascii="Times New Roman" w:hAnsi="Times New Roman" w:eastAsia="宋体" w:cs="Times New Roman"/>
                      <w:snapToGrid w:val="0"/>
                      <w:color w:val="auto"/>
                      <w:kern w:val="0"/>
                      <w:sz w:val="21"/>
                      <w:szCs w:val="21"/>
                      <w:highlight w:val="none"/>
                      <w:lang w:val="en-US" w:eastAsia="zh-CN"/>
                    </w:rPr>
                    <w:t>m</w:t>
                  </w:r>
                  <w:r>
                    <w:rPr>
                      <w:rFonts w:hint="default" w:ascii="Times New Roman" w:hAnsi="Times New Roman" w:eastAsia="宋体" w:cs="Times New Roman"/>
                      <w:snapToGrid w:val="0"/>
                      <w:color w:val="auto"/>
                      <w:kern w:val="0"/>
                      <w:sz w:val="21"/>
                      <w:szCs w:val="21"/>
                      <w:highlight w:val="none"/>
                      <w:vertAlign w:val="superscript"/>
                      <w:lang w:val="en-US" w:eastAsia="zh-CN"/>
                    </w:rPr>
                    <w:t>2</w:t>
                  </w:r>
                  <w:r>
                    <w:rPr>
                      <w:rFonts w:hint="default" w:ascii="Times New Roman" w:hAnsi="Times New Roman" w:eastAsia="宋体" w:cs="Times New Roman"/>
                      <w:snapToGrid w:val="0"/>
                      <w:color w:val="auto"/>
                      <w:kern w:val="0"/>
                      <w:sz w:val="21"/>
                      <w:szCs w:val="21"/>
                      <w:highlight w:val="none"/>
                      <w:lang w:val="en-US" w:eastAsia="zh-CN"/>
                    </w:rPr>
                    <w:t>，</w:t>
                  </w:r>
                  <w:r>
                    <w:rPr>
                      <w:rFonts w:hint="default" w:ascii="Times New Roman" w:hAnsi="Times New Roman" w:eastAsia="宋体" w:cs="Times New Roman"/>
                      <w:snapToGrid w:val="0"/>
                      <w:color w:val="0000FF"/>
                      <w:kern w:val="0"/>
                      <w:sz w:val="21"/>
                      <w:szCs w:val="21"/>
                      <w:highlight w:val="none"/>
                      <w:lang w:val="en-US" w:eastAsia="zh-CN"/>
                    </w:rPr>
                    <w:t>位于</w:t>
                  </w:r>
                  <w:r>
                    <w:rPr>
                      <w:rFonts w:hint="eastAsia" w:cs="Times New Roman"/>
                      <w:snapToGrid w:val="0"/>
                      <w:color w:val="0000FF"/>
                      <w:kern w:val="0"/>
                      <w:sz w:val="21"/>
                      <w:szCs w:val="21"/>
                      <w:highlight w:val="none"/>
                      <w:lang w:val="en-US" w:eastAsia="zh-CN"/>
                    </w:rPr>
                    <w:t>加工区南</w:t>
                  </w:r>
                  <w:r>
                    <w:rPr>
                      <w:rFonts w:hint="default" w:ascii="Times New Roman" w:hAnsi="Times New Roman" w:eastAsia="宋体" w:cs="Times New Roman"/>
                      <w:snapToGrid w:val="0"/>
                      <w:color w:val="0000FF"/>
                      <w:kern w:val="0"/>
                      <w:sz w:val="21"/>
                      <w:szCs w:val="21"/>
                      <w:highlight w:val="none"/>
                      <w:lang w:val="en-US" w:eastAsia="zh-CN"/>
                    </w:rPr>
                    <w:t>侧，</w:t>
                  </w:r>
                  <w:r>
                    <w:rPr>
                      <w:rFonts w:hint="default" w:ascii="Times New Roman" w:hAnsi="Times New Roman" w:eastAsia="宋体" w:cs="Times New Roman"/>
                      <w:snapToGrid w:val="0"/>
                      <w:color w:val="auto"/>
                      <w:kern w:val="0"/>
                      <w:sz w:val="21"/>
                      <w:szCs w:val="21"/>
                      <w:highlight w:val="none"/>
                      <w:lang w:val="en-US" w:eastAsia="zh-CN"/>
                    </w:rPr>
                    <w:t>用于生产系统综合控制。</w:t>
                  </w:r>
                </w:p>
              </w:tc>
              <w:tc>
                <w:tcPr>
                  <w:tcW w:w="622"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477" w:type="pc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27" w:type="pct"/>
                  <w:gridSpan w:val="2"/>
                  <w:tcBorders>
                    <w:tl2br w:val="nil"/>
                    <w:tr2bl w:val="nil"/>
                  </w:tcBorders>
                  <w:shd w:val="clear" w:color="auto" w:fill="auto"/>
                  <w:vAlign w:val="center"/>
                </w:tcPr>
                <w:p>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机修</w:t>
                  </w:r>
                  <w:r>
                    <w:rPr>
                      <w:rFonts w:hint="default" w:ascii="Times New Roman" w:hAnsi="Times New Roman" w:cs="Times New Roman"/>
                      <w:color w:val="auto"/>
                      <w:sz w:val="21"/>
                      <w:szCs w:val="21"/>
                      <w:highlight w:val="none"/>
                      <w:lang w:val="en-US" w:eastAsia="zh-CN"/>
                    </w:rPr>
                    <w:t>房</w:t>
                  </w:r>
                </w:p>
              </w:tc>
              <w:tc>
                <w:tcPr>
                  <w:tcW w:w="2491" w:type="pct"/>
                  <w:tcBorders>
                    <w:tl2br w:val="nil"/>
                    <w:tr2bl w:val="nil"/>
                  </w:tcBorders>
                  <w:shd w:val="clear" w:color="auto" w:fill="auto"/>
                  <w:vAlign w:val="center"/>
                </w:tcPr>
                <w:p>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位于加工区北侧，</w:t>
                  </w:r>
                  <w:r>
                    <w:rPr>
                      <w:rFonts w:hint="default" w:ascii="Times New Roman" w:hAnsi="Times New Roman" w:eastAsia="宋体" w:cs="Times New Roman"/>
                      <w:snapToGrid w:val="0"/>
                      <w:color w:val="auto"/>
                      <w:kern w:val="0"/>
                      <w:sz w:val="21"/>
                      <w:szCs w:val="21"/>
                      <w:highlight w:val="none"/>
                      <w:lang w:val="en-US" w:eastAsia="zh-CN"/>
                    </w:rPr>
                    <w:t>占地面积</w:t>
                  </w:r>
                  <w:r>
                    <w:rPr>
                      <w:rFonts w:hint="default" w:ascii="Times New Roman" w:hAnsi="Times New Roman" w:cs="Times New Roman"/>
                      <w:color w:val="auto"/>
                      <w:sz w:val="21"/>
                      <w:szCs w:val="21"/>
                      <w:highlight w:val="none"/>
                      <w:lang w:val="en-US" w:eastAsia="zh-CN"/>
                    </w:rPr>
                    <w:t>约</w:t>
                  </w:r>
                  <w:r>
                    <w:rPr>
                      <w:rFonts w:hint="default" w:ascii="Times New Roman" w:hAnsi="Times New Roman" w:cs="Times New Roman"/>
                      <w:snapToGrid w:val="0"/>
                      <w:color w:val="auto"/>
                      <w:kern w:val="0"/>
                      <w:sz w:val="21"/>
                      <w:szCs w:val="21"/>
                      <w:highlight w:val="none"/>
                      <w:lang w:val="en-US" w:eastAsia="zh-CN"/>
                    </w:rPr>
                    <w:t>15</w:t>
                  </w:r>
                  <w:r>
                    <w:rPr>
                      <w:rFonts w:hint="default" w:ascii="Times New Roman" w:hAnsi="Times New Roman" w:eastAsia="宋体" w:cs="Times New Roman"/>
                      <w:snapToGrid w:val="0"/>
                      <w:color w:val="auto"/>
                      <w:kern w:val="0"/>
                      <w:sz w:val="21"/>
                      <w:szCs w:val="21"/>
                      <w:highlight w:val="none"/>
                      <w:lang w:val="en-US" w:eastAsia="zh-CN"/>
                    </w:rPr>
                    <w:t>m</w:t>
                  </w:r>
                  <w:r>
                    <w:rPr>
                      <w:rFonts w:hint="default" w:ascii="Times New Roman" w:hAnsi="Times New Roman" w:eastAsia="宋体" w:cs="Times New Roman"/>
                      <w:snapToGrid w:val="0"/>
                      <w:color w:val="auto"/>
                      <w:kern w:val="0"/>
                      <w:sz w:val="21"/>
                      <w:szCs w:val="21"/>
                      <w:highlight w:val="none"/>
                      <w:vertAlign w:val="superscript"/>
                      <w:lang w:val="en-US" w:eastAsia="zh-CN"/>
                    </w:rPr>
                    <w:t>2</w:t>
                  </w:r>
                  <w:r>
                    <w:rPr>
                      <w:rFonts w:hint="default" w:ascii="Times New Roman" w:hAnsi="Times New Roman" w:eastAsia="宋体" w:cs="Times New Roman"/>
                      <w:snapToGrid w:val="0"/>
                      <w:color w:val="auto"/>
                      <w:kern w:val="0"/>
                      <w:sz w:val="21"/>
                      <w:szCs w:val="21"/>
                      <w:highlight w:val="none"/>
                      <w:lang w:val="en-US" w:eastAsia="zh-CN"/>
                    </w:rPr>
                    <w:t>，</w:t>
                  </w:r>
                  <w:r>
                    <w:rPr>
                      <w:rFonts w:hint="default" w:ascii="Times New Roman" w:hAnsi="Times New Roman" w:eastAsia="宋体" w:cs="Times New Roman"/>
                      <w:color w:val="auto"/>
                      <w:sz w:val="21"/>
                      <w:szCs w:val="21"/>
                      <w:highlight w:val="none"/>
                    </w:rPr>
                    <w:t>项目仅涉及小修</w:t>
                  </w:r>
                  <w:r>
                    <w:rPr>
                      <w:rFonts w:hint="default" w:ascii="Times New Roman" w:hAnsi="Times New Roman" w:cs="Times New Roman"/>
                      <w:color w:val="auto"/>
                      <w:sz w:val="21"/>
                      <w:szCs w:val="21"/>
                      <w:highlight w:val="none"/>
                      <w:lang w:val="en-US" w:eastAsia="zh-CN"/>
                    </w:rPr>
                    <w:t>和更换零件等</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不涉及更换机油，</w:t>
                  </w:r>
                  <w:r>
                    <w:rPr>
                      <w:rFonts w:hint="default" w:ascii="Times New Roman" w:hAnsi="Times New Roman" w:eastAsia="宋体" w:cs="Times New Roman"/>
                      <w:color w:val="auto"/>
                      <w:sz w:val="21"/>
                      <w:szCs w:val="21"/>
                      <w:highlight w:val="none"/>
                    </w:rPr>
                    <w:t>大修全部外委</w:t>
                  </w:r>
                  <w:r>
                    <w:rPr>
                      <w:rFonts w:hint="default" w:ascii="Times New Roman" w:hAnsi="Times New Roman" w:eastAsia="宋体" w:cs="Times New Roman"/>
                      <w:color w:val="auto"/>
                      <w:sz w:val="21"/>
                      <w:szCs w:val="21"/>
                      <w:highlight w:val="none"/>
                      <w:lang w:eastAsia="zh-CN"/>
                    </w:rPr>
                    <w:t>。</w:t>
                  </w:r>
                </w:p>
              </w:tc>
              <w:tc>
                <w:tcPr>
                  <w:tcW w:w="622"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477" w:type="pc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1" w:type="pct"/>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1027" w:type="pct"/>
                  <w:gridSpan w:val="2"/>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w:t>
                  </w:r>
                </w:p>
              </w:tc>
              <w:tc>
                <w:tcPr>
                  <w:tcW w:w="2491" w:type="pct"/>
                  <w:tcBorders>
                    <w:tl2br w:val="nil"/>
                    <w:tr2bl w:val="nil"/>
                  </w:tcBorders>
                  <w:shd w:val="clear" w:color="auto" w:fill="auto"/>
                  <w:vAlign w:val="center"/>
                </w:tcPr>
                <w:p>
                  <w:pPr>
                    <w:spacing w:line="240" w:lineRule="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乡镇</w:t>
                  </w:r>
                  <w:r>
                    <w:rPr>
                      <w:rFonts w:hint="default" w:ascii="Times New Roman" w:hAnsi="Times New Roman" w:eastAsia="宋体" w:cs="Times New Roman"/>
                      <w:color w:val="auto"/>
                      <w:sz w:val="21"/>
                      <w:szCs w:val="21"/>
                      <w:highlight w:val="none"/>
                    </w:rPr>
                    <w:t>供电管网供给</w:t>
                  </w:r>
                </w:p>
              </w:tc>
              <w:tc>
                <w:tcPr>
                  <w:tcW w:w="622"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477" w:type="pc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27" w:type="pct"/>
                  <w:gridSpan w:val="2"/>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供水</w:t>
                  </w:r>
                </w:p>
              </w:tc>
              <w:tc>
                <w:tcPr>
                  <w:tcW w:w="2491" w:type="pct"/>
                  <w:tcBorders>
                    <w:tl2br w:val="nil"/>
                    <w:tr2bl w:val="nil"/>
                  </w:tcBorders>
                  <w:shd w:val="clear" w:color="auto" w:fill="auto"/>
                  <w:vAlign w:val="center"/>
                </w:tcPr>
                <w:p>
                  <w:p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生活用水</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生产用水</w:t>
                  </w:r>
                  <w:r>
                    <w:rPr>
                      <w:rFonts w:hint="default" w:ascii="Times New Roman" w:hAnsi="Times New Roman" w:cs="Times New Roman"/>
                      <w:color w:val="auto"/>
                      <w:sz w:val="21"/>
                      <w:szCs w:val="21"/>
                      <w:highlight w:val="none"/>
                      <w:lang w:val="en-US" w:eastAsia="zh-CN"/>
                    </w:rPr>
                    <w:t>均为自来水</w:t>
                  </w:r>
                </w:p>
              </w:tc>
              <w:tc>
                <w:tcPr>
                  <w:tcW w:w="622"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477" w:type="pc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27" w:type="pct"/>
                  <w:gridSpan w:val="2"/>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排水</w:t>
                  </w:r>
                </w:p>
              </w:tc>
              <w:tc>
                <w:tcPr>
                  <w:tcW w:w="2491" w:type="pct"/>
                  <w:tcBorders>
                    <w:tl2br w:val="nil"/>
                    <w:tr2bl w:val="nil"/>
                  </w:tcBorders>
                  <w:shd w:val="clear" w:color="auto" w:fill="auto"/>
                  <w:vAlign w:val="center"/>
                </w:tcPr>
                <w:p>
                  <w:p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雨污分流，初期雨水</w:t>
                  </w:r>
                  <w:r>
                    <w:rPr>
                      <w:rFonts w:hint="default" w:ascii="Times New Roman" w:hAnsi="Times New Roman" w:cs="Times New Roman"/>
                      <w:color w:val="0000FF"/>
                      <w:sz w:val="21"/>
                      <w:szCs w:val="21"/>
                      <w:highlight w:val="none"/>
                      <w:lang w:val="en-US" w:eastAsia="zh-CN"/>
                    </w:rPr>
                    <w:t>进入</w:t>
                  </w:r>
                  <w:r>
                    <w:rPr>
                      <w:rFonts w:hint="eastAsia" w:cs="Times New Roman"/>
                      <w:color w:val="0000FF"/>
                      <w:sz w:val="21"/>
                      <w:szCs w:val="21"/>
                      <w:highlight w:val="none"/>
                      <w:lang w:val="en-US" w:eastAsia="zh-CN"/>
                    </w:rPr>
                    <w:t>三级沉淀池中，用于生产用水</w:t>
                  </w:r>
                  <w:r>
                    <w:rPr>
                      <w:rFonts w:hint="default" w:ascii="Times New Roman" w:hAnsi="Times New Roman" w:cs="Times New Roman"/>
                      <w:color w:val="0000FF"/>
                      <w:sz w:val="21"/>
                      <w:szCs w:val="21"/>
                      <w:highlight w:val="none"/>
                      <w:lang w:val="en-US" w:eastAsia="zh-CN"/>
                    </w:rPr>
                    <w:t>；</w:t>
                  </w:r>
                  <w:r>
                    <w:rPr>
                      <w:rFonts w:hint="default" w:ascii="Times New Roman" w:hAnsi="Times New Roman" w:eastAsia="宋体" w:cs="Times New Roman"/>
                      <w:color w:val="0000FF"/>
                      <w:sz w:val="21"/>
                      <w:szCs w:val="21"/>
                      <w:highlight w:val="none"/>
                      <w:lang w:val="en-US" w:eastAsia="zh-CN"/>
                    </w:rPr>
                    <w:t>项目</w:t>
                  </w:r>
                  <w:r>
                    <w:rPr>
                      <w:rFonts w:hint="default" w:ascii="Times New Roman" w:hAnsi="Times New Roman" w:cs="Times New Roman"/>
                      <w:color w:val="0000FF"/>
                      <w:sz w:val="21"/>
                      <w:szCs w:val="21"/>
                      <w:highlight w:val="none"/>
                      <w:lang w:val="en-US" w:eastAsia="zh-CN"/>
                    </w:rPr>
                    <w:t>生产废水经螺旋绞砂机处理后</w:t>
                  </w:r>
                  <w:r>
                    <w:rPr>
                      <w:rFonts w:hint="eastAsia" w:cs="Times New Roman"/>
                      <w:color w:val="0000FF"/>
                      <w:sz w:val="21"/>
                      <w:szCs w:val="21"/>
                      <w:highlight w:val="none"/>
                      <w:lang w:val="en-US" w:eastAsia="zh-CN"/>
                    </w:rPr>
                    <w:t>，进入三级沉淀池处理，剩余污泥经板框压滤机压成泥饼，</w:t>
                  </w:r>
                  <w:r>
                    <w:rPr>
                      <w:rFonts w:hint="default" w:ascii="Times New Roman" w:hAnsi="Times New Roman" w:cs="Times New Roman"/>
                      <w:color w:val="auto"/>
                      <w:kern w:val="2"/>
                      <w:sz w:val="21"/>
                      <w:szCs w:val="21"/>
                      <w:highlight w:val="none"/>
                      <w:lang w:val="en-US" w:eastAsia="zh-CN" w:bidi="ar-SA"/>
                    </w:rPr>
                    <w:t>废水</w:t>
                  </w:r>
                  <w:r>
                    <w:rPr>
                      <w:rFonts w:hint="eastAsia" w:cs="Times New Roman"/>
                      <w:color w:val="auto"/>
                      <w:kern w:val="2"/>
                      <w:sz w:val="21"/>
                      <w:szCs w:val="21"/>
                      <w:highlight w:val="none"/>
                      <w:lang w:val="en-US" w:eastAsia="zh-CN" w:bidi="ar-SA"/>
                    </w:rPr>
                    <w:t>处理</w:t>
                  </w:r>
                  <w:r>
                    <w:rPr>
                      <w:rFonts w:hint="default" w:ascii="Times New Roman" w:hAnsi="Times New Roman" w:cs="Times New Roman"/>
                      <w:color w:val="auto"/>
                      <w:kern w:val="2"/>
                      <w:sz w:val="21"/>
                      <w:szCs w:val="21"/>
                      <w:highlight w:val="none"/>
                      <w:lang w:val="en-US" w:eastAsia="zh-CN" w:bidi="ar-SA"/>
                    </w:rPr>
                    <w:t>后循环使用，不外排</w:t>
                  </w:r>
                  <w:r>
                    <w:rPr>
                      <w:rFonts w:hint="default" w:ascii="Times New Roman" w:hAnsi="Times New Roman" w:cs="Times New Roman"/>
                      <w:color w:val="auto"/>
                      <w:sz w:val="21"/>
                      <w:szCs w:val="21"/>
                      <w:highlight w:val="none"/>
                      <w:lang w:val="en-US" w:eastAsia="zh-CN"/>
                    </w:rPr>
                    <w:t>；生活污水（食堂废水先经</w:t>
                  </w:r>
                  <w:r>
                    <w:rPr>
                      <w:rFonts w:hint="eastAsia" w:cs="Times New Roman"/>
                      <w:color w:val="auto"/>
                      <w:sz w:val="21"/>
                      <w:szCs w:val="21"/>
                      <w:highlight w:val="none"/>
                      <w:lang w:val="en-US" w:eastAsia="zh-CN"/>
                    </w:rPr>
                    <w:t>隔油池</w:t>
                  </w:r>
                  <w:r>
                    <w:rPr>
                      <w:rFonts w:hint="default" w:ascii="Times New Roman" w:hAnsi="Times New Roman" w:cs="Times New Roman"/>
                      <w:color w:val="auto"/>
                      <w:sz w:val="21"/>
                      <w:szCs w:val="21"/>
                      <w:highlight w:val="none"/>
                      <w:lang w:val="en-US" w:eastAsia="zh-CN"/>
                    </w:rPr>
                    <w:t>处理）经旱厕处理后用作周边农田农肥。</w:t>
                  </w:r>
                </w:p>
              </w:tc>
              <w:tc>
                <w:tcPr>
                  <w:tcW w:w="622"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477" w:type="pc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1" w:type="pct"/>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331" w:type="pct"/>
                  <w:vMerge w:val="restart"/>
                  <w:tcBorders>
                    <w:tl2br w:val="nil"/>
                    <w:tr2bl w:val="nil"/>
                  </w:tcBorders>
                  <w:shd w:val="clear" w:color="auto" w:fill="auto"/>
                  <w:vAlign w:val="center"/>
                </w:tcPr>
                <w:p>
                  <w:pPr>
                    <w:tabs>
                      <w:tab w:val="left" w:pos="993"/>
                      <w:tab w:val="left" w:pos="1134"/>
                    </w:tabs>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废气</w:t>
                  </w:r>
                </w:p>
              </w:tc>
              <w:tc>
                <w:tcPr>
                  <w:tcW w:w="696" w:type="pct"/>
                  <w:tcBorders>
                    <w:tl2br w:val="nil"/>
                    <w:tr2bl w:val="nil"/>
                  </w:tcBorders>
                  <w:shd w:val="clear" w:color="auto" w:fill="auto"/>
                  <w:vAlign w:val="center"/>
                </w:tcPr>
                <w:p>
                  <w:pPr>
                    <w:keepNext w:val="0"/>
                    <w:keepLines w:val="0"/>
                    <w:pageBreakBefore w:val="0"/>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石料加工粉尘</w:t>
                  </w:r>
                </w:p>
              </w:tc>
              <w:tc>
                <w:tcPr>
                  <w:tcW w:w="2491" w:type="pct"/>
                  <w:tcBorders>
                    <w:tl2br w:val="nil"/>
                    <w:tr2bl w:val="nil"/>
                  </w:tcBorders>
                  <w:shd w:val="clear" w:color="auto" w:fill="auto"/>
                  <w:vAlign w:val="center"/>
                </w:tcPr>
                <w:p>
                  <w:pPr>
                    <w:keepNext w:val="0"/>
                    <w:keepLines w:val="0"/>
                    <w:pageBreakBefore w:val="0"/>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0"/>
                      <w:sz w:val="21"/>
                      <w:szCs w:val="21"/>
                      <w:highlight w:val="none"/>
                      <w:lang w:val="en-US" w:eastAsia="zh-CN"/>
                    </w:rPr>
                    <w:t>石料</w:t>
                  </w:r>
                  <w:r>
                    <w:rPr>
                      <w:rFonts w:hint="default" w:ascii="Times New Roman" w:hAnsi="Times New Roman" w:eastAsia="宋体" w:cs="Times New Roman"/>
                      <w:color w:val="auto"/>
                      <w:sz w:val="21"/>
                      <w:szCs w:val="21"/>
                      <w:highlight w:val="none"/>
                      <w:lang w:eastAsia="zh-CN"/>
                    </w:rPr>
                    <w:t>加工生产线</w:t>
                  </w:r>
                  <w:r>
                    <w:rPr>
                      <w:rFonts w:hint="default" w:ascii="Times New Roman" w:hAnsi="Times New Roman" w:eastAsia="宋体" w:cs="Times New Roman"/>
                      <w:color w:val="auto"/>
                      <w:sz w:val="21"/>
                      <w:szCs w:val="21"/>
                      <w:highlight w:val="none"/>
                      <w:lang w:val="en-US" w:eastAsia="zh-CN"/>
                    </w:rPr>
                    <w:t>设置于加工</w:t>
                  </w:r>
                  <w:r>
                    <w:rPr>
                      <w:rFonts w:hint="eastAsia" w:cs="Times New Roman"/>
                      <w:color w:val="auto"/>
                      <w:sz w:val="21"/>
                      <w:szCs w:val="21"/>
                      <w:highlight w:val="none"/>
                      <w:lang w:val="en-US" w:eastAsia="zh-CN"/>
                    </w:rPr>
                    <w:t>厂房</w:t>
                  </w:r>
                  <w:r>
                    <w:rPr>
                      <w:rFonts w:hint="default" w:ascii="Times New Roman" w:hAnsi="Times New Roman" w:eastAsia="宋体" w:cs="Times New Roman"/>
                      <w:color w:val="auto"/>
                      <w:sz w:val="21"/>
                      <w:szCs w:val="21"/>
                      <w:highlight w:val="none"/>
                    </w:rPr>
                    <w:t>内</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切割、切边及雕刻工序均设喷水设施，湿法作业</w:t>
                  </w:r>
                </w:p>
              </w:tc>
              <w:tc>
                <w:tcPr>
                  <w:tcW w:w="622"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477"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48" w:leftChars="-23" w:right="-36" w:rightChars="-17"/>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rPr>
                    <w:t>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331" w:type="pct"/>
                  <w:vMerge w:val="continue"/>
                  <w:tcBorders>
                    <w:tl2br w:val="nil"/>
                    <w:tr2bl w:val="nil"/>
                  </w:tcBorders>
                  <w:shd w:val="clear" w:color="auto" w:fill="auto"/>
                  <w:vAlign w:val="center"/>
                </w:tcPr>
                <w:p>
                  <w:pPr>
                    <w:tabs>
                      <w:tab w:val="left" w:pos="993"/>
                      <w:tab w:val="left" w:pos="1134"/>
                    </w:tabs>
                    <w:spacing w:line="240" w:lineRule="auto"/>
                    <w:jc w:val="center"/>
                    <w:rPr>
                      <w:rFonts w:hint="default" w:ascii="Times New Roman" w:hAnsi="Times New Roman" w:eastAsia="宋体" w:cs="Times New Roman"/>
                      <w:bCs/>
                      <w:color w:val="auto"/>
                      <w:sz w:val="21"/>
                      <w:szCs w:val="21"/>
                      <w:highlight w:val="none"/>
                    </w:rPr>
                  </w:pPr>
                </w:p>
              </w:tc>
              <w:tc>
                <w:tcPr>
                  <w:tcW w:w="696" w:type="pct"/>
                  <w:tcBorders>
                    <w:tl2br w:val="nil"/>
                    <w:tr2bl w:val="nil"/>
                  </w:tcBorders>
                  <w:shd w:val="clear" w:color="auto" w:fill="auto"/>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车辆运输起尘</w:t>
                  </w:r>
                </w:p>
              </w:tc>
              <w:tc>
                <w:tcPr>
                  <w:tcW w:w="2491" w:type="pct"/>
                  <w:tcBorders>
                    <w:tl2br w:val="nil"/>
                    <w:tr2bl w:val="nil"/>
                  </w:tcBorders>
                  <w:shd w:val="clear" w:color="auto" w:fill="auto"/>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厂区路面硬化，洒水降尘，车辆加盖篷布密闭运输，禁止超速、超载行驶</w:t>
                  </w:r>
                </w:p>
              </w:tc>
              <w:tc>
                <w:tcPr>
                  <w:tcW w:w="622"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477" w:type="pc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bCs/>
                      <w:color w:val="auto"/>
                      <w:kern w:val="0"/>
                      <w:sz w:val="21"/>
                      <w:szCs w:val="21"/>
                      <w:highlight w:val="none"/>
                      <w:lang w:val="en-US" w:eastAsia="zh-CN"/>
                    </w:rPr>
                    <w:t>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331" w:type="pct"/>
                  <w:vMerge w:val="continue"/>
                  <w:tcBorders>
                    <w:tl2br w:val="nil"/>
                    <w:tr2bl w:val="nil"/>
                  </w:tcBorders>
                  <w:shd w:val="clear" w:color="auto" w:fill="auto"/>
                  <w:vAlign w:val="center"/>
                </w:tcPr>
                <w:p>
                  <w:pPr>
                    <w:tabs>
                      <w:tab w:val="left" w:pos="993"/>
                      <w:tab w:val="left" w:pos="1134"/>
                    </w:tabs>
                    <w:spacing w:line="240" w:lineRule="auto"/>
                    <w:jc w:val="center"/>
                    <w:rPr>
                      <w:rFonts w:hint="default" w:ascii="Times New Roman" w:hAnsi="Times New Roman" w:eastAsia="宋体" w:cs="Times New Roman"/>
                      <w:bCs/>
                      <w:color w:val="auto"/>
                      <w:sz w:val="21"/>
                      <w:szCs w:val="21"/>
                      <w:highlight w:val="none"/>
                    </w:rPr>
                  </w:pPr>
                </w:p>
              </w:tc>
              <w:tc>
                <w:tcPr>
                  <w:tcW w:w="696" w:type="pct"/>
                  <w:tcBorders>
                    <w:tl2br w:val="nil"/>
                    <w:tr2bl w:val="nil"/>
                  </w:tcBorders>
                  <w:shd w:val="clear" w:color="auto" w:fill="auto"/>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食堂油烟</w:t>
                  </w:r>
                </w:p>
              </w:tc>
              <w:tc>
                <w:tcPr>
                  <w:tcW w:w="2491" w:type="pct"/>
                  <w:tcBorders>
                    <w:tl2br w:val="nil"/>
                    <w:tr2bl w:val="nil"/>
                  </w:tcBorders>
                  <w:shd w:val="clear" w:color="auto" w:fill="auto"/>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
                    </w:rPr>
                    <w:t>安</w:t>
                  </w:r>
                  <w:r>
                    <w:rPr>
                      <w:rFonts w:hint="default" w:ascii="Times New Roman" w:hAnsi="Times New Roman" w:cs="Times New Roman"/>
                      <w:color w:val="auto"/>
                      <w:sz w:val="21"/>
                      <w:szCs w:val="21"/>
                      <w:highlight w:val="none"/>
                      <w:lang w:bidi="ar"/>
                    </w:rPr>
                    <w:t>装1套自带油烟净化功能的</w:t>
                  </w:r>
                  <w:r>
                    <w:rPr>
                      <w:rFonts w:hint="default" w:ascii="Times New Roman" w:hAnsi="Times New Roman" w:cs="Times New Roman"/>
                      <w:color w:val="auto"/>
                      <w:sz w:val="21"/>
                      <w:szCs w:val="21"/>
                      <w:highlight w:val="none"/>
                      <w:lang w:val="en-US" w:eastAsia="zh-CN" w:bidi="ar"/>
                    </w:rPr>
                    <w:t>抽油烟机</w:t>
                  </w:r>
                  <w:r>
                    <w:rPr>
                      <w:rFonts w:hint="default" w:ascii="Times New Roman" w:hAnsi="Times New Roman" w:cs="Times New Roman"/>
                      <w:bCs/>
                      <w:color w:val="auto"/>
                      <w:sz w:val="21"/>
                      <w:szCs w:val="21"/>
                      <w:highlight w:val="none"/>
                    </w:rPr>
                    <w:t>处理食堂油烟</w:t>
                  </w:r>
                  <w:r>
                    <w:rPr>
                      <w:rFonts w:hint="default"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lang w:val="en-US" w:eastAsia="zh-CN"/>
                    </w:rPr>
                    <w:t>处理后外排</w:t>
                  </w:r>
                  <w:r>
                    <w:rPr>
                      <w:rFonts w:hint="default" w:ascii="Times New Roman" w:hAnsi="Times New Roman" w:eastAsia="宋体" w:cs="Times New Roman"/>
                      <w:bCs/>
                      <w:color w:val="auto"/>
                      <w:sz w:val="21"/>
                      <w:szCs w:val="21"/>
                      <w:highlight w:val="none"/>
                      <w:lang w:val="en-US" w:eastAsia="zh-CN" w:bidi="ar"/>
                    </w:rPr>
                    <w:t>。</w:t>
                  </w:r>
                </w:p>
              </w:tc>
              <w:tc>
                <w:tcPr>
                  <w:tcW w:w="622"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477" w:type="pc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油烟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331" w:type="pct"/>
                  <w:vMerge w:val="restart"/>
                  <w:tcBorders>
                    <w:tl2br w:val="nil"/>
                    <w:tr2bl w:val="nil"/>
                  </w:tcBorders>
                  <w:shd w:val="clear" w:color="auto" w:fill="auto"/>
                  <w:vAlign w:val="center"/>
                </w:tcPr>
                <w:p>
                  <w:pPr>
                    <w:tabs>
                      <w:tab w:val="left" w:pos="993"/>
                      <w:tab w:val="left" w:pos="1134"/>
                    </w:tabs>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废水</w:t>
                  </w:r>
                </w:p>
              </w:tc>
              <w:tc>
                <w:tcPr>
                  <w:tcW w:w="696"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48" w:leftChars="-23" w:right="-36" w:rightChars="-17"/>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snapToGrid w:val="0"/>
                      <w:color w:val="auto"/>
                      <w:kern w:val="0"/>
                      <w:sz w:val="21"/>
                      <w:szCs w:val="21"/>
                      <w:highlight w:val="none"/>
                      <w:lang w:val="en-US" w:eastAsia="zh-CN" w:bidi="ar-SA"/>
                    </w:rPr>
                    <w:t>生产废水</w:t>
                  </w:r>
                </w:p>
              </w:tc>
              <w:tc>
                <w:tcPr>
                  <w:tcW w:w="2491" w:type="pct"/>
                  <w:tcBorders>
                    <w:tl2br w:val="nil"/>
                    <w:tr2bl w:val="nil"/>
                  </w:tcBorders>
                  <w:shd w:val="clear" w:color="auto" w:fill="auto"/>
                  <w:vAlign w:val="center"/>
                </w:tcPr>
                <w:p>
                  <w:pPr>
                    <w:keepNext w:val="0"/>
                    <w:keepLines w:val="0"/>
                    <w:pageBreakBefore w:val="0"/>
                    <w:widowControl w:val="0"/>
                    <w:kinsoku/>
                    <w:wordWrap/>
                    <w:overflowPunct/>
                    <w:topLinePunct w:val="0"/>
                    <w:bidi w:val="0"/>
                    <w:spacing w:line="240" w:lineRule="auto"/>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厂区内修建有一个三级沉淀池（</w:t>
                  </w:r>
                  <w:r>
                    <w:rPr>
                      <w:rFonts w:hint="default" w:ascii="Times New Roman" w:hAnsi="Times New Roman" w:cs="Times New Roman"/>
                      <w:color w:val="auto"/>
                      <w:kern w:val="24"/>
                      <w:sz w:val="21"/>
                      <w:szCs w:val="21"/>
                      <w:highlight w:val="none"/>
                      <w:lang w:val="en-US" w:eastAsia="zh-CN"/>
                    </w:rPr>
                    <w:t>784m</w:t>
                  </w:r>
                  <w:r>
                    <w:rPr>
                      <w:rFonts w:hint="default" w:ascii="Times New Roman" w:hAnsi="Times New Roman" w:cs="Times New Roman"/>
                      <w:color w:val="auto"/>
                      <w:kern w:val="24"/>
                      <w:sz w:val="21"/>
                      <w:szCs w:val="21"/>
                      <w:highlight w:val="none"/>
                      <w:vertAlign w:val="superscript"/>
                      <w:lang w:val="en-US" w:eastAsia="zh-CN"/>
                    </w:rPr>
                    <w:t>3</w:t>
                  </w:r>
                  <w:r>
                    <w:rPr>
                      <w:rFonts w:hint="default" w:ascii="Times New Roman" w:hAnsi="Times New Roman" w:cs="Times New Roman"/>
                      <w:color w:val="auto"/>
                      <w:kern w:val="2"/>
                      <w:sz w:val="21"/>
                      <w:szCs w:val="21"/>
                      <w:highlight w:val="none"/>
                      <w:lang w:val="en-US" w:eastAsia="zh-CN" w:bidi="ar-SA"/>
                    </w:rPr>
                    <w:t>），长×宽×高=28</w:t>
                  </w:r>
                  <w:r>
                    <w:rPr>
                      <w:rFonts w:hint="eastAsia" w:ascii="Times New Roman" w:hAnsi="Times New Roman" w:cs="Times New Roman"/>
                      <w:color w:val="auto"/>
                      <w:kern w:val="2"/>
                      <w:sz w:val="21"/>
                      <w:szCs w:val="21"/>
                      <w:highlight w:val="none"/>
                      <w:lang w:val="en-US" w:eastAsia="zh-CN" w:bidi="ar-SA"/>
                    </w:rPr>
                    <w:t>m</w:t>
                  </w:r>
                  <w:r>
                    <w:rPr>
                      <w:rFonts w:hint="default" w:ascii="Times New Roman" w:hAnsi="Times New Roman" w:cs="Times New Roman"/>
                      <w:color w:val="auto"/>
                      <w:kern w:val="2"/>
                      <w:sz w:val="21"/>
                      <w:szCs w:val="21"/>
                      <w:highlight w:val="none"/>
                      <w:lang w:val="en-US" w:eastAsia="zh-CN" w:bidi="ar-SA"/>
                    </w:rPr>
                    <w:t>×8</w:t>
                  </w:r>
                  <w:r>
                    <w:rPr>
                      <w:rFonts w:hint="eastAsia" w:ascii="Times New Roman" w:hAnsi="Times New Roman" w:cs="Times New Roman"/>
                      <w:color w:val="auto"/>
                      <w:kern w:val="2"/>
                      <w:sz w:val="21"/>
                      <w:szCs w:val="21"/>
                      <w:highlight w:val="none"/>
                      <w:lang w:val="en-US" w:eastAsia="zh-CN" w:bidi="ar-SA"/>
                    </w:rPr>
                    <w:t>m</w:t>
                  </w:r>
                  <w:r>
                    <w:rPr>
                      <w:rFonts w:hint="default" w:ascii="Times New Roman" w:hAnsi="Times New Roman" w:cs="Times New Roman"/>
                      <w:color w:val="auto"/>
                      <w:kern w:val="2"/>
                      <w:sz w:val="21"/>
                      <w:szCs w:val="21"/>
                      <w:highlight w:val="none"/>
                      <w:lang w:val="en-US" w:eastAsia="zh-CN" w:bidi="ar-SA"/>
                    </w:rPr>
                    <w:t>×3.5</w:t>
                  </w:r>
                  <w:r>
                    <w:rPr>
                      <w:rFonts w:hint="eastAsia" w:ascii="Times New Roman" w:hAnsi="Times New Roman" w:cs="Times New Roman"/>
                      <w:color w:val="auto"/>
                      <w:kern w:val="2"/>
                      <w:sz w:val="21"/>
                      <w:szCs w:val="21"/>
                      <w:highlight w:val="none"/>
                      <w:lang w:val="en-US" w:eastAsia="zh-CN" w:bidi="ar-SA"/>
                    </w:rPr>
                    <w:t>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并设置有螺旋绞砂机和压滤机；</w:t>
                  </w:r>
                  <w:r>
                    <w:rPr>
                      <w:rFonts w:hint="default" w:ascii="Times New Roman" w:hAnsi="Times New Roman" w:cs="Times New Roman"/>
                      <w:color w:val="0000FF"/>
                      <w:kern w:val="2"/>
                      <w:sz w:val="21"/>
                      <w:szCs w:val="21"/>
                      <w:highlight w:val="none"/>
                      <w:lang w:val="en-US" w:eastAsia="zh-CN" w:bidi="ar-SA"/>
                    </w:rPr>
                    <w:t>大切机、中切机和雕刻机下方设有废水收集槽</w:t>
                  </w:r>
                  <w:r>
                    <w:rPr>
                      <w:rFonts w:hint="eastAsia" w:cs="Times New Roman"/>
                      <w:color w:val="0000FF"/>
                      <w:kern w:val="2"/>
                      <w:sz w:val="21"/>
                      <w:szCs w:val="21"/>
                      <w:highlight w:val="none"/>
                      <w:lang w:val="en-US" w:eastAsia="zh-CN" w:bidi="ar-SA"/>
                    </w:rPr>
                    <w:t>进入螺旋绞沙机</w:t>
                  </w:r>
                  <w:r>
                    <w:rPr>
                      <w:rFonts w:hint="default" w:ascii="Times New Roman" w:hAnsi="Times New Roman" w:cs="Times New Roman"/>
                      <w:color w:val="0000FF"/>
                      <w:kern w:val="2"/>
                      <w:sz w:val="21"/>
                      <w:szCs w:val="21"/>
                      <w:highlight w:val="none"/>
                      <w:lang w:val="en-US" w:eastAsia="zh-CN" w:bidi="ar-SA"/>
                    </w:rPr>
                    <w:t>，</w:t>
                  </w:r>
                  <w:r>
                    <w:rPr>
                      <w:rFonts w:hint="eastAsia" w:cs="Times New Roman"/>
                      <w:color w:val="0000FF"/>
                      <w:kern w:val="2"/>
                      <w:sz w:val="21"/>
                      <w:szCs w:val="21"/>
                      <w:highlight w:val="none"/>
                      <w:lang w:val="en-US" w:eastAsia="zh-CN" w:bidi="ar-SA"/>
                    </w:rPr>
                    <w:t>废水经</w:t>
                  </w:r>
                  <w:r>
                    <w:rPr>
                      <w:rFonts w:hint="default" w:ascii="Times New Roman" w:hAnsi="Times New Roman" w:cs="Times New Roman"/>
                      <w:color w:val="0000FF"/>
                      <w:sz w:val="21"/>
                      <w:szCs w:val="21"/>
                      <w:highlight w:val="none"/>
                      <w:lang w:val="en-US" w:eastAsia="zh-CN"/>
                    </w:rPr>
                    <w:t>螺旋绞砂机处理后</w:t>
                  </w:r>
                  <w:r>
                    <w:rPr>
                      <w:rFonts w:hint="eastAsia" w:cs="Times New Roman"/>
                      <w:color w:val="0000FF"/>
                      <w:sz w:val="21"/>
                      <w:szCs w:val="21"/>
                      <w:highlight w:val="none"/>
                      <w:lang w:val="en-US" w:eastAsia="zh-CN"/>
                    </w:rPr>
                    <w:t>，进入三级沉淀池处理，剩余污泥经板框压滤机压成泥饼，</w:t>
                  </w:r>
                  <w:r>
                    <w:rPr>
                      <w:rFonts w:hint="default" w:ascii="Times New Roman" w:hAnsi="Times New Roman" w:cs="Times New Roman"/>
                      <w:color w:val="auto"/>
                      <w:kern w:val="2"/>
                      <w:sz w:val="21"/>
                      <w:szCs w:val="21"/>
                      <w:highlight w:val="none"/>
                      <w:lang w:val="en-US" w:eastAsia="zh-CN" w:bidi="ar-SA"/>
                    </w:rPr>
                    <w:t>废水</w:t>
                  </w:r>
                  <w:r>
                    <w:rPr>
                      <w:rFonts w:hint="eastAsia" w:cs="Times New Roman"/>
                      <w:color w:val="auto"/>
                      <w:kern w:val="2"/>
                      <w:sz w:val="21"/>
                      <w:szCs w:val="21"/>
                      <w:highlight w:val="none"/>
                      <w:lang w:val="en-US" w:eastAsia="zh-CN" w:bidi="ar-SA"/>
                    </w:rPr>
                    <w:t>处理</w:t>
                  </w:r>
                  <w:r>
                    <w:rPr>
                      <w:rFonts w:hint="default" w:ascii="Times New Roman" w:hAnsi="Times New Roman" w:cs="Times New Roman"/>
                      <w:color w:val="auto"/>
                      <w:kern w:val="2"/>
                      <w:sz w:val="21"/>
                      <w:szCs w:val="21"/>
                      <w:highlight w:val="none"/>
                      <w:lang w:val="en-US" w:eastAsia="zh-CN" w:bidi="ar-SA"/>
                    </w:rPr>
                    <w:t>后循环使用，不外排。</w:t>
                  </w:r>
                </w:p>
              </w:tc>
              <w:tc>
                <w:tcPr>
                  <w:tcW w:w="622"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477"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48" w:leftChars="-23" w:right="-36" w:rightChars="-17"/>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snapToGrid w:val="0"/>
                      <w:color w:val="auto"/>
                      <w:kern w:val="0"/>
                      <w:sz w:val="21"/>
                      <w:szCs w:val="21"/>
                      <w:highlight w:val="none"/>
                      <w:lang w:val="en-US" w:eastAsia="zh-CN" w:bidi="ar-SA"/>
                    </w:rPr>
                    <w:t>沉渣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331" w:type="pct"/>
                  <w:vMerge w:val="continue"/>
                  <w:tcBorders>
                    <w:tl2br w:val="nil"/>
                    <w:tr2bl w:val="nil"/>
                  </w:tcBorders>
                  <w:shd w:val="clear" w:color="auto" w:fill="auto"/>
                  <w:vAlign w:val="center"/>
                </w:tcPr>
                <w:p>
                  <w:pPr>
                    <w:tabs>
                      <w:tab w:val="left" w:pos="993"/>
                      <w:tab w:val="left" w:pos="1134"/>
                    </w:tabs>
                    <w:spacing w:line="240" w:lineRule="auto"/>
                    <w:jc w:val="center"/>
                    <w:rPr>
                      <w:rFonts w:hint="default" w:ascii="Times New Roman" w:hAnsi="Times New Roman" w:eastAsia="宋体" w:cs="Times New Roman"/>
                      <w:bCs/>
                      <w:color w:val="auto"/>
                      <w:sz w:val="21"/>
                      <w:szCs w:val="21"/>
                      <w:highlight w:val="none"/>
                    </w:rPr>
                  </w:pPr>
                </w:p>
              </w:tc>
              <w:tc>
                <w:tcPr>
                  <w:tcW w:w="696"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48" w:leftChars="-23" w:right="-36" w:rightChars="-17"/>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生活污水</w:t>
                  </w:r>
                </w:p>
                <w:p>
                  <w:pPr>
                    <w:keepNext w:val="0"/>
                    <w:keepLines w:val="0"/>
                    <w:pageBreakBefore w:val="0"/>
                    <w:widowControl w:val="0"/>
                    <w:kinsoku/>
                    <w:wordWrap/>
                    <w:overflowPunct/>
                    <w:topLinePunct w:val="0"/>
                    <w:bidi w:val="0"/>
                    <w:adjustRightInd w:val="0"/>
                    <w:snapToGrid w:val="0"/>
                    <w:spacing w:line="240" w:lineRule="auto"/>
                    <w:ind w:left="-48" w:leftChars="-23" w:right="-36" w:rightChars="-17"/>
                    <w:jc w:val="center"/>
                    <w:textAlignment w:val="auto"/>
                    <w:rPr>
                      <w:rFonts w:hint="default" w:ascii="Times New Roman" w:hAnsi="Times New Roman" w:eastAsia="宋体" w:cs="Times New Roman"/>
                      <w:snapToGrid w:val="0"/>
                      <w:color w:val="auto"/>
                      <w:kern w:val="0"/>
                      <w:sz w:val="21"/>
                      <w:szCs w:val="21"/>
                      <w:highlight w:val="none"/>
                      <w:lang w:eastAsia="zh-CN"/>
                    </w:rPr>
                  </w:pPr>
                  <w:r>
                    <w:rPr>
                      <w:rFonts w:hint="default" w:ascii="Times New Roman" w:hAnsi="Times New Roman" w:cs="Times New Roman"/>
                      <w:color w:val="auto"/>
                      <w:sz w:val="21"/>
                      <w:szCs w:val="21"/>
                      <w:highlight w:val="none"/>
                      <w:lang w:val="en-US" w:eastAsia="zh-CN"/>
                    </w:rPr>
                    <w:t>食堂废水</w:t>
                  </w:r>
                </w:p>
              </w:tc>
              <w:tc>
                <w:tcPr>
                  <w:tcW w:w="2491" w:type="pct"/>
                  <w:tcBorders>
                    <w:tl2br w:val="nil"/>
                    <w:tr2bl w:val="nil"/>
                  </w:tcBorders>
                  <w:shd w:val="clear" w:color="auto" w:fill="auto"/>
                  <w:vAlign w:val="center"/>
                </w:tcPr>
                <w:p>
                  <w:pPr>
                    <w:keepNext w:val="0"/>
                    <w:keepLines w:val="0"/>
                    <w:pageBreakBefore w:val="0"/>
                    <w:widowControl w:val="0"/>
                    <w:kinsoku/>
                    <w:wordWrap/>
                    <w:overflowPunct/>
                    <w:topLinePunct w:val="0"/>
                    <w:bidi w:val="0"/>
                    <w:spacing w:line="240" w:lineRule="auto"/>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食堂废水经</w:t>
                  </w:r>
                  <w:r>
                    <w:rPr>
                      <w:rFonts w:hint="eastAsia" w:cs="Times New Roman"/>
                      <w:color w:val="auto"/>
                      <w:sz w:val="21"/>
                      <w:szCs w:val="21"/>
                      <w:highlight w:val="none"/>
                      <w:lang w:val="en-US" w:eastAsia="zh-CN"/>
                    </w:rPr>
                    <w:t>隔油池</w:t>
                  </w:r>
                  <w:r>
                    <w:rPr>
                      <w:rFonts w:hint="default" w:ascii="Times New Roman" w:hAnsi="Times New Roman" w:cs="Times New Roman"/>
                      <w:color w:val="auto"/>
                      <w:sz w:val="21"/>
                      <w:szCs w:val="21"/>
                      <w:highlight w:val="none"/>
                      <w:lang w:val="en-US" w:eastAsia="zh-CN"/>
                    </w:rPr>
                    <w:t>处理后同生活污水一同</w:t>
                  </w:r>
                  <w:r>
                    <w:rPr>
                      <w:rFonts w:hint="default" w:ascii="Times New Roman" w:hAnsi="Times New Roman" w:cs="Times New Roman"/>
                      <w:color w:val="auto"/>
                      <w:sz w:val="21"/>
                      <w:szCs w:val="21"/>
                      <w:highlight w:val="none"/>
                    </w:rPr>
                    <w:t>经</w:t>
                  </w:r>
                  <w:r>
                    <w:rPr>
                      <w:rFonts w:hint="default" w:ascii="Times New Roman" w:hAnsi="Times New Roman" w:cs="Times New Roman"/>
                      <w:color w:val="auto"/>
                      <w:sz w:val="21"/>
                      <w:szCs w:val="21"/>
                      <w:highlight w:val="none"/>
                      <w:lang w:val="en-US" w:eastAsia="zh-CN"/>
                    </w:rPr>
                    <w:t>旱厕（4</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lang w:val="en-US" w:eastAsia="zh-CN"/>
                    </w:rPr>
                    <w:t>）处理后用于农肥</w:t>
                  </w:r>
                </w:p>
              </w:tc>
              <w:tc>
                <w:tcPr>
                  <w:tcW w:w="622"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477"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48" w:leftChars="-23" w:right="-36" w:rightChars="-17"/>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73" w:hRule="atLeast"/>
                <w:jc w:val="center"/>
              </w:trPr>
              <w:tc>
                <w:tcPr>
                  <w:tcW w:w="38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27" w:type="pct"/>
                  <w:gridSpan w:val="2"/>
                  <w:vMerge w:val="restart"/>
                  <w:tcBorders>
                    <w:tl2br w:val="nil"/>
                    <w:tr2bl w:val="nil"/>
                  </w:tcBorders>
                  <w:shd w:val="clear" w:color="auto" w:fill="auto"/>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固废</w:t>
                  </w:r>
                </w:p>
              </w:tc>
              <w:tc>
                <w:tcPr>
                  <w:tcW w:w="2491" w:type="pct"/>
                  <w:tcBorders>
                    <w:tl2br w:val="nil"/>
                    <w:tr2bl w:val="nil"/>
                  </w:tcBorders>
                  <w:shd w:val="clear" w:color="auto" w:fill="auto"/>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生活垃圾经袋装收集后定期交由环卫部门统一清运</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0000FF"/>
                      <w:sz w:val="21"/>
                      <w:szCs w:val="21"/>
                      <w:highlight w:val="none"/>
                    </w:rPr>
                    <w:t>经</w:t>
                  </w:r>
                  <w:r>
                    <w:rPr>
                      <w:rFonts w:hint="default" w:ascii="Times New Roman" w:hAnsi="Times New Roman" w:cs="Times New Roman"/>
                      <w:color w:val="0000FF"/>
                      <w:sz w:val="21"/>
                      <w:szCs w:val="21"/>
                      <w:highlight w:val="none"/>
                      <w:lang w:val="en-US" w:eastAsia="zh-CN"/>
                    </w:rPr>
                    <w:t>压滤机压滤后</w:t>
                  </w:r>
                  <w:r>
                    <w:rPr>
                      <w:rFonts w:hint="eastAsia" w:cs="Times New Roman"/>
                      <w:color w:val="0000FF"/>
                      <w:sz w:val="21"/>
                      <w:szCs w:val="21"/>
                      <w:highlight w:val="none"/>
                      <w:lang w:val="en-US" w:eastAsia="zh-CN"/>
                    </w:rPr>
                    <w:t>的泥饼</w:t>
                  </w:r>
                  <w:r>
                    <w:rPr>
                      <w:rFonts w:hint="eastAsia"/>
                      <w:color w:val="0000FF"/>
                      <w:lang w:val="en-US" w:eastAsia="zh-CN"/>
                    </w:rPr>
                    <w:t>直接掉入下方车中运走</w:t>
                  </w:r>
                  <w:r>
                    <w:rPr>
                      <w:rFonts w:hint="eastAsia" w:cs="Times New Roman"/>
                      <w:color w:val="0000FF"/>
                      <w:sz w:val="21"/>
                      <w:szCs w:val="21"/>
                      <w:highlight w:val="none"/>
                      <w:lang w:val="en-US" w:eastAsia="zh-CN"/>
                    </w:rPr>
                    <w:t>，</w:t>
                  </w:r>
                  <w:r>
                    <w:rPr>
                      <w:rFonts w:hint="default" w:ascii="Times New Roman" w:hAnsi="Times New Roman" w:cs="Times New Roman"/>
                      <w:color w:val="auto"/>
                      <w:sz w:val="21"/>
                      <w:szCs w:val="21"/>
                      <w:highlight w:val="none"/>
                      <w:lang w:val="en-US" w:eastAsia="zh-CN"/>
                    </w:rPr>
                    <w:t>外售制砖；边角石料送至砂厂制砂</w:t>
                  </w:r>
                  <w:r>
                    <w:rPr>
                      <w:rFonts w:hint="eastAsia" w:cs="Times New Roman"/>
                      <w:color w:val="auto"/>
                      <w:sz w:val="21"/>
                      <w:szCs w:val="21"/>
                      <w:highlight w:val="none"/>
                      <w:lang w:val="en-US" w:eastAsia="zh-CN"/>
                    </w:rPr>
                    <w:t>；</w:t>
                  </w:r>
                  <w:r>
                    <w:rPr>
                      <w:rFonts w:hint="default" w:ascii="Times New Roman" w:hAnsi="Times New Roman" w:cs="Times New Roman"/>
                      <w:color w:val="0000FF"/>
                      <w:sz w:val="21"/>
                      <w:szCs w:val="21"/>
                      <w:highlight w:val="none"/>
                      <w:lang w:val="en-US" w:eastAsia="zh-CN"/>
                    </w:rPr>
                    <w:t>螺旋绞砂机</w:t>
                  </w:r>
                  <w:r>
                    <w:rPr>
                      <w:rFonts w:hint="eastAsia" w:cs="Times New Roman"/>
                      <w:color w:val="0000FF"/>
                      <w:sz w:val="21"/>
                      <w:szCs w:val="21"/>
                      <w:highlight w:val="none"/>
                      <w:lang w:val="en-US" w:eastAsia="zh-CN"/>
                    </w:rPr>
                    <w:t>选出的砂外售</w:t>
                  </w:r>
                  <w:r>
                    <w:rPr>
                      <w:rFonts w:hint="default" w:ascii="Times New Roman" w:hAnsi="Times New Roman" w:eastAsia="宋体" w:cs="Times New Roman"/>
                      <w:color w:val="auto"/>
                      <w:kern w:val="2"/>
                      <w:sz w:val="21"/>
                      <w:szCs w:val="21"/>
                      <w:highlight w:val="none"/>
                      <w:lang w:val="en-US" w:eastAsia="zh-CN" w:bidi="ar-SA"/>
                    </w:rPr>
                    <w:t>。</w:t>
                  </w:r>
                </w:p>
              </w:tc>
              <w:tc>
                <w:tcPr>
                  <w:tcW w:w="622"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477" w:type="pc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27" w:type="pct"/>
                  <w:gridSpan w:val="2"/>
                  <w:vMerge w:val="continue"/>
                  <w:tcBorders>
                    <w:tl2br w:val="nil"/>
                    <w:tr2bl w:val="nil"/>
                  </w:tcBorders>
                  <w:shd w:val="clear" w:color="auto" w:fill="auto"/>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p>
              </w:tc>
              <w:tc>
                <w:tcPr>
                  <w:tcW w:w="2491" w:type="pct"/>
                  <w:tcBorders>
                    <w:tl2br w:val="nil"/>
                    <w:tr2bl w:val="nil"/>
                  </w:tcBorders>
                  <w:shd w:val="clear" w:color="auto" w:fill="auto"/>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0000FF"/>
                      <w:sz w:val="21"/>
                      <w:szCs w:val="21"/>
                      <w:highlight w:val="none"/>
                      <w:lang w:val="en-US" w:eastAsia="zh-CN"/>
                    </w:rPr>
                    <w:t>危废暂存间</w:t>
                  </w:r>
                  <w:r>
                    <w:rPr>
                      <w:rFonts w:hint="eastAsia" w:cs="Times New Roman"/>
                      <w:color w:val="0000FF"/>
                      <w:sz w:val="21"/>
                      <w:szCs w:val="21"/>
                      <w:highlight w:val="none"/>
                      <w:lang w:val="en-US" w:eastAsia="zh-CN"/>
                    </w:rPr>
                    <w:t>：</w:t>
                  </w:r>
                  <w:r>
                    <w:rPr>
                      <w:rFonts w:hint="default" w:ascii="Times New Roman" w:hAnsi="Times New Roman" w:eastAsia="宋体" w:cs="Times New Roman"/>
                      <w:color w:val="0000FF"/>
                      <w:sz w:val="21"/>
                      <w:szCs w:val="21"/>
                      <w:highlight w:val="none"/>
                      <w:lang w:bidi="ar"/>
                    </w:rPr>
                    <w:t>设置1间建筑面积</w:t>
                  </w:r>
                  <w:r>
                    <w:rPr>
                      <w:rFonts w:hint="eastAsia" w:cs="Times New Roman"/>
                      <w:color w:val="0000FF"/>
                      <w:sz w:val="21"/>
                      <w:szCs w:val="21"/>
                      <w:highlight w:val="none"/>
                      <w:lang w:val="en-US" w:eastAsia="zh-CN" w:bidi="ar"/>
                    </w:rPr>
                    <w:t>3</w:t>
                  </w:r>
                  <w:r>
                    <w:rPr>
                      <w:rFonts w:hint="default" w:ascii="Times New Roman" w:hAnsi="Times New Roman" w:eastAsia="宋体" w:cs="Times New Roman"/>
                      <w:color w:val="0000FF"/>
                      <w:sz w:val="21"/>
                      <w:szCs w:val="21"/>
                      <w:highlight w:val="none"/>
                      <w:lang w:bidi="ar"/>
                    </w:rPr>
                    <w:t>m</w:t>
                  </w:r>
                  <w:r>
                    <w:rPr>
                      <w:rFonts w:hint="default" w:ascii="Times New Roman" w:hAnsi="Times New Roman" w:eastAsia="宋体" w:cs="Times New Roman"/>
                      <w:color w:val="0000FF"/>
                      <w:sz w:val="21"/>
                      <w:szCs w:val="21"/>
                      <w:highlight w:val="none"/>
                      <w:vertAlign w:val="superscript"/>
                      <w:lang w:bidi="ar"/>
                    </w:rPr>
                    <w:t>2</w:t>
                  </w:r>
                  <w:r>
                    <w:rPr>
                      <w:rFonts w:hint="default" w:ascii="Times New Roman" w:hAnsi="Times New Roman" w:eastAsia="宋体" w:cs="Times New Roman"/>
                      <w:color w:val="0000FF"/>
                      <w:sz w:val="21"/>
                      <w:szCs w:val="21"/>
                      <w:highlight w:val="none"/>
                      <w:lang w:bidi="ar"/>
                    </w:rPr>
                    <w:t>的危废暂存间，用于危险废物暂存</w:t>
                  </w:r>
                  <w:r>
                    <w:rPr>
                      <w:rFonts w:hint="default" w:ascii="Times New Roman" w:hAnsi="Times New Roman" w:eastAsia="宋体" w:cs="Times New Roman"/>
                      <w:color w:val="0000FF"/>
                      <w:sz w:val="21"/>
                      <w:szCs w:val="21"/>
                      <w:highlight w:val="none"/>
                      <w:lang w:eastAsia="zh-CN" w:bidi="ar"/>
                    </w:rPr>
                    <w:t>。</w:t>
                  </w:r>
                  <w:r>
                    <w:rPr>
                      <w:rFonts w:hint="eastAsia" w:cs="Times New Roman"/>
                      <w:color w:val="0000FF"/>
                      <w:sz w:val="21"/>
                      <w:szCs w:val="21"/>
                      <w:highlight w:val="none"/>
                      <w:lang w:val="en-US" w:eastAsia="zh-CN" w:bidi="ar"/>
                    </w:rPr>
                    <w:t>产生的废机油交由有资质的单位进行处理。</w:t>
                  </w:r>
                </w:p>
              </w:tc>
              <w:tc>
                <w:tcPr>
                  <w:tcW w:w="622" w:type="pct"/>
                  <w:vMerge w:val="continue"/>
                  <w:tcBorders>
                    <w:tl2br w:val="nil"/>
                    <w:tr2bl w:val="nil"/>
                  </w:tcBorders>
                  <w:shd w:val="clear" w:color="auto" w:fill="auto"/>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
                    </w:rPr>
                  </w:pPr>
                </w:p>
              </w:tc>
              <w:tc>
                <w:tcPr>
                  <w:tcW w:w="477" w:type="pc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环境风险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27" w:type="pct"/>
                  <w:gridSpan w:val="2"/>
                  <w:tcBorders>
                    <w:tl2br w:val="nil"/>
                    <w:tr2bl w:val="nil"/>
                  </w:tcBorders>
                  <w:shd w:val="clear" w:color="auto" w:fill="auto"/>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噪声</w:t>
                  </w:r>
                </w:p>
              </w:tc>
              <w:tc>
                <w:tcPr>
                  <w:tcW w:w="2491" w:type="pct"/>
                  <w:tcBorders>
                    <w:tl2br w:val="nil"/>
                    <w:tr2bl w:val="nil"/>
                  </w:tcBorders>
                  <w:shd w:val="clear" w:color="auto" w:fill="auto"/>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rPr>
                    <w:t>选用低噪声设备，合理布局、采取减震措施</w:t>
                  </w:r>
                </w:p>
              </w:tc>
              <w:tc>
                <w:tcPr>
                  <w:tcW w:w="622"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477" w:type="pc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331" w:type="pct"/>
                  <w:vMerge w:val="restart"/>
                  <w:tcBorders>
                    <w:tl2br w:val="nil"/>
                    <w:tr2bl w:val="nil"/>
                  </w:tcBorders>
                  <w:shd w:val="clear" w:color="auto" w:fill="auto"/>
                  <w:vAlign w:val="center"/>
                </w:tcPr>
                <w:p>
                  <w:pPr>
                    <w:tabs>
                      <w:tab w:val="left" w:pos="993"/>
                      <w:tab w:val="left" w:pos="1134"/>
                    </w:tabs>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地下水防渗</w:t>
                  </w:r>
                </w:p>
              </w:tc>
              <w:tc>
                <w:tcPr>
                  <w:tcW w:w="696" w:type="pct"/>
                  <w:tcBorders>
                    <w:tl2br w:val="nil"/>
                    <w:tr2bl w:val="nil"/>
                  </w:tcBorders>
                  <w:shd w:val="clear" w:color="auto" w:fill="auto"/>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重点防渗区</w:t>
                  </w:r>
                </w:p>
              </w:tc>
              <w:tc>
                <w:tcPr>
                  <w:tcW w:w="2491" w:type="pct"/>
                  <w:tcBorders>
                    <w:tl2br w:val="nil"/>
                    <w:tr2bl w:val="nil"/>
                  </w:tcBorders>
                  <w:shd w:val="clear" w:color="auto" w:fill="auto"/>
                  <w:vAlign w:val="center"/>
                </w:tcPr>
                <w:p>
                  <w:pPr>
                    <w:tabs>
                      <w:tab w:val="left" w:pos="993"/>
                      <w:tab w:val="left" w:pos="1134"/>
                    </w:tabs>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bidi="ar"/>
                    </w:rPr>
                    <w:t>机修房</w:t>
                  </w:r>
                  <w:r>
                    <w:rPr>
                      <w:rFonts w:hint="eastAsia" w:cs="Times New Roman"/>
                      <w:color w:val="0000FF"/>
                      <w:sz w:val="21"/>
                      <w:szCs w:val="21"/>
                      <w:highlight w:val="none"/>
                      <w:lang w:val="en-US" w:eastAsia="zh-CN" w:bidi="ar"/>
                    </w:rPr>
                    <w:t>和危废暂存间</w:t>
                  </w:r>
                  <w:r>
                    <w:rPr>
                      <w:rFonts w:hint="default" w:ascii="Times New Roman" w:hAnsi="Times New Roman" w:eastAsia="宋体" w:cs="Times New Roman"/>
                      <w:color w:val="auto"/>
                      <w:sz w:val="21"/>
                      <w:szCs w:val="21"/>
                      <w:highlight w:val="none"/>
                      <w:lang w:val="en-US" w:eastAsia="zh-CN" w:bidi="ar"/>
                    </w:rPr>
                    <w:t>地面</w:t>
                  </w:r>
                  <w:r>
                    <w:rPr>
                      <w:rFonts w:hint="default" w:ascii="Times New Roman" w:hAnsi="Times New Roman" w:eastAsia="宋体" w:cs="Times New Roman"/>
                      <w:color w:val="auto"/>
                      <w:kern w:val="2"/>
                      <w:sz w:val="21"/>
                      <w:szCs w:val="21"/>
                      <w:highlight w:val="none"/>
                    </w:rPr>
                    <w:t>采用15mm厚的防渗混凝土+高密度聚乙烯膜</w:t>
                  </w:r>
                  <w:r>
                    <w:rPr>
                      <w:rFonts w:hint="default" w:ascii="Times New Roman" w:hAnsi="Times New Roman" w:eastAsia="宋体" w:cs="Times New Roman"/>
                      <w:color w:val="auto"/>
                      <w:kern w:val="2"/>
                      <w:sz w:val="21"/>
                      <w:szCs w:val="21"/>
                      <w:highlight w:val="none"/>
                      <w:lang w:val="en-US" w:eastAsia="zh-CN"/>
                    </w:rPr>
                    <w:t>进行</w:t>
                  </w:r>
                  <w:r>
                    <w:rPr>
                      <w:rFonts w:hint="default" w:ascii="Times New Roman" w:hAnsi="Times New Roman" w:eastAsia="宋体" w:cs="Times New Roman"/>
                      <w:color w:val="auto"/>
                      <w:sz w:val="21"/>
                      <w:szCs w:val="21"/>
                      <w:highlight w:val="none"/>
                      <w:lang w:val="en-US" w:eastAsia="zh-CN" w:bidi="ar"/>
                    </w:rPr>
                    <w:t>防渗</w:t>
                  </w:r>
                </w:p>
              </w:tc>
              <w:tc>
                <w:tcPr>
                  <w:tcW w:w="622"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477" w:type="pct"/>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331" w:type="pct"/>
                  <w:vMerge w:val="continue"/>
                  <w:tcBorders>
                    <w:tl2br w:val="nil"/>
                    <w:tr2bl w:val="nil"/>
                  </w:tcBorders>
                  <w:shd w:val="clear" w:color="auto" w:fill="auto"/>
                  <w:vAlign w:val="center"/>
                </w:tcPr>
                <w:p>
                  <w:pPr>
                    <w:tabs>
                      <w:tab w:val="left" w:pos="993"/>
                      <w:tab w:val="left" w:pos="1134"/>
                    </w:tabs>
                    <w:spacing w:line="240" w:lineRule="auto"/>
                    <w:jc w:val="center"/>
                    <w:rPr>
                      <w:rFonts w:hint="default" w:ascii="Times New Roman" w:hAnsi="Times New Roman" w:eastAsia="宋体" w:cs="Times New Roman"/>
                      <w:bCs/>
                      <w:color w:val="auto"/>
                      <w:sz w:val="21"/>
                      <w:szCs w:val="21"/>
                      <w:highlight w:val="none"/>
                    </w:rPr>
                  </w:pPr>
                </w:p>
              </w:tc>
              <w:tc>
                <w:tcPr>
                  <w:tcW w:w="696" w:type="pct"/>
                  <w:tcBorders>
                    <w:tl2br w:val="nil"/>
                    <w:tr2bl w:val="nil"/>
                  </w:tcBorders>
                  <w:shd w:val="clear" w:color="auto" w:fill="auto"/>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一般防渗区</w:t>
                  </w:r>
                </w:p>
              </w:tc>
              <w:tc>
                <w:tcPr>
                  <w:tcW w:w="2491" w:type="pct"/>
                  <w:tcBorders>
                    <w:tl2br w:val="nil"/>
                    <w:tr2bl w:val="nil"/>
                  </w:tcBorders>
                  <w:shd w:val="clear" w:color="auto" w:fill="auto"/>
                  <w:vAlign w:val="center"/>
                </w:tcPr>
                <w:p>
                  <w:pPr>
                    <w:tabs>
                      <w:tab w:val="left" w:pos="993"/>
                      <w:tab w:val="left" w:pos="1134"/>
                    </w:tabs>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旱厕</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隔油池、加工区</w:t>
                  </w:r>
                  <w:r>
                    <w:rPr>
                      <w:rFonts w:hint="default" w:ascii="Times New Roman" w:hAnsi="Times New Roman" w:cs="Times New Roman"/>
                      <w:color w:val="auto"/>
                      <w:sz w:val="21"/>
                      <w:szCs w:val="21"/>
                      <w:highlight w:val="none"/>
                      <w:lang w:val="en-US" w:eastAsia="zh-CN"/>
                    </w:rPr>
                    <w:t>、三级沉淀池、成品堆场、原料堆场、污泥堆场</w:t>
                  </w:r>
                  <w:r>
                    <w:rPr>
                      <w:rFonts w:hint="default" w:ascii="Times New Roman" w:hAnsi="Times New Roman" w:eastAsia="宋体" w:cs="Times New Roman"/>
                      <w:color w:val="auto"/>
                      <w:sz w:val="21"/>
                      <w:szCs w:val="21"/>
                      <w:highlight w:val="none"/>
                      <w:lang w:val="en-US" w:eastAsia="zh-CN" w:bidi="ar"/>
                    </w:rPr>
                    <w:t>等采用25cmC30防渗混凝土防渗</w:t>
                  </w:r>
                </w:p>
              </w:tc>
              <w:tc>
                <w:tcPr>
                  <w:tcW w:w="622"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477"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331" w:type="pct"/>
                  <w:vMerge w:val="continue"/>
                  <w:tcBorders>
                    <w:tl2br w:val="nil"/>
                    <w:tr2bl w:val="nil"/>
                  </w:tcBorders>
                  <w:shd w:val="clear" w:color="auto" w:fill="auto"/>
                  <w:vAlign w:val="center"/>
                </w:tcPr>
                <w:p>
                  <w:pPr>
                    <w:tabs>
                      <w:tab w:val="left" w:pos="993"/>
                      <w:tab w:val="left" w:pos="1134"/>
                    </w:tabs>
                    <w:spacing w:line="240" w:lineRule="auto"/>
                    <w:jc w:val="center"/>
                    <w:rPr>
                      <w:rFonts w:hint="default" w:ascii="Times New Roman" w:hAnsi="Times New Roman" w:eastAsia="宋体" w:cs="Times New Roman"/>
                      <w:bCs/>
                      <w:color w:val="auto"/>
                      <w:sz w:val="21"/>
                      <w:szCs w:val="21"/>
                      <w:highlight w:val="none"/>
                    </w:rPr>
                  </w:pPr>
                </w:p>
              </w:tc>
              <w:tc>
                <w:tcPr>
                  <w:tcW w:w="696" w:type="pct"/>
                  <w:tcBorders>
                    <w:tl2br w:val="nil"/>
                    <w:tr2bl w:val="nil"/>
                  </w:tcBorders>
                  <w:shd w:val="clear" w:color="auto" w:fill="auto"/>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简单</w:t>
                  </w:r>
                  <w:r>
                    <w:rPr>
                      <w:rFonts w:hint="default" w:ascii="Times New Roman" w:hAnsi="Times New Roman" w:eastAsia="宋体" w:cs="Times New Roman"/>
                      <w:color w:val="auto"/>
                      <w:sz w:val="21"/>
                      <w:szCs w:val="21"/>
                      <w:highlight w:val="none"/>
                      <w:lang w:val="en-US" w:eastAsia="zh-CN"/>
                    </w:rPr>
                    <w:t>防渗区</w:t>
                  </w:r>
                </w:p>
              </w:tc>
              <w:tc>
                <w:tcPr>
                  <w:tcW w:w="2491" w:type="pct"/>
                  <w:tcBorders>
                    <w:tl2br w:val="nil"/>
                    <w:tr2bl w:val="nil"/>
                  </w:tcBorders>
                  <w:shd w:val="clear" w:color="auto" w:fill="auto"/>
                  <w:vAlign w:val="center"/>
                </w:tcPr>
                <w:p>
                  <w:pPr>
                    <w:tabs>
                      <w:tab w:val="left" w:pos="993"/>
                      <w:tab w:val="left" w:pos="1134"/>
                    </w:tabs>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厂区道路、办公区及除重点、一般防渗区以外的区域</w:t>
                  </w:r>
                  <w:r>
                    <w:rPr>
                      <w:rFonts w:hint="default" w:ascii="Times New Roman" w:hAnsi="Times New Roman" w:eastAsia="宋体" w:cs="Times New Roman"/>
                      <w:color w:val="auto"/>
                      <w:sz w:val="21"/>
                      <w:szCs w:val="21"/>
                      <w:highlight w:val="none"/>
                    </w:rPr>
                    <w:t>采用</w:t>
                  </w:r>
                  <w:r>
                    <w:rPr>
                      <w:rFonts w:hint="default" w:ascii="Times New Roman" w:hAnsi="Times New Roman" w:eastAsia="宋体" w:cs="Times New Roman"/>
                      <w:color w:val="auto"/>
                      <w:sz w:val="21"/>
                      <w:szCs w:val="21"/>
                      <w:highlight w:val="none"/>
                      <w:lang w:val="en-US" w:eastAsia="zh-CN"/>
                    </w:rPr>
                    <w:t>水泥硬化。</w:t>
                  </w:r>
                </w:p>
              </w:tc>
              <w:tc>
                <w:tcPr>
                  <w:tcW w:w="622"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477"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highlight w:val="none"/>
                    </w:rPr>
                  </w:pPr>
                </w:p>
              </w:tc>
            </w:tr>
          </w:tbl>
          <w:p>
            <w:pPr>
              <w:spacing w:line="360" w:lineRule="auto"/>
              <w:ind w:firstLine="482" w:firstLineChars="200"/>
              <w:rPr>
                <w:rFonts w:hint="default" w:eastAsia="宋体" w:cs="Times New Roman"/>
                <w:b/>
                <w:color w:val="auto"/>
                <w:sz w:val="24"/>
                <w:szCs w:val="24"/>
                <w:highlight w:val="none"/>
                <w:lang w:val="en-US" w:eastAsia="zh-CN"/>
              </w:rPr>
            </w:pPr>
            <w:r>
              <w:rPr>
                <w:rFonts w:hint="eastAsia" w:cs="Times New Roman"/>
                <w:b/>
                <w:color w:val="auto"/>
                <w:sz w:val="24"/>
                <w:szCs w:val="24"/>
                <w:highlight w:val="none"/>
                <w:lang w:val="en-US" w:eastAsia="zh-CN"/>
              </w:rPr>
              <w:t>4</w:t>
            </w:r>
            <w:r>
              <w:rPr>
                <w:rFonts w:cs="Times New Roman"/>
                <w:b/>
                <w:color w:val="auto"/>
                <w:sz w:val="24"/>
                <w:szCs w:val="24"/>
                <w:highlight w:val="none"/>
              </w:rPr>
              <w:t>、</w:t>
            </w:r>
            <w:r>
              <w:rPr>
                <w:rFonts w:hint="eastAsia" w:cs="Times New Roman"/>
                <w:b/>
                <w:color w:val="auto"/>
                <w:sz w:val="24"/>
                <w:szCs w:val="24"/>
                <w:highlight w:val="none"/>
                <w:lang w:val="en-US" w:eastAsia="zh-CN"/>
              </w:rPr>
              <w:t>产品方案</w:t>
            </w:r>
          </w:p>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color w:val="auto"/>
                <w:sz w:val="24"/>
                <w:szCs w:val="24"/>
                <w:highlight w:val="none"/>
                <w:lang w:val="en-US" w:eastAsia="zh-CN"/>
              </w:rPr>
              <w:t>本项目年加工青石板2000</w:t>
            </w:r>
            <w:r>
              <w:rPr>
                <w:rFonts w:hint="default" w:ascii="Times New Roman" w:hAnsi="Times New Roman" w:eastAsia="宋体" w:cs="Times New Roman"/>
                <w:bCs/>
                <w:color w:val="auto"/>
                <w:kern w:val="2"/>
                <w:sz w:val="24"/>
                <w:szCs w:val="24"/>
                <w:highlight w:val="none"/>
                <w:lang w:val="en-US" w:eastAsia="zh-CN" w:bidi="ar-SA"/>
              </w:rPr>
              <w:t>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cs="Times New Roman"/>
                <w:color w:val="auto"/>
                <w:sz w:val="24"/>
                <w:szCs w:val="24"/>
                <w:highlight w:val="none"/>
                <w:lang w:val="en-US" w:eastAsia="zh-CN"/>
              </w:rPr>
              <w:t>、花岗岩</w:t>
            </w:r>
            <w:r>
              <w:rPr>
                <w:rFonts w:hint="eastAsia" w:ascii="Times New Roman" w:hAnsi="Times New Roman" w:cs="Times New Roman"/>
                <w:color w:val="auto"/>
                <w:sz w:val="24"/>
                <w:szCs w:val="24"/>
                <w:highlight w:val="none"/>
                <w:lang w:val="en-US" w:eastAsia="zh-CN"/>
              </w:rPr>
              <w:t>板500</w:t>
            </w:r>
            <w:r>
              <w:rPr>
                <w:rFonts w:hint="default" w:ascii="Times New Roman" w:hAnsi="Times New Roman" w:eastAsia="宋体" w:cs="Times New Roman"/>
                <w:bCs/>
                <w:color w:val="auto"/>
                <w:kern w:val="2"/>
                <w:sz w:val="24"/>
                <w:szCs w:val="24"/>
                <w:highlight w:val="none"/>
                <w:lang w:val="en-US" w:eastAsia="zh-CN" w:bidi="ar-SA"/>
              </w:rPr>
              <w:t>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cs="Times New Roman"/>
                <w:color w:val="auto"/>
                <w:sz w:val="24"/>
                <w:szCs w:val="24"/>
                <w:highlight w:val="none"/>
                <w:lang w:val="en-US" w:eastAsia="zh-CN"/>
              </w:rPr>
              <w:t>、大理石</w:t>
            </w:r>
            <w:r>
              <w:rPr>
                <w:rFonts w:hint="eastAsia" w:ascii="Times New Roman" w:hAnsi="Times New Roman" w:cs="Times New Roman"/>
                <w:color w:val="auto"/>
                <w:sz w:val="24"/>
                <w:szCs w:val="24"/>
                <w:highlight w:val="none"/>
                <w:lang w:val="en-US" w:eastAsia="zh-CN"/>
              </w:rPr>
              <w:t>400</w:t>
            </w:r>
            <w:r>
              <w:rPr>
                <w:rFonts w:hint="default" w:ascii="Times New Roman" w:hAnsi="Times New Roman" w:eastAsia="宋体" w:cs="Times New Roman"/>
                <w:bCs/>
                <w:color w:val="auto"/>
                <w:kern w:val="2"/>
                <w:sz w:val="24"/>
                <w:szCs w:val="24"/>
                <w:highlight w:val="none"/>
                <w:lang w:val="en-US" w:eastAsia="zh-CN" w:bidi="ar-SA"/>
              </w:rPr>
              <w:t>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汉白玉50</w:t>
            </w:r>
            <w:r>
              <w:rPr>
                <w:rFonts w:hint="default" w:ascii="Times New Roman" w:hAnsi="Times New Roman" w:eastAsia="宋体" w:cs="Times New Roman"/>
                <w:bCs/>
                <w:color w:val="auto"/>
                <w:kern w:val="2"/>
                <w:sz w:val="24"/>
                <w:szCs w:val="24"/>
                <w:highlight w:val="none"/>
                <w:lang w:val="en-US" w:eastAsia="zh-CN" w:bidi="ar-SA"/>
              </w:rPr>
              <w:t>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石板30</w:t>
            </w:r>
            <w:r>
              <w:rPr>
                <w:rFonts w:hint="default" w:ascii="Times New Roman" w:hAnsi="Times New Roman" w:eastAsia="宋体" w:cs="Times New Roman"/>
                <w:bCs/>
                <w:color w:val="auto"/>
                <w:kern w:val="2"/>
                <w:sz w:val="24"/>
                <w:szCs w:val="24"/>
                <w:highlight w:val="none"/>
                <w:lang w:val="en-US" w:eastAsia="zh-CN" w:bidi="ar-SA"/>
              </w:rPr>
              <w:t>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板材20</w:t>
            </w:r>
            <w:r>
              <w:rPr>
                <w:rFonts w:hint="default" w:ascii="Times New Roman" w:hAnsi="Times New Roman" w:eastAsia="宋体" w:cs="Times New Roman"/>
                <w:bCs/>
                <w:color w:val="auto"/>
                <w:kern w:val="2"/>
                <w:sz w:val="24"/>
                <w:szCs w:val="24"/>
                <w:highlight w:val="none"/>
                <w:lang w:val="en-US" w:eastAsia="zh-CN" w:bidi="ar-SA"/>
              </w:rPr>
              <w:t>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eastAsia" w:cs="Times New Roman"/>
                <w:color w:val="auto"/>
                <w:sz w:val="24"/>
                <w:szCs w:val="24"/>
                <w:highlight w:val="none"/>
                <w:lang w:val="en-US" w:eastAsia="zh-CN"/>
              </w:rPr>
              <w:t>，生产</w:t>
            </w:r>
            <w:r>
              <w:rPr>
                <w:rFonts w:hint="eastAsia" w:ascii="Times New Roman" w:hAnsi="Times New Roman" w:cs="Times New Roman"/>
                <w:color w:val="auto"/>
                <w:sz w:val="24"/>
                <w:szCs w:val="24"/>
                <w:highlight w:val="none"/>
                <w:lang w:val="en-US" w:eastAsia="zh-CN"/>
              </w:rPr>
              <w:t>石碑、</w:t>
            </w:r>
            <w:r>
              <w:rPr>
                <w:rFonts w:hint="default" w:ascii="Times New Roman" w:hAnsi="Times New Roman" w:cs="Times New Roman"/>
                <w:color w:val="auto"/>
                <w:sz w:val="24"/>
                <w:szCs w:val="24"/>
                <w:highlight w:val="none"/>
                <w:lang w:val="en-US" w:eastAsia="zh-CN"/>
              </w:rPr>
              <w:t>地砖</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栏杆</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路沿石</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铺路石</w:t>
            </w:r>
            <w:r>
              <w:rPr>
                <w:rFonts w:hint="eastAsia" w:ascii="Times New Roman" w:hAnsi="Times New Roman" w:cs="Times New Roman"/>
                <w:color w:val="auto"/>
                <w:sz w:val="24"/>
                <w:szCs w:val="24"/>
                <w:highlight w:val="none"/>
                <w:lang w:val="en-US" w:eastAsia="zh-CN"/>
              </w:rPr>
              <w:t>等。</w:t>
            </w:r>
          </w:p>
          <w:p>
            <w:pPr>
              <w:spacing w:line="360" w:lineRule="auto"/>
              <w:ind w:firstLine="480" w:firstLineChars="200"/>
              <w:rPr>
                <w:color w:val="auto"/>
                <w:sz w:val="24"/>
                <w:szCs w:val="24"/>
                <w:highlight w:val="none"/>
              </w:rPr>
            </w:pPr>
            <w:r>
              <w:rPr>
                <w:rFonts w:hint="eastAsia"/>
                <w:color w:val="auto"/>
                <w:sz w:val="24"/>
                <w:szCs w:val="24"/>
                <w:highlight w:val="none"/>
              </w:rPr>
              <w:t>本项目产品方案及年产能</w:t>
            </w:r>
            <w:r>
              <w:rPr>
                <w:color w:val="auto"/>
                <w:sz w:val="24"/>
                <w:szCs w:val="24"/>
                <w:highlight w:val="none"/>
              </w:rPr>
              <w:t>见表2-</w:t>
            </w:r>
            <w:r>
              <w:rPr>
                <w:rFonts w:hint="eastAsia"/>
                <w:color w:val="auto"/>
                <w:sz w:val="24"/>
                <w:szCs w:val="24"/>
                <w:highlight w:val="none"/>
                <w:lang w:val="en-US" w:eastAsia="zh-CN"/>
              </w:rPr>
              <w:t>2</w:t>
            </w:r>
            <w:r>
              <w:rPr>
                <w:color w:val="auto"/>
                <w:sz w:val="24"/>
                <w:szCs w:val="24"/>
                <w:highlight w:val="none"/>
              </w:rPr>
              <w:t>。</w:t>
            </w:r>
          </w:p>
          <w:p>
            <w:pPr>
              <w:spacing w:line="360" w:lineRule="auto"/>
              <w:jc w:val="center"/>
              <w:rPr>
                <w:rFonts w:hint="eastAsia" w:ascii="Times New Roman" w:hAnsi="Times New Roman" w:eastAsia="宋体"/>
                <w:b/>
                <w:bCs/>
                <w:color w:val="auto"/>
                <w:kern w:val="24"/>
                <w:sz w:val="24"/>
                <w:szCs w:val="24"/>
                <w:highlight w:val="none"/>
              </w:rPr>
            </w:pPr>
            <w:r>
              <w:rPr>
                <w:rFonts w:hint="eastAsia" w:ascii="Times New Roman" w:hAnsi="Times New Roman" w:eastAsia="宋体"/>
                <w:b/>
                <w:bCs/>
                <w:color w:val="auto"/>
                <w:kern w:val="24"/>
                <w:sz w:val="24"/>
                <w:szCs w:val="24"/>
                <w:highlight w:val="none"/>
              </w:rPr>
              <w:t>表2-</w:t>
            </w:r>
            <w:r>
              <w:rPr>
                <w:rFonts w:hint="eastAsia"/>
                <w:b/>
                <w:bCs/>
                <w:color w:val="auto"/>
                <w:kern w:val="24"/>
                <w:sz w:val="24"/>
                <w:szCs w:val="24"/>
                <w:highlight w:val="none"/>
                <w:lang w:val="en-US" w:eastAsia="zh-CN"/>
              </w:rPr>
              <w:t>2</w:t>
            </w:r>
            <w:r>
              <w:rPr>
                <w:rFonts w:hint="eastAsia" w:ascii="Times New Roman" w:hAnsi="Times New Roman" w:eastAsia="宋体"/>
                <w:b/>
                <w:bCs/>
                <w:color w:val="auto"/>
                <w:kern w:val="24"/>
                <w:sz w:val="24"/>
                <w:szCs w:val="24"/>
                <w:highlight w:val="none"/>
              </w:rPr>
              <w:t xml:space="preserve">  产品方案一览表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841"/>
              <w:gridCol w:w="2040"/>
              <w:gridCol w:w="2519"/>
              <w:gridCol w:w="1680"/>
              <w:gridCol w:w="9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tcBorders>
                    <w:tl2br w:val="nil"/>
                    <w:tr2bl w:val="nil"/>
                  </w:tcBorders>
                  <w:vAlign w:val="center"/>
                </w:tcPr>
                <w:p>
                  <w:pPr>
                    <w:widowControl/>
                    <w:spacing w:line="240" w:lineRule="auto"/>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序号</w:t>
                  </w:r>
                </w:p>
              </w:tc>
              <w:tc>
                <w:tcPr>
                  <w:tcW w:w="488" w:type="pct"/>
                  <w:tcBorders>
                    <w:tl2br w:val="nil"/>
                    <w:tr2bl w:val="nil"/>
                  </w:tcBorders>
                  <w:vAlign w:val="center"/>
                </w:tcPr>
                <w:p>
                  <w:pPr>
                    <w:widowControl/>
                    <w:spacing w:line="240" w:lineRule="auto"/>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产品名称</w:t>
                  </w:r>
                </w:p>
              </w:tc>
              <w:tc>
                <w:tcPr>
                  <w:tcW w:w="1184" w:type="pct"/>
                  <w:tcBorders>
                    <w:tl2br w:val="nil"/>
                    <w:tr2bl w:val="nil"/>
                  </w:tcBorders>
                  <w:vAlign w:val="center"/>
                </w:tcPr>
                <w:p>
                  <w:pPr>
                    <w:widowControl/>
                    <w:spacing w:line="240" w:lineRule="auto"/>
                    <w:jc w:val="center"/>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原料</w:t>
                  </w:r>
                </w:p>
              </w:tc>
              <w:tc>
                <w:tcPr>
                  <w:tcW w:w="1462" w:type="pct"/>
                  <w:tcBorders>
                    <w:tl2br w:val="nil"/>
                    <w:tr2bl w:val="nil"/>
                  </w:tcBorders>
                  <w:vAlign w:val="center"/>
                </w:tcPr>
                <w:p>
                  <w:pPr>
                    <w:widowControl/>
                    <w:spacing w:line="240" w:lineRule="auto"/>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bCs/>
                      <w:color w:val="auto"/>
                      <w:kern w:val="0"/>
                      <w:sz w:val="21"/>
                      <w:szCs w:val="21"/>
                      <w:highlight w:val="none"/>
                      <w:lang w:val="en-US" w:eastAsia="zh-CN"/>
                    </w:rPr>
                    <w:t>产品规格</w:t>
                  </w:r>
                </w:p>
              </w:tc>
              <w:tc>
                <w:tcPr>
                  <w:tcW w:w="975" w:type="pct"/>
                  <w:tcBorders>
                    <w:tl2br w:val="nil"/>
                    <w:tr2bl w:val="nil"/>
                  </w:tcBorders>
                  <w:vAlign w:val="center"/>
                </w:tcPr>
                <w:p>
                  <w:pPr>
                    <w:widowControl/>
                    <w:spacing w:line="240" w:lineRule="auto"/>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bCs/>
                      <w:color w:val="auto"/>
                      <w:sz w:val="21"/>
                      <w:szCs w:val="21"/>
                      <w:highlight w:val="none"/>
                      <w:lang w:val="en-US" w:eastAsia="zh-CN"/>
                    </w:rPr>
                    <w:t>年产量</w:t>
                  </w:r>
                </w:p>
              </w:tc>
              <w:tc>
                <w:tcPr>
                  <w:tcW w:w="567" w:type="pct"/>
                  <w:tcBorders>
                    <w:tl2br w:val="nil"/>
                    <w:tr2bl w:val="nil"/>
                  </w:tcBorders>
                  <w:vAlign w:val="center"/>
                </w:tcPr>
                <w:p>
                  <w:pPr>
                    <w:widowControl/>
                    <w:spacing w:line="240" w:lineRule="auto"/>
                    <w:jc w:val="center"/>
                    <w:rPr>
                      <w:rFonts w:hint="default" w:ascii="Times New Roman" w:hAnsi="Times New Roman" w:cs="Times New Roman"/>
                      <w:b/>
                      <w:bCs/>
                      <w:color w:val="0000FF"/>
                      <w:sz w:val="21"/>
                      <w:szCs w:val="21"/>
                      <w:highlight w:val="none"/>
                      <w:lang w:val="en-US" w:eastAsia="zh-CN"/>
                    </w:rPr>
                  </w:pPr>
                  <w:r>
                    <w:rPr>
                      <w:rFonts w:hint="eastAsia" w:cs="Times New Roman"/>
                      <w:b/>
                      <w:bCs/>
                      <w:color w:val="0000FF"/>
                      <w:sz w:val="21"/>
                      <w:szCs w:val="21"/>
                      <w:highlight w:val="none"/>
                      <w:lang w:val="en-US" w:eastAsia="zh-CN"/>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tcBorders>
                    <w:tl2br w:val="nil"/>
                    <w:tr2bl w:val="nil"/>
                  </w:tcBorders>
                  <w:vAlign w:val="center"/>
                </w:tcPr>
                <w:p>
                  <w:pPr>
                    <w:widowControl/>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1</w:t>
                  </w:r>
                </w:p>
              </w:tc>
              <w:tc>
                <w:tcPr>
                  <w:tcW w:w="488"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石碑</w:t>
                  </w:r>
                </w:p>
              </w:tc>
              <w:tc>
                <w:tcPr>
                  <w:tcW w:w="1184"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青石（1</w:t>
                  </w:r>
                  <w:r>
                    <w:rPr>
                      <w:rFonts w:hint="eastAsia" w:cs="Times New Roman"/>
                      <w:color w:val="auto"/>
                      <w:sz w:val="21"/>
                      <w:szCs w:val="21"/>
                      <w:lang w:val="en-US" w:eastAsia="zh-CN"/>
                    </w:rPr>
                    <w:t>3</w:t>
                  </w:r>
                  <w:r>
                    <w:rPr>
                      <w:rFonts w:hint="default" w:ascii="Times New Roman" w:hAnsi="Times New Roman" w:cs="Times New Roman"/>
                      <w:color w:val="auto"/>
                      <w:sz w:val="21"/>
                      <w:szCs w:val="21"/>
                      <w:lang w:val="en-US" w:eastAsia="zh-CN"/>
                    </w:rPr>
                    <w:t>00</w:t>
                  </w:r>
                  <w:r>
                    <w:rPr>
                      <w:rFonts w:hint="default" w:ascii="Times New Roman" w:hAnsi="Times New Roman" w:eastAsia="宋体" w:cs="Times New Roman"/>
                      <w:bCs/>
                      <w:color w:val="auto"/>
                      <w:kern w:val="2"/>
                      <w:sz w:val="21"/>
                      <w:szCs w:val="21"/>
                      <w:highlight w:val="none"/>
                      <w:lang w:val="en-US" w:eastAsia="zh-CN" w:bidi="ar-SA"/>
                    </w:rPr>
                    <w:t>m</w:t>
                  </w:r>
                  <w:r>
                    <w:rPr>
                      <w:rFonts w:hint="default" w:ascii="Times New Roman" w:hAnsi="Times New Roman" w:eastAsia="宋体" w:cs="Times New Roman"/>
                      <w:bCs/>
                      <w:color w:val="auto"/>
                      <w:kern w:val="2"/>
                      <w:sz w:val="21"/>
                      <w:szCs w:val="21"/>
                      <w:highlight w:val="none"/>
                      <w:vertAlign w:val="superscript"/>
                      <w:lang w:val="en-US" w:eastAsia="zh-CN" w:bidi="ar-SA"/>
                    </w:rPr>
                    <w:t>3</w:t>
                  </w:r>
                  <w:r>
                    <w:rPr>
                      <w:rFonts w:hint="default" w:ascii="Times New Roman" w:hAnsi="Times New Roman" w:cs="Times New Roman"/>
                      <w:color w:val="auto"/>
                      <w:sz w:val="21"/>
                      <w:szCs w:val="21"/>
                      <w:lang w:val="en-US" w:eastAsia="zh-CN"/>
                    </w:rPr>
                    <w:t>）、花岗岩（500</w:t>
                  </w:r>
                  <w:r>
                    <w:rPr>
                      <w:rFonts w:hint="default" w:ascii="Times New Roman" w:hAnsi="Times New Roman" w:eastAsia="宋体" w:cs="Times New Roman"/>
                      <w:bCs/>
                      <w:color w:val="auto"/>
                      <w:kern w:val="2"/>
                      <w:sz w:val="21"/>
                      <w:szCs w:val="21"/>
                      <w:highlight w:val="none"/>
                      <w:lang w:val="en-US" w:eastAsia="zh-CN" w:bidi="ar-SA"/>
                    </w:rPr>
                    <w:t>m</w:t>
                  </w:r>
                  <w:r>
                    <w:rPr>
                      <w:rFonts w:hint="default" w:ascii="Times New Roman" w:hAnsi="Times New Roman" w:eastAsia="宋体" w:cs="Times New Roman"/>
                      <w:bCs/>
                      <w:color w:val="auto"/>
                      <w:kern w:val="2"/>
                      <w:sz w:val="21"/>
                      <w:szCs w:val="21"/>
                      <w:highlight w:val="none"/>
                      <w:vertAlign w:val="superscript"/>
                      <w:lang w:val="en-US" w:eastAsia="zh-CN" w:bidi="ar-SA"/>
                    </w:rPr>
                    <w:t>3</w:t>
                  </w:r>
                  <w:r>
                    <w:rPr>
                      <w:rFonts w:hint="default" w:ascii="Times New Roman" w:hAnsi="Times New Roman" w:cs="Times New Roman"/>
                      <w:color w:val="auto"/>
                      <w:sz w:val="21"/>
                      <w:szCs w:val="21"/>
                      <w:lang w:val="en-US" w:eastAsia="zh-CN"/>
                    </w:rPr>
                    <w:t>）</w:t>
                  </w:r>
                </w:p>
              </w:tc>
              <w:tc>
                <w:tcPr>
                  <w:tcW w:w="1462"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方/块</w:t>
                  </w:r>
                </w:p>
              </w:tc>
              <w:tc>
                <w:tcPr>
                  <w:tcW w:w="975" w:type="pct"/>
                  <w:tcBorders>
                    <w:tl2br w:val="nil"/>
                    <w:tr2bl w:val="nil"/>
                  </w:tcBorders>
                  <w:vAlign w:val="center"/>
                </w:tcPr>
                <w:p>
                  <w:pPr>
                    <w:widowControl/>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lang w:val="en-US" w:eastAsia="zh-CN"/>
                    </w:rPr>
                    <w:t>6</w:t>
                  </w:r>
                  <w:r>
                    <w:rPr>
                      <w:rFonts w:hint="default" w:ascii="Times New Roman" w:hAnsi="Times New Roman" w:cs="Times New Roman"/>
                      <w:color w:val="auto"/>
                      <w:sz w:val="21"/>
                      <w:szCs w:val="21"/>
                      <w:lang w:val="en-US" w:eastAsia="zh-CN"/>
                    </w:rPr>
                    <w:t>00块</w:t>
                  </w:r>
                </w:p>
              </w:tc>
              <w:tc>
                <w:tcPr>
                  <w:tcW w:w="567" w:type="pct"/>
                  <w:tcBorders>
                    <w:tl2br w:val="nil"/>
                    <w:tr2bl w:val="nil"/>
                  </w:tcBorders>
                  <w:vAlign w:val="center"/>
                </w:tcPr>
                <w:p>
                  <w:pPr>
                    <w:widowControl/>
                    <w:spacing w:line="240" w:lineRule="auto"/>
                    <w:jc w:val="center"/>
                    <w:rPr>
                      <w:rFonts w:hint="default" w:cs="Times New Roman"/>
                      <w:color w:val="0000FF"/>
                      <w:sz w:val="21"/>
                      <w:szCs w:val="21"/>
                      <w:lang w:val="en-US" w:eastAsia="zh-CN"/>
                    </w:rPr>
                  </w:pPr>
                  <w:r>
                    <w:rPr>
                      <w:rFonts w:hint="eastAsia" w:cs="Times New Roman"/>
                      <w:color w:val="0000FF"/>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tcBorders>
                    <w:tl2br w:val="nil"/>
                    <w:tr2bl w:val="nil"/>
                  </w:tcBorders>
                  <w:vAlign w:val="center"/>
                </w:tcPr>
                <w:p>
                  <w:pPr>
                    <w:widowControl/>
                    <w:spacing w:line="240" w:lineRule="auto"/>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2</w:t>
                  </w:r>
                </w:p>
              </w:tc>
              <w:tc>
                <w:tcPr>
                  <w:tcW w:w="488"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地砖</w:t>
                  </w:r>
                </w:p>
              </w:tc>
              <w:tc>
                <w:tcPr>
                  <w:tcW w:w="1184"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青石（1</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0</w:t>
                  </w:r>
                  <w:r>
                    <w:rPr>
                      <w:rFonts w:hint="default" w:ascii="Times New Roman" w:hAnsi="Times New Roman" w:eastAsia="宋体" w:cs="Times New Roman"/>
                      <w:bCs/>
                      <w:color w:val="auto"/>
                      <w:kern w:val="2"/>
                      <w:sz w:val="21"/>
                      <w:szCs w:val="21"/>
                      <w:highlight w:val="none"/>
                      <w:lang w:val="en-US" w:eastAsia="zh-CN" w:bidi="ar-SA"/>
                    </w:rPr>
                    <w:t>m</w:t>
                  </w:r>
                  <w:r>
                    <w:rPr>
                      <w:rFonts w:hint="default" w:ascii="Times New Roman" w:hAnsi="Times New Roman" w:eastAsia="宋体" w:cs="Times New Roman"/>
                      <w:bCs/>
                      <w:color w:val="auto"/>
                      <w:kern w:val="2"/>
                      <w:sz w:val="21"/>
                      <w:szCs w:val="21"/>
                      <w:highlight w:val="none"/>
                      <w:vertAlign w:val="superscript"/>
                      <w:lang w:val="en-US" w:eastAsia="zh-CN" w:bidi="ar-SA"/>
                    </w:rPr>
                    <w:t>3</w:t>
                  </w:r>
                  <w:r>
                    <w:rPr>
                      <w:rFonts w:hint="default" w:ascii="Times New Roman" w:hAnsi="Times New Roman" w:cs="Times New Roman"/>
                      <w:color w:val="auto"/>
                      <w:sz w:val="21"/>
                      <w:szCs w:val="21"/>
                      <w:lang w:val="en-US" w:eastAsia="zh-CN"/>
                    </w:rPr>
                    <w:t>）、大理石（100</w:t>
                  </w:r>
                  <w:r>
                    <w:rPr>
                      <w:rFonts w:hint="default" w:ascii="Times New Roman" w:hAnsi="Times New Roman" w:eastAsia="宋体" w:cs="Times New Roman"/>
                      <w:bCs/>
                      <w:color w:val="auto"/>
                      <w:kern w:val="2"/>
                      <w:sz w:val="21"/>
                      <w:szCs w:val="21"/>
                      <w:highlight w:val="none"/>
                      <w:lang w:val="en-US" w:eastAsia="zh-CN" w:bidi="ar-SA"/>
                    </w:rPr>
                    <w:t>m</w:t>
                  </w:r>
                  <w:r>
                    <w:rPr>
                      <w:rFonts w:hint="default" w:ascii="Times New Roman" w:hAnsi="Times New Roman" w:eastAsia="宋体" w:cs="Times New Roman"/>
                      <w:bCs/>
                      <w:color w:val="auto"/>
                      <w:kern w:val="2"/>
                      <w:sz w:val="21"/>
                      <w:szCs w:val="21"/>
                      <w:highlight w:val="none"/>
                      <w:vertAlign w:val="superscript"/>
                      <w:lang w:val="en-US" w:eastAsia="zh-CN" w:bidi="ar-SA"/>
                    </w:rPr>
                    <w:t>3</w:t>
                  </w:r>
                  <w:r>
                    <w:rPr>
                      <w:rFonts w:hint="default" w:ascii="Times New Roman" w:hAnsi="Times New Roman" w:cs="Times New Roman"/>
                      <w:color w:val="auto"/>
                      <w:sz w:val="21"/>
                      <w:szCs w:val="21"/>
                      <w:lang w:val="en-US" w:eastAsia="zh-CN"/>
                    </w:rPr>
                    <w:t>）</w:t>
                  </w:r>
                </w:p>
              </w:tc>
              <w:tc>
                <w:tcPr>
                  <w:tcW w:w="1462" w:type="pct"/>
                  <w:tcBorders>
                    <w:tl2br w:val="nil"/>
                    <w:tr2bl w:val="nil"/>
                  </w:tcBorders>
                  <w:vAlign w:val="center"/>
                </w:tcPr>
                <w:p>
                  <w:pPr>
                    <w:widowControl/>
                    <w:spacing w:line="240" w:lineRule="auto"/>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w:t>
                  </w:r>
                  <w:r>
                    <w:rPr>
                      <w:rFonts w:hint="eastAsia" w:ascii="Times New Roman" w:hAnsi="Times New Roman" w:cs="Times New Roman"/>
                      <w:color w:val="auto"/>
                      <w:kern w:val="0"/>
                      <w:sz w:val="21"/>
                      <w:szCs w:val="21"/>
                      <w:highlight w:val="none"/>
                      <w:lang w:val="en-US" w:eastAsia="zh-CN"/>
                    </w:rPr>
                    <w:t>6</w:t>
                  </w:r>
                  <w:r>
                    <w:rPr>
                      <w:rFonts w:hint="default" w:ascii="Times New Roman" w:hAnsi="Times New Roman" w:cs="Times New Roman"/>
                      <w:color w:val="auto"/>
                      <w:kern w:val="0"/>
                      <w:sz w:val="21"/>
                      <w:szCs w:val="21"/>
                      <w:highlight w:val="none"/>
                      <w:lang w:val="en-US" w:eastAsia="zh-CN"/>
                    </w:rPr>
                    <w:t>×0.</w:t>
                  </w:r>
                  <w:r>
                    <w:rPr>
                      <w:rFonts w:hint="eastAsia" w:ascii="Times New Roman" w:hAnsi="Times New Roman" w:cs="Times New Roman"/>
                      <w:color w:val="auto"/>
                      <w:kern w:val="0"/>
                      <w:sz w:val="21"/>
                      <w:szCs w:val="21"/>
                      <w:highlight w:val="none"/>
                      <w:lang w:val="en-US" w:eastAsia="zh-CN"/>
                    </w:rPr>
                    <w:t>3</w:t>
                  </w:r>
                  <w:r>
                    <w:rPr>
                      <w:rFonts w:hint="default" w:ascii="Times New Roman" w:hAnsi="Times New Roman" w:cs="Times New Roman"/>
                      <w:color w:val="auto"/>
                      <w:kern w:val="0"/>
                      <w:sz w:val="21"/>
                      <w:szCs w:val="21"/>
                      <w:highlight w:val="none"/>
                      <w:lang w:val="en-US" w:eastAsia="zh-CN"/>
                    </w:rPr>
                    <w:t>×</w:t>
                  </w:r>
                  <w:r>
                    <w:rPr>
                      <w:rFonts w:hint="eastAsia" w:ascii="Times New Roman" w:hAnsi="Times New Roman" w:cs="Times New Roman"/>
                      <w:color w:val="auto"/>
                      <w:kern w:val="0"/>
                      <w:sz w:val="21"/>
                      <w:szCs w:val="21"/>
                      <w:highlight w:val="none"/>
                      <w:lang w:val="en-US" w:eastAsia="zh-CN"/>
                    </w:rPr>
                    <w:t>0.01</w:t>
                  </w:r>
                  <w:r>
                    <w:rPr>
                      <w:rFonts w:hint="default" w:ascii="Times New Roman" w:hAnsi="Times New Roman" w:eastAsia="宋体" w:cs="Times New Roman"/>
                      <w:bCs/>
                      <w:color w:val="auto"/>
                      <w:kern w:val="2"/>
                      <w:sz w:val="21"/>
                      <w:szCs w:val="21"/>
                      <w:highlight w:val="none"/>
                      <w:lang w:val="en-US" w:eastAsia="zh-CN" w:bidi="ar-SA"/>
                    </w:rPr>
                    <w:t>m</w:t>
                  </w:r>
                  <w:r>
                    <w:rPr>
                      <w:rFonts w:hint="eastAsia" w:ascii="Times New Roman" w:hAnsi="Times New Roman" w:cs="Times New Roman"/>
                      <w:color w:val="auto"/>
                      <w:kern w:val="0"/>
                      <w:sz w:val="21"/>
                      <w:szCs w:val="21"/>
                      <w:highlight w:val="none"/>
                      <w:lang w:val="en-US" w:eastAsia="zh-CN"/>
                    </w:rPr>
                    <w:t>、具体</w:t>
                  </w:r>
                  <w:r>
                    <w:rPr>
                      <w:rFonts w:hint="default" w:ascii="Times New Roman" w:hAnsi="Times New Roman" w:cs="Times New Roman"/>
                      <w:color w:val="auto"/>
                      <w:kern w:val="0"/>
                      <w:sz w:val="21"/>
                      <w:szCs w:val="21"/>
                      <w:highlight w:val="none"/>
                      <w:lang w:val="en-US" w:eastAsia="zh-CN"/>
                    </w:rPr>
                    <w:t>根据客户要求定</w:t>
                  </w:r>
                </w:p>
              </w:tc>
              <w:tc>
                <w:tcPr>
                  <w:tcW w:w="975" w:type="pct"/>
                  <w:tcBorders>
                    <w:tl2br w:val="nil"/>
                    <w:tr2bl w:val="nil"/>
                  </w:tcBorders>
                  <w:vAlign w:val="center"/>
                </w:tcPr>
                <w:p>
                  <w:pPr>
                    <w:widowControl/>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万</w:t>
                  </w:r>
                  <w:r>
                    <w:rPr>
                      <w:rFonts w:hint="eastAsia" w:ascii="Times New Roman" w:hAnsi="Times New Roman" w:cs="Times New Roman"/>
                      <w:color w:val="auto"/>
                      <w:sz w:val="21"/>
                      <w:szCs w:val="21"/>
                      <w:lang w:val="en-US" w:eastAsia="zh-CN"/>
                    </w:rPr>
                    <w:t>平方</w:t>
                  </w:r>
                  <w:r>
                    <w:rPr>
                      <w:rFonts w:hint="default" w:ascii="Times New Roman" w:hAnsi="Times New Roman" w:cs="Times New Roman"/>
                      <w:color w:val="auto"/>
                      <w:sz w:val="21"/>
                      <w:szCs w:val="21"/>
                      <w:lang w:val="en-US" w:eastAsia="zh-CN"/>
                    </w:rPr>
                    <w:t>米</w:t>
                  </w:r>
                </w:p>
              </w:tc>
              <w:tc>
                <w:tcPr>
                  <w:tcW w:w="567" w:type="pct"/>
                  <w:tcBorders>
                    <w:tl2br w:val="nil"/>
                    <w:tr2bl w:val="nil"/>
                  </w:tcBorders>
                  <w:vAlign w:val="center"/>
                </w:tcPr>
                <w:p>
                  <w:pPr>
                    <w:widowControl/>
                    <w:spacing w:line="240" w:lineRule="auto"/>
                    <w:jc w:val="center"/>
                    <w:rPr>
                      <w:rFonts w:hint="default" w:ascii="Times New Roman" w:hAnsi="Times New Roman" w:cs="Times New Roman"/>
                      <w:color w:val="0000FF"/>
                      <w:sz w:val="21"/>
                      <w:szCs w:val="21"/>
                      <w:lang w:val="en-US" w:eastAsia="zh-CN"/>
                    </w:rPr>
                  </w:pPr>
                  <w:r>
                    <w:rPr>
                      <w:rFonts w:hint="eastAsia" w:cs="Times New Roman"/>
                      <w:color w:val="0000FF"/>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322" w:type="pct"/>
                  <w:tcBorders>
                    <w:tl2br w:val="nil"/>
                    <w:tr2bl w:val="nil"/>
                  </w:tcBorders>
                  <w:vAlign w:val="center"/>
                </w:tcPr>
                <w:p>
                  <w:pPr>
                    <w:widowControl/>
                    <w:spacing w:line="240" w:lineRule="auto"/>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3</w:t>
                  </w:r>
                </w:p>
              </w:tc>
              <w:tc>
                <w:tcPr>
                  <w:tcW w:w="488"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栏杆</w:t>
                  </w:r>
                </w:p>
              </w:tc>
              <w:tc>
                <w:tcPr>
                  <w:tcW w:w="1184"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青石（50</w:t>
                  </w:r>
                  <w:r>
                    <w:rPr>
                      <w:rFonts w:hint="default" w:ascii="Times New Roman" w:hAnsi="Times New Roman" w:eastAsia="宋体" w:cs="Times New Roman"/>
                      <w:bCs/>
                      <w:color w:val="auto"/>
                      <w:kern w:val="2"/>
                      <w:sz w:val="21"/>
                      <w:szCs w:val="21"/>
                      <w:highlight w:val="none"/>
                      <w:lang w:val="en-US" w:eastAsia="zh-CN" w:bidi="ar-SA"/>
                    </w:rPr>
                    <w:t>m</w:t>
                  </w:r>
                  <w:r>
                    <w:rPr>
                      <w:rFonts w:hint="default" w:ascii="Times New Roman" w:hAnsi="Times New Roman" w:eastAsia="宋体" w:cs="Times New Roman"/>
                      <w:bCs/>
                      <w:color w:val="auto"/>
                      <w:kern w:val="2"/>
                      <w:sz w:val="21"/>
                      <w:szCs w:val="21"/>
                      <w:highlight w:val="none"/>
                      <w:vertAlign w:val="superscript"/>
                      <w:lang w:val="en-US" w:eastAsia="zh-CN" w:bidi="ar-SA"/>
                    </w:rPr>
                    <w:t>3</w:t>
                  </w:r>
                  <w:r>
                    <w:rPr>
                      <w:rFonts w:hint="default" w:ascii="Times New Roman" w:hAnsi="Times New Roman" w:cs="Times New Roman"/>
                      <w:color w:val="auto"/>
                      <w:sz w:val="21"/>
                      <w:szCs w:val="21"/>
                      <w:lang w:val="en-US" w:eastAsia="zh-CN"/>
                    </w:rPr>
                    <w:t>）、汉白玉（</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0</w:t>
                  </w:r>
                  <w:r>
                    <w:rPr>
                      <w:rFonts w:hint="default" w:ascii="Times New Roman" w:hAnsi="Times New Roman" w:eastAsia="宋体" w:cs="Times New Roman"/>
                      <w:bCs/>
                      <w:color w:val="auto"/>
                      <w:kern w:val="2"/>
                      <w:sz w:val="21"/>
                      <w:szCs w:val="21"/>
                      <w:highlight w:val="none"/>
                      <w:lang w:val="en-US" w:eastAsia="zh-CN" w:bidi="ar-SA"/>
                    </w:rPr>
                    <w:t>m</w:t>
                  </w:r>
                  <w:r>
                    <w:rPr>
                      <w:rFonts w:hint="default" w:ascii="Times New Roman" w:hAnsi="Times New Roman" w:eastAsia="宋体" w:cs="Times New Roman"/>
                      <w:bCs/>
                      <w:color w:val="auto"/>
                      <w:kern w:val="2"/>
                      <w:sz w:val="21"/>
                      <w:szCs w:val="21"/>
                      <w:highlight w:val="none"/>
                      <w:vertAlign w:val="superscript"/>
                      <w:lang w:val="en-US" w:eastAsia="zh-CN" w:bidi="ar-SA"/>
                    </w:rPr>
                    <w:t>3</w:t>
                  </w:r>
                  <w:r>
                    <w:rPr>
                      <w:rFonts w:hint="default" w:ascii="Times New Roman" w:hAnsi="Times New Roman" w:cs="Times New Roman"/>
                      <w:color w:val="auto"/>
                      <w:sz w:val="21"/>
                      <w:szCs w:val="21"/>
                      <w:lang w:val="en-US" w:eastAsia="zh-CN"/>
                    </w:rPr>
                    <w:t>）</w:t>
                  </w:r>
                </w:p>
              </w:tc>
              <w:tc>
                <w:tcPr>
                  <w:tcW w:w="1462" w:type="pct"/>
                  <w:tcBorders>
                    <w:tl2br w:val="nil"/>
                    <w:tr2bl w:val="nil"/>
                  </w:tcBorders>
                  <w:vAlign w:val="center"/>
                </w:tcPr>
                <w:p>
                  <w:pPr>
                    <w:widowControl/>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具体</w:t>
                  </w:r>
                  <w:r>
                    <w:rPr>
                      <w:rFonts w:hint="default" w:ascii="Times New Roman" w:hAnsi="Times New Roman" w:cs="Times New Roman"/>
                      <w:color w:val="auto"/>
                      <w:kern w:val="0"/>
                      <w:sz w:val="21"/>
                      <w:szCs w:val="21"/>
                      <w:highlight w:val="none"/>
                      <w:lang w:val="en-US" w:eastAsia="zh-CN"/>
                    </w:rPr>
                    <w:t>根据客户要求定</w:t>
                  </w:r>
                </w:p>
              </w:tc>
              <w:tc>
                <w:tcPr>
                  <w:tcW w:w="975" w:type="pct"/>
                  <w:tcBorders>
                    <w:tl2br w:val="nil"/>
                    <w:tr2bl w:val="nil"/>
                  </w:tcBorders>
                  <w:vAlign w:val="center"/>
                </w:tcPr>
                <w:p>
                  <w:pPr>
                    <w:widowControl/>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lang w:val="en-US" w:eastAsia="zh-CN"/>
                    </w:rPr>
                    <w:t>300米</w:t>
                  </w:r>
                </w:p>
              </w:tc>
              <w:tc>
                <w:tcPr>
                  <w:tcW w:w="567" w:type="pct"/>
                  <w:tcBorders>
                    <w:tl2br w:val="nil"/>
                    <w:tr2bl w:val="nil"/>
                  </w:tcBorders>
                  <w:vAlign w:val="center"/>
                </w:tcPr>
                <w:p>
                  <w:pPr>
                    <w:widowControl/>
                    <w:spacing w:line="240" w:lineRule="auto"/>
                    <w:jc w:val="center"/>
                    <w:rPr>
                      <w:rFonts w:hint="default" w:ascii="Times New Roman" w:hAnsi="Times New Roman" w:cs="Times New Roman"/>
                      <w:color w:val="0000FF"/>
                      <w:sz w:val="21"/>
                      <w:szCs w:val="21"/>
                      <w:lang w:val="en-US" w:eastAsia="zh-CN"/>
                    </w:rPr>
                  </w:pPr>
                  <w:r>
                    <w:rPr>
                      <w:rFonts w:hint="eastAsia" w:cs="Times New Roman"/>
                      <w:color w:val="0000FF"/>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vAlign w:val="center"/>
                </w:tcPr>
                <w:p>
                  <w:pPr>
                    <w:widowControl/>
                    <w:spacing w:line="240" w:lineRule="auto"/>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4</w:t>
                  </w:r>
                </w:p>
              </w:tc>
              <w:tc>
                <w:tcPr>
                  <w:tcW w:w="488"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路沿石</w:t>
                  </w:r>
                </w:p>
              </w:tc>
              <w:tc>
                <w:tcPr>
                  <w:tcW w:w="1184"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青石（</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00</w:t>
                  </w:r>
                  <w:r>
                    <w:rPr>
                      <w:rFonts w:hint="default" w:ascii="Times New Roman" w:hAnsi="Times New Roman" w:eastAsia="宋体" w:cs="Times New Roman"/>
                      <w:bCs/>
                      <w:color w:val="auto"/>
                      <w:kern w:val="2"/>
                      <w:sz w:val="21"/>
                      <w:szCs w:val="21"/>
                      <w:highlight w:val="none"/>
                      <w:lang w:val="en-US" w:eastAsia="zh-CN" w:bidi="ar-SA"/>
                    </w:rPr>
                    <w:t>m</w:t>
                  </w:r>
                  <w:r>
                    <w:rPr>
                      <w:rFonts w:hint="default" w:ascii="Times New Roman" w:hAnsi="Times New Roman" w:eastAsia="宋体" w:cs="Times New Roman"/>
                      <w:bCs/>
                      <w:color w:val="auto"/>
                      <w:kern w:val="2"/>
                      <w:sz w:val="21"/>
                      <w:szCs w:val="21"/>
                      <w:highlight w:val="none"/>
                      <w:vertAlign w:val="superscript"/>
                      <w:lang w:val="en-US" w:eastAsia="zh-CN" w:bidi="ar-SA"/>
                    </w:rPr>
                    <w:t>3</w:t>
                  </w:r>
                  <w:r>
                    <w:rPr>
                      <w:rFonts w:hint="default" w:ascii="Times New Roman" w:hAnsi="Times New Roman" w:cs="Times New Roman"/>
                      <w:color w:val="auto"/>
                      <w:sz w:val="21"/>
                      <w:szCs w:val="21"/>
                      <w:lang w:val="en-US" w:eastAsia="zh-CN"/>
                    </w:rPr>
                    <w:t>）、大理石（</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en-US" w:eastAsia="zh-CN"/>
                    </w:rPr>
                    <w:t>00</w:t>
                  </w:r>
                  <w:r>
                    <w:rPr>
                      <w:rFonts w:hint="default" w:ascii="Times New Roman" w:hAnsi="Times New Roman" w:eastAsia="宋体" w:cs="Times New Roman"/>
                      <w:bCs/>
                      <w:color w:val="auto"/>
                      <w:kern w:val="2"/>
                      <w:sz w:val="21"/>
                      <w:szCs w:val="21"/>
                      <w:highlight w:val="none"/>
                      <w:lang w:val="en-US" w:eastAsia="zh-CN" w:bidi="ar-SA"/>
                    </w:rPr>
                    <w:t>m</w:t>
                  </w:r>
                  <w:r>
                    <w:rPr>
                      <w:rFonts w:hint="default" w:ascii="Times New Roman" w:hAnsi="Times New Roman" w:eastAsia="宋体" w:cs="Times New Roman"/>
                      <w:bCs/>
                      <w:color w:val="auto"/>
                      <w:kern w:val="2"/>
                      <w:sz w:val="21"/>
                      <w:szCs w:val="21"/>
                      <w:highlight w:val="none"/>
                      <w:vertAlign w:val="superscript"/>
                      <w:lang w:val="en-US" w:eastAsia="zh-CN" w:bidi="ar-SA"/>
                    </w:rPr>
                    <w:t>3</w:t>
                  </w:r>
                  <w:r>
                    <w:rPr>
                      <w:rFonts w:hint="default" w:ascii="Times New Roman" w:hAnsi="Times New Roman" w:cs="Times New Roman"/>
                      <w:color w:val="auto"/>
                      <w:sz w:val="21"/>
                      <w:szCs w:val="21"/>
                      <w:lang w:val="en-US" w:eastAsia="zh-CN"/>
                    </w:rPr>
                    <w:t>）</w:t>
                  </w:r>
                </w:p>
              </w:tc>
              <w:tc>
                <w:tcPr>
                  <w:tcW w:w="1462" w:type="pct"/>
                  <w:vAlign w:val="center"/>
                </w:tcPr>
                <w:p>
                  <w:pPr>
                    <w:widowControl/>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0.8×0.2×1</w:t>
                  </w:r>
                  <w:r>
                    <w:rPr>
                      <w:rFonts w:hint="default" w:ascii="Times New Roman" w:hAnsi="Times New Roman" w:eastAsia="宋体" w:cs="Times New Roman"/>
                      <w:bCs/>
                      <w:color w:val="auto"/>
                      <w:kern w:val="2"/>
                      <w:sz w:val="21"/>
                      <w:szCs w:val="21"/>
                      <w:highlight w:val="none"/>
                      <w:lang w:val="en-US" w:eastAsia="zh-CN" w:bidi="ar-SA"/>
                    </w:rPr>
                    <w:t>m</w:t>
                  </w:r>
                  <w:r>
                    <w:rPr>
                      <w:rFonts w:hint="default" w:ascii="Times New Roman" w:hAnsi="Times New Roman" w:cs="Times New Roman"/>
                      <w:color w:val="auto"/>
                      <w:kern w:val="0"/>
                      <w:sz w:val="21"/>
                      <w:szCs w:val="21"/>
                      <w:highlight w:val="none"/>
                      <w:lang w:val="en-US" w:eastAsia="zh-CN"/>
                    </w:rPr>
                    <w:t>、0.8×0.2×0.6</w:t>
                  </w:r>
                  <w:r>
                    <w:rPr>
                      <w:rFonts w:hint="default" w:ascii="Times New Roman" w:hAnsi="Times New Roman" w:eastAsia="宋体" w:cs="Times New Roman"/>
                      <w:bCs/>
                      <w:color w:val="auto"/>
                      <w:kern w:val="2"/>
                      <w:sz w:val="21"/>
                      <w:szCs w:val="21"/>
                      <w:highlight w:val="none"/>
                      <w:lang w:val="en-US" w:eastAsia="zh-CN" w:bidi="ar-SA"/>
                    </w:rPr>
                    <w:t>m</w:t>
                  </w:r>
                  <w:r>
                    <w:rPr>
                      <w:rFonts w:hint="eastAsia" w:ascii="Times New Roman" w:hAnsi="Times New Roman" w:cs="Times New Roman"/>
                      <w:color w:val="auto"/>
                      <w:kern w:val="0"/>
                      <w:sz w:val="21"/>
                      <w:szCs w:val="21"/>
                      <w:highlight w:val="none"/>
                      <w:lang w:val="en-US" w:eastAsia="zh-CN"/>
                    </w:rPr>
                    <w:t>等，具体</w:t>
                  </w:r>
                  <w:r>
                    <w:rPr>
                      <w:rFonts w:hint="default" w:ascii="Times New Roman" w:hAnsi="Times New Roman" w:cs="Times New Roman"/>
                      <w:color w:val="auto"/>
                      <w:kern w:val="0"/>
                      <w:sz w:val="21"/>
                      <w:szCs w:val="21"/>
                      <w:highlight w:val="none"/>
                      <w:lang w:val="en-US" w:eastAsia="zh-CN"/>
                    </w:rPr>
                    <w:t>根据客户要求定</w:t>
                  </w:r>
                </w:p>
              </w:tc>
              <w:tc>
                <w:tcPr>
                  <w:tcW w:w="975" w:type="pct"/>
                  <w:vAlign w:val="center"/>
                </w:tcPr>
                <w:p>
                  <w:pPr>
                    <w:widowControl/>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lang w:val="en-US" w:eastAsia="zh-CN"/>
                    </w:rPr>
                    <w:t>5000米</w:t>
                  </w:r>
                </w:p>
              </w:tc>
              <w:tc>
                <w:tcPr>
                  <w:tcW w:w="567" w:type="pct"/>
                  <w:vAlign w:val="center"/>
                </w:tcPr>
                <w:p>
                  <w:pPr>
                    <w:widowControl/>
                    <w:spacing w:line="240" w:lineRule="auto"/>
                    <w:jc w:val="center"/>
                    <w:rPr>
                      <w:rFonts w:hint="default" w:ascii="Times New Roman" w:hAnsi="Times New Roman" w:cs="Times New Roman"/>
                      <w:color w:val="0000FF"/>
                      <w:sz w:val="21"/>
                      <w:szCs w:val="21"/>
                      <w:lang w:val="en-US" w:eastAsia="zh-CN"/>
                    </w:rPr>
                  </w:pPr>
                  <w:r>
                    <w:rPr>
                      <w:rFonts w:hint="eastAsia" w:cs="Times New Roman"/>
                      <w:color w:val="0000FF"/>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vAlign w:val="center"/>
                </w:tcPr>
                <w:p>
                  <w:pPr>
                    <w:widowControl/>
                    <w:spacing w:line="240" w:lineRule="auto"/>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5</w:t>
                  </w:r>
                </w:p>
              </w:tc>
              <w:tc>
                <w:tcPr>
                  <w:tcW w:w="488"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铺路石</w:t>
                  </w:r>
                </w:p>
              </w:tc>
              <w:tc>
                <w:tcPr>
                  <w:tcW w:w="11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石板（30</w:t>
                  </w:r>
                  <w:r>
                    <w:rPr>
                      <w:rFonts w:hint="default" w:ascii="Times New Roman" w:hAnsi="Times New Roman" w:eastAsia="宋体" w:cs="Times New Roman"/>
                      <w:bCs/>
                      <w:color w:val="auto"/>
                      <w:kern w:val="2"/>
                      <w:sz w:val="21"/>
                      <w:szCs w:val="21"/>
                      <w:highlight w:val="none"/>
                      <w:lang w:val="en-US" w:eastAsia="zh-CN" w:bidi="ar-SA"/>
                    </w:rPr>
                    <w:t>m</w:t>
                  </w:r>
                  <w:r>
                    <w:rPr>
                      <w:rFonts w:hint="default" w:ascii="Times New Roman" w:hAnsi="Times New Roman" w:eastAsia="宋体" w:cs="Times New Roman"/>
                      <w:bCs/>
                      <w:color w:val="auto"/>
                      <w:kern w:val="2"/>
                      <w:sz w:val="21"/>
                      <w:szCs w:val="21"/>
                      <w:highlight w:val="none"/>
                      <w:vertAlign w:val="superscript"/>
                      <w:lang w:val="en-US" w:eastAsia="zh-CN" w:bidi="ar-SA"/>
                    </w:rPr>
                    <w:t>3</w:t>
                  </w:r>
                  <w:r>
                    <w:rPr>
                      <w:rFonts w:hint="default" w:ascii="Times New Roman" w:hAnsi="Times New Roman" w:cs="Times New Roman"/>
                      <w:color w:val="auto"/>
                      <w:sz w:val="21"/>
                      <w:szCs w:val="21"/>
                      <w:lang w:val="en-US" w:eastAsia="zh-CN"/>
                    </w:rPr>
                    <w:t>）、板材（20</w:t>
                  </w:r>
                  <w:r>
                    <w:rPr>
                      <w:rFonts w:hint="default" w:ascii="Times New Roman" w:hAnsi="Times New Roman" w:eastAsia="宋体" w:cs="Times New Roman"/>
                      <w:bCs/>
                      <w:color w:val="auto"/>
                      <w:kern w:val="2"/>
                      <w:sz w:val="21"/>
                      <w:szCs w:val="21"/>
                      <w:highlight w:val="none"/>
                      <w:lang w:val="en-US" w:eastAsia="zh-CN" w:bidi="ar-SA"/>
                    </w:rPr>
                    <w:t>m</w:t>
                  </w:r>
                  <w:r>
                    <w:rPr>
                      <w:rFonts w:hint="default" w:ascii="Times New Roman" w:hAnsi="Times New Roman" w:eastAsia="宋体" w:cs="Times New Roman"/>
                      <w:bCs/>
                      <w:color w:val="auto"/>
                      <w:kern w:val="2"/>
                      <w:sz w:val="21"/>
                      <w:szCs w:val="21"/>
                      <w:highlight w:val="none"/>
                      <w:vertAlign w:val="superscript"/>
                      <w:lang w:val="en-US" w:eastAsia="zh-CN" w:bidi="ar-SA"/>
                    </w:rPr>
                    <w:t>3</w:t>
                  </w:r>
                  <w:r>
                    <w:rPr>
                      <w:rFonts w:hint="default" w:ascii="Times New Roman" w:hAnsi="Times New Roman" w:cs="Times New Roman"/>
                      <w:color w:val="auto"/>
                      <w:sz w:val="21"/>
                      <w:szCs w:val="21"/>
                      <w:lang w:val="en-US" w:eastAsia="zh-CN"/>
                    </w:rPr>
                    <w:t>）</w:t>
                  </w:r>
                </w:p>
              </w:tc>
              <w:tc>
                <w:tcPr>
                  <w:tcW w:w="1462" w:type="pct"/>
                  <w:vAlign w:val="center"/>
                </w:tcPr>
                <w:p>
                  <w:pPr>
                    <w:widowControl/>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0.02</w:t>
                  </w:r>
                  <w:r>
                    <w:rPr>
                      <w:rFonts w:hint="default" w:ascii="Times New Roman" w:hAnsi="Times New Roman" w:cs="Times New Roman"/>
                      <w:color w:val="auto"/>
                      <w:kern w:val="0"/>
                      <w:sz w:val="21"/>
                      <w:szCs w:val="21"/>
                      <w:highlight w:val="none"/>
                      <w:lang w:val="en-US" w:eastAsia="zh-CN"/>
                    </w:rPr>
                    <w:t>×</w:t>
                  </w:r>
                  <w:r>
                    <w:rPr>
                      <w:rFonts w:hint="eastAsia" w:ascii="Times New Roman" w:hAnsi="Times New Roman" w:cs="Times New Roman"/>
                      <w:color w:val="auto"/>
                      <w:kern w:val="0"/>
                      <w:sz w:val="21"/>
                      <w:szCs w:val="21"/>
                      <w:highlight w:val="none"/>
                      <w:lang w:val="en-US" w:eastAsia="zh-CN"/>
                    </w:rPr>
                    <w:t>0.02</w:t>
                  </w:r>
                  <w:r>
                    <w:rPr>
                      <w:rFonts w:hint="default" w:ascii="Times New Roman" w:hAnsi="Times New Roman" w:cs="Times New Roman"/>
                      <w:color w:val="auto"/>
                      <w:kern w:val="0"/>
                      <w:sz w:val="21"/>
                      <w:szCs w:val="21"/>
                      <w:highlight w:val="none"/>
                      <w:lang w:val="en-US" w:eastAsia="zh-CN"/>
                    </w:rPr>
                    <w:t>×</w:t>
                  </w:r>
                  <w:r>
                    <w:rPr>
                      <w:rFonts w:hint="eastAsia" w:ascii="Times New Roman" w:hAnsi="Times New Roman" w:cs="Times New Roman"/>
                      <w:color w:val="auto"/>
                      <w:kern w:val="0"/>
                      <w:sz w:val="21"/>
                      <w:szCs w:val="21"/>
                      <w:highlight w:val="none"/>
                      <w:lang w:val="en-US" w:eastAsia="zh-CN"/>
                    </w:rPr>
                    <w:t>0.01</w:t>
                  </w:r>
                  <w:r>
                    <w:rPr>
                      <w:rFonts w:hint="default" w:ascii="Times New Roman" w:hAnsi="Times New Roman" w:eastAsia="宋体" w:cs="Times New Roman"/>
                      <w:bCs/>
                      <w:color w:val="auto"/>
                      <w:kern w:val="2"/>
                      <w:sz w:val="21"/>
                      <w:szCs w:val="21"/>
                      <w:highlight w:val="none"/>
                      <w:lang w:val="en-US" w:eastAsia="zh-CN" w:bidi="ar-SA"/>
                    </w:rPr>
                    <w:t>m</w:t>
                  </w:r>
                  <w:r>
                    <w:rPr>
                      <w:rFonts w:hint="eastAsia" w:ascii="Times New Roman" w:hAnsi="Times New Roman" w:cs="Times New Roman"/>
                      <w:color w:val="auto"/>
                      <w:kern w:val="0"/>
                      <w:sz w:val="21"/>
                      <w:szCs w:val="21"/>
                      <w:highlight w:val="none"/>
                      <w:lang w:val="en-US" w:eastAsia="zh-CN"/>
                    </w:rPr>
                    <w:t>、0.04</w:t>
                  </w:r>
                  <w:r>
                    <w:rPr>
                      <w:rFonts w:hint="default" w:ascii="Times New Roman" w:hAnsi="Times New Roman" w:cs="Times New Roman"/>
                      <w:color w:val="auto"/>
                      <w:kern w:val="0"/>
                      <w:sz w:val="21"/>
                      <w:szCs w:val="21"/>
                      <w:highlight w:val="none"/>
                      <w:lang w:val="en-US" w:eastAsia="zh-CN"/>
                    </w:rPr>
                    <w:t>×</w:t>
                  </w:r>
                  <w:r>
                    <w:rPr>
                      <w:rFonts w:hint="eastAsia" w:ascii="Times New Roman" w:hAnsi="Times New Roman" w:cs="Times New Roman"/>
                      <w:color w:val="auto"/>
                      <w:kern w:val="0"/>
                      <w:sz w:val="21"/>
                      <w:szCs w:val="21"/>
                      <w:highlight w:val="none"/>
                      <w:lang w:val="en-US" w:eastAsia="zh-CN"/>
                    </w:rPr>
                    <w:t>0.02</w:t>
                  </w:r>
                  <w:r>
                    <w:rPr>
                      <w:rFonts w:hint="default" w:ascii="Times New Roman" w:hAnsi="Times New Roman" w:cs="Times New Roman"/>
                      <w:color w:val="auto"/>
                      <w:kern w:val="0"/>
                      <w:sz w:val="21"/>
                      <w:szCs w:val="21"/>
                      <w:highlight w:val="none"/>
                      <w:lang w:val="en-US" w:eastAsia="zh-CN"/>
                    </w:rPr>
                    <w:t>×</w:t>
                  </w:r>
                  <w:r>
                    <w:rPr>
                      <w:rFonts w:hint="eastAsia" w:ascii="Times New Roman" w:hAnsi="Times New Roman" w:cs="Times New Roman"/>
                      <w:color w:val="auto"/>
                      <w:kern w:val="0"/>
                      <w:sz w:val="21"/>
                      <w:szCs w:val="21"/>
                      <w:highlight w:val="none"/>
                      <w:lang w:val="en-US" w:eastAsia="zh-CN"/>
                    </w:rPr>
                    <w:t>0.01</w:t>
                  </w:r>
                  <w:r>
                    <w:rPr>
                      <w:rFonts w:hint="default" w:ascii="Times New Roman" w:hAnsi="Times New Roman" w:eastAsia="宋体" w:cs="Times New Roman"/>
                      <w:bCs/>
                      <w:color w:val="auto"/>
                      <w:kern w:val="2"/>
                      <w:sz w:val="21"/>
                      <w:szCs w:val="21"/>
                      <w:highlight w:val="none"/>
                      <w:lang w:val="en-US" w:eastAsia="zh-CN" w:bidi="ar-SA"/>
                    </w:rPr>
                    <w:t>m</w:t>
                  </w:r>
                  <w:r>
                    <w:rPr>
                      <w:rFonts w:hint="eastAsia" w:ascii="Times New Roman" w:hAnsi="Times New Roman" w:cs="Times New Roman"/>
                      <w:color w:val="auto"/>
                      <w:kern w:val="0"/>
                      <w:sz w:val="21"/>
                      <w:szCs w:val="21"/>
                      <w:highlight w:val="none"/>
                      <w:lang w:val="en-US" w:eastAsia="zh-CN"/>
                    </w:rPr>
                    <w:t>等、具体</w:t>
                  </w:r>
                  <w:r>
                    <w:rPr>
                      <w:rFonts w:hint="default" w:ascii="Times New Roman" w:hAnsi="Times New Roman" w:cs="Times New Roman"/>
                      <w:color w:val="auto"/>
                      <w:kern w:val="0"/>
                      <w:sz w:val="21"/>
                      <w:szCs w:val="21"/>
                      <w:highlight w:val="none"/>
                      <w:lang w:val="en-US" w:eastAsia="zh-CN"/>
                    </w:rPr>
                    <w:t>根据客户要求定</w:t>
                  </w:r>
                </w:p>
              </w:tc>
              <w:tc>
                <w:tcPr>
                  <w:tcW w:w="975" w:type="pct"/>
                  <w:vAlign w:val="center"/>
                </w:tcPr>
                <w:p>
                  <w:pPr>
                    <w:widowControl/>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5000</w:t>
                  </w:r>
                  <w:r>
                    <w:rPr>
                      <w:rFonts w:hint="eastAsia" w:ascii="Times New Roman" w:hAnsi="Times New Roman" w:cs="Times New Roman"/>
                      <w:color w:val="auto"/>
                      <w:sz w:val="21"/>
                      <w:szCs w:val="21"/>
                      <w:lang w:val="en-US" w:eastAsia="zh-CN"/>
                    </w:rPr>
                    <w:t>平方</w:t>
                  </w:r>
                  <w:r>
                    <w:rPr>
                      <w:rFonts w:hint="default" w:ascii="Times New Roman" w:hAnsi="Times New Roman" w:cs="Times New Roman"/>
                      <w:color w:val="auto"/>
                      <w:sz w:val="21"/>
                      <w:szCs w:val="21"/>
                      <w:lang w:val="en-US" w:eastAsia="zh-CN"/>
                    </w:rPr>
                    <w:t>米</w:t>
                  </w:r>
                </w:p>
              </w:tc>
              <w:tc>
                <w:tcPr>
                  <w:tcW w:w="567" w:type="pct"/>
                  <w:vAlign w:val="center"/>
                </w:tcPr>
                <w:p>
                  <w:pPr>
                    <w:widowControl/>
                    <w:spacing w:line="240" w:lineRule="auto"/>
                    <w:jc w:val="center"/>
                    <w:rPr>
                      <w:rFonts w:hint="default" w:ascii="Times New Roman" w:hAnsi="Times New Roman" w:cs="Times New Roman"/>
                      <w:color w:val="0000FF"/>
                      <w:sz w:val="21"/>
                      <w:szCs w:val="21"/>
                      <w:lang w:val="en-US" w:eastAsia="zh-CN"/>
                    </w:rPr>
                  </w:pPr>
                  <w:r>
                    <w:rPr>
                      <w:rFonts w:hint="eastAsia" w:cs="Times New Roman"/>
                      <w:color w:val="0000FF"/>
                      <w:sz w:val="21"/>
                      <w:szCs w:val="21"/>
                      <w:lang w:val="en-US" w:eastAsia="zh-CN"/>
                    </w:rPr>
                    <w:t>外购</w:t>
                  </w:r>
                </w:p>
              </w:tc>
            </w:tr>
          </w:tbl>
          <w:p>
            <w:pPr>
              <w:spacing w:line="360" w:lineRule="auto"/>
              <w:ind w:firstLine="420" w:firstLineChars="200"/>
              <w:rPr>
                <w:rFonts w:hint="default"/>
                <w:color w:val="auto"/>
                <w:kern w:val="24"/>
                <w:sz w:val="21"/>
                <w:szCs w:val="21"/>
                <w:highlight w:val="none"/>
                <w:lang w:val="en-US" w:eastAsia="zh-CN"/>
              </w:rPr>
            </w:pPr>
            <w:r>
              <w:rPr>
                <w:rFonts w:hint="eastAsia"/>
                <w:color w:val="auto"/>
                <w:kern w:val="24"/>
                <w:sz w:val="21"/>
                <w:szCs w:val="21"/>
                <w:highlight w:val="none"/>
                <w:lang w:val="en-US" w:eastAsia="zh-CN"/>
              </w:rPr>
              <w:t>石材容重按2.5t/m</w:t>
            </w:r>
            <w:r>
              <w:rPr>
                <w:rFonts w:hint="eastAsia"/>
                <w:color w:val="auto"/>
                <w:kern w:val="24"/>
                <w:sz w:val="21"/>
                <w:szCs w:val="21"/>
                <w:highlight w:val="none"/>
                <w:vertAlign w:val="superscript"/>
                <w:lang w:val="en-US" w:eastAsia="zh-CN"/>
              </w:rPr>
              <w:t>3</w:t>
            </w:r>
            <w:r>
              <w:rPr>
                <w:rFonts w:hint="eastAsia"/>
                <w:color w:val="auto"/>
                <w:kern w:val="24"/>
                <w:sz w:val="21"/>
                <w:szCs w:val="21"/>
                <w:highlight w:val="none"/>
                <w:lang w:val="en-US" w:eastAsia="zh-CN"/>
              </w:rPr>
              <w:t>计</w:t>
            </w:r>
          </w:p>
          <w:p>
            <w:pPr>
              <w:spacing w:line="360" w:lineRule="auto"/>
              <w:ind w:firstLine="482" w:firstLineChars="200"/>
              <w:rPr>
                <w:rFonts w:hint="eastAsia"/>
                <w:b/>
                <w:bCs/>
                <w:color w:val="auto"/>
                <w:kern w:val="24"/>
                <w:sz w:val="24"/>
                <w:szCs w:val="24"/>
                <w:highlight w:val="none"/>
              </w:rPr>
            </w:pPr>
            <w:r>
              <w:rPr>
                <w:rFonts w:hint="eastAsia"/>
                <w:b/>
                <w:bCs/>
                <w:color w:val="auto"/>
                <w:kern w:val="24"/>
                <w:sz w:val="24"/>
                <w:szCs w:val="24"/>
                <w:highlight w:val="none"/>
                <w:lang w:val="en-US" w:eastAsia="zh-CN"/>
              </w:rPr>
              <w:t>5</w:t>
            </w:r>
            <w:r>
              <w:rPr>
                <w:rFonts w:hint="eastAsia"/>
                <w:b/>
                <w:bCs/>
                <w:color w:val="auto"/>
                <w:kern w:val="24"/>
                <w:sz w:val="24"/>
                <w:szCs w:val="24"/>
                <w:highlight w:val="none"/>
              </w:rPr>
              <w:t>、主要生产设施信息</w:t>
            </w:r>
          </w:p>
          <w:p>
            <w:pPr>
              <w:spacing w:line="360" w:lineRule="auto"/>
              <w:ind w:firstLine="480" w:firstLineChars="200"/>
              <w:rPr>
                <w:rFonts w:hint="eastAsia" w:eastAsia="宋体"/>
                <w:color w:val="auto"/>
                <w:kern w:val="24"/>
                <w:sz w:val="24"/>
                <w:szCs w:val="24"/>
                <w:highlight w:val="none"/>
                <w:lang w:eastAsia="zh-CN"/>
              </w:rPr>
            </w:pPr>
            <w:r>
              <w:rPr>
                <w:rFonts w:hint="eastAsia"/>
                <w:color w:val="auto"/>
                <w:kern w:val="24"/>
                <w:sz w:val="24"/>
                <w:szCs w:val="24"/>
                <w:highlight w:val="none"/>
              </w:rPr>
              <w:t>本项目主要生产设施信息见表</w:t>
            </w:r>
            <w:r>
              <w:rPr>
                <w:color w:val="auto"/>
                <w:kern w:val="24"/>
                <w:sz w:val="24"/>
                <w:szCs w:val="24"/>
                <w:highlight w:val="none"/>
              </w:rPr>
              <w:t>2</w:t>
            </w:r>
            <w:r>
              <w:rPr>
                <w:rFonts w:hint="eastAsia"/>
                <w:color w:val="auto"/>
                <w:kern w:val="24"/>
                <w:sz w:val="24"/>
                <w:szCs w:val="24"/>
                <w:highlight w:val="none"/>
              </w:rPr>
              <w:t>-</w:t>
            </w:r>
            <w:r>
              <w:rPr>
                <w:rFonts w:hint="eastAsia"/>
                <w:color w:val="auto"/>
                <w:kern w:val="24"/>
                <w:sz w:val="24"/>
                <w:szCs w:val="24"/>
                <w:highlight w:val="none"/>
                <w:lang w:val="en-US" w:eastAsia="zh-CN"/>
              </w:rPr>
              <w:t>3</w:t>
            </w:r>
            <w:r>
              <w:rPr>
                <w:rFonts w:hint="eastAsia"/>
                <w:color w:val="auto"/>
                <w:kern w:val="24"/>
                <w:sz w:val="24"/>
                <w:szCs w:val="24"/>
                <w:highlight w:val="none"/>
              </w:rPr>
              <w:t>。</w:t>
            </w:r>
          </w:p>
          <w:p>
            <w:pPr>
              <w:spacing w:line="360" w:lineRule="auto"/>
              <w:jc w:val="center"/>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w:t>
            </w: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主要生产设施信息表</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33"/>
              <w:gridCol w:w="1436"/>
              <w:gridCol w:w="1436"/>
              <w:gridCol w:w="1436"/>
              <w:gridCol w:w="1436"/>
              <w:gridCol w:w="14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831"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名称</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单位</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数量</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型号</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作用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1"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833" w:type="pct"/>
                  <w:tcBorders>
                    <w:tl2br w:val="nil"/>
                    <w:tr2bl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大切机</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台</w:t>
                  </w:r>
                </w:p>
              </w:tc>
              <w:tc>
                <w:tcPr>
                  <w:tcW w:w="833" w:type="pct"/>
                  <w:tcBorders>
                    <w:tl2br w:val="nil"/>
                    <w:tr2bl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切割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1"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833" w:type="pct"/>
                  <w:tcBorders>
                    <w:tl2br w:val="nil"/>
                    <w:tr2bl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中切机</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台</w:t>
                  </w:r>
                </w:p>
              </w:tc>
              <w:tc>
                <w:tcPr>
                  <w:tcW w:w="833" w:type="pct"/>
                  <w:tcBorders>
                    <w:tl2br w:val="nil"/>
                    <w:tr2bl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切割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1"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833" w:type="pct"/>
                  <w:tcBorders>
                    <w:tl2br w:val="nil"/>
                    <w:tr2bl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雕刻机</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台</w:t>
                  </w:r>
                </w:p>
              </w:tc>
              <w:tc>
                <w:tcPr>
                  <w:tcW w:w="833" w:type="pct"/>
                  <w:tcBorders>
                    <w:tl2br w:val="nil"/>
                    <w:tr2bl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雕刻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1"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833" w:type="pct"/>
                  <w:tcBorders>
                    <w:tl2br w:val="nil"/>
                    <w:tr2bl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压滤机</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台</w:t>
                  </w:r>
                </w:p>
              </w:tc>
              <w:tc>
                <w:tcPr>
                  <w:tcW w:w="833" w:type="pct"/>
                  <w:tcBorders>
                    <w:tl2br w:val="nil"/>
                    <w:tr2bl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处理污泥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1" w:type="pct"/>
                  <w:tcBorders>
                    <w:tl2br w:val="nil"/>
                    <w:tr2bl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5</w:t>
                  </w:r>
                </w:p>
              </w:tc>
              <w:tc>
                <w:tcPr>
                  <w:tcW w:w="833" w:type="pct"/>
                  <w:tcBorders>
                    <w:tl2br w:val="nil"/>
                    <w:tr2bl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焊机</w:t>
                  </w:r>
                </w:p>
              </w:tc>
              <w:tc>
                <w:tcPr>
                  <w:tcW w:w="833" w:type="pct"/>
                  <w:tcBorders>
                    <w:tl2br w:val="nil"/>
                    <w:tr2bl w:val="nil"/>
                  </w:tcBorders>
                  <w:vAlign w:val="center"/>
                </w:tcPr>
                <w:p>
                  <w:pPr>
                    <w:widowControl w:val="0"/>
                    <w:numPr>
                      <w:ilvl w:val="0"/>
                      <w:numId w:val="0"/>
                    </w:numPr>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台</w:t>
                  </w:r>
                </w:p>
              </w:tc>
              <w:tc>
                <w:tcPr>
                  <w:tcW w:w="833" w:type="pct"/>
                  <w:tcBorders>
                    <w:tl2br w:val="nil"/>
                    <w:tr2bl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833" w:type="pct"/>
                  <w:tcBorders>
                    <w:tl2br w:val="nil"/>
                    <w:tr2bl w:val="nil"/>
                  </w:tcBorders>
                  <w:vAlign w:val="center"/>
                </w:tcPr>
                <w:p>
                  <w:pPr>
                    <w:widowControl w:val="0"/>
                    <w:numPr>
                      <w:ilvl w:val="0"/>
                      <w:numId w:val="0"/>
                    </w:numPr>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833" w:type="pct"/>
                  <w:tcBorders>
                    <w:tl2br w:val="nil"/>
                    <w:tr2bl w:val="nil"/>
                  </w:tcBorders>
                  <w:vAlign w:val="center"/>
                </w:tcPr>
                <w:p>
                  <w:pPr>
                    <w:widowControl w:val="0"/>
                    <w:numPr>
                      <w:ilvl w:val="0"/>
                      <w:numId w:val="0"/>
                    </w:numPr>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机修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1" w:type="pct"/>
                  <w:tcBorders>
                    <w:tl2br w:val="nil"/>
                    <w:tr2bl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6</w:t>
                  </w:r>
                </w:p>
              </w:tc>
              <w:tc>
                <w:tcPr>
                  <w:tcW w:w="833" w:type="pct"/>
                  <w:tcBorders>
                    <w:tl2br w:val="nil"/>
                    <w:tr2bl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叉车</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辆</w:t>
                  </w:r>
                </w:p>
              </w:tc>
              <w:tc>
                <w:tcPr>
                  <w:tcW w:w="833" w:type="pct"/>
                  <w:tcBorders>
                    <w:tl2br w:val="nil"/>
                    <w:tr2bl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1" w:type="pct"/>
                  <w:tcBorders>
                    <w:tl2br w:val="nil"/>
                    <w:tr2bl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7</w:t>
                  </w:r>
                </w:p>
              </w:tc>
              <w:tc>
                <w:tcPr>
                  <w:tcW w:w="833" w:type="pct"/>
                  <w:tcBorders>
                    <w:tl2br w:val="nil"/>
                    <w:tr2bl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行车</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辆</w:t>
                  </w:r>
                </w:p>
              </w:tc>
              <w:tc>
                <w:tcPr>
                  <w:tcW w:w="833" w:type="pct"/>
                  <w:tcBorders>
                    <w:tl2br w:val="nil"/>
                    <w:tr2bl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10t/5t</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1"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8</w:t>
                  </w:r>
                </w:p>
              </w:tc>
              <w:tc>
                <w:tcPr>
                  <w:tcW w:w="833" w:type="pct"/>
                  <w:tcBorders>
                    <w:tl2br w:val="nil"/>
                    <w:tr2bl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水泵</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台</w:t>
                  </w:r>
                </w:p>
              </w:tc>
              <w:tc>
                <w:tcPr>
                  <w:tcW w:w="833" w:type="pct"/>
                  <w:tcBorders>
                    <w:tl2br w:val="nil"/>
                    <w:tr2bl w:val="nil"/>
                  </w:tcBorders>
                  <w:vAlign w:val="center"/>
                </w:tcPr>
                <w:p>
                  <w:pPr>
                    <w:widowControl w:val="0"/>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1</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833" w:type="pct"/>
                  <w:tcBorders>
                    <w:tl2br w:val="nil"/>
                    <w:tr2bl w:val="nil"/>
                  </w:tcBorders>
                  <w:vAlign w:val="center"/>
                </w:tcPr>
                <w:p>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提升污水等</w:t>
                  </w:r>
                </w:p>
              </w:tc>
            </w:tr>
          </w:tbl>
          <w:p>
            <w:pPr>
              <w:spacing w:line="360" w:lineRule="auto"/>
              <w:ind w:firstLine="482" w:firstLineChars="200"/>
              <w:rPr>
                <w:rFonts w:cs="Times New Roman"/>
                <w:b/>
                <w:color w:val="auto"/>
                <w:sz w:val="24"/>
                <w:szCs w:val="24"/>
                <w:highlight w:val="none"/>
              </w:rPr>
            </w:pPr>
            <w:r>
              <w:rPr>
                <w:rFonts w:hint="eastAsia" w:cs="Times New Roman"/>
                <w:b/>
                <w:color w:val="auto"/>
                <w:sz w:val="24"/>
                <w:szCs w:val="24"/>
                <w:highlight w:val="none"/>
                <w:lang w:val="en-US" w:eastAsia="zh-CN"/>
              </w:rPr>
              <w:t>6</w:t>
            </w:r>
            <w:r>
              <w:rPr>
                <w:rFonts w:hint="eastAsia" w:cs="Times New Roman"/>
                <w:b/>
                <w:color w:val="auto"/>
                <w:sz w:val="24"/>
                <w:szCs w:val="24"/>
                <w:highlight w:val="none"/>
              </w:rPr>
              <w:t>、</w:t>
            </w:r>
            <w:r>
              <w:rPr>
                <w:rFonts w:cs="Times New Roman"/>
                <w:b/>
                <w:color w:val="auto"/>
                <w:sz w:val="24"/>
                <w:szCs w:val="24"/>
                <w:highlight w:val="none"/>
              </w:rPr>
              <w:t>主要</w:t>
            </w:r>
            <w:r>
              <w:rPr>
                <w:rFonts w:hint="eastAsia" w:cs="Times New Roman"/>
                <w:b/>
                <w:color w:val="auto"/>
                <w:sz w:val="24"/>
                <w:szCs w:val="24"/>
                <w:highlight w:val="none"/>
              </w:rPr>
              <w:t>原辅材料</w:t>
            </w:r>
            <w:r>
              <w:rPr>
                <w:rFonts w:cs="Times New Roman"/>
                <w:b/>
                <w:color w:val="auto"/>
                <w:sz w:val="24"/>
                <w:szCs w:val="24"/>
                <w:highlight w:val="none"/>
              </w:rPr>
              <w:t>及燃料</w:t>
            </w:r>
          </w:p>
          <w:p>
            <w:pPr>
              <w:spacing w:line="360" w:lineRule="auto"/>
              <w:ind w:firstLine="480" w:firstLineChars="200"/>
              <w:rPr>
                <w:color w:val="auto"/>
                <w:kern w:val="24"/>
                <w:sz w:val="24"/>
                <w:szCs w:val="24"/>
                <w:highlight w:val="none"/>
              </w:rPr>
            </w:pPr>
            <w:r>
              <w:rPr>
                <w:rFonts w:hint="eastAsia"/>
                <w:color w:val="auto"/>
                <w:kern w:val="24"/>
                <w:sz w:val="24"/>
                <w:szCs w:val="24"/>
                <w:highlight w:val="none"/>
              </w:rPr>
              <w:t>本项目主要原辅材料及燃料种类和用量见表</w:t>
            </w:r>
            <w:r>
              <w:rPr>
                <w:color w:val="auto"/>
                <w:kern w:val="24"/>
                <w:sz w:val="24"/>
                <w:szCs w:val="24"/>
                <w:highlight w:val="none"/>
              </w:rPr>
              <w:t>2</w:t>
            </w:r>
            <w:r>
              <w:rPr>
                <w:rFonts w:hint="eastAsia"/>
                <w:color w:val="auto"/>
                <w:kern w:val="24"/>
                <w:sz w:val="24"/>
                <w:szCs w:val="24"/>
                <w:highlight w:val="none"/>
              </w:rPr>
              <w:t>-</w:t>
            </w:r>
            <w:r>
              <w:rPr>
                <w:rFonts w:hint="eastAsia"/>
                <w:color w:val="auto"/>
                <w:kern w:val="24"/>
                <w:sz w:val="24"/>
                <w:szCs w:val="24"/>
                <w:highlight w:val="none"/>
                <w:lang w:val="en-US" w:eastAsia="zh-CN"/>
              </w:rPr>
              <w:t>4</w:t>
            </w:r>
            <w:r>
              <w:rPr>
                <w:rFonts w:hint="eastAsia"/>
                <w:color w:val="auto"/>
                <w:kern w:val="24"/>
                <w:sz w:val="24"/>
                <w:szCs w:val="24"/>
                <w:highlight w:val="none"/>
              </w:rPr>
              <w:t>。</w:t>
            </w:r>
          </w:p>
          <w:p>
            <w:pPr>
              <w:spacing w:line="360" w:lineRule="auto"/>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表2-</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 xml:space="preserve">  主要原辅材料及能耗</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58"/>
              <w:gridCol w:w="1518"/>
              <w:gridCol w:w="1129"/>
              <w:gridCol w:w="1196"/>
              <w:gridCol w:w="1150"/>
              <w:gridCol w:w="1543"/>
              <w:gridCol w:w="12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blHeader/>
                <w:jc w:val="center"/>
              </w:trPr>
              <w:tc>
                <w:tcPr>
                  <w:tcW w:w="49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
                      <w:bCs w:val="0"/>
                      <w:color w:val="auto"/>
                      <w:sz w:val="21"/>
                      <w:szCs w:val="21"/>
                      <w:highlight w:val="none"/>
                      <w:lang w:val="en-US" w:eastAsia="zh-CN"/>
                    </w:rPr>
                  </w:pPr>
                  <w:r>
                    <w:rPr>
                      <w:rFonts w:hint="default" w:cs="Times New Roman"/>
                      <w:b/>
                      <w:bCs w:val="0"/>
                      <w:color w:val="auto"/>
                      <w:sz w:val="21"/>
                      <w:szCs w:val="21"/>
                      <w:highlight w:val="none"/>
                      <w:lang w:val="en-US" w:eastAsia="zh-CN"/>
                    </w:rPr>
                    <w:t>类别</w:t>
                  </w:r>
                </w:p>
              </w:tc>
              <w:tc>
                <w:tcPr>
                  <w:tcW w:w="881"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
                      <w:bCs w:val="0"/>
                      <w:color w:val="auto"/>
                      <w:sz w:val="21"/>
                      <w:szCs w:val="21"/>
                      <w:highlight w:val="none"/>
                      <w:lang w:val="en-US" w:eastAsia="zh-CN"/>
                    </w:rPr>
                  </w:pPr>
                  <w:r>
                    <w:rPr>
                      <w:rFonts w:hint="default" w:cs="Times New Roman"/>
                      <w:b/>
                      <w:bCs w:val="0"/>
                      <w:color w:val="auto"/>
                      <w:sz w:val="21"/>
                      <w:szCs w:val="21"/>
                      <w:highlight w:val="none"/>
                      <w:lang w:val="en-US" w:eastAsia="zh-CN"/>
                    </w:rPr>
                    <w:t>名称</w:t>
                  </w:r>
                </w:p>
              </w:tc>
              <w:tc>
                <w:tcPr>
                  <w:tcW w:w="65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
                      <w:bCs w:val="0"/>
                      <w:color w:val="auto"/>
                      <w:sz w:val="21"/>
                      <w:szCs w:val="21"/>
                      <w:highlight w:val="none"/>
                      <w:lang w:val="en-US" w:eastAsia="zh-CN"/>
                    </w:rPr>
                  </w:pPr>
                  <w:r>
                    <w:rPr>
                      <w:rFonts w:hint="default" w:cs="Times New Roman"/>
                      <w:b/>
                      <w:bCs w:val="0"/>
                      <w:color w:val="auto"/>
                      <w:sz w:val="21"/>
                      <w:szCs w:val="21"/>
                      <w:highlight w:val="none"/>
                      <w:lang w:val="en-US" w:eastAsia="zh-CN"/>
                    </w:rPr>
                    <w:t>单位</w:t>
                  </w:r>
                </w:p>
              </w:tc>
              <w:tc>
                <w:tcPr>
                  <w:tcW w:w="694"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
                      <w:bCs w:val="0"/>
                      <w:color w:val="auto"/>
                      <w:sz w:val="21"/>
                      <w:szCs w:val="21"/>
                      <w:highlight w:val="none"/>
                      <w:lang w:val="en-US" w:eastAsia="zh-CN"/>
                    </w:rPr>
                  </w:pPr>
                  <w:r>
                    <w:rPr>
                      <w:rFonts w:hint="default" w:cs="Times New Roman"/>
                      <w:b/>
                      <w:bCs w:val="0"/>
                      <w:color w:val="auto"/>
                      <w:sz w:val="21"/>
                      <w:szCs w:val="21"/>
                      <w:highlight w:val="none"/>
                      <w:lang w:val="en-US" w:eastAsia="zh-CN"/>
                    </w:rPr>
                    <w:t>年用量</w:t>
                  </w:r>
                </w:p>
              </w:tc>
              <w:tc>
                <w:tcPr>
                  <w:tcW w:w="66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
                      <w:bCs w:val="0"/>
                      <w:color w:val="auto"/>
                      <w:sz w:val="21"/>
                      <w:szCs w:val="21"/>
                      <w:highlight w:val="none"/>
                      <w:lang w:val="en-US" w:eastAsia="zh-CN"/>
                    </w:rPr>
                  </w:pPr>
                  <w:r>
                    <w:rPr>
                      <w:rFonts w:hint="default" w:cs="Times New Roman"/>
                      <w:b/>
                      <w:bCs w:val="0"/>
                      <w:color w:val="auto"/>
                      <w:sz w:val="21"/>
                      <w:szCs w:val="21"/>
                      <w:highlight w:val="none"/>
                      <w:lang w:val="en-US" w:eastAsia="zh-CN"/>
                    </w:rPr>
                    <w:t>储存量</w:t>
                  </w:r>
                </w:p>
              </w:tc>
              <w:tc>
                <w:tcPr>
                  <w:tcW w:w="89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
                      <w:bCs w:val="0"/>
                      <w:color w:val="auto"/>
                      <w:sz w:val="21"/>
                      <w:szCs w:val="21"/>
                      <w:highlight w:val="none"/>
                      <w:lang w:val="en-US" w:eastAsia="zh-CN"/>
                    </w:rPr>
                  </w:pPr>
                  <w:r>
                    <w:rPr>
                      <w:rFonts w:hint="default" w:cs="Times New Roman"/>
                      <w:b/>
                      <w:bCs w:val="0"/>
                      <w:color w:val="auto"/>
                      <w:sz w:val="21"/>
                      <w:szCs w:val="21"/>
                      <w:highlight w:val="none"/>
                      <w:lang w:val="en-US" w:eastAsia="zh-CN"/>
                    </w:rPr>
                    <w:t>来源</w:t>
                  </w:r>
                </w:p>
              </w:tc>
              <w:tc>
                <w:tcPr>
                  <w:tcW w:w="70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
                      <w:bCs w:val="0"/>
                      <w:color w:val="auto"/>
                      <w:sz w:val="21"/>
                      <w:szCs w:val="21"/>
                      <w:highlight w:val="none"/>
                      <w:lang w:val="en-US" w:eastAsia="zh-CN"/>
                    </w:rPr>
                  </w:pPr>
                  <w:r>
                    <w:rPr>
                      <w:rFonts w:hint="default" w:cs="Times New Roman"/>
                      <w:b/>
                      <w:bCs w:val="0"/>
                      <w:color w:val="auto"/>
                      <w:sz w:val="21"/>
                      <w:szCs w:val="21"/>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98" w:type="pct"/>
                  <w:vMerge w:val="restar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r>
                    <w:rPr>
                      <w:rFonts w:hint="default" w:cs="Times New Roman"/>
                      <w:bCs/>
                      <w:color w:val="auto"/>
                      <w:sz w:val="21"/>
                      <w:szCs w:val="21"/>
                      <w:highlight w:val="none"/>
                      <w:lang w:val="en-US" w:eastAsia="zh-CN"/>
                    </w:rPr>
                    <w:t xml:space="preserve">原辅料  </w:t>
                  </w:r>
                </w:p>
              </w:tc>
              <w:tc>
                <w:tcPr>
                  <w:tcW w:w="881"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青石</w:t>
                  </w:r>
                </w:p>
              </w:tc>
              <w:tc>
                <w:tcPr>
                  <w:tcW w:w="65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m</w:t>
                  </w:r>
                  <w:r>
                    <w:rPr>
                      <w:rFonts w:hint="eastAsia" w:cs="Times New Roman"/>
                      <w:bCs/>
                      <w:color w:val="auto"/>
                      <w:kern w:val="2"/>
                      <w:sz w:val="21"/>
                      <w:szCs w:val="21"/>
                      <w:highlight w:val="none"/>
                      <w:vertAlign w:val="superscript"/>
                      <w:lang w:val="en-US" w:eastAsia="zh-CN" w:bidi="ar-SA"/>
                    </w:rPr>
                    <w:t>3</w:t>
                  </w:r>
                </w:p>
              </w:tc>
              <w:tc>
                <w:tcPr>
                  <w:tcW w:w="694"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2000</w:t>
                  </w:r>
                </w:p>
              </w:tc>
              <w:tc>
                <w:tcPr>
                  <w:tcW w:w="66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300</w:t>
                  </w:r>
                </w:p>
              </w:tc>
              <w:tc>
                <w:tcPr>
                  <w:tcW w:w="89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cs="Times New Roman"/>
                      <w:bCs/>
                      <w:color w:val="auto"/>
                      <w:sz w:val="21"/>
                      <w:szCs w:val="21"/>
                      <w:highlight w:val="none"/>
                      <w:lang w:val="en-US" w:eastAsia="zh-CN"/>
                    </w:rPr>
                    <w:t>外购</w:t>
                  </w:r>
                </w:p>
              </w:tc>
              <w:tc>
                <w:tcPr>
                  <w:tcW w:w="70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98"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p>
              </w:tc>
              <w:tc>
                <w:tcPr>
                  <w:tcW w:w="881"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花岗岩</w:t>
                  </w:r>
                </w:p>
              </w:tc>
              <w:tc>
                <w:tcPr>
                  <w:tcW w:w="65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m</w:t>
                  </w:r>
                  <w:r>
                    <w:rPr>
                      <w:rFonts w:hint="eastAsia" w:cs="Times New Roman"/>
                      <w:bCs/>
                      <w:color w:val="auto"/>
                      <w:kern w:val="2"/>
                      <w:sz w:val="21"/>
                      <w:szCs w:val="21"/>
                      <w:highlight w:val="none"/>
                      <w:vertAlign w:val="superscript"/>
                      <w:lang w:val="en-US" w:eastAsia="zh-CN" w:bidi="ar-SA"/>
                    </w:rPr>
                    <w:t>3</w:t>
                  </w:r>
                </w:p>
              </w:tc>
              <w:tc>
                <w:tcPr>
                  <w:tcW w:w="694"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500</w:t>
                  </w:r>
                </w:p>
              </w:tc>
              <w:tc>
                <w:tcPr>
                  <w:tcW w:w="66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200</w:t>
                  </w:r>
                </w:p>
              </w:tc>
              <w:tc>
                <w:tcPr>
                  <w:tcW w:w="89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cs="Times New Roman"/>
                      <w:bCs/>
                      <w:color w:val="auto"/>
                      <w:sz w:val="21"/>
                      <w:szCs w:val="21"/>
                      <w:highlight w:val="none"/>
                      <w:lang w:val="en-US" w:eastAsia="zh-CN"/>
                    </w:rPr>
                    <w:t>外购</w:t>
                  </w:r>
                </w:p>
              </w:tc>
              <w:tc>
                <w:tcPr>
                  <w:tcW w:w="70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98"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p>
              </w:tc>
              <w:tc>
                <w:tcPr>
                  <w:tcW w:w="881"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大理石</w:t>
                  </w:r>
                </w:p>
              </w:tc>
              <w:tc>
                <w:tcPr>
                  <w:tcW w:w="65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m</w:t>
                  </w:r>
                  <w:r>
                    <w:rPr>
                      <w:rFonts w:hint="eastAsia" w:cs="Times New Roman"/>
                      <w:bCs/>
                      <w:color w:val="auto"/>
                      <w:kern w:val="2"/>
                      <w:sz w:val="21"/>
                      <w:szCs w:val="21"/>
                      <w:highlight w:val="none"/>
                      <w:vertAlign w:val="superscript"/>
                      <w:lang w:val="en-US" w:eastAsia="zh-CN" w:bidi="ar-SA"/>
                    </w:rPr>
                    <w:t>3</w:t>
                  </w:r>
                </w:p>
              </w:tc>
              <w:tc>
                <w:tcPr>
                  <w:tcW w:w="69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400</w:t>
                  </w:r>
                </w:p>
              </w:tc>
              <w:tc>
                <w:tcPr>
                  <w:tcW w:w="667" w:type="pct"/>
                  <w:tcBorders>
                    <w:tl2br w:val="nil"/>
                    <w:tr2bl w:val="nil"/>
                  </w:tcBorders>
                  <w:noWrap w:val="0"/>
                  <w:vAlign w:val="center"/>
                </w:tcPr>
                <w:p>
                  <w:pPr>
                    <w:keepNext w:val="0"/>
                    <w:keepLines w:val="0"/>
                    <w:pageBreakBefore w:val="0"/>
                    <w:widowControl w:val="0"/>
                    <w:tabs>
                      <w:tab w:val="right" w:pos="9135"/>
                    </w:tabs>
                    <w:kinsoku/>
                    <w:wordWrap/>
                    <w:overflowPunct/>
                    <w:topLinePunct w:val="0"/>
                    <w:bidi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89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cs="Times New Roman"/>
                      <w:bCs/>
                      <w:color w:val="auto"/>
                      <w:sz w:val="21"/>
                      <w:szCs w:val="21"/>
                      <w:highlight w:val="none"/>
                      <w:lang w:val="en-US" w:eastAsia="zh-CN"/>
                    </w:rPr>
                    <w:t>外购</w:t>
                  </w:r>
                </w:p>
              </w:tc>
              <w:tc>
                <w:tcPr>
                  <w:tcW w:w="70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98"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p>
              </w:tc>
              <w:tc>
                <w:tcPr>
                  <w:tcW w:w="881"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汉白玉</w:t>
                  </w:r>
                </w:p>
              </w:tc>
              <w:tc>
                <w:tcPr>
                  <w:tcW w:w="65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m</w:t>
                  </w:r>
                  <w:r>
                    <w:rPr>
                      <w:rFonts w:hint="eastAsia" w:cs="Times New Roman"/>
                      <w:bCs/>
                      <w:color w:val="auto"/>
                      <w:kern w:val="2"/>
                      <w:sz w:val="21"/>
                      <w:szCs w:val="21"/>
                      <w:highlight w:val="none"/>
                      <w:vertAlign w:val="superscript"/>
                      <w:lang w:val="en-US" w:eastAsia="zh-CN" w:bidi="ar-SA"/>
                    </w:rPr>
                    <w:t>3</w:t>
                  </w:r>
                </w:p>
              </w:tc>
              <w:tc>
                <w:tcPr>
                  <w:tcW w:w="69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50</w:t>
                  </w:r>
                </w:p>
              </w:tc>
              <w:tc>
                <w:tcPr>
                  <w:tcW w:w="667" w:type="pct"/>
                  <w:tcBorders>
                    <w:tl2br w:val="nil"/>
                    <w:tr2bl w:val="nil"/>
                  </w:tcBorders>
                  <w:noWrap w:val="0"/>
                  <w:vAlign w:val="center"/>
                </w:tcPr>
                <w:p>
                  <w:pPr>
                    <w:keepNext w:val="0"/>
                    <w:keepLines w:val="0"/>
                    <w:pageBreakBefore w:val="0"/>
                    <w:widowControl w:val="0"/>
                    <w:tabs>
                      <w:tab w:val="right" w:pos="9135"/>
                    </w:tabs>
                    <w:kinsoku/>
                    <w:wordWrap/>
                    <w:overflowPunct/>
                    <w:topLinePunct w:val="0"/>
                    <w:bidi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c>
                <w:tcPr>
                  <w:tcW w:w="89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cs="Times New Roman"/>
                      <w:bCs/>
                      <w:color w:val="auto"/>
                      <w:sz w:val="21"/>
                      <w:szCs w:val="21"/>
                      <w:highlight w:val="none"/>
                      <w:lang w:val="en-US" w:eastAsia="zh-CN"/>
                    </w:rPr>
                    <w:t>外购</w:t>
                  </w:r>
                </w:p>
              </w:tc>
              <w:tc>
                <w:tcPr>
                  <w:tcW w:w="70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98"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p>
              </w:tc>
              <w:tc>
                <w:tcPr>
                  <w:tcW w:w="881"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石板</w:t>
                  </w:r>
                </w:p>
              </w:tc>
              <w:tc>
                <w:tcPr>
                  <w:tcW w:w="65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m</w:t>
                  </w:r>
                  <w:r>
                    <w:rPr>
                      <w:rFonts w:hint="eastAsia" w:cs="Times New Roman"/>
                      <w:bCs/>
                      <w:color w:val="auto"/>
                      <w:kern w:val="2"/>
                      <w:sz w:val="21"/>
                      <w:szCs w:val="21"/>
                      <w:highlight w:val="none"/>
                      <w:vertAlign w:val="superscript"/>
                      <w:lang w:val="en-US" w:eastAsia="zh-CN" w:bidi="ar-SA"/>
                    </w:rPr>
                    <w:t>3</w:t>
                  </w:r>
                </w:p>
              </w:tc>
              <w:tc>
                <w:tcPr>
                  <w:tcW w:w="69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30</w:t>
                  </w:r>
                </w:p>
              </w:tc>
              <w:tc>
                <w:tcPr>
                  <w:tcW w:w="667" w:type="pct"/>
                  <w:tcBorders>
                    <w:tl2br w:val="nil"/>
                    <w:tr2bl w:val="nil"/>
                  </w:tcBorders>
                  <w:noWrap w:val="0"/>
                  <w:vAlign w:val="center"/>
                </w:tcPr>
                <w:p>
                  <w:pPr>
                    <w:keepNext w:val="0"/>
                    <w:keepLines w:val="0"/>
                    <w:pageBreakBefore w:val="0"/>
                    <w:widowControl w:val="0"/>
                    <w:tabs>
                      <w:tab w:val="right" w:pos="9135"/>
                    </w:tabs>
                    <w:kinsoku/>
                    <w:wordWrap/>
                    <w:overflowPunct/>
                    <w:topLinePunct w:val="0"/>
                    <w:bidi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89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cs="Times New Roman"/>
                      <w:bCs/>
                      <w:color w:val="auto"/>
                      <w:sz w:val="21"/>
                      <w:szCs w:val="21"/>
                      <w:highlight w:val="none"/>
                      <w:lang w:val="en-US" w:eastAsia="zh-CN"/>
                    </w:rPr>
                    <w:t>外购</w:t>
                  </w:r>
                </w:p>
              </w:tc>
              <w:tc>
                <w:tcPr>
                  <w:tcW w:w="70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98"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p>
              </w:tc>
              <w:tc>
                <w:tcPr>
                  <w:tcW w:w="881"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板材</w:t>
                  </w:r>
                </w:p>
              </w:tc>
              <w:tc>
                <w:tcPr>
                  <w:tcW w:w="65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m</w:t>
                  </w:r>
                  <w:r>
                    <w:rPr>
                      <w:rFonts w:hint="eastAsia" w:cs="Times New Roman"/>
                      <w:bCs/>
                      <w:color w:val="auto"/>
                      <w:kern w:val="2"/>
                      <w:sz w:val="21"/>
                      <w:szCs w:val="21"/>
                      <w:highlight w:val="none"/>
                      <w:vertAlign w:val="superscript"/>
                      <w:lang w:val="en-US" w:eastAsia="zh-CN" w:bidi="ar-SA"/>
                    </w:rPr>
                    <w:t>3</w:t>
                  </w:r>
                </w:p>
              </w:tc>
              <w:tc>
                <w:tcPr>
                  <w:tcW w:w="69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20</w:t>
                  </w:r>
                </w:p>
              </w:tc>
              <w:tc>
                <w:tcPr>
                  <w:tcW w:w="667" w:type="pct"/>
                  <w:tcBorders>
                    <w:tl2br w:val="nil"/>
                    <w:tr2bl w:val="nil"/>
                  </w:tcBorders>
                  <w:noWrap w:val="0"/>
                  <w:vAlign w:val="center"/>
                </w:tcPr>
                <w:p>
                  <w:pPr>
                    <w:keepNext w:val="0"/>
                    <w:keepLines w:val="0"/>
                    <w:pageBreakBefore w:val="0"/>
                    <w:widowControl w:val="0"/>
                    <w:tabs>
                      <w:tab w:val="right" w:pos="9135"/>
                    </w:tabs>
                    <w:kinsoku/>
                    <w:wordWrap/>
                    <w:overflowPunct/>
                    <w:topLinePunct w:val="0"/>
                    <w:bidi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89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cs="Times New Roman"/>
                      <w:bCs/>
                      <w:color w:val="auto"/>
                      <w:sz w:val="21"/>
                      <w:szCs w:val="21"/>
                      <w:highlight w:val="none"/>
                      <w:lang w:val="en-US" w:eastAsia="zh-CN"/>
                    </w:rPr>
                    <w:t>外购</w:t>
                  </w:r>
                </w:p>
              </w:tc>
              <w:tc>
                <w:tcPr>
                  <w:tcW w:w="70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98"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p>
              </w:tc>
              <w:tc>
                <w:tcPr>
                  <w:tcW w:w="881"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eastAsia" w:cs="Times New Roman"/>
                      <w:bCs/>
                      <w:color w:val="0000FF"/>
                      <w:sz w:val="21"/>
                      <w:szCs w:val="21"/>
                      <w:highlight w:val="none"/>
                      <w:lang w:val="en-US" w:eastAsia="zh-CN"/>
                    </w:rPr>
                  </w:pPr>
                  <w:r>
                    <w:rPr>
                      <w:rFonts w:hint="default" w:cs="Times New Roman"/>
                      <w:bCs/>
                      <w:color w:val="0000FF"/>
                      <w:sz w:val="21"/>
                      <w:szCs w:val="21"/>
                      <w:highlight w:val="none"/>
                      <w:lang w:val="en-US" w:eastAsia="zh-CN"/>
                    </w:rPr>
                    <w:t>聚丙烯酰胺絮凝剂</w:t>
                  </w:r>
                </w:p>
              </w:tc>
              <w:tc>
                <w:tcPr>
                  <w:tcW w:w="655"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hint="default" w:ascii="Times New Roman" w:hAnsi="Times New Roman" w:eastAsia="宋体" w:cs="Times New Roman"/>
                      <w:bCs/>
                      <w:color w:val="0000FF"/>
                      <w:kern w:val="2"/>
                      <w:sz w:val="21"/>
                      <w:szCs w:val="21"/>
                      <w:highlight w:val="none"/>
                      <w:lang w:val="en-US" w:eastAsia="zh-CN" w:bidi="ar-SA"/>
                    </w:rPr>
                  </w:pPr>
                  <w:r>
                    <w:rPr>
                      <w:rFonts w:hint="default" w:cs="Times New Roman"/>
                      <w:bCs/>
                      <w:color w:val="0000FF"/>
                      <w:sz w:val="21"/>
                      <w:szCs w:val="21"/>
                      <w:highlight w:val="none"/>
                      <w:lang w:val="en-US" w:eastAsia="zh-CN"/>
                    </w:rPr>
                    <w:t>t</w:t>
                  </w:r>
                </w:p>
              </w:tc>
              <w:tc>
                <w:tcPr>
                  <w:tcW w:w="69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napToGrid w:val="0"/>
                      <w:color w:val="0000FF"/>
                      <w:kern w:val="0"/>
                      <w:sz w:val="21"/>
                      <w:szCs w:val="21"/>
                      <w:highlight w:val="none"/>
                      <w:lang w:val="en-US" w:eastAsia="zh-CN" w:bidi="ar-SA"/>
                    </w:rPr>
                  </w:pPr>
                  <w:r>
                    <w:rPr>
                      <w:rFonts w:hint="default" w:ascii="Times New Roman" w:hAnsi="Times New Roman" w:cs="Times New Roman"/>
                      <w:snapToGrid w:val="0"/>
                      <w:color w:val="0000FF"/>
                      <w:kern w:val="0"/>
                      <w:szCs w:val="21"/>
                      <w:highlight w:val="none"/>
                    </w:rPr>
                    <w:t>1.5</w:t>
                  </w:r>
                </w:p>
              </w:tc>
              <w:tc>
                <w:tcPr>
                  <w:tcW w:w="667" w:type="pct"/>
                  <w:tcBorders>
                    <w:tl2br w:val="nil"/>
                    <w:tr2bl w:val="nil"/>
                  </w:tcBorders>
                  <w:noWrap w:val="0"/>
                  <w:vAlign w:val="center"/>
                </w:tcPr>
                <w:p>
                  <w:pPr>
                    <w:keepNext w:val="0"/>
                    <w:keepLines w:val="0"/>
                    <w:pageBreakBefore w:val="0"/>
                    <w:widowControl w:val="0"/>
                    <w:tabs>
                      <w:tab w:val="right" w:pos="9135"/>
                    </w:tabs>
                    <w:kinsoku/>
                    <w:wordWrap/>
                    <w:overflowPunct/>
                    <w:topLinePunct w:val="0"/>
                    <w:bidi w:val="0"/>
                    <w:snapToGrid w:val="0"/>
                    <w:spacing w:line="240" w:lineRule="auto"/>
                    <w:jc w:val="center"/>
                    <w:rPr>
                      <w:rFonts w:hint="eastAsia" w:ascii="Times New Roman" w:hAnsi="Times New Roman" w:eastAsia="宋体" w:cs="Times New Roman"/>
                      <w:color w:val="0000FF"/>
                      <w:kern w:val="2"/>
                      <w:sz w:val="21"/>
                      <w:szCs w:val="21"/>
                      <w:highlight w:val="none"/>
                      <w:lang w:val="en-US" w:eastAsia="zh-CN" w:bidi="ar-SA"/>
                    </w:rPr>
                  </w:pPr>
                  <w:r>
                    <w:rPr>
                      <w:rFonts w:hint="default" w:ascii="Times New Roman" w:hAnsi="Times New Roman" w:cs="Times New Roman"/>
                      <w:color w:val="0000FF"/>
                      <w:szCs w:val="21"/>
                      <w:highlight w:val="none"/>
                      <w:lang w:val="en-US" w:eastAsia="zh-CN"/>
                    </w:rPr>
                    <w:t>0.12</w:t>
                  </w:r>
                </w:p>
              </w:tc>
              <w:tc>
                <w:tcPr>
                  <w:tcW w:w="895"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hint="eastAsia" w:ascii="Times New Roman" w:hAnsi="Times New Roman" w:eastAsia="宋体" w:cs="Times New Roman"/>
                      <w:bCs/>
                      <w:color w:val="0000FF"/>
                      <w:kern w:val="2"/>
                      <w:sz w:val="21"/>
                      <w:szCs w:val="21"/>
                      <w:highlight w:val="none"/>
                      <w:lang w:val="en-US" w:eastAsia="zh-CN" w:bidi="ar-SA"/>
                    </w:rPr>
                  </w:pPr>
                  <w:r>
                    <w:rPr>
                      <w:rFonts w:hint="default" w:cs="Times New Roman"/>
                      <w:bCs/>
                      <w:color w:val="0000FF"/>
                      <w:sz w:val="21"/>
                      <w:szCs w:val="21"/>
                      <w:highlight w:val="none"/>
                      <w:lang w:val="en-US" w:eastAsia="zh-CN"/>
                    </w:rPr>
                    <w:t>外购</w:t>
                  </w:r>
                </w:p>
              </w:tc>
              <w:tc>
                <w:tcPr>
                  <w:tcW w:w="70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0000FF"/>
                      <w:sz w:val="21"/>
                      <w:szCs w:val="21"/>
                      <w:highlight w:val="none"/>
                      <w:lang w:val="en-US" w:eastAsia="zh-CN"/>
                    </w:rPr>
                  </w:pPr>
                  <w:r>
                    <w:rPr>
                      <w:rFonts w:hint="default" w:cs="Times New Roman"/>
                      <w:bCs/>
                      <w:color w:val="0000FF"/>
                      <w:sz w:val="21"/>
                      <w:szCs w:val="21"/>
                      <w:highlight w:val="none"/>
                      <w:lang w:val="en-US" w:eastAsia="zh-CN"/>
                    </w:rPr>
                    <w:t>废水处理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98"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p>
              </w:tc>
              <w:tc>
                <w:tcPr>
                  <w:tcW w:w="881"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0000FF"/>
                      <w:sz w:val="21"/>
                      <w:szCs w:val="21"/>
                      <w:highlight w:val="none"/>
                      <w:lang w:val="en-US" w:eastAsia="zh-CN"/>
                    </w:rPr>
                  </w:pPr>
                  <w:r>
                    <w:rPr>
                      <w:rFonts w:hint="eastAsia" w:cs="Times New Roman"/>
                      <w:bCs/>
                      <w:color w:val="0000FF"/>
                      <w:sz w:val="21"/>
                      <w:szCs w:val="21"/>
                      <w:highlight w:val="none"/>
                      <w:lang w:val="en-US" w:eastAsia="zh-CN"/>
                    </w:rPr>
                    <w:t>柴油</w:t>
                  </w:r>
                </w:p>
              </w:tc>
              <w:tc>
                <w:tcPr>
                  <w:tcW w:w="65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0000FF"/>
                      <w:sz w:val="21"/>
                      <w:szCs w:val="21"/>
                      <w:highlight w:val="none"/>
                      <w:lang w:val="en-US" w:eastAsia="zh-CN"/>
                    </w:rPr>
                  </w:pPr>
                </w:p>
              </w:tc>
              <w:tc>
                <w:tcPr>
                  <w:tcW w:w="69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snapToGrid w:val="0"/>
                      <w:color w:val="0000FF"/>
                      <w:kern w:val="0"/>
                      <w:sz w:val="21"/>
                      <w:szCs w:val="21"/>
                      <w:highlight w:val="none"/>
                      <w:lang w:val="en-US" w:eastAsia="zh-CN"/>
                    </w:rPr>
                  </w:pPr>
                </w:p>
              </w:tc>
              <w:tc>
                <w:tcPr>
                  <w:tcW w:w="66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eastAsia" w:cs="Times New Roman"/>
                      <w:bCs/>
                      <w:color w:val="0000FF"/>
                      <w:sz w:val="21"/>
                      <w:szCs w:val="21"/>
                      <w:highlight w:val="none"/>
                      <w:lang w:val="en-US" w:eastAsia="zh-CN"/>
                    </w:rPr>
                  </w:pPr>
                </w:p>
              </w:tc>
              <w:tc>
                <w:tcPr>
                  <w:tcW w:w="89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eastAsia" w:cs="Times New Roman"/>
                      <w:bCs/>
                      <w:color w:val="0000FF"/>
                      <w:sz w:val="21"/>
                      <w:szCs w:val="21"/>
                      <w:highlight w:val="none"/>
                      <w:lang w:val="en-US" w:eastAsia="zh-CN"/>
                    </w:rPr>
                  </w:pPr>
                  <w:r>
                    <w:rPr>
                      <w:rFonts w:hint="eastAsia" w:cs="Times New Roman"/>
                      <w:bCs/>
                      <w:color w:val="0000FF"/>
                      <w:sz w:val="21"/>
                      <w:szCs w:val="21"/>
                      <w:highlight w:val="none"/>
                      <w:lang w:val="en-US" w:eastAsia="zh-CN"/>
                    </w:rPr>
                    <w:t>用现买，不在厂区储存</w:t>
                  </w:r>
                </w:p>
              </w:tc>
              <w:tc>
                <w:tcPr>
                  <w:tcW w:w="70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0000FF"/>
                      <w:sz w:val="21"/>
                      <w:szCs w:val="21"/>
                      <w:highlight w:val="none"/>
                      <w:lang w:val="en-US" w:eastAsia="zh-CN"/>
                    </w:rPr>
                  </w:pPr>
                  <w:r>
                    <w:rPr>
                      <w:rFonts w:hint="eastAsia" w:cs="Times New Roman"/>
                      <w:bCs/>
                      <w:color w:val="0000FF"/>
                      <w:sz w:val="21"/>
                      <w:szCs w:val="21"/>
                      <w:highlight w:val="none"/>
                      <w:lang w:val="en-US" w:eastAsia="zh-CN"/>
                    </w:rPr>
                    <w:t>叉车使用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98"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p>
              </w:tc>
              <w:tc>
                <w:tcPr>
                  <w:tcW w:w="881"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r>
                    <w:rPr>
                      <w:rFonts w:hint="default" w:cs="Times New Roman"/>
                      <w:bCs/>
                      <w:color w:val="auto"/>
                      <w:sz w:val="21"/>
                      <w:szCs w:val="21"/>
                      <w:highlight w:val="none"/>
                      <w:lang w:val="en-US" w:eastAsia="zh-CN"/>
                    </w:rPr>
                    <w:t>机油</w:t>
                  </w:r>
                </w:p>
              </w:tc>
              <w:tc>
                <w:tcPr>
                  <w:tcW w:w="65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r>
                    <w:rPr>
                      <w:rFonts w:hint="default" w:cs="Times New Roman"/>
                      <w:bCs/>
                      <w:color w:val="auto"/>
                      <w:sz w:val="21"/>
                      <w:szCs w:val="21"/>
                      <w:highlight w:val="none"/>
                      <w:lang w:val="en-US" w:eastAsia="zh-CN"/>
                    </w:rPr>
                    <w:t>t</w:t>
                  </w:r>
                </w:p>
              </w:tc>
              <w:tc>
                <w:tcPr>
                  <w:tcW w:w="69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snapToGrid w:val="0"/>
                      <w:color w:val="auto"/>
                      <w:kern w:val="0"/>
                      <w:sz w:val="21"/>
                      <w:szCs w:val="21"/>
                      <w:highlight w:val="none"/>
                      <w:lang w:val="en-US" w:eastAsia="zh-CN"/>
                    </w:rPr>
                    <w:t>0.</w:t>
                  </w:r>
                  <w:r>
                    <w:rPr>
                      <w:rFonts w:hint="eastAsia" w:ascii="Times New Roman" w:hAnsi="Times New Roman" w:cs="Times New Roman"/>
                      <w:snapToGrid w:val="0"/>
                      <w:color w:val="auto"/>
                      <w:kern w:val="0"/>
                      <w:sz w:val="21"/>
                      <w:szCs w:val="21"/>
                      <w:highlight w:val="none"/>
                      <w:lang w:val="en-US" w:eastAsia="zh-CN"/>
                    </w:rPr>
                    <w:t>5</w:t>
                  </w:r>
                </w:p>
              </w:tc>
              <w:tc>
                <w:tcPr>
                  <w:tcW w:w="66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89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现用现买，不在厂区储存</w:t>
                  </w:r>
                </w:p>
              </w:tc>
              <w:tc>
                <w:tcPr>
                  <w:tcW w:w="70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r>
                    <w:rPr>
                      <w:rFonts w:hint="default" w:cs="Times New Roman"/>
                      <w:bCs/>
                      <w:color w:val="auto"/>
                      <w:sz w:val="21"/>
                      <w:szCs w:val="21"/>
                      <w:highlight w:val="none"/>
                      <w:lang w:val="en-US" w:eastAsia="zh-CN"/>
                    </w:rPr>
                    <w:t>机械维修保养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98" w:type="pct"/>
                  <w:vMerge w:val="restar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r>
                    <w:rPr>
                      <w:rFonts w:hint="default" w:cs="Times New Roman"/>
                      <w:bCs/>
                      <w:color w:val="auto"/>
                      <w:sz w:val="21"/>
                      <w:szCs w:val="21"/>
                      <w:highlight w:val="none"/>
                      <w:lang w:val="en-US" w:eastAsia="zh-CN"/>
                    </w:rPr>
                    <w:t>能源</w:t>
                  </w:r>
                </w:p>
              </w:tc>
              <w:tc>
                <w:tcPr>
                  <w:tcW w:w="881"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r>
                    <w:rPr>
                      <w:rFonts w:hint="default" w:cs="Times New Roman"/>
                      <w:bCs/>
                      <w:color w:val="auto"/>
                      <w:sz w:val="21"/>
                      <w:szCs w:val="21"/>
                      <w:highlight w:val="none"/>
                      <w:lang w:val="en-US" w:eastAsia="zh-CN"/>
                    </w:rPr>
                    <w:t>电</w:t>
                  </w:r>
                </w:p>
              </w:tc>
              <w:tc>
                <w:tcPr>
                  <w:tcW w:w="65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r>
                    <w:rPr>
                      <w:rFonts w:hint="default" w:cs="Times New Roman"/>
                      <w:bCs/>
                      <w:color w:val="auto"/>
                      <w:sz w:val="21"/>
                      <w:szCs w:val="21"/>
                      <w:highlight w:val="none"/>
                      <w:lang w:val="en-US" w:eastAsia="zh-CN"/>
                    </w:rPr>
                    <w:t>万kW·h</w:t>
                  </w:r>
                </w:p>
              </w:tc>
              <w:tc>
                <w:tcPr>
                  <w:tcW w:w="694"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30</w:t>
                  </w:r>
                </w:p>
              </w:tc>
              <w:tc>
                <w:tcPr>
                  <w:tcW w:w="66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r>
                    <w:rPr>
                      <w:rFonts w:hint="default" w:cs="Times New Roman"/>
                      <w:bCs/>
                      <w:color w:val="auto"/>
                      <w:sz w:val="21"/>
                      <w:szCs w:val="21"/>
                      <w:highlight w:val="none"/>
                      <w:lang w:val="en-US" w:eastAsia="zh-CN"/>
                    </w:rPr>
                    <w:t>/</w:t>
                  </w:r>
                </w:p>
              </w:tc>
              <w:tc>
                <w:tcPr>
                  <w:tcW w:w="89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r>
                    <w:rPr>
                      <w:rFonts w:hint="default" w:cs="Times New Roman"/>
                      <w:bCs/>
                      <w:color w:val="auto"/>
                      <w:sz w:val="21"/>
                      <w:szCs w:val="21"/>
                      <w:highlight w:val="none"/>
                      <w:lang w:val="en-US" w:eastAsia="zh-CN"/>
                    </w:rPr>
                    <w:t>当地电网</w:t>
                  </w:r>
                </w:p>
              </w:tc>
              <w:tc>
                <w:tcPr>
                  <w:tcW w:w="70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r>
                    <w:rPr>
                      <w:rFonts w:hint="default" w:cs="Times New Roman"/>
                      <w:bCs/>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98"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p>
              </w:tc>
              <w:tc>
                <w:tcPr>
                  <w:tcW w:w="881"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r>
                    <w:rPr>
                      <w:rFonts w:hint="default" w:cs="Times New Roman"/>
                      <w:bCs/>
                      <w:color w:val="auto"/>
                      <w:sz w:val="21"/>
                      <w:szCs w:val="21"/>
                      <w:highlight w:val="none"/>
                      <w:lang w:val="en-US" w:eastAsia="zh-CN"/>
                    </w:rPr>
                    <w:t>水</w:t>
                  </w:r>
                </w:p>
              </w:tc>
              <w:tc>
                <w:tcPr>
                  <w:tcW w:w="65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r>
                    <w:rPr>
                      <w:rFonts w:hint="default" w:cs="Times New Roman"/>
                      <w:bCs/>
                      <w:color w:val="auto"/>
                      <w:sz w:val="21"/>
                      <w:szCs w:val="21"/>
                      <w:highlight w:val="none"/>
                      <w:lang w:val="en-US" w:eastAsia="zh-CN"/>
                    </w:rPr>
                    <w:t>m</w:t>
                  </w:r>
                  <w:r>
                    <w:rPr>
                      <w:rFonts w:hint="default" w:cs="Times New Roman"/>
                      <w:bCs/>
                      <w:color w:val="auto"/>
                      <w:sz w:val="21"/>
                      <w:szCs w:val="21"/>
                      <w:highlight w:val="none"/>
                      <w:vertAlign w:val="superscript"/>
                      <w:lang w:val="en-US" w:eastAsia="zh-CN"/>
                    </w:rPr>
                    <w:t>3</w:t>
                  </w:r>
                </w:p>
              </w:tc>
              <w:tc>
                <w:tcPr>
                  <w:tcW w:w="694"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1116</w:t>
                  </w:r>
                </w:p>
              </w:tc>
              <w:tc>
                <w:tcPr>
                  <w:tcW w:w="66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r>
                    <w:rPr>
                      <w:rFonts w:hint="default" w:cs="Times New Roman"/>
                      <w:bCs/>
                      <w:color w:val="auto"/>
                      <w:sz w:val="21"/>
                      <w:szCs w:val="21"/>
                      <w:highlight w:val="none"/>
                      <w:lang w:val="en-US" w:eastAsia="zh-CN"/>
                    </w:rPr>
                    <w:t>/</w:t>
                  </w:r>
                </w:p>
              </w:tc>
              <w:tc>
                <w:tcPr>
                  <w:tcW w:w="89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自来水</w:t>
                  </w:r>
                </w:p>
              </w:tc>
              <w:tc>
                <w:tcPr>
                  <w:tcW w:w="70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rPr>
                      <w:rFonts w:hint="default" w:cs="Times New Roman"/>
                      <w:bCs/>
                      <w:color w:val="auto"/>
                      <w:sz w:val="21"/>
                      <w:szCs w:val="21"/>
                      <w:highlight w:val="none"/>
                      <w:lang w:val="en-US" w:eastAsia="zh-CN"/>
                    </w:rPr>
                  </w:pPr>
                  <w:r>
                    <w:rPr>
                      <w:rFonts w:hint="default" w:cs="Times New Roman"/>
                      <w:bCs/>
                      <w:color w:val="auto"/>
                      <w:sz w:val="21"/>
                      <w:szCs w:val="21"/>
                      <w:highlight w:val="none"/>
                      <w:lang w:val="en-US" w:eastAsia="zh-CN"/>
                    </w:rPr>
                    <w:t>/</w:t>
                  </w:r>
                </w:p>
              </w:tc>
            </w:tr>
          </w:tbl>
          <w:p>
            <w:pPr>
              <w:keepNext w:val="0"/>
              <w:keepLines w:val="0"/>
              <w:pageBreakBefore w:val="0"/>
              <w:widowControl w:val="0"/>
              <w:tabs>
                <w:tab w:val="left" w:pos="1260"/>
              </w:tabs>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宋体" w:cs="Times New Roman"/>
                <w:b/>
                <w:bCs/>
                <w:color w:val="0000FF"/>
                <w:kern w:val="0"/>
                <w:sz w:val="24"/>
                <w:szCs w:val="24"/>
                <w:highlight w:val="none"/>
                <w:lang w:val="en-US" w:eastAsia="zh-CN"/>
              </w:rPr>
            </w:pPr>
            <w:r>
              <w:rPr>
                <w:rFonts w:hint="default" w:ascii="Times New Roman" w:hAnsi="Times New Roman" w:eastAsia="宋体" w:cs="Times New Roman"/>
                <w:b/>
                <w:bCs/>
                <w:color w:val="0000FF"/>
                <w:kern w:val="0"/>
                <w:sz w:val="24"/>
                <w:szCs w:val="24"/>
                <w:highlight w:val="none"/>
                <w:lang w:val="en-US" w:eastAsia="zh-CN"/>
              </w:rPr>
              <w:t>①聚丙烯酰胺絮凝剂</w:t>
            </w:r>
          </w:p>
          <w:p>
            <w:pPr>
              <w:keepNext w:val="0"/>
              <w:keepLines w:val="0"/>
              <w:pageBreakBefore w:val="0"/>
              <w:widowControl w:val="0"/>
              <w:tabs>
                <w:tab w:val="left" w:pos="1260"/>
              </w:tabs>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val="0"/>
                <w:color w:val="0000FF"/>
                <w:kern w:val="0"/>
                <w:sz w:val="24"/>
                <w:szCs w:val="24"/>
                <w:highlight w:val="none"/>
                <w:lang w:val="en-US" w:eastAsia="zh-CN"/>
              </w:rPr>
            </w:pPr>
            <w:r>
              <w:rPr>
                <w:rFonts w:hint="default" w:ascii="Times New Roman" w:hAnsi="Times New Roman" w:eastAsia="宋体" w:cs="Times New Roman"/>
                <w:b w:val="0"/>
                <w:bCs w:val="0"/>
                <w:color w:val="0000FF"/>
                <w:kern w:val="0"/>
                <w:sz w:val="24"/>
                <w:szCs w:val="24"/>
                <w:highlight w:val="none"/>
                <w:lang w:val="en-US" w:eastAsia="zh-CN"/>
              </w:rPr>
              <w:t>聚丙烯酰胺絮凝剂为水溶性高分子聚合物，不溶于大多数有机溶剂，具有良好的絮凝性，可以降低液体之间的</w:t>
            </w:r>
            <w:r>
              <w:rPr>
                <w:rFonts w:hint="eastAsia" w:cs="Times New Roman"/>
                <w:b w:val="0"/>
                <w:bCs w:val="0"/>
                <w:color w:val="0000FF"/>
                <w:kern w:val="0"/>
                <w:sz w:val="24"/>
                <w:szCs w:val="24"/>
                <w:highlight w:val="none"/>
                <w:lang w:val="en-US" w:eastAsia="zh-CN"/>
              </w:rPr>
              <w:t>摩擦</w:t>
            </w:r>
            <w:r>
              <w:rPr>
                <w:rFonts w:hint="default" w:ascii="Times New Roman" w:hAnsi="Times New Roman" w:eastAsia="宋体" w:cs="Times New Roman"/>
                <w:b w:val="0"/>
                <w:bCs w:val="0"/>
                <w:color w:val="0000FF"/>
                <w:kern w:val="0"/>
                <w:sz w:val="24"/>
                <w:szCs w:val="24"/>
                <w:highlight w:val="none"/>
                <w:lang w:val="en-US" w:eastAsia="zh-CN"/>
              </w:rPr>
              <w:t>阻力，本项目污水处理系统使用聚丙烯酰胺絮凝剂，通过加速污水中悬浮的固体粒子的沉降，达到溶液的澄清作用，提高污水处理工艺效率。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eastAsia="宋体" w:cs="Times New Roman"/>
                <w:b/>
                <w:color w:val="auto"/>
                <w:sz w:val="24"/>
                <w:szCs w:val="24"/>
                <w:highlight w:val="none"/>
                <w:lang w:val="en-US" w:eastAsia="zh-CN"/>
              </w:rPr>
            </w:pPr>
            <w:r>
              <w:rPr>
                <w:rFonts w:hint="eastAsia" w:cs="Times New Roman"/>
                <w:b/>
                <w:color w:val="auto"/>
                <w:sz w:val="24"/>
                <w:szCs w:val="24"/>
                <w:highlight w:val="none"/>
                <w:lang w:val="en-US" w:eastAsia="zh-CN"/>
              </w:rPr>
              <w:t>7</w:t>
            </w:r>
            <w:r>
              <w:rPr>
                <w:rFonts w:hint="eastAsia" w:cs="Times New Roman"/>
                <w:b/>
                <w:color w:val="auto"/>
                <w:sz w:val="24"/>
                <w:szCs w:val="24"/>
                <w:highlight w:val="none"/>
              </w:rPr>
              <w:t>、公用工程及辅助设施</w:t>
            </w:r>
            <w:r>
              <w:rPr>
                <w:rFonts w:hint="eastAsia" w:cs="Times New Roman"/>
                <w:b/>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val="0"/>
                <w:color w:val="auto"/>
                <w:kern w:val="24"/>
                <w:sz w:val="24"/>
                <w:szCs w:val="24"/>
                <w:highlight w:val="none"/>
                <w:lang w:eastAsia="zh-CN"/>
              </w:rPr>
            </w:pPr>
            <w:r>
              <w:rPr>
                <w:rFonts w:hint="eastAsia"/>
                <w:b/>
                <w:bCs w:val="0"/>
                <w:color w:val="auto"/>
                <w:kern w:val="24"/>
                <w:sz w:val="24"/>
                <w:szCs w:val="24"/>
                <w:highlight w:val="none"/>
                <w:lang w:eastAsia="zh-CN"/>
              </w:rPr>
              <w:t>（</w:t>
            </w:r>
            <w:r>
              <w:rPr>
                <w:rFonts w:hint="eastAsia"/>
                <w:b/>
                <w:bCs w:val="0"/>
                <w:color w:val="auto"/>
                <w:kern w:val="24"/>
                <w:sz w:val="24"/>
                <w:szCs w:val="24"/>
                <w:highlight w:val="none"/>
                <w:lang w:val="en-US" w:eastAsia="zh-CN"/>
              </w:rPr>
              <w:t>1</w:t>
            </w:r>
            <w:r>
              <w:rPr>
                <w:rFonts w:hint="eastAsia"/>
                <w:b/>
                <w:bCs w:val="0"/>
                <w:color w:val="auto"/>
                <w:kern w:val="24"/>
                <w:sz w:val="24"/>
                <w:szCs w:val="24"/>
                <w:highlight w:val="none"/>
                <w:lang w:eastAsia="zh-CN"/>
              </w:rPr>
              <w:t>）供电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color w:val="auto"/>
                <w:kern w:val="24"/>
                <w:sz w:val="24"/>
                <w:szCs w:val="24"/>
                <w:highlight w:val="none"/>
                <w:lang w:eastAsia="zh-CN"/>
              </w:rPr>
            </w:pPr>
            <w:r>
              <w:rPr>
                <w:rFonts w:hint="eastAsia"/>
                <w:b w:val="0"/>
                <w:bCs/>
                <w:color w:val="auto"/>
                <w:kern w:val="24"/>
                <w:sz w:val="24"/>
                <w:szCs w:val="24"/>
                <w:highlight w:val="none"/>
                <w:lang w:eastAsia="zh-CN"/>
              </w:rPr>
              <w:t>本项目供电由</w:t>
            </w:r>
            <w:r>
              <w:rPr>
                <w:rFonts w:hint="eastAsia"/>
                <w:b w:val="0"/>
                <w:bCs/>
                <w:color w:val="auto"/>
                <w:kern w:val="24"/>
                <w:sz w:val="24"/>
                <w:szCs w:val="24"/>
                <w:highlight w:val="none"/>
                <w:lang w:val="en-US" w:eastAsia="zh-CN"/>
              </w:rPr>
              <w:t>乡镇</w:t>
            </w:r>
            <w:r>
              <w:rPr>
                <w:rFonts w:hint="eastAsia"/>
                <w:b w:val="0"/>
                <w:bCs/>
                <w:color w:val="auto"/>
                <w:kern w:val="24"/>
                <w:sz w:val="24"/>
                <w:szCs w:val="24"/>
                <w:highlight w:val="none"/>
                <w:lang w:eastAsia="zh-CN"/>
              </w:rPr>
              <w:t>电网供给，电力供给完全可以满足本项目的生产需要，在厂房内设置配电房，供给厂房内所有设施用电。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val="0"/>
                <w:color w:val="auto"/>
                <w:kern w:val="24"/>
                <w:sz w:val="24"/>
                <w:szCs w:val="24"/>
                <w:highlight w:val="none"/>
              </w:rPr>
            </w:pPr>
            <w:r>
              <w:rPr>
                <w:rFonts w:hint="eastAsia"/>
                <w:b/>
                <w:bCs w:val="0"/>
                <w:color w:val="auto"/>
                <w:kern w:val="24"/>
                <w:sz w:val="24"/>
                <w:szCs w:val="24"/>
                <w:highlight w:val="none"/>
              </w:rPr>
              <w:t>（2）给排水工程</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kern w:val="24"/>
                <w:sz w:val="24"/>
                <w:szCs w:val="24"/>
                <w:highlight w:val="none"/>
              </w:rPr>
            </w:pPr>
            <w:r>
              <w:rPr>
                <w:rFonts w:hint="default" w:ascii="Times New Roman" w:hAnsi="Times New Roman" w:eastAsia="宋体"/>
                <w:color w:val="auto"/>
                <w:sz w:val="24"/>
                <w:szCs w:val="24"/>
                <w:highlight w:val="none"/>
                <w:lang w:val="en-US" w:eastAsia="zh-CN"/>
              </w:rPr>
              <w:t>本项目生活用水</w:t>
            </w:r>
            <w:r>
              <w:rPr>
                <w:rFonts w:hint="eastAsia"/>
                <w:color w:val="auto"/>
                <w:sz w:val="24"/>
                <w:szCs w:val="24"/>
                <w:highlight w:val="none"/>
                <w:lang w:val="en-US" w:eastAsia="zh-CN"/>
              </w:rPr>
              <w:t>和</w:t>
            </w:r>
            <w:r>
              <w:rPr>
                <w:rFonts w:hint="default" w:ascii="Times New Roman" w:hAnsi="Times New Roman" w:eastAsia="宋体"/>
                <w:color w:val="auto"/>
                <w:sz w:val="24"/>
                <w:szCs w:val="24"/>
                <w:highlight w:val="none"/>
                <w:lang w:val="en-US" w:eastAsia="zh-CN"/>
              </w:rPr>
              <w:t>生产用水</w:t>
            </w:r>
            <w:r>
              <w:rPr>
                <w:rFonts w:hint="eastAsia"/>
                <w:color w:val="auto"/>
                <w:sz w:val="24"/>
                <w:szCs w:val="24"/>
                <w:highlight w:val="none"/>
                <w:lang w:val="en-US" w:eastAsia="zh-CN"/>
              </w:rPr>
              <w:t>均使用自来水</w:t>
            </w:r>
            <w:r>
              <w:rPr>
                <w:rFonts w:hint="default" w:ascii="Times New Roman" w:hAnsi="Times New Roman" w:eastAsia="宋体" w:cs="Times New Roman"/>
                <w:color w:val="auto"/>
                <w:kern w:val="24"/>
                <w:sz w:val="24"/>
                <w:szCs w:val="24"/>
                <w:highlight w:val="none"/>
              </w:rPr>
              <w:t>。运营期用水主要包括</w:t>
            </w:r>
            <w:r>
              <w:rPr>
                <w:rFonts w:hint="eastAsia" w:cs="Times New Roman"/>
                <w:b w:val="0"/>
                <w:bCs/>
                <w:color w:val="auto"/>
                <w:sz w:val="24"/>
                <w:szCs w:val="24"/>
                <w:highlight w:val="none"/>
                <w:lang w:val="en-US" w:eastAsia="zh-CN"/>
              </w:rPr>
              <w:t>生活用水、</w:t>
            </w:r>
            <w:r>
              <w:rPr>
                <w:rFonts w:hint="eastAsia"/>
                <w:color w:val="auto"/>
                <w:sz w:val="24"/>
                <w:szCs w:val="24"/>
                <w:highlight w:val="none"/>
                <w:lang w:val="en-US" w:eastAsia="zh-CN"/>
              </w:rPr>
              <w:t>食堂用水、石料加工用水</w:t>
            </w:r>
            <w:r>
              <w:rPr>
                <w:rFonts w:hint="default" w:ascii="Times New Roman" w:hAnsi="Times New Roman" w:eastAsia="宋体" w:cs="Times New Roman"/>
                <w:b w:val="0"/>
                <w:bCs/>
                <w:color w:val="auto"/>
                <w:sz w:val="24"/>
                <w:szCs w:val="24"/>
                <w:highlight w:val="none"/>
                <w:lang w:val="en-US" w:eastAsia="zh-CN"/>
              </w:rPr>
              <w:t>、厂区</w:t>
            </w:r>
            <w:r>
              <w:rPr>
                <w:rFonts w:hint="eastAsia"/>
                <w:color w:val="auto"/>
                <w:sz w:val="24"/>
                <w:szCs w:val="24"/>
                <w:highlight w:val="none"/>
                <w:lang w:val="en-US" w:eastAsia="zh-CN"/>
              </w:rPr>
              <w:t>道路</w:t>
            </w:r>
            <w:r>
              <w:rPr>
                <w:rFonts w:hint="default" w:ascii="Times New Roman" w:hAnsi="Times New Roman" w:eastAsia="宋体" w:cs="Times New Roman"/>
                <w:b w:val="0"/>
                <w:bCs/>
                <w:color w:val="auto"/>
                <w:sz w:val="24"/>
                <w:szCs w:val="24"/>
                <w:highlight w:val="none"/>
                <w:lang w:val="en-US" w:eastAsia="zh-CN"/>
              </w:rPr>
              <w:t>降尘洒水等</w:t>
            </w:r>
            <w:r>
              <w:rPr>
                <w:rFonts w:hint="default" w:ascii="Times New Roman" w:hAnsi="Times New Roman" w:eastAsia="宋体" w:cs="Times New Roman"/>
                <w:color w:val="auto"/>
                <w:kern w:val="24"/>
                <w:sz w:val="24"/>
                <w:szCs w:val="24"/>
                <w:highlight w:val="none"/>
              </w:rPr>
              <w:t>，根据《四川省用水定额》（川府函〔2021〕8号）制定的用水标准，项目用水量预测及分配情况见表2-</w:t>
            </w:r>
            <w:r>
              <w:rPr>
                <w:rFonts w:hint="eastAsia" w:cs="Times New Roman"/>
                <w:color w:val="auto"/>
                <w:kern w:val="24"/>
                <w:sz w:val="24"/>
                <w:szCs w:val="24"/>
                <w:highlight w:val="none"/>
                <w:lang w:val="en-US" w:eastAsia="zh-CN"/>
              </w:rPr>
              <w:t>5</w:t>
            </w:r>
            <w:r>
              <w:rPr>
                <w:rFonts w:hint="default" w:ascii="Times New Roman" w:hAnsi="Times New Roman" w:eastAsia="宋体" w:cs="Times New Roman"/>
                <w:color w:val="auto"/>
                <w:kern w:val="24"/>
                <w:sz w:val="24"/>
                <w:szCs w:val="24"/>
                <w:highlight w:val="none"/>
              </w:rPr>
              <w:t>。</w:t>
            </w:r>
          </w:p>
          <w:p>
            <w:pPr>
              <w:spacing w:line="360" w:lineRule="auto"/>
              <w:jc w:val="center"/>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rPr>
              <w:t>2-</w:t>
            </w:r>
            <w:r>
              <w:rPr>
                <w:rFonts w:hint="eastAsia"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项目</w:t>
            </w:r>
            <w:r>
              <w:rPr>
                <w:rFonts w:hint="default" w:ascii="Times New Roman" w:hAnsi="Times New Roman" w:eastAsia="宋体" w:cs="Times New Roman"/>
                <w:b/>
                <w:bCs/>
                <w:color w:val="auto"/>
                <w:sz w:val="24"/>
                <w:szCs w:val="24"/>
                <w:highlight w:val="none"/>
              </w:rPr>
              <w:t>用水</w:t>
            </w:r>
            <w:r>
              <w:rPr>
                <w:rFonts w:hint="eastAsia" w:ascii="Times New Roman" w:hAnsi="Times New Roman" w:eastAsia="宋体" w:cs="Times New Roman"/>
                <w:b/>
                <w:bCs/>
                <w:color w:val="auto"/>
                <w:sz w:val="24"/>
                <w:szCs w:val="24"/>
                <w:highlight w:val="none"/>
              </w:rPr>
              <w:t>预测及分配情况</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589"/>
              <w:gridCol w:w="1177"/>
              <w:gridCol w:w="1092"/>
              <w:gridCol w:w="984"/>
              <w:gridCol w:w="1037"/>
              <w:gridCol w:w="1037"/>
              <w:gridCol w:w="16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类型</w:t>
                  </w:r>
                </w:p>
              </w:tc>
              <w:tc>
                <w:tcPr>
                  <w:tcW w:w="6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用水标准</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用水规模</w:t>
                  </w:r>
                </w:p>
              </w:tc>
              <w:tc>
                <w:tcPr>
                  <w:tcW w:w="5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总</w:t>
                  </w:r>
                  <w:r>
                    <w:rPr>
                      <w:rFonts w:hint="default" w:ascii="Times New Roman" w:hAnsi="Times New Roman" w:eastAsia="宋体" w:cs="Times New Roman"/>
                      <w:b/>
                      <w:bCs/>
                      <w:color w:val="auto"/>
                      <w:sz w:val="21"/>
                      <w:szCs w:val="21"/>
                      <w:highlight w:val="none"/>
                    </w:rPr>
                    <w:t>用水量（m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/d）</w:t>
                  </w:r>
                </w:p>
              </w:tc>
              <w:tc>
                <w:tcPr>
                  <w:tcW w:w="6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排水量</w:t>
                  </w:r>
                  <w:r>
                    <w:rPr>
                      <w:rFonts w:hint="default" w:ascii="Times New Roman" w:hAnsi="Times New Roman" w:eastAsia="宋体" w:cs="Times New Roman"/>
                      <w:b/>
                      <w:bCs/>
                      <w:color w:val="auto"/>
                      <w:sz w:val="21"/>
                      <w:szCs w:val="21"/>
                      <w:highlight w:val="none"/>
                    </w:rPr>
                    <w:t>（m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/d）</w:t>
                  </w:r>
                </w:p>
              </w:tc>
              <w:tc>
                <w:tcPr>
                  <w:tcW w:w="6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新鲜水用量</w:t>
                  </w:r>
                  <w:r>
                    <w:rPr>
                      <w:rFonts w:hint="default" w:ascii="Times New Roman" w:hAnsi="Times New Roman" w:eastAsia="宋体" w:cs="Times New Roman"/>
                      <w:b/>
                      <w:bCs/>
                      <w:color w:val="auto"/>
                      <w:sz w:val="21"/>
                      <w:szCs w:val="21"/>
                      <w:highlight w:val="none"/>
                    </w:rPr>
                    <w:t>（m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/d）</w:t>
                  </w:r>
                </w:p>
              </w:tc>
              <w:tc>
                <w:tcPr>
                  <w:tcW w:w="9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生活用水</w:t>
                  </w:r>
                </w:p>
              </w:tc>
              <w:tc>
                <w:tcPr>
                  <w:tcW w:w="683" w:type="pct"/>
                  <w:tcBorders>
                    <w:tl2br w:val="nil"/>
                    <w:tr2bl w:val="nil"/>
                  </w:tcBorders>
                  <w:noWrap w:val="0"/>
                  <w:vAlign w:val="center"/>
                </w:tcPr>
                <w:p>
                  <w:pPr>
                    <w:keepNext w:val="0"/>
                    <w:keepLines w:val="0"/>
                    <w:pageBreakBefore w:val="0"/>
                    <w:kinsoku/>
                    <w:wordWrap/>
                    <w:overflowPunct/>
                    <w:topLinePunct w:val="0"/>
                    <w:bidi w:val="0"/>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kern w:val="24"/>
                      <w:sz w:val="21"/>
                      <w:szCs w:val="21"/>
                      <w:highlight w:val="none"/>
                    </w:rPr>
                    <w:t>1</w:t>
                  </w:r>
                  <w:r>
                    <w:rPr>
                      <w:rFonts w:hint="eastAsia"/>
                      <w:color w:val="auto"/>
                      <w:kern w:val="24"/>
                      <w:sz w:val="21"/>
                      <w:szCs w:val="21"/>
                      <w:highlight w:val="none"/>
                      <w:lang w:val="en-US" w:eastAsia="zh-CN"/>
                    </w:rPr>
                    <w:t>0</w:t>
                  </w:r>
                  <w:r>
                    <w:rPr>
                      <w:rFonts w:hint="eastAsia"/>
                      <w:color w:val="auto"/>
                      <w:kern w:val="24"/>
                      <w:sz w:val="21"/>
                      <w:szCs w:val="21"/>
                      <w:highlight w:val="none"/>
                    </w:rPr>
                    <w:t>0L</w:t>
                  </w:r>
                  <w:r>
                    <w:rPr>
                      <w:rFonts w:hint="eastAsia"/>
                      <w:color w:val="auto"/>
                      <w:kern w:val="24"/>
                      <w:sz w:val="21"/>
                      <w:szCs w:val="21"/>
                      <w:highlight w:val="none"/>
                      <w:lang w:val="en-US" w:eastAsia="zh-CN"/>
                    </w:rPr>
                    <w:t>/人·d</w:t>
                  </w:r>
                </w:p>
              </w:tc>
              <w:tc>
                <w:tcPr>
                  <w:tcW w:w="634" w:type="pct"/>
                  <w:tcBorders>
                    <w:tl2br w:val="nil"/>
                    <w:tr2bl w:val="nil"/>
                  </w:tcBorders>
                  <w:noWrap w:val="0"/>
                  <w:vAlign w:val="center"/>
                </w:tcPr>
                <w:p>
                  <w:pPr>
                    <w:keepNext w:val="0"/>
                    <w:keepLines w:val="0"/>
                    <w:pageBreakBefore w:val="0"/>
                    <w:kinsoku/>
                    <w:wordWrap/>
                    <w:overflowPunct/>
                    <w:topLinePunct w:val="0"/>
                    <w:bidi w:val="0"/>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6人</w:t>
                  </w:r>
                </w:p>
              </w:tc>
              <w:tc>
                <w:tcPr>
                  <w:tcW w:w="997"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0.600 </w:t>
                  </w:r>
                </w:p>
              </w:tc>
              <w:tc>
                <w:tcPr>
                  <w:tcW w:w="1051"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0.510 </w:t>
                  </w:r>
                </w:p>
              </w:tc>
              <w:tc>
                <w:tcPr>
                  <w:tcW w:w="1051"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0.600 </w:t>
                  </w:r>
                </w:p>
              </w:tc>
              <w:tc>
                <w:tcPr>
                  <w:tcW w:w="1720" w:type="dxa"/>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食堂用水</w:t>
                  </w:r>
                </w:p>
              </w:tc>
              <w:tc>
                <w:tcPr>
                  <w:tcW w:w="683" w:type="pct"/>
                  <w:tcBorders>
                    <w:tl2br w:val="nil"/>
                    <w:tr2bl w:val="nil"/>
                  </w:tcBorders>
                  <w:noWrap w:val="0"/>
                  <w:vAlign w:val="center"/>
                </w:tcPr>
                <w:p>
                  <w:pPr>
                    <w:keepNext w:val="0"/>
                    <w:keepLines w:val="0"/>
                    <w:pageBreakBefore w:val="0"/>
                    <w:kinsoku/>
                    <w:wordWrap/>
                    <w:overflowPunct/>
                    <w:topLinePunct w:val="0"/>
                    <w:bidi w:val="0"/>
                    <w:snapToGrid/>
                    <w:spacing w:line="240" w:lineRule="auto"/>
                    <w:ind w:left="0" w:leftChars="0"/>
                    <w:jc w:val="center"/>
                    <w:rPr>
                      <w:rFonts w:hint="eastAsia" w:ascii="Times New Roman" w:hAnsi="Times New Roman" w:eastAsia="宋体" w:cs="黑体"/>
                      <w:color w:val="auto"/>
                      <w:kern w:val="24"/>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L/人·d</w:t>
                  </w:r>
                </w:p>
              </w:tc>
              <w:tc>
                <w:tcPr>
                  <w:tcW w:w="634" w:type="pct"/>
                  <w:tcBorders>
                    <w:tl2br w:val="nil"/>
                    <w:tr2bl w:val="nil"/>
                  </w:tcBorders>
                  <w:noWrap w:val="0"/>
                  <w:vAlign w:val="center"/>
                </w:tcPr>
                <w:p>
                  <w:pPr>
                    <w:keepNext w:val="0"/>
                    <w:keepLines w:val="0"/>
                    <w:pageBreakBefore w:val="0"/>
                    <w:kinsoku/>
                    <w:wordWrap/>
                    <w:overflowPunct/>
                    <w:topLinePunct w:val="0"/>
                    <w:bidi w:val="0"/>
                    <w:snapToGrid/>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6人</w:t>
                  </w:r>
                </w:p>
              </w:tc>
              <w:tc>
                <w:tcPr>
                  <w:tcW w:w="997"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0.120 </w:t>
                  </w:r>
                </w:p>
              </w:tc>
              <w:tc>
                <w:tcPr>
                  <w:tcW w:w="1051"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0.102 </w:t>
                  </w:r>
                </w:p>
              </w:tc>
              <w:tc>
                <w:tcPr>
                  <w:tcW w:w="1051"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0.120 </w:t>
                  </w:r>
                </w:p>
              </w:tc>
              <w:tc>
                <w:tcPr>
                  <w:tcW w:w="1720" w:type="dxa"/>
                  <w:tcBorders>
                    <w:tl2br w:val="nil"/>
                    <w:tr2bl w:val="nil"/>
                  </w:tcBorders>
                  <w:noWrap w:val="0"/>
                  <w:vAlign w:val="center"/>
                </w:tcPr>
                <w:p>
                  <w:pPr>
                    <w:spacing w:line="240" w:lineRule="auto"/>
                    <w:jc w:val="center"/>
                    <w:rPr>
                      <w:rFonts w:hint="eastAsia"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石料加工用水</w:t>
                  </w:r>
                </w:p>
              </w:tc>
              <w:tc>
                <w:tcPr>
                  <w:tcW w:w="683" w:type="pct"/>
                  <w:tcBorders>
                    <w:tl2br w:val="nil"/>
                    <w:tr2bl w:val="nil"/>
                  </w:tcBorders>
                  <w:noWrap w:val="0"/>
                  <w:vAlign w:val="center"/>
                </w:tcPr>
                <w:p>
                  <w:pPr>
                    <w:keepNext w:val="0"/>
                    <w:keepLines w:val="0"/>
                    <w:pageBreakBefore w:val="0"/>
                    <w:kinsoku/>
                    <w:wordWrap/>
                    <w:overflowPunct/>
                    <w:topLinePunct w:val="0"/>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-产品</w:t>
                  </w:r>
                </w:p>
              </w:tc>
              <w:tc>
                <w:tcPr>
                  <w:tcW w:w="634" w:type="pct"/>
                  <w:tcBorders>
                    <w:tl2br w:val="nil"/>
                    <w:tr2bl w:val="nil"/>
                  </w:tcBorders>
                  <w:noWrap w:val="0"/>
                  <w:vAlign w:val="center"/>
                </w:tcPr>
                <w:p>
                  <w:pPr>
                    <w:keepNext w:val="0"/>
                    <w:keepLines w:val="0"/>
                    <w:pageBreakBefore w:val="0"/>
                    <w:kinsoku/>
                    <w:wordWrap/>
                    <w:overflowPunct/>
                    <w:topLinePunct w:val="0"/>
                    <w:bidi w:val="0"/>
                    <w:snapToGrid/>
                    <w:spacing w:line="240" w:lineRule="auto"/>
                    <w:ind w:left="0" w:lef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997"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10.000 </w:t>
                  </w:r>
                </w:p>
              </w:tc>
              <w:tc>
                <w:tcPr>
                  <w:tcW w:w="1051"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0.000 </w:t>
                  </w:r>
                </w:p>
              </w:tc>
              <w:tc>
                <w:tcPr>
                  <w:tcW w:w="1051"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1.500 </w:t>
                  </w:r>
                </w:p>
              </w:tc>
              <w:tc>
                <w:tcPr>
                  <w:tcW w:w="1720" w:type="dxa"/>
                  <w:tcBorders>
                    <w:tl2br w:val="nil"/>
                    <w:tr2bl w:val="nil"/>
                  </w:tcBorders>
                  <w:noWrap w:val="0"/>
                  <w:vAlign w:val="center"/>
                </w:tcPr>
                <w:p>
                  <w:pPr>
                    <w:keepNext w:val="0"/>
                    <w:keepLines w:val="0"/>
                    <w:widowControl/>
                    <w:suppressLineNumbers w:val="0"/>
                    <w:spacing w:line="240" w:lineRule="auto"/>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/d</w:t>
                  </w:r>
                  <w:r>
                    <w:rPr>
                      <w:rFonts w:hint="eastAsia" w:ascii="宋体" w:hAnsi="宋体" w:eastAsia="宋体" w:cs="宋体"/>
                      <w:i w:val="0"/>
                      <w:iCs w:val="0"/>
                      <w:color w:val="auto"/>
                      <w:kern w:val="0"/>
                      <w:sz w:val="21"/>
                      <w:szCs w:val="21"/>
                      <w:u w:val="none"/>
                      <w:lang w:val="en-US" w:eastAsia="zh-CN" w:bidi="ar"/>
                    </w:rPr>
                    <w:t>循环水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道路降尘用水</w:t>
                  </w:r>
                </w:p>
              </w:tc>
              <w:tc>
                <w:tcPr>
                  <w:tcW w:w="683" w:type="pct"/>
                  <w:tcBorders>
                    <w:tl2br w:val="nil"/>
                    <w:tr2bl w:val="nil"/>
                  </w:tcBorders>
                  <w:noWrap w:val="0"/>
                  <w:vAlign w:val="center"/>
                </w:tcPr>
                <w:p>
                  <w:pPr>
                    <w:keepNext w:val="0"/>
                    <w:keepLines w:val="0"/>
                    <w:pageBreakBefore w:val="0"/>
                    <w:kinsoku/>
                    <w:wordWrap/>
                    <w:overflowPunct/>
                    <w:topLinePunct w:val="0"/>
                    <w:bidi w:val="0"/>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0.5m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/100m</w:t>
                  </w:r>
                </w:p>
              </w:tc>
              <w:tc>
                <w:tcPr>
                  <w:tcW w:w="634" w:type="pct"/>
                  <w:tcBorders>
                    <w:tl2br w:val="nil"/>
                    <w:tr2bl w:val="nil"/>
                  </w:tcBorders>
                  <w:noWrap w:val="0"/>
                  <w:vAlign w:val="center"/>
                </w:tcPr>
                <w:p>
                  <w:pPr>
                    <w:keepNext w:val="0"/>
                    <w:keepLines w:val="0"/>
                    <w:pageBreakBefore w:val="0"/>
                    <w:kinsoku/>
                    <w:wordWrap/>
                    <w:overflowPunct/>
                    <w:topLinePunct w:val="0"/>
                    <w:bidi w:val="0"/>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300m</w:t>
                  </w:r>
                </w:p>
              </w:tc>
              <w:tc>
                <w:tcPr>
                  <w:tcW w:w="997"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1.500 </w:t>
                  </w:r>
                </w:p>
              </w:tc>
              <w:tc>
                <w:tcPr>
                  <w:tcW w:w="1051"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0.000 </w:t>
                  </w:r>
                </w:p>
              </w:tc>
              <w:tc>
                <w:tcPr>
                  <w:tcW w:w="1051"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1.500 </w:t>
                  </w:r>
                </w:p>
              </w:tc>
              <w:tc>
                <w:tcPr>
                  <w:tcW w:w="1720" w:type="dxa"/>
                  <w:tcBorders>
                    <w:tl2br w:val="nil"/>
                    <w:tr2bl w:val="nil"/>
                  </w:tcBorders>
                  <w:noWrap w:val="0"/>
                  <w:vAlign w:val="center"/>
                </w:tcPr>
                <w:p>
                  <w:pPr>
                    <w:spacing w:line="240" w:lineRule="auto"/>
                    <w:jc w:val="center"/>
                    <w:rPr>
                      <w:rFonts w:hint="default"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239" w:type="pct"/>
                  <w:gridSpan w:val="3"/>
                  <w:tcBorders>
                    <w:tl2br w:val="nil"/>
                    <w:tr2bl w:val="nil"/>
                  </w:tcBorders>
                  <w:noWrap w:val="0"/>
                  <w:vAlign w:val="center"/>
                </w:tcPr>
                <w:p>
                  <w:pPr>
                    <w:keepNext w:val="0"/>
                    <w:keepLines w:val="0"/>
                    <w:pageBreakBefore w:val="0"/>
                    <w:kinsoku/>
                    <w:wordWrap/>
                    <w:overflowPunct/>
                    <w:topLinePunct w:val="0"/>
                    <w:bidi w:val="0"/>
                    <w:snapToGrid/>
                    <w:spacing w:line="240" w:lineRule="auto"/>
                    <w:ind w:left="0" w:leftChars="0"/>
                    <w:jc w:val="center"/>
                    <w:rPr>
                      <w:rFonts w:hint="eastAsia" w:cs="Times New Roman"/>
                      <w:b/>
                      <w:bCs/>
                      <w:color w:val="auto"/>
                      <w:sz w:val="21"/>
                      <w:szCs w:val="21"/>
                      <w:highlight w:val="none"/>
                      <w:lang w:val="en-US" w:eastAsia="zh-CN"/>
                    </w:rPr>
                  </w:pPr>
                  <w:r>
                    <w:rPr>
                      <w:rFonts w:hint="eastAsia"/>
                      <w:b/>
                      <w:bCs/>
                      <w:color w:val="auto"/>
                      <w:sz w:val="21"/>
                      <w:szCs w:val="21"/>
                      <w:highlight w:val="none"/>
                      <w:lang w:val="en-US" w:eastAsia="zh-CN"/>
                    </w:rPr>
                    <w:t>合计</w:t>
                  </w:r>
                </w:p>
              </w:tc>
              <w:tc>
                <w:tcPr>
                  <w:tcW w:w="997"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 xml:space="preserve">12.220 </w:t>
                  </w:r>
                </w:p>
              </w:tc>
              <w:tc>
                <w:tcPr>
                  <w:tcW w:w="1051" w:type="dxa"/>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 xml:space="preserve">0.612 </w:t>
                  </w:r>
                </w:p>
              </w:tc>
              <w:tc>
                <w:tcPr>
                  <w:tcW w:w="1051" w:type="dxa"/>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 xml:space="preserve">3.720 </w:t>
                  </w:r>
                </w:p>
              </w:tc>
              <w:tc>
                <w:tcPr>
                  <w:tcW w:w="1720" w:type="dxa"/>
                  <w:tcBorders>
                    <w:tl2br w:val="nil"/>
                    <w:tr2bl w:val="nil"/>
                  </w:tcBorders>
                  <w:noWrap w:val="0"/>
                  <w:vAlign w:val="center"/>
                </w:tcPr>
                <w:p>
                  <w:pPr>
                    <w:keepNext w:val="0"/>
                    <w:keepLines w:val="0"/>
                    <w:widowControl/>
                    <w:suppressLineNumbers w:val="0"/>
                    <w:spacing w:line="240" w:lineRule="auto"/>
                    <w:jc w:val="center"/>
                    <w:textAlignment w:val="center"/>
                    <w:rPr>
                      <w:rFonts w:hint="eastAsia" w:cs="Times New Roman"/>
                      <w:b/>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/d</w:t>
                  </w:r>
                  <w:r>
                    <w:rPr>
                      <w:rFonts w:hint="eastAsia" w:ascii="宋体" w:hAnsi="宋体" w:eastAsia="宋体" w:cs="宋体"/>
                      <w:i w:val="0"/>
                      <w:iCs w:val="0"/>
                      <w:color w:val="auto"/>
                      <w:kern w:val="0"/>
                      <w:sz w:val="21"/>
                      <w:szCs w:val="21"/>
                      <w:u w:val="none"/>
                      <w:lang w:val="en-US" w:eastAsia="zh-CN" w:bidi="ar"/>
                    </w:rPr>
                    <w:t>循环水</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val="0"/>
                <w:color w:val="auto"/>
                <w:kern w:val="24"/>
                <w:sz w:val="24"/>
                <w:szCs w:val="24"/>
                <w:highlight w:val="none"/>
                <w:lang w:val="en-US" w:eastAsia="zh-CN"/>
              </w:rPr>
            </w:pPr>
            <w:r>
              <w:rPr>
                <w:rFonts w:hint="eastAsia"/>
                <w:b/>
                <w:bCs w:val="0"/>
                <w:color w:val="auto"/>
                <w:kern w:val="24"/>
                <w:sz w:val="24"/>
                <w:szCs w:val="24"/>
                <w:highlight w:val="none"/>
                <w:lang w:eastAsia="zh-CN"/>
              </w:rPr>
              <w:t>（</w:t>
            </w:r>
            <w:r>
              <w:rPr>
                <w:rFonts w:hint="eastAsia"/>
                <w:b/>
                <w:bCs w:val="0"/>
                <w:color w:val="auto"/>
                <w:kern w:val="24"/>
                <w:sz w:val="24"/>
                <w:szCs w:val="24"/>
                <w:highlight w:val="none"/>
                <w:lang w:val="en-US" w:eastAsia="zh-CN"/>
              </w:rPr>
              <w:t>3</w:t>
            </w:r>
            <w:r>
              <w:rPr>
                <w:rFonts w:hint="eastAsia"/>
                <w:b/>
                <w:bCs w:val="0"/>
                <w:color w:val="auto"/>
                <w:kern w:val="24"/>
                <w:sz w:val="24"/>
                <w:szCs w:val="24"/>
                <w:highlight w:val="none"/>
                <w:lang w:eastAsia="zh-CN"/>
              </w:rPr>
              <w:t>）</w:t>
            </w:r>
            <w:r>
              <w:rPr>
                <w:rFonts w:hint="eastAsia"/>
                <w:b/>
                <w:bCs w:val="0"/>
                <w:color w:val="auto"/>
                <w:kern w:val="24"/>
                <w:sz w:val="24"/>
                <w:szCs w:val="24"/>
                <w:highlight w:val="none"/>
                <w:lang w:val="en-US" w:eastAsia="zh-CN"/>
              </w:rPr>
              <w:t>排水工程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kern w:val="24"/>
                <w:sz w:val="24"/>
                <w:szCs w:val="24"/>
                <w:highlight w:val="none"/>
                <w:lang w:val="en-US" w:eastAsia="zh-CN"/>
              </w:rPr>
            </w:pPr>
            <w:r>
              <w:rPr>
                <w:rFonts w:hint="eastAsia"/>
                <w:color w:val="auto"/>
                <w:kern w:val="24"/>
                <w:sz w:val="24"/>
                <w:szCs w:val="24"/>
                <w:highlight w:val="none"/>
                <w:lang w:val="en-US" w:eastAsia="zh-CN"/>
              </w:rPr>
              <w:t>项目各区域实行雨污分流。</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val="0"/>
                <w:bCs w:val="0"/>
                <w:color w:val="auto"/>
                <w:kern w:val="24"/>
                <w:sz w:val="24"/>
                <w:szCs w:val="24"/>
                <w:highlight w:val="none"/>
                <w:lang w:val="en-US" w:eastAsia="zh-CN"/>
              </w:rPr>
            </w:pPr>
            <w:r>
              <w:rPr>
                <w:rFonts w:hint="eastAsia"/>
                <w:b/>
                <w:bCs/>
                <w:color w:val="auto"/>
                <w:kern w:val="24"/>
                <w:sz w:val="24"/>
                <w:szCs w:val="24"/>
                <w:highlight w:val="none"/>
                <w:lang w:val="en-US" w:eastAsia="zh-CN"/>
              </w:rPr>
              <w:t>雨水：</w:t>
            </w:r>
            <w:r>
              <w:rPr>
                <w:rFonts w:hint="eastAsia"/>
                <w:color w:val="0000FF"/>
                <w:sz w:val="24"/>
                <w:szCs w:val="24"/>
                <w:highlight w:val="none"/>
                <w:lang w:val="en-US" w:eastAsia="zh-CN"/>
              </w:rPr>
              <w:t>初期雨水进入三级沉淀池中，用于生产用水</w:t>
            </w:r>
            <w:r>
              <w:rPr>
                <w:rFonts w:hint="eastAsia"/>
                <w:b w:val="0"/>
                <w:bCs w:val="0"/>
                <w:color w:val="auto"/>
                <w:kern w:val="24"/>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val="0"/>
                <w:bCs/>
                <w:color w:val="auto"/>
                <w:kern w:val="24"/>
                <w:sz w:val="24"/>
                <w:szCs w:val="24"/>
                <w:highlight w:val="none"/>
                <w:lang w:val="en-US" w:eastAsia="zh-CN"/>
              </w:rPr>
            </w:pPr>
            <w:r>
              <w:rPr>
                <w:rFonts w:hint="eastAsia"/>
                <w:b/>
                <w:bCs/>
                <w:color w:val="auto"/>
                <w:kern w:val="24"/>
                <w:sz w:val="24"/>
                <w:szCs w:val="24"/>
                <w:highlight w:val="none"/>
              </w:rPr>
              <w:t>污水</w:t>
            </w:r>
            <w:r>
              <w:rPr>
                <w:rFonts w:hint="eastAsia"/>
                <w:b/>
                <w:bCs/>
                <w:color w:val="auto"/>
                <w:kern w:val="24"/>
                <w:sz w:val="24"/>
                <w:szCs w:val="24"/>
                <w:highlight w:val="none"/>
                <w:lang w:eastAsia="zh-CN"/>
              </w:rPr>
              <w:t>：</w:t>
            </w:r>
            <w:r>
              <w:rPr>
                <w:rFonts w:hint="eastAsia"/>
                <w:color w:val="auto"/>
                <w:kern w:val="24"/>
                <w:sz w:val="24"/>
                <w:szCs w:val="24"/>
                <w:highlight w:val="none"/>
                <w:lang w:val="en-US" w:eastAsia="zh-CN"/>
              </w:rPr>
              <w:t>厂区食堂废水经隔油池处理后同生活污水一同</w:t>
            </w:r>
            <w:r>
              <w:rPr>
                <w:rFonts w:hint="eastAsia"/>
                <w:color w:val="auto"/>
                <w:kern w:val="24"/>
                <w:sz w:val="24"/>
                <w:szCs w:val="24"/>
                <w:highlight w:val="none"/>
              </w:rPr>
              <w:t>经</w:t>
            </w:r>
            <w:r>
              <w:rPr>
                <w:rFonts w:hint="eastAsia"/>
                <w:color w:val="auto"/>
                <w:kern w:val="24"/>
                <w:sz w:val="24"/>
                <w:szCs w:val="24"/>
                <w:highlight w:val="none"/>
                <w:lang w:val="en-US" w:eastAsia="zh-CN"/>
              </w:rPr>
              <w:t>旱厕</w:t>
            </w:r>
            <w:r>
              <w:rPr>
                <w:rFonts w:hint="eastAsia"/>
                <w:color w:val="auto"/>
                <w:kern w:val="24"/>
                <w:sz w:val="24"/>
                <w:szCs w:val="24"/>
                <w:highlight w:val="none"/>
              </w:rPr>
              <w:t>处理</w:t>
            </w:r>
            <w:r>
              <w:rPr>
                <w:rFonts w:hint="eastAsia"/>
                <w:color w:val="auto"/>
                <w:kern w:val="24"/>
                <w:sz w:val="24"/>
                <w:szCs w:val="24"/>
                <w:highlight w:val="none"/>
                <w:lang w:val="en-US" w:eastAsia="zh-CN"/>
              </w:rPr>
              <w:t>后，交由周边农户施肥</w:t>
            </w:r>
            <w:r>
              <w:rPr>
                <w:rFonts w:hint="eastAsia"/>
                <w:color w:val="auto"/>
                <w:kern w:val="24"/>
                <w:sz w:val="24"/>
                <w:szCs w:val="24"/>
                <w:highlight w:val="none"/>
                <w:lang w:eastAsia="zh-CN"/>
              </w:rPr>
              <w:t>；</w:t>
            </w:r>
            <w:r>
              <w:rPr>
                <w:rFonts w:hint="default" w:ascii="Times New Roman" w:hAnsi="Times New Roman" w:eastAsia="宋体" w:cs="Times New Roman"/>
                <w:color w:val="0000FF"/>
                <w:sz w:val="24"/>
                <w:szCs w:val="24"/>
                <w:highlight w:val="none"/>
                <w:lang w:val="zh-CN" w:eastAsia="zh-CN"/>
              </w:rPr>
              <w:t>项目生产废水</w:t>
            </w:r>
            <w:r>
              <w:rPr>
                <w:rFonts w:hint="eastAsia" w:cs="Times New Roman"/>
                <w:color w:val="0000FF"/>
                <w:sz w:val="24"/>
                <w:szCs w:val="24"/>
                <w:highlight w:val="none"/>
                <w:lang w:val="en-US" w:eastAsia="zh-CN"/>
              </w:rPr>
              <w:t>经螺旋绞砂机处理后，进入三级沉淀池</w:t>
            </w:r>
            <w:r>
              <w:rPr>
                <w:rFonts w:hint="eastAsia"/>
                <w:color w:val="auto"/>
                <w:kern w:val="24"/>
                <w:sz w:val="24"/>
                <w:szCs w:val="24"/>
                <w:highlight w:val="none"/>
                <w:lang w:val="en-US" w:eastAsia="zh-CN"/>
              </w:rPr>
              <w:t>（784m</w:t>
            </w:r>
            <w:r>
              <w:rPr>
                <w:rFonts w:hint="eastAsia"/>
                <w:color w:val="auto"/>
                <w:kern w:val="24"/>
                <w:sz w:val="24"/>
                <w:szCs w:val="24"/>
                <w:highlight w:val="none"/>
                <w:vertAlign w:val="superscript"/>
                <w:lang w:val="en-US" w:eastAsia="zh-CN"/>
              </w:rPr>
              <w:t>3</w:t>
            </w:r>
            <w:r>
              <w:rPr>
                <w:rFonts w:hint="eastAsia"/>
                <w:color w:val="auto"/>
                <w:kern w:val="24"/>
                <w:sz w:val="24"/>
                <w:szCs w:val="24"/>
                <w:highlight w:val="none"/>
                <w:lang w:val="en-US" w:eastAsia="zh-CN"/>
              </w:rPr>
              <w:t>）</w:t>
            </w:r>
            <w:r>
              <w:rPr>
                <w:rFonts w:hint="eastAsia" w:cs="Times New Roman"/>
                <w:color w:val="0000FF"/>
                <w:sz w:val="24"/>
                <w:szCs w:val="24"/>
                <w:highlight w:val="none"/>
                <w:lang w:val="en-US" w:eastAsia="zh-CN"/>
              </w:rPr>
              <w:t>处理，剩余污泥经板框压滤机压成泥饼，废水处理后全部循环使用，不外排</w:t>
            </w:r>
            <w:r>
              <w:rPr>
                <w:rFonts w:hint="eastAsia"/>
                <w:color w:val="auto"/>
                <w:kern w:val="24"/>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kern w:val="24"/>
                <w:sz w:val="24"/>
                <w:szCs w:val="24"/>
                <w:highlight w:val="none"/>
              </w:rPr>
            </w:pPr>
            <w:r>
              <w:rPr>
                <w:rFonts w:hint="eastAsia"/>
                <w:b/>
                <w:color w:val="auto"/>
                <w:kern w:val="24"/>
                <w:sz w:val="24"/>
                <w:szCs w:val="24"/>
                <w:highlight w:val="none"/>
              </w:rPr>
              <w:t>（</w:t>
            </w:r>
            <w:r>
              <w:rPr>
                <w:rFonts w:hint="eastAsia"/>
                <w:b/>
                <w:color w:val="auto"/>
                <w:kern w:val="24"/>
                <w:sz w:val="24"/>
                <w:szCs w:val="24"/>
                <w:highlight w:val="none"/>
                <w:lang w:val="en-US" w:eastAsia="zh-CN"/>
              </w:rPr>
              <w:t>4</w:t>
            </w:r>
            <w:r>
              <w:rPr>
                <w:rFonts w:hint="eastAsia"/>
                <w:b/>
                <w:color w:val="auto"/>
                <w:kern w:val="24"/>
                <w:sz w:val="24"/>
                <w:szCs w:val="24"/>
                <w:highlight w:val="none"/>
              </w:rPr>
              <w:t>）水平衡图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kern w:val="24"/>
                <w:sz w:val="24"/>
                <w:szCs w:val="24"/>
                <w:highlight w:val="none"/>
              </w:rPr>
            </w:pPr>
            <w:r>
              <w:rPr>
                <w:rFonts w:hint="eastAsia"/>
                <w:color w:val="auto"/>
                <w:kern w:val="24"/>
                <w:sz w:val="24"/>
                <w:szCs w:val="24"/>
                <w:highlight w:val="none"/>
              </w:rPr>
              <w:t>根据用水量预测及排水分析，运营期水量平衡见下图：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kern w:val="24"/>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kern w:val="24"/>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b/>
                <w:bCs/>
                <w:color w:val="auto"/>
                <w:kern w:val="24"/>
                <w:sz w:val="24"/>
                <w:szCs w:val="24"/>
                <w:highlight w:val="none"/>
                <w:lang w:eastAsia="zh-CN"/>
              </w:rPr>
            </w:pPr>
            <w:r>
              <w:rPr>
                <w:rFonts w:hint="eastAsia" w:eastAsia="宋体"/>
                <w:b/>
                <w:bCs/>
                <w:color w:val="auto"/>
                <w:kern w:val="24"/>
                <w:sz w:val="24"/>
                <w:szCs w:val="24"/>
                <w:highlight w:val="none"/>
                <w:lang w:eastAsia="zh-CN"/>
              </w:rPr>
              <w:object>
                <v:shape id="_x0000_i1025" o:spt="75" type="#_x0000_t75" style="height:188.9pt;width:353.1pt;" o:ole="t" filled="f" o:preferrelative="t" stroked="f" coordsize="21600,21600">
                  <v:path/>
                  <v:fill on="f" focussize="0,0"/>
                  <v:stroke on="f"/>
                  <v:imagedata r:id="rId11" o:title=""/>
                  <o:lock v:ext="edit" aspectratio="t"/>
                  <w10:wrap type="none"/>
                  <w10:anchorlock/>
                </v:shape>
                <o:OLEObject Type="Embed" ProgID="Visio.Drawing.11" ShapeID="_x0000_i1025" DrawAspect="Content" ObjectID="_1468075725" r:id="rId10">
                  <o:LockedField>false</o:LockedField>
                </o:OLEObject>
              </w:object>
            </w:r>
          </w:p>
          <w:p>
            <w:pPr>
              <w:spacing w:line="360" w:lineRule="auto"/>
              <w:jc w:val="center"/>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图2-1  水平衡图（m</w:t>
            </w:r>
            <w:r>
              <w:rPr>
                <w:rFonts w:hint="eastAsia" w:ascii="Times New Roman" w:hAnsi="Times New Roman" w:eastAsia="宋体" w:cs="Times New Roman"/>
                <w:b/>
                <w:bCs/>
                <w:color w:val="auto"/>
                <w:sz w:val="24"/>
                <w:szCs w:val="24"/>
                <w:highlight w:val="none"/>
                <w:vertAlign w:val="superscript"/>
              </w:rPr>
              <w:t>3</w:t>
            </w:r>
            <w:r>
              <w:rPr>
                <w:rFonts w:hint="eastAsia" w:ascii="Times New Roman" w:hAnsi="Times New Roman" w:eastAsia="宋体" w:cs="Times New Roman"/>
                <w:b/>
                <w:bCs/>
                <w:color w:val="auto"/>
                <w:sz w:val="24"/>
                <w:szCs w:val="24"/>
                <w:highlight w:val="none"/>
              </w:rPr>
              <w:t>/d）</w:t>
            </w:r>
          </w:p>
          <w:p>
            <w:pPr>
              <w:spacing w:line="360" w:lineRule="auto"/>
              <w:ind w:firstLine="482" w:firstLineChars="200"/>
              <w:rPr>
                <w:rFonts w:cs="Times New Roman"/>
                <w:b/>
                <w:color w:val="auto"/>
                <w:sz w:val="24"/>
                <w:szCs w:val="24"/>
                <w:highlight w:val="none"/>
              </w:rPr>
            </w:pPr>
            <w:r>
              <w:rPr>
                <w:rFonts w:hint="eastAsia" w:cs="Times New Roman"/>
                <w:b/>
                <w:color w:val="auto"/>
                <w:sz w:val="24"/>
                <w:szCs w:val="24"/>
                <w:highlight w:val="none"/>
                <w:lang w:val="en-US" w:eastAsia="zh-CN"/>
              </w:rPr>
              <w:t>8</w:t>
            </w:r>
            <w:r>
              <w:rPr>
                <w:rFonts w:hint="eastAsia" w:cs="Times New Roman"/>
                <w:b/>
                <w:color w:val="auto"/>
                <w:sz w:val="24"/>
                <w:szCs w:val="24"/>
                <w:highlight w:val="none"/>
              </w:rPr>
              <w:t>、劳动定员及工作制度</w:t>
            </w:r>
          </w:p>
          <w:p>
            <w:pPr>
              <w:spacing w:line="360" w:lineRule="auto"/>
              <w:ind w:firstLine="480" w:firstLineChars="200"/>
              <w:rPr>
                <w:rFonts w:hint="eastAsia"/>
                <w:color w:val="auto"/>
                <w:kern w:val="24"/>
                <w:sz w:val="24"/>
                <w:szCs w:val="24"/>
                <w:highlight w:val="none"/>
              </w:rPr>
            </w:pPr>
            <w:r>
              <w:rPr>
                <w:rFonts w:hint="eastAsia"/>
                <w:color w:val="auto"/>
                <w:kern w:val="24"/>
                <w:sz w:val="24"/>
                <w:szCs w:val="24"/>
                <w:highlight w:val="none"/>
                <w:lang w:eastAsia="zh-CN"/>
              </w:rPr>
              <w:t>本</w:t>
            </w:r>
            <w:r>
              <w:rPr>
                <w:rFonts w:hint="eastAsia"/>
                <w:color w:val="auto"/>
                <w:kern w:val="24"/>
                <w:sz w:val="24"/>
                <w:szCs w:val="24"/>
                <w:highlight w:val="none"/>
                <w:lang w:val="en-US" w:eastAsia="zh-CN"/>
              </w:rPr>
              <w:t>项目</w:t>
            </w:r>
            <w:r>
              <w:rPr>
                <w:rFonts w:hint="eastAsia"/>
                <w:color w:val="auto"/>
                <w:kern w:val="24"/>
                <w:sz w:val="24"/>
                <w:szCs w:val="24"/>
                <w:highlight w:val="none"/>
                <w:lang w:eastAsia="zh-CN"/>
              </w:rPr>
              <w:t>投产后劳动定员</w:t>
            </w:r>
            <w:r>
              <w:rPr>
                <w:rFonts w:hint="eastAsia"/>
                <w:color w:val="auto"/>
                <w:kern w:val="24"/>
                <w:sz w:val="24"/>
                <w:szCs w:val="24"/>
                <w:highlight w:val="none"/>
                <w:lang w:val="en-US" w:eastAsia="zh-CN"/>
              </w:rPr>
              <w:t>6</w:t>
            </w:r>
            <w:r>
              <w:rPr>
                <w:rFonts w:hint="eastAsia"/>
                <w:color w:val="auto"/>
                <w:kern w:val="24"/>
                <w:sz w:val="24"/>
                <w:szCs w:val="24"/>
                <w:highlight w:val="none"/>
                <w:lang w:eastAsia="zh-CN"/>
              </w:rPr>
              <w:t>人；</w:t>
            </w:r>
            <w:r>
              <w:rPr>
                <w:rFonts w:hint="eastAsia"/>
                <w:color w:val="auto"/>
                <w:kern w:val="24"/>
                <w:sz w:val="24"/>
                <w:szCs w:val="24"/>
                <w:highlight w:val="none"/>
                <w:lang w:val="en-US" w:eastAsia="zh-CN"/>
              </w:rPr>
              <w:t>一</w:t>
            </w:r>
            <w:r>
              <w:rPr>
                <w:rFonts w:hint="eastAsia"/>
                <w:color w:val="auto"/>
                <w:kern w:val="24"/>
                <w:sz w:val="24"/>
                <w:szCs w:val="24"/>
                <w:highlight w:val="none"/>
                <w:lang w:eastAsia="zh-CN"/>
              </w:rPr>
              <w:t>班制，</w:t>
            </w:r>
            <w:r>
              <w:rPr>
                <w:rFonts w:hint="eastAsia"/>
                <w:color w:val="auto"/>
                <w:kern w:val="24"/>
                <w:sz w:val="24"/>
                <w:szCs w:val="24"/>
                <w:highlight w:val="none"/>
                <w:lang w:val="en-US" w:eastAsia="zh-CN"/>
              </w:rPr>
              <w:t>每班8小时，</w:t>
            </w:r>
            <w:r>
              <w:rPr>
                <w:rFonts w:hint="eastAsia"/>
                <w:color w:val="auto"/>
                <w:kern w:val="24"/>
                <w:sz w:val="24"/>
                <w:szCs w:val="24"/>
                <w:highlight w:val="none"/>
                <w:lang w:eastAsia="zh-CN"/>
              </w:rPr>
              <w:t>全年生产300天</w:t>
            </w:r>
            <w:r>
              <w:rPr>
                <w:rFonts w:hint="eastAsia"/>
                <w:color w:val="auto"/>
                <w:kern w:val="24"/>
                <w:sz w:val="24"/>
                <w:szCs w:val="24"/>
                <w:highlight w:val="none"/>
              </w:rPr>
              <w:t>。</w:t>
            </w:r>
          </w:p>
          <w:p>
            <w:pPr>
              <w:spacing w:line="360" w:lineRule="auto"/>
              <w:ind w:firstLine="482" w:firstLineChars="200"/>
              <w:rPr>
                <w:rFonts w:cs="Times New Roman"/>
                <w:b/>
                <w:color w:val="auto"/>
                <w:sz w:val="24"/>
                <w:szCs w:val="24"/>
                <w:highlight w:val="none"/>
              </w:rPr>
            </w:pPr>
            <w:r>
              <w:rPr>
                <w:rFonts w:hint="eastAsia" w:cs="Times New Roman"/>
                <w:b/>
                <w:color w:val="auto"/>
                <w:sz w:val="24"/>
                <w:szCs w:val="24"/>
                <w:highlight w:val="none"/>
                <w:lang w:val="en-US" w:eastAsia="zh-CN"/>
              </w:rPr>
              <w:t>9</w:t>
            </w:r>
            <w:r>
              <w:rPr>
                <w:rFonts w:hint="eastAsia" w:cs="Times New Roman"/>
                <w:b/>
                <w:color w:val="auto"/>
                <w:sz w:val="24"/>
                <w:szCs w:val="24"/>
                <w:highlight w:val="none"/>
              </w:rPr>
              <w:t>、厂区平面布置</w:t>
            </w:r>
          </w:p>
          <w:p>
            <w:pPr>
              <w:spacing w:line="360" w:lineRule="auto"/>
              <w:ind w:firstLine="480" w:firstLineChars="200"/>
              <w:rPr>
                <w:rFonts w:hint="default" w:eastAsia="宋体"/>
                <w:color w:val="auto"/>
                <w:kern w:val="24"/>
                <w:sz w:val="24"/>
                <w:szCs w:val="24"/>
                <w:highlight w:val="none"/>
                <w:lang w:val="en-US" w:eastAsia="zh-CN"/>
              </w:rPr>
            </w:pPr>
            <w:r>
              <w:rPr>
                <w:rFonts w:hint="eastAsia"/>
                <w:color w:val="auto"/>
                <w:kern w:val="24"/>
                <w:sz w:val="24"/>
                <w:szCs w:val="24"/>
                <w:highlight w:val="none"/>
                <w:lang w:val="en-US" w:eastAsia="zh-CN"/>
              </w:rPr>
              <w:t>厂区</w:t>
            </w:r>
            <w:r>
              <w:rPr>
                <w:rFonts w:hint="eastAsia"/>
                <w:color w:val="auto"/>
                <w:kern w:val="24"/>
                <w:sz w:val="24"/>
                <w:szCs w:val="24"/>
                <w:highlight w:val="none"/>
              </w:rPr>
              <w:t>总体布置呈现</w:t>
            </w:r>
            <w:r>
              <w:rPr>
                <w:rFonts w:hint="eastAsia"/>
                <w:color w:val="auto"/>
                <w:kern w:val="24"/>
                <w:sz w:val="24"/>
                <w:szCs w:val="24"/>
                <w:highlight w:val="none"/>
                <w:lang w:val="en-US" w:eastAsia="zh-CN"/>
              </w:rPr>
              <w:t>南北</w:t>
            </w:r>
            <w:r>
              <w:rPr>
                <w:rFonts w:hint="eastAsia"/>
                <w:color w:val="auto"/>
                <w:kern w:val="24"/>
                <w:sz w:val="24"/>
                <w:szCs w:val="24"/>
                <w:highlight w:val="none"/>
              </w:rPr>
              <w:t>布置，厂区出入口位于</w:t>
            </w:r>
            <w:r>
              <w:rPr>
                <w:rFonts w:hint="eastAsia"/>
                <w:color w:val="auto"/>
                <w:kern w:val="24"/>
                <w:sz w:val="24"/>
                <w:szCs w:val="24"/>
                <w:highlight w:val="none"/>
                <w:lang w:val="en-US" w:eastAsia="zh-CN"/>
              </w:rPr>
              <w:t>南</w:t>
            </w:r>
            <w:r>
              <w:rPr>
                <w:rFonts w:hint="eastAsia"/>
                <w:color w:val="auto"/>
                <w:kern w:val="24"/>
                <w:sz w:val="24"/>
                <w:szCs w:val="24"/>
                <w:highlight w:val="none"/>
              </w:rPr>
              <w:t>侧</w:t>
            </w:r>
            <w:r>
              <w:rPr>
                <w:rFonts w:hint="eastAsia"/>
                <w:color w:val="auto"/>
                <w:kern w:val="24"/>
                <w:sz w:val="24"/>
                <w:szCs w:val="24"/>
                <w:highlight w:val="none"/>
                <w:lang w:val="en-US" w:eastAsia="zh-CN"/>
              </w:rPr>
              <w:t>，</w:t>
            </w:r>
            <w:r>
              <w:rPr>
                <w:rFonts w:hint="eastAsia"/>
                <w:color w:val="auto"/>
                <w:kern w:val="24"/>
                <w:sz w:val="24"/>
                <w:szCs w:val="24"/>
                <w:highlight w:val="none"/>
              </w:rPr>
              <w:t>项目在设计时根据功能分区、物流以及</w:t>
            </w:r>
            <w:r>
              <w:rPr>
                <w:rFonts w:hint="eastAsia"/>
                <w:color w:val="auto"/>
                <w:kern w:val="24"/>
                <w:sz w:val="24"/>
                <w:szCs w:val="24"/>
                <w:highlight w:val="none"/>
                <w:lang w:val="en-US" w:eastAsia="zh-CN"/>
              </w:rPr>
              <w:t>道路现状，</w:t>
            </w:r>
            <w:r>
              <w:rPr>
                <w:rFonts w:hint="eastAsia"/>
                <w:color w:val="auto"/>
                <w:kern w:val="24"/>
                <w:sz w:val="24"/>
                <w:szCs w:val="24"/>
                <w:highlight w:val="none"/>
              </w:rPr>
              <w:t>将厂区分为生产区和办公区两个部分。</w:t>
            </w:r>
            <w:r>
              <w:rPr>
                <w:rFonts w:hint="eastAsia"/>
                <w:color w:val="auto"/>
                <w:kern w:val="24"/>
                <w:sz w:val="24"/>
                <w:szCs w:val="24"/>
                <w:highlight w:val="none"/>
                <w:lang w:val="en-US" w:eastAsia="zh-CN"/>
              </w:rPr>
              <w:t>原料堆场位于厂区西侧，成品堆场位于厂区中部，生产区位于厂区东北侧，办公区位于生产区南侧，位于生产区主导风向侧风向。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eastAsia="zh-CN"/>
              </w:rPr>
            </w:pPr>
            <w:r>
              <w:rPr>
                <w:rFonts w:hint="eastAsia"/>
                <w:color w:val="auto"/>
                <w:kern w:val="24"/>
                <w:sz w:val="24"/>
                <w:szCs w:val="24"/>
                <w:highlight w:val="none"/>
              </w:rPr>
              <w:t>各功能区之间相互独立、互不干扰</w:t>
            </w:r>
            <w:r>
              <w:rPr>
                <w:rFonts w:hint="eastAsia"/>
                <w:color w:val="auto"/>
                <w:kern w:val="24"/>
                <w:sz w:val="24"/>
                <w:szCs w:val="24"/>
                <w:highlight w:val="none"/>
                <w:lang w:eastAsia="zh-CN"/>
              </w:rPr>
              <w:t>。</w:t>
            </w:r>
            <w:r>
              <w:rPr>
                <w:rFonts w:hint="eastAsia"/>
                <w:color w:val="auto"/>
                <w:kern w:val="24"/>
                <w:sz w:val="24"/>
                <w:szCs w:val="24"/>
                <w:highlight w:val="none"/>
                <w:lang w:val="en-US" w:eastAsia="zh-CN"/>
              </w:rPr>
              <w:t>厂区内道路呈环形布置，并同厂区外道路相连，形成畅通的物流、人流及消防通道，便于原料及产品运输，利于消防。</w:t>
            </w:r>
            <w:r>
              <w:rPr>
                <w:rFonts w:hint="eastAsia" w:ascii="Times New Roman" w:hAnsi="Times New Roman" w:cs="Times New Roman"/>
                <w:color w:val="auto"/>
                <w:sz w:val="24"/>
                <w:szCs w:val="24"/>
                <w:highlight w:val="none"/>
                <w:lang w:eastAsia="zh-CN"/>
              </w:rPr>
              <w:t>项目</w:t>
            </w:r>
            <w:r>
              <w:rPr>
                <w:rFonts w:hint="eastAsia" w:ascii="Times New Roman" w:hAnsi="Times New Roman" w:cs="Times New Roman"/>
                <w:color w:val="auto"/>
                <w:sz w:val="24"/>
                <w:szCs w:val="24"/>
                <w:highlight w:val="none"/>
                <w:lang w:val="en-US" w:eastAsia="zh-CN"/>
              </w:rPr>
              <w:t>石料</w:t>
            </w:r>
            <w:r>
              <w:rPr>
                <w:rFonts w:hint="eastAsia" w:ascii="Times New Roman" w:hAnsi="Times New Roman" w:cs="Times New Roman"/>
                <w:color w:val="auto"/>
                <w:sz w:val="24"/>
                <w:szCs w:val="24"/>
                <w:highlight w:val="none"/>
                <w:lang w:eastAsia="zh-CN"/>
              </w:rPr>
              <w:t>加工粉尘经厂房阻隔和</w:t>
            </w:r>
            <w:r>
              <w:rPr>
                <w:rFonts w:hint="eastAsia" w:ascii="Times New Roman" w:hAnsi="Times New Roman" w:cs="Times New Roman"/>
                <w:color w:val="auto"/>
                <w:sz w:val="24"/>
                <w:szCs w:val="24"/>
                <w:highlight w:val="none"/>
                <w:lang w:val="en-US" w:eastAsia="zh-CN"/>
              </w:rPr>
              <w:t>湿法作业</w:t>
            </w:r>
            <w:r>
              <w:rPr>
                <w:rFonts w:hint="eastAsia" w:ascii="Times New Roman" w:hAnsi="Times New Roman" w:cs="Times New Roman"/>
                <w:color w:val="auto"/>
                <w:sz w:val="24"/>
                <w:szCs w:val="24"/>
                <w:highlight w:val="none"/>
                <w:lang w:eastAsia="zh-CN"/>
              </w:rPr>
              <w:t>后无组织排放；</w:t>
            </w:r>
            <w:r>
              <w:rPr>
                <w:rFonts w:hint="eastAsia" w:ascii="Times New Roman" w:hAnsi="Times New Roman" w:cs="Times New Roman"/>
                <w:color w:val="auto"/>
                <w:sz w:val="24"/>
                <w:szCs w:val="24"/>
                <w:highlight w:val="none"/>
                <w:lang w:val="en-US" w:eastAsia="zh-CN"/>
              </w:rPr>
              <w:t>运输扬尘经洒水降尘后无组织排放；食堂油烟经</w:t>
            </w:r>
            <w:r>
              <w:rPr>
                <w:rFonts w:hint="default" w:ascii="Times New Roman" w:hAnsi="Times New Roman" w:cs="Times New Roman"/>
                <w:color w:val="auto"/>
                <w:sz w:val="24"/>
                <w:szCs w:val="24"/>
                <w:highlight w:val="none"/>
                <w:lang w:eastAsia="zh-CN"/>
              </w:rPr>
              <w:t>自带油烟净化功能的</w:t>
            </w:r>
            <w:r>
              <w:rPr>
                <w:rFonts w:hint="eastAsia" w:ascii="Times New Roman" w:hAnsi="Times New Roman" w:cs="Times New Roman"/>
                <w:color w:val="auto"/>
                <w:sz w:val="24"/>
                <w:szCs w:val="24"/>
                <w:highlight w:val="none"/>
                <w:lang w:val="en-US" w:eastAsia="zh-CN"/>
              </w:rPr>
              <w:t>抽油烟机处理后外</w:t>
            </w:r>
            <w:r>
              <w:rPr>
                <w:rFonts w:hint="eastAsia" w:cs="Times New Roman"/>
                <w:color w:val="auto"/>
                <w:sz w:val="24"/>
                <w:szCs w:val="24"/>
                <w:highlight w:val="none"/>
                <w:lang w:val="en-US" w:eastAsia="zh-CN"/>
              </w:rPr>
              <w:t>排。项目生产废水经螺旋绞砂机对粗砂颗粒分离后，进入三级沉淀池处理，沉淀池底泥经板框压滤机压成泥饼，废水处理后全部循环使用，不外排；</w:t>
            </w:r>
            <w:r>
              <w:rPr>
                <w:rFonts w:hint="eastAsia" w:ascii="Times New Roman" w:hAnsi="Times New Roman" w:cs="Times New Roman"/>
                <w:color w:val="auto"/>
                <w:sz w:val="24"/>
                <w:szCs w:val="24"/>
                <w:highlight w:val="none"/>
                <w:lang w:val="en-US" w:eastAsia="zh-CN"/>
              </w:rPr>
              <w:t>生活污水</w:t>
            </w:r>
            <w:r>
              <w:rPr>
                <w:rFonts w:hint="eastAsia" w:cs="Times New Roman"/>
                <w:color w:val="auto"/>
                <w:sz w:val="24"/>
                <w:szCs w:val="24"/>
                <w:highlight w:val="none"/>
                <w:lang w:val="en-US" w:eastAsia="zh-CN"/>
              </w:rPr>
              <w:t>（食堂废水先经隔油池处理）经旱厕处理后用作周边农田农肥。</w:t>
            </w:r>
            <w:r>
              <w:rPr>
                <w:rFonts w:hint="eastAsia" w:cs="Times New Roman"/>
                <w:color w:val="auto"/>
                <w:sz w:val="24"/>
                <w:szCs w:val="24"/>
                <w:highlight w:val="none"/>
                <w:lang w:eastAsia="zh-CN"/>
              </w:rPr>
              <w:t>噪声采取</w:t>
            </w:r>
            <w:r>
              <w:rPr>
                <w:rFonts w:hint="eastAsia" w:cs="Times New Roman"/>
                <w:color w:val="auto"/>
                <w:sz w:val="24"/>
                <w:szCs w:val="24"/>
                <w:highlight w:val="none"/>
                <w:lang w:val="en-US" w:eastAsia="zh-CN"/>
              </w:rPr>
              <w:t>采用低噪声设备，合理布局、采取减震</w:t>
            </w:r>
            <w:r>
              <w:rPr>
                <w:rFonts w:hint="eastAsia" w:cs="Times New Roman"/>
                <w:color w:val="auto"/>
                <w:sz w:val="24"/>
                <w:szCs w:val="24"/>
                <w:highlight w:val="none"/>
                <w:lang w:eastAsia="zh-CN"/>
              </w:rPr>
              <w:t>等降噪措施，可确保噪声达标排放，不会对周围居民造成影响，</w:t>
            </w:r>
            <w:r>
              <w:rPr>
                <w:rFonts w:hint="eastAsia" w:cs="Times New Roman"/>
                <w:color w:val="auto"/>
                <w:sz w:val="24"/>
                <w:szCs w:val="24"/>
                <w:highlight w:val="none"/>
                <w:lang w:val="en-US" w:eastAsia="zh-CN"/>
              </w:rPr>
              <w:t>固体废物去向合理</w:t>
            </w:r>
            <w:r>
              <w:rPr>
                <w:rFonts w:hint="eastAsia"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kern w:val="24"/>
                <w:sz w:val="24"/>
                <w:szCs w:val="24"/>
                <w:highlight w:val="none"/>
              </w:rPr>
            </w:pPr>
            <w:r>
              <w:rPr>
                <w:rFonts w:hint="eastAsia" w:cs="Times New Roman"/>
                <w:color w:val="auto"/>
                <w:sz w:val="24"/>
                <w:szCs w:val="24"/>
                <w:highlight w:val="none"/>
                <w:lang w:eastAsia="zh-CN"/>
              </w:rPr>
              <w:t>综上分析，项目各功能分区明确、间距合理、工艺流程顺畅，场区布局时满足工艺流程，也满足功能分区要求及运输作业要求，环保措施布置合理。因此，评价认为本项目厂区平面布置合理。</w:t>
            </w:r>
            <w:r>
              <w:rPr>
                <w:color w:val="auto"/>
                <w:kern w:val="24"/>
                <w:sz w:val="24"/>
                <w:szCs w:val="24"/>
                <w:highlight w:val="none"/>
              </w:rPr>
              <w:t>项目总平面布置见附图</w:t>
            </w:r>
            <w:r>
              <w:rPr>
                <w:rFonts w:hint="eastAsia"/>
                <w:color w:val="auto"/>
                <w:kern w:val="24"/>
                <w:sz w:val="24"/>
                <w:szCs w:val="24"/>
                <w:highlight w:val="none"/>
                <w:lang w:val="en-US" w:eastAsia="zh-CN"/>
              </w:rPr>
              <w:t>2</w:t>
            </w:r>
            <w:r>
              <w:rPr>
                <w:rFonts w:hint="eastAsia"/>
                <w:color w:val="auto"/>
                <w:kern w:val="24"/>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kern w:val="24"/>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kern w:val="24"/>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kern w:val="24"/>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736" w:type="dxa"/>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工艺流程和产排污环节</w:t>
            </w:r>
          </w:p>
        </w:tc>
        <w:tc>
          <w:tcPr>
            <w:tcW w:w="8834" w:type="dxa"/>
            <w:vAlign w:val="center"/>
          </w:tcPr>
          <w:p>
            <w:pPr>
              <w:spacing w:line="360" w:lineRule="auto"/>
              <w:ind w:firstLine="482" w:firstLineChars="200"/>
              <w:rPr>
                <w:rFonts w:hint="eastAsia" w:cs="Times New Roman"/>
                <w:b/>
                <w:bCs/>
                <w:color w:val="auto"/>
                <w:sz w:val="24"/>
                <w:szCs w:val="24"/>
                <w:highlight w:val="none"/>
              </w:rPr>
            </w:pPr>
            <w:r>
              <w:rPr>
                <w:rFonts w:hint="eastAsia" w:cs="Times New Roman"/>
                <w:b/>
                <w:bCs/>
                <w:color w:val="auto"/>
                <w:sz w:val="24"/>
                <w:szCs w:val="24"/>
                <w:highlight w:val="none"/>
              </w:rPr>
              <w:t>工艺流程及污染工艺流程简述（图示）：</w:t>
            </w:r>
          </w:p>
          <w:p>
            <w:pPr>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1、施工期工艺流程和产污环节</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施工期不设食宿，施工期基础工程、主体工程、装饰工程、设备安装等建设阶段将产生噪声、扬尘、固体废物、少量污水和废气等污染物，其排放量随工期和施工强度不同而有所变化，施工期工艺流程及产污环节如图2-2所示。</w:t>
            </w:r>
          </w:p>
          <w:p>
            <w:pPr>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26" o:spt="75" type="#_x0000_t75" style="height:202.6pt;width:331.5pt;" o:ole="t" filled="f" o:preferrelative="t" stroked="f" coordsize="21600,21600">
                  <v:path/>
                  <v:fill on="f" focussize="0,0"/>
                  <v:stroke on="f"/>
                  <v:imagedata r:id="rId13" o:title=""/>
                  <o:lock v:ext="edit" aspectratio="t"/>
                  <w10:wrap type="none"/>
                  <w10:anchorlock/>
                </v:shape>
                <o:OLEObject Type="Embed" ProgID="Visio.Drawing.15" ShapeID="_x0000_i1026" DrawAspect="Content" ObjectID="_1468075726" r:id="rId12">
                  <o:LockedField>false</o:LockedField>
                </o:OLEObject>
              </w:object>
            </w:r>
          </w:p>
          <w:p>
            <w:pPr>
              <w:spacing w:line="360" w:lineRule="auto"/>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图2-</w:t>
            </w:r>
            <w:r>
              <w:rPr>
                <w:rFonts w:hint="eastAsia"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rPr>
              <w:t xml:space="preserve">  施工期工艺流程及产污环节图</w:t>
            </w:r>
          </w:p>
          <w:p>
            <w:pPr>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主要工序简述：</w:t>
            </w:r>
          </w:p>
          <w:p>
            <w:pPr>
              <w:spacing w:line="360" w:lineRule="auto"/>
              <w:ind w:firstLine="480" w:firstLineChars="2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①基础工程</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在基础开挖、地基处理（岩土工程）与基础施工时，由于挖土机、运土卡车等施工机械的运行，将产生一定的噪声；同时产生扬尘</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土石方</w:t>
            </w:r>
            <w:r>
              <w:rPr>
                <w:rFonts w:hint="default" w:ascii="Times New Roman" w:hAnsi="Times New Roman" w:cs="Times New Roman"/>
                <w:color w:val="auto"/>
                <w:sz w:val="24"/>
                <w:szCs w:val="24"/>
                <w:highlight w:val="none"/>
              </w:rPr>
              <w:t>和工人生活</w:t>
            </w:r>
            <w:r>
              <w:rPr>
                <w:rFonts w:hint="eastAsia" w:cs="Times New Roman"/>
                <w:color w:val="auto"/>
                <w:sz w:val="24"/>
                <w:szCs w:val="24"/>
                <w:highlight w:val="none"/>
                <w:lang w:val="en-US" w:eastAsia="zh-CN"/>
              </w:rPr>
              <w:t>污</w:t>
            </w:r>
            <w:r>
              <w:rPr>
                <w:rFonts w:hint="default" w:ascii="Times New Roman" w:hAnsi="Times New Roman" w:cs="Times New Roman"/>
                <w:color w:val="auto"/>
                <w:sz w:val="24"/>
                <w:szCs w:val="24"/>
                <w:highlight w:val="none"/>
              </w:rPr>
              <w:t>水；基础开挖引起原有土地利用类型的改变，会造成生态变化并引起一定程度的水土流失。</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②主体工程</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主体施工时，挖掘机、打夯机、装载汽车等运行时会产生噪声，同时产生扬尘。此外，还有一些原材料废弃料以及生产和生活污水产生。</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③装饰工程</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在对构筑物的室内外进行装修时，钻机、电锤等产生噪声，废弃物料及污水。</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④设备安装</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主要包括车间生产设备以及配套环保设施设备安装。</w:t>
            </w:r>
          </w:p>
          <w:p>
            <w:pPr>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2、运营期工艺流程和产污环节</w:t>
            </w:r>
          </w:p>
          <w:p>
            <w:pPr>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项目工艺流程及产污环节见图2-3。</w:t>
            </w:r>
          </w:p>
          <w:p>
            <w:pPr>
              <w:spacing w:line="360" w:lineRule="auto"/>
              <w:ind w:firstLine="480" w:firstLineChars="200"/>
              <w:rPr>
                <w:rFonts w:hint="eastAsia"/>
                <w:color w:val="auto"/>
                <w:sz w:val="24"/>
                <w:szCs w:val="24"/>
                <w:highlight w:val="none"/>
                <w:lang w:val="en-US" w:eastAsia="zh-CN"/>
              </w:rPr>
            </w:pPr>
          </w:p>
          <w:p>
            <w:pPr>
              <w:spacing w:line="360" w:lineRule="auto"/>
              <w:jc w:val="center"/>
              <w:rPr>
                <w:rFonts w:hint="eastAsia" w:eastAsia="宋体" w:cs="Times New Roman"/>
                <w:color w:val="auto"/>
                <w:sz w:val="24"/>
                <w:szCs w:val="24"/>
                <w:highlight w:val="none"/>
                <w:lang w:eastAsia="zh-CN"/>
              </w:rPr>
            </w:pPr>
            <w:r>
              <w:rPr>
                <w:rFonts w:hint="eastAsia" w:eastAsia="宋体" w:cs="Times New Roman"/>
                <w:color w:val="auto"/>
                <w:sz w:val="24"/>
                <w:szCs w:val="24"/>
                <w:highlight w:val="none"/>
                <w:lang w:eastAsia="zh-CN"/>
              </w:rPr>
              <w:object>
                <v:shape id="_x0000_i1027" o:spt="75" alt="" type="#_x0000_t75" style="height:284.25pt;width:360.75pt;" o:ole="t" filled="f" o:preferrelative="t" stroked="f" coordsize="21600,21600">
                  <v:path/>
                  <v:fill on="f" focussize="0,0"/>
                  <v:stroke on="f"/>
                  <v:imagedata r:id="rId15" o:title=""/>
                  <o:lock v:ext="edit" aspectratio="t"/>
                  <w10:wrap type="none"/>
                  <w10:anchorlock/>
                </v:shape>
                <o:OLEObject Type="Embed" ProgID="Visio.Drawing.11" ShapeID="_x0000_i1027" DrawAspect="Content" ObjectID="_1468075727" r:id="rId14">
                  <o:LockedField>false</o:LockedField>
                </o:OLEObject>
              </w:object>
            </w:r>
          </w:p>
          <w:p>
            <w:pPr>
              <w:spacing w:line="360" w:lineRule="auto"/>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图2-</w:t>
            </w:r>
            <w:r>
              <w:rPr>
                <w:rFonts w:hint="eastAsia"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 xml:space="preserve">  </w:t>
            </w:r>
            <w:r>
              <w:rPr>
                <w:rFonts w:hint="eastAsia" w:cs="Times New Roman"/>
                <w:b/>
                <w:bCs/>
                <w:color w:val="auto"/>
                <w:sz w:val="24"/>
                <w:szCs w:val="24"/>
                <w:highlight w:val="none"/>
                <w:lang w:val="en-US" w:eastAsia="zh-CN"/>
              </w:rPr>
              <w:t>石料</w:t>
            </w:r>
            <w:r>
              <w:rPr>
                <w:rFonts w:hint="default" w:ascii="Times New Roman" w:hAnsi="Times New Roman" w:cs="Times New Roman"/>
                <w:b/>
                <w:bCs/>
                <w:color w:val="auto"/>
                <w:sz w:val="24"/>
                <w:szCs w:val="24"/>
                <w:highlight w:val="none"/>
              </w:rPr>
              <w:t>加工生产工艺及产污环节图</w:t>
            </w:r>
          </w:p>
          <w:p>
            <w:pPr>
              <w:spacing w:line="360" w:lineRule="auto"/>
              <w:ind w:firstLine="482" w:firstLineChars="200"/>
              <w:rPr>
                <w:rFonts w:hint="eastAsia" w:cs="Times New Roman"/>
                <w:b/>
                <w:bCs/>
                <w:color w:val="auto"/>
                <w:sz w:val="24"/>
                <w:szCs w:val="24"/>
                <w:highlight w:val="none"/>
              </w:rPr>
            </w:pPr>
            <w:r>
              <w:rPr>
                <w:rFonts w:hint="eastAsia" w:cs="Times New Roman"/>
                <w:b/>
                <w:bCs/>
                <w:color w:val="auto"/>
                <w:sz w:val="24"/>
                <w:szCs w:val="24"/>
                <w:highlight w:val="none"/>
              </w:rPr>
              <w:t>工艺流程简述：</w:t>
            </w:r>
          </w:p>
          <w:p>
            <w:pPr>
              <w:spacing w:line="360" w:lineRule="auto"/>
              <w:ind w:firstLine="482" w:firstLineChars="200"/>
              <w:rPr>
                <w:rFonts w:hint="default" w:cs="Times New Roman"/>
                <w:b w:val="0"/>
                <w:bCs w:val="0"/>
                <w:color w:val="auto"/>
                <w:sz w:val="24"/>
                <w:szCs w:val="24"/>
                <w:highlight w:val="none"/>
                <w:lang w:val="en-US" w:eastAsia="zh-CN"/>
              </w:rPr>
            </w:pPr>
            <w:r>
              <w:rPr>
                <w:rFonts w:hint="eastAsia" w:cs="Times New Roman"/>
                <w:b/>
                <w:bCs/>
                <w:color w:val="auto"/>
                <w:sz w:val="24"/>
                <w:szCs w:val="24"/>
                <w:highlight w:val="none"/>
                <w:lang w:val="en-US" w:eastAsia="zh-CN"/>
              </w:rPr>
              <w:t>原料：</w:t>
            </w:r>
            <w:r>
              <w:rPr>
                <w:rFonts w:hint="eastAsia" w:cs="Times New Roman"/>
                <w:b w:val="0"/>
                <w:bCs w:val="0"/>
                <w:color w:val="auto"/>
                <w:sz w:val="24"/>
                <w:szCs w:val="24"/>
                <w:highlight w:val="none"/>
                <w:lang w:val="en-US" w:eastAsia="zh-CN"/>
              </w:rPr>
              <w:t>项目所用石材为达州本地石材，运至厂区原料区进行堆放。</w:t>
            </w:r>
          </w:p>
          <w:p>
            <w:pPr>
              <w:spacing w:line="360" w:lineRule="auto"/>
              <w:ind w:firstLine="482" w:firstLineChars="200"/>
              <w:rPr>
                <w:rFonts w:hint="default" w:cs="Times New Roman"/>
                <w:b w:val="0"/>
                <w:bCs w:val="0"/>
                <w:color w:val="auto"/>
                <w:sz w:val="24"/>
                <w:szCs w:val="24"/>
                <w:highlight w:val="none"/>
                <w:lang w:val="en-US" w:eastAsia="zh-CN"/>
              </w:rPr>
            </w:pPr>
            <w:r>
              <w:rPr>
                <w:rFonts w:hint="eastAsia" w:cs="Times New Roman"/>
                <w:b/>
                <w:bCs/>
                <w:color w:val="auto"/>
                <w:sz w:val="24"/>
                <w:szCs w:val="24"/>
                <w:highlight w:val="none"/>
                <w:lang w:val="en-US" w:eastAsia="zh-CN"/>
              </w:rPr>
              <w:t>切片：</w:t>
            </w:r>
            <w:r>
              <w:rPr>
                <w:rFonts w:hint="eastAsia" w:cs="Times New Roman"/>
                <w:b w:val="0"/>
                <w:bCs w:val="0"/>
                <w:color w:val="auto"/>
                <w:sz w:val="24"/>
                <w:szCs w:val="24"/>
                <w:highlight w:val="none"/>
                <w:lang w:val="en-US" w:eastAsia="zh-CN"/>
              </w:rPr>
              <w:t>将原材料按照客户要求进行切片，切割过程中用水进行冷却（减少切割排放粉尘的同时降低高温对大切机的使用寿命的影响），</w:t>
            </w:r>
            <w:bookmarkStart w:id="0" w:name="_GoBack"/>
            <w:bookmarkEnd w:id="0"/>
            <w:r>
              <w:rPr>
                <w:rFonts w:hint="eastAsia" w:cs="Times New Roman"/>
                <w:b w:val="0"/>
                <w:bCs w:val="0"/>
                <w:color w:val="auto"/>
                <w:sz w:val="24"/>
                <w:szCs w:val="24"/>
                <w:highlight w:val="none"/>
                <w:lang w:val="en-US" w:eastAsia="zh-CN"/>
              </w:rPr>
              <w:t>经大切机切割后成坯料，</w:t>
            </w:r>
            <w:r>
              <w:rPr>
                <w:rFonts w:hint="eastAsia" w:cs="Times New Roman"/>
                <w:color w:val="auto"/>
                <w:sz w:val="24"/>
                <w:szCs w:val="24"/>
                <w:highlight w:val="none"/>
              </w:rPr>
              <w:t>本环节主要污染物为噪声、粉尘</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废水和废料</w:t>
            </w:r>
            <w:r>
              <w:rPr>
                <w:rFonts w:hint="eastAsia" w:cs="Times New Roman"/>
                <w:b w:val="0"/>
                <w:bCs w:val="0"/>
                <w:color w:val="auto"/>
                <w:sz w:val="24"/>
                <w:szCs w:val="24"/>
                <w:highlight w:val="none"/>
                <w:lang w:val="en-US" w:eastAsia="zh-CN"/>
              </w:rPr>
              <w:t>。</w:t>
            </w:r>
          </w:p>
          <w:p>
            <w:pPr>
              <w:spacing w:line="360" w:lineRule="auto"/>
              <w:ind w:firstLine="482" w:firstLineChars="200"/>
              <w:rPr>
                <w:rFonts w:hint="default" w:cs="Times New Roman"/>
                <w:b w:val="0"/>
                <w:bCs w:val="0"/>
                <w:color w:val="auto"/>
                <w:sz w:val="24"/>
                <w:szCs w:val="24"/>
                <w:highlight w:val="none"/>
                <w:lang w:val="en-US" w:eastAsia="zh-CN"/>
              </w:rPr>
            </w:pPr>
            <w:r>
              <w:rPr>
                <w:rFonts w:hint="eastAsia" w:cs="Times New Roman"/>
                <w:b/>
                <w:bCs/>
                <w:color w:val="auto"/>
                <w:sz w:val="24"/>
                <w:szCs w:val="24"/>
                <w:highlight w:val="none"/>
                <w:lang w:val="en-US" w:eastAsia="zh-CN"/>
              </w:rPr>
              <w:t>成型：</w:t>
            </w:r>
            <w:r>
              <w:rPr>
                <w:rFonts w:hint="eastAsia" w:cs="Times New Roman"/>
                <w:b w:val="0"/>
                <w:bCs w:val="0"/>
                <w:color w:val="auto"/>
                <w:sz w:val="24"/>
                <w:szCs w:val="24"/>
                <w:highlight w:val="none"/>
                <w:lang w:val="en-US" w:eastAsia="zh-CN"/>
              </w:rPr>
              <w:t>中切成型即按照标准尺寸，将坯料进行切边，切边过程需要用水进行冷却（减少切割排放粉尘的同时降低高温对中切机的使用寿命的影响）。</w:t>
            </w:r>
            <w:r>
              <w:rPr>
                <w:rFonts w:hint="eastAsia" w:cs="Times New Roman"/>
                <w:color w:val="auto"/>
                <w:sz w:val="24"/>
                <w:szCs w:val="24"/>
                <w:highlight w:val="none"/>
              </w:rPr>
              <w:t>本环节主要污染物为噪声、粉尘</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废水和废料</w:t>
            </w:r>
            <w:r>
              <w:rPr>
                <w:rFonts w:hint="eastAsia" w:cs="Times New Roman"/>
                <w:b w:val="0"/>
                <w:bCs w:val="0"/>
                <w:color w:val="auto"/>
                <w:sz w:val="24"/>
                <w:szCs w:val="24"/>
                <w:highlight w:val="none"/>
                <w:lang w:val="en-US" w:eastAsia="zh-CN"/>
              </w:rPr>
              <w:t>。</w:t>
            </w:r>
          </w:p>
          <w:p>
            <w:pPr>
              <w:spacing w:line="360" w:lineRule="auto"/>
              <w:ind w:firstLine="482" w:firstLineChars="200"/>
              <w:rPr>
                <w:rFonts w:hint="default" w:cs="Times New Roman"/>
                <w:color w:val="auto"/>
                <w:sz w:val="24"/>
                <w:szCs w:val="24"/>
                <w:highlight w:val="none"/>
                <w:lang w:val="en-US" w:eastAsia="zh-CN"/>
              </w:rPr>
            </w:pPr>
            <w:r>
              <w:rPr>
                <w:rFonts w:hint="eastAsia" w:cs="Times New Roman"/>
                <w:b/>
                <w:bCs/>
                <w:color w:val="auto"/>
                <w:sz w:val="24"/>
                <w:szCs w:val="24"/>
                <w:highlight w:val="none"/>
                <w:lang w:val="en-US" w:eastAsia="zh-CN"/>
              </w:rPr>
              <w:t>雕刻：</w:t>
            </w:r>
            <w:r>
              <w:rPr>
                <w:rFonts w:hint="eastAsia" w:cs="Times New Roman"/>
                <w:b/>
                <w:bCs/>
                <w:color w:val="0000FF"/>
                <w:sz w:val="24"/>
                <w:szCs w:val="24"/>
                <w:highlight w:val="none"/>
                <w:lang w:val="en-US" w:eastAsia="zh-CN"/>
              </w:rPr>
              <w:t>根据产品的类型和客户的要求对成型后的石料进行雕刻或不雕刻</w:t>
            </w:r>
            <w:r>
              <w:rPr>
                <w:rFonts w:hint="eastAsia" w:cs="Times New Roman"/>
                <w:color w:val="auto"/>
                <w:sz w:val="24"/>
                <w:szCs w:val="24"/>
                <w:highlight w:val="none"/>
                <w:lang w:val="en-US" w:eastAsia="zh-CN"/>
              </w:rPr>
              <w:t>，若客户需要雕刻，则由雕刻机雕刻出文字、图案等，雕刻过程</w:t>
            </w:r>
            <w:r>
              <w:rPr>
                <w:rFonts w:hint="eastAsia" w:cs="Times New Roman"/>
                <w:b w:val="0"/>
                <w:bCs w:val="0"/>
                <w:color w:val="auto"/>
                <w:sz w:val="24"/>
                <w:szCs w:val="24"/>
                <w:highlight w:val="none"/>
                <w:lang w:val="en-US" w:eastAsia="zh-CN"/>
              </w:rPr>
              <w:t>需要用水进行冷却（减少</w:t>
            </w:r>
            <w:r>
              <w:rPr>
                <w:rFonts w:hint="eastAsia" w:cs="Times New Roman"/>
                <w:color w:val="auto"/>
                <w:sz w:val="24"/>
                <w:szCs w:val="24"/>
                <w:highlight w:val="none"/>
                <w:lang w:val="en-US" w:eastAsia="zh-CN"/>
              </w:rPr>
              <w:t>雕刻</w:t>
            </w:r>
            <w:r>
              <w:rPr>
                <w:rFonts w:hint="eastAsia" w:cs="Times New Roman"/>
                <w:b w:val="0"/>
                <w:bCs w:val="0"/>
                <w:color w:val="auto"/>
                <w:sz w:val="24"/>
                <w:szCs w:val="24"/>
                <w:highlight w:val="none"/>
                <w:lang w:val="en-US" w:eastAsia="zh-CN"/>
              </w:rPr>
              <w:t>排放粉尘的同时降低高温对</w:t>
            </w:r>
            <w:r>
              <w:rPr>
                <w:rFonts w:hint="eastAsia" w:cs="Times New Roman"/>
                <w:color w:val="auto"/>
                <w:sz w:val="24"/>
                <w:szCs w:val="24"/>
                <w:highlight w:val="none"/>
                <w:lang w:val="en-US" w:eastAsia="zh-CN"/>
              </w:rPr>
              <w:t>雕刻</w:t>
            </w:r>
            <w:r>
              <w:rPr>
                <w:rFonts w:hint="eastAsia" w:cs="Times New Roman"/>
                <w:b w:val="0"/>
                <w:bCs w:val="0"/>
                <w:color w:val="auto"/>
                <w:sz w:val="24"/>
                <w:szCs w:val="24"/>
                <w:highlight w:val="none"/>
                <w:lang w:val="en-US" w:eastAsia="zh-CN"/>
              </w:rPr>
              <w:t>机的使用寿命的影响）。</w:t>
            </w:r>
          </w:p>
          <w:p>
            <w:pPr>
              <w:spacing w:line="360" w:lineRule="auto"/>
              <w:ind w:firstLine="482" w:firstLineChars="200"/>
              <w:rPr>
                <w:rFonts w:hint="default" w:eastAsia="宋体" w:cs="Times New Roman"/>
                <w:color w:val="auto"/>
                <w:sz w:val="24"/>
                <w:szCs w:val="24"/>
                <w:highlight w:val="none"/>
                <w:lang w:val="en-US" w:eastAsia="zh-CN"/>
              </w:rPr>
            </w:pPr>
            <w:r>
              <w:rPr>
                <w:rFonts w:hint="eastAsia" w:cs="Times New Roman"/>
                <w:b/>
                <w:bCs/>
                <w:color w:val="auto"/>
                <w:sz w:val="24"/>
                <w:szCs w:val="24"/>
                <w:highlight w:val="none"/>
                <w:lang w:val="en-US" w:eastAsia="zh-CN"/>
              </w:rPr>
              <w:t>检查及外售</w:t>
            </w:r>
            <w:r>
              <w:rPr>
                <w:rFonts w:hint="eastAsia" w:cs="Times New Roman"/>
                <w:color w:val="auto"/>
                <w:sz w:val="24"/>
                <w:szCs w:val="24"/>
                <w:highlight w:val="none"/>
                <w:lang w:val="en-US" w:eastAsia="zh-CN"/>
              </w:rPr>
              <w:t>：切割或雕刻完成后，检查产品，放入库房中外售。</w:t>
            </w:r>
          </w:p>
          <w:p>
            <w:pPr>
              <w:spacing w:line="360" w:lineRule="auto"/>
              <w:ind w:firstLine="482" w:firstLineChars="200"/>
              <w:rPr>
                <w:rFonts w:hint="eastAsia" w:cs="Times New Roman"/>
                <w:b/>
                <w:bCs/>
                <w:color w:val="auto"/>
                <w:sz w:val="24"/>
                <w:szCs w:val="24"/>
                <w:highlight w:val="none"/>
              </w:rPr>
            </w:pPr>
            <w:r>
              <w:rPr>
                <w:rFonts w:hint="eastAsia" w:cs="Times New Roman"/>
                <w:b/>
                <w:bCs/>
                <w:color w:val="auto"/>
                <w:sz w:val="24"/>
                <w:szCs w:val="24"/>
                <w:highlight w:val="none"/>
                <w:lang w:val="en-US" w:eastAsia="zh-CN"/>
              </w:rPr>
              <w:t>同时</w:t>
            </w:r>
            <w:r>
              <w:rPr>
                <w:rFonts w:hint="eastAsia" w:cs="Times New Roman"/>
                <w:b/>
                <w:bCs/>
                <w:color w:val="auto"/>
                <w:sz w:val="24"/>
                <w:szCs w:val="24"/>
                <w:highlight w:val="none"/>
              </w:rPr>
              <w:t>本项目</w:t>
            </w:r>
            <w:r>
              <w:rPr>
                <w:rFonts w:hint="eastAsia" w:cs="Times New Roman"/>
                <w:b/>
                <w:bCs/>
                <w:color w:val="auto"/>
                <w:sz w:val="24"/>
                <w:szCs w:val="24"/>
                <w:highlight w:val="none"/>
                <w:lang w:val="en-US" w:eastAsia="zh-CN"/>
              </w:rPr>
              <w:t>在加工区北侧设置有1处</w:t>
            </w:r>
            <w:r>
              <w:rPr>
                <w:rFonts w:hint="eastAsia" w:cs="Times New Roman"/>
                <w:b/>
                <w:bCs/>
                <w:color w:val="auto"/>
                <w:sz w:val="24"/>
                <w:szCs w:val="24"/>
                <w:highlight w:val="none"/>
              </w:rPr>
              <w:t>机修</w:t>
            </w:r>
            <w:r>
              <w:rPr>
                <w:rFonts w:hint="eastAsia" w:cs="Times New Roman"/>
                <w:b/>
                <w:bCs/>
                <w:color w:val="auto"/>
                <w:sz w:val="24"/>
                <w:szCs w:val="24"/>
                <w:highlight w:val="none"/>
                <w:lang w:val="en-US" w:eastAsia="zh-CN"/>
              </w:rPr>
              <w:t>间</w:t>
            </w:r>
            <w:r>
              <w:rPr>
                <w:rFonts w:hint="eastAsia" w:cs="Times New Roman"/>
                <w:b/>
                <w:bCs/>
                <w:color w:val="auto"/>
                <w:sz w:val="24"/>
                <w:szCs w:val="24"/>
                <w:highlight w:val="none"/>
                <w:lang w:eastAsia="zh-CN"/>
              </w:rPr>
              <w:t>，</w:t>
            </w:r>
            <w:r>
              <w:rPr>
                <w:rFonts w:hint="eastAsia" w:cs="Times New Roman"/>
                <w:b/>
                <w:bCs/>
                <w:color w:val="auto"/>
                <w:sz w:val="24"/>
                <w:szCs w:val="24"/>
                <w:highlight w:val="none"/>
              </w:rPr>
              <w:t>主要</w:t>
            </w:r>
            <w:r>
              <w:rPr>
                <w:rFonts w:hint="eastAsia" w:cs="Times New Roman"/>
                <w:b/>
                <w:bCs/>
                <w:color w:val="auto"/>
                <w:sz w:val="24"/>
                <w:szCs w:val="24"/>
                <w:highlight w:val="none"/>
                <w:lang w:val="en-US" w:eastAsia="zh-CN"/>
              </w:rPr>
              <w:t>是</w:t>
            </w:r>
            <w:r>
              <w:rPr>
                <w:rFonts w:hint="eastAsia" w:cs="Times New Roman"/>
                <w:b/>
                <w:bCs/>
                <w:color w:val="auto"/>
                <w:sz w:val="24"/>
                <w:szCs w:val="24"/>
                <w:highlight w:val="none"/>
              </w:rPr>
              <w:t>对</w:t>
            </w:r>
            <w:r>
              <w:rPr>
                <w:rFonts w:hint="eastAsia" w:cs="Times New Roman"/>
                <w:b/>
                <w:bCs/>
                <w:color w:val="auto"/>
                <w:sz w:val="24"/>
                <w:szCs w:val="24"/>
                <w:highlight w:val="none"/>
                <w:lang w:val="en-US" w:eastAsia="zh-CN"/>
              </w:rPr>
              <w:t>设备</w:t>
            </w:r>
            <w:r>
              <w:rPr>
                <w:rFonts w:hint="eastAsia" w:cs="Times New Roman"/>
                <w:b/>
                <w:bCs/>
                <w:color w:val="auto"/>
                <w:sz w:val="24"/>
                <w:szCs w:val="24"/>
                <w:highlight w:val="none"/>
              </w:rPr>
              <w:t>进行维修</w:t>
            </w: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主要工艺为更换零件等</w:t>
            </w:r>
            <w:r>
              <w:rPr>
                <w:rFonts w:hint="eastAsia" w:cs="Times New Roman"/>
                <w:b/>
                <w:bCs/>
                <w:color w:val="auto"/>
                <w:sz w:val="24"/>
                <w:szCs w:val="24"/>
                <w:highlight w:val="none"/>
              </w:rPr>
              <w:t>。</w:t>
            </w:r>
          </w:p>
          <w:p>
            <w:pPr>
              <w:spacing w:line="360" w:lineRule="auto"/>
              <w:rPr>
                <w:rFonts w:hint="eastAsia" w:cs="Times New Roman"/>
                <w:color w:val="auto"/>
                <w:sz w:val="24"/>
                <w:szCs w:val="24"/>
                <w:highlight w:val="none"/>
                <w:lang w:eastAsia="zh-CN"/>
              </w:rPr>
            </w:pPr>
          </w:p>
          <w:p>
            <w:pPr>
              <w:spacing w:line="360" w:lineRule="auto"/>
              <w:rPr>
                <w:rFonts w:hint="eastAsia" w:cs="Times New Roman"/>
                <w:color w:val="auto"/>
                <w:sz w:val="24"/>
                <w:szCs w:val="24"/>
                <w:highlight w:val="none"/>
                <w:lang w:eastAsia="zh-CN"/>
              </w:rPr>
            </w:pPr>
          </w:p>
          <w:p>
            <w:pPr>
              <w:spacing w:line="360" w:lineRule="auto"/>
              <w:rPr>
                <w:rFonts w:hint="eastAsia" w:eastAsia="宋体" w:cs="Times New Roman"/>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6" w:type="dxa"/>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与项目有关的原有环境污染问题</w:t>
            </w:r>
          </w:p>
        </w:tc>
        <w:tc>
          <w:tcPr>
            <w:tcW w:w="8834" w:type="dxa"/>
            <w:vAlign w:val="center"/>
          </w:tcPr>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本项目</w:t>
            </w:r>
            <w:r>
              <w:rPr>
                <w:rFonts w:hint="default" w:ascii="Times New Roman" w:hAnsi="Times New Roman" w:cs="Times New Roman"/>
                <w:color w:val="auto"/>
                <w:sz w:val="24"/>
                <w:szCs w:val="24"/>
                <w:highlight w:val="none"/>
                <w:lang w:val="en-US" w:eastAsia="zh-CN"/>
              </w:rPr>
              <w:t>为新建项目，</w:t>
            </w:r>
            <w:r>
              <w:rPr>
                <w:rFonts w:hint="eastAsia" w:cs="Times New Roman"/>
                <w:color w:val="auto"/>
                <w:sz w:val="24"/>
                <w:szCs w:val="24"/>
                <w:highlight w:val="none"/>
                <w:lang w:val="en-US" w:eastAsia="zh-CN"/>
              </w:rPr>
              <w:t>该地块原为驾校，已于2023年3月停止运营</w:t>
            </w:r>
            <w:r>
              <w:rPr>
                <w:rFonts w:hint="eastAsia" w:cs="Times New Roman"/>
                <w:snapToGrid w:val="0"/>
                <w:color w:val="auto"/>
                <w:kern w:val="0"/>
                <w:sz w:val="24"/>
                <w:szCs w:val="24"/>
                <w:highlight w:val="none"/>
                <w:lang w:val="en-US" w:eastAsia="zh-CN"/>
              </w:rPr>
              <w:t>。根据现场探勘，</w:t>
            </w:r>
            <w:r>
              <w:rPr>
                <w:rFonts w:hint="default" w:ascii="Times New Roman" w:hAnsi="Times New Roman" w:cs="Times New Roman"/>
                <w:b/>
                <w:bCs/>
                <w:color w:val="auto"/>
                <w:sz w:val="24"/>
                <w:szCs w:val="24"/>
                <w:highlight w:val="none"/>
                <w:lang w:val="en-US" w:eastAsia="zh-CN"/>
              </w:rPr>
              <w:t>无原有污染问题存在。</w:t>
            </w: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hint="eastAsia" w:cs="Times New Roman"/>
                <w:color w:val="auto"/>
                <w:sz w:val="24"/>
                <w:szCs w:val="24"/>
                <w:highlight w:val="none"/>
                <w:lang w:val="en-US" w:eastAsia="zh-CN"/>
              </w:rPr>
            </w:pPr>
          </w:p>
          <w:p>
            <w:pPr>
              <w:spacing w:line="360" w:lineRule="auto"/>
              <w:ind w:firstLine="480" w:firstLineChars="200"/>
              <w:rPr>
                <w:rFonts w:cs="Times New Roman"/>
                <w:color w:val="auto"/>
                <w:sz w:val="24"/>
                <w:szCs w:val="24"/>
                <w:highlight w:val="none"/>
              </w:rPr>
            </w:pPr>
          </w:p>
        </w:tc>
      </w:tr>
    </w:tbl>
    <w:p>
      <w:pPr>
        <w:pStyle w:val="55"/>
        <w:jc w:val="center"/>
        <w:rPr>
          <w:rFonts w:ascii="黑体" w:hAnsi="黑体" w:eastAsia="黑体"/>
          <w:b w:val="0"/>
          <w:color w:val="auto"/>
          <w:sz w:val="30"/>
          <w:szCs w:val="30"/>
          <w:highlight w:val="none"/>
        </w:rPr>
        <w:sectPr>
          <w:pgSz w:w="11906" w:h="16838"/>
          <w:pgMar w:top="1134" w:right="1134" w:bottom="1134" w:left="1418" w:header="851" w:footer="992" w:gutter="0"/>
          <w:pgBorders>
            <w:top w:val="none" w:sz="0" w:space="0"/>
            <w:left w:val="none" w:sz="0" w:space="0"/>
            <w:bottom w:val="none" w:sz="0" w:space="0"/>
            <w:right w:val="none" w:sz="0" w:space="0"/>
          </w:pgBorders>
          <w:cols w:space="720" w:num="1"/>
          <w:docGrid w:type="lines" w:linePitch="312" w:charSpace="0"/>
        </w:sectPr>
      </w:pPr>
    </w:p>
    <w:p>
      <w:pPr>
        <w:pStyle w:val="55"/>
        <w:jc w:val="center"/>
        <w:rPr>
          <w:rFonts w:ascii="黑体" w:hAnsi="黑体" w:eastAsia="黑体"/>
          <w:b w:val="0"/>
          <w:color w:val="auto"/>
          <w:sz w:val="30"/>
          <w:szCs w:val="30"/>
          <w:highlight w:val="none"/>
        </w:rPr>
      </w:pPr>
      <w:r>
        <w:rPr>
          <w:rFonts w:hint="eastAsia" w:ascii="黑体" w:hAnsi="黑体" w:eastAsia="黑体"/>
          <w:b w:val="0"/>
          <w:color w:val="auto"/>
          <w:sz w:val="30"/>
          <w:szCs w:val="30"/>
          <w:highlight w:val="none"/>
        </w:rPr>
        <w:t>三、区域环境质量现状、环境保护目标及评价标准</w:t>
      </w:r>
    </w:p>
    <w:tbl>
      <w:tblPr>
        <w:tblStyle w:val="23"/>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8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4" w:type="dxa"/>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区域</w:t>
            </w:r>
          </w:p>
          <w:p>
            <w:pPr>
              <w:spacing w:line="360" w:lineRule="auto"/>
              <w:jc w:val="center"/>
              <w:rPr>
                <w:rFonts w:cs="Times New Roman"/>
                <w:color w:val="auto"/>
                <w:sz w:val="24"/>
                <w:szCs w:val="24"/>
                <w:highlight w:val="none"/>
              </w:rPr>
            </w:pPr>
            <w:r>
              <w:rPr>
                <w:rFonts w:hint="eastAsia" w:cs="Times New Roman"/>
                <w:color w:val="auto"/>
                <w:sz w:val="24"/>
                <w:szCs w:val="24"/>
                <w:highlight w:val="none"/>
              </w:rPr>
              <w:t>环境</w:t>
            </w:r>
          </w:p>
          <w:p>
            <w:pPr>
              <w:spacing w:line="360" w:lineRule="auto"/>
              <w:jc w:val="center"/>
              <w:rPr>
                <w:rFonts w:cs="Times New Roman"/>
                <w:color w:val="auto"/>
                <w:sz w:val="24"/>
                <w:szCs w:val="24"/>
                <w:highlight w:val="none"/>
              </w:rPr>
            </w:pPr>
            <w:r>
              <w:rPr>
                <w:rFonts w:hint="eastAsia" w:cs="Times New Roman"/>
                <w:color w:val="auto"/>
                <w:sz w:val="24"/>
                <w:szCs w:val="24"/>
                <w:highlight w:val="none"/>
              </w:rPr>
              <w:t>质量</w:t>
            </w:r>
          </w:p>
          <w:p>
            <w:pPr>
              <w:spacing w:line="360" w:lineRule="auto"/>
              <w:jc w:val="center"/>
              <w:rPr>
                <w:rFonts w:cs="Times New Roman"/>
                <w:color w:val="auto"/>
                <w:sz w:val="24"/>
                <w:szCs w:val="24"/>
                <w:highlight w:val="none"/>
              </w:rPr>
            </w:pPr>
            <w:r>
              <w:rPr>
                <w:rFonts w:hint="eastAsia" w:cs="Times New Roman"/>
                <w:color w:val="auto"/>
                <w:sz w:val="24"/>
                <w:szCs w:val="24"/>
                <w:highlight w:val="none"/>
              </w:rPr>
              <w:t>现状</w:t>
            </w:r>
          </w:p>
        </w:tc>
        <w:tc>
          <w:tcPr>
            <w:tcW w:w="8645" w:type="dxa"/>
            <w:vAlign w:val="center"/>
          </w:tcPr>
          <w:p>
            <w:pPr>
              <w:spacing w:line="360" w:lineRule="auto"/>
              <w:ind w:firstLine="482" w:firstLineChars="200"/>
              <w:rPr>
                <w:rFonts w:cs="Times New Roman"/>
                <w:b/>
                <w:color w:val="auto"/>
                <w:sz w:val="24"/>
                <w:szCs w:val="24"/>
                <w:highlight w:val="none"/>
              </w:rPr>
            </w:pPr>
            <w:r>
              <w:rPr>
                <w:rFonts w:cs="Times New Roman"/>
                <w:b/>
                <w:color w:val="auto"/>
                <w:sz w:val="24"/>
                <w:szCs w:val="24"/>
                <w:highlight w:val="none"/>
              </w:rPr>
              <w:t>1</w:t>
            </w:r>
            <w:r>
              <w:rPr>
                <w:rFonts w:hint="eastAsia" w:cs="Times New Roman"/>
                <w:b/>
                <w:color w:val="auto"/>
                <w:sz w:val="24"/>
                <w:szCs w:val="24"/>
                <w:highlight w:val="none"/>
              </w:rPr>
              <w:t>、大气环境质量现状</w:t>
            </w:r>
          </w:p>
          <w:p>
            <w:pPr>
              <w:spacing w:line="360" w:lineRule="auto"/>
              <w:ind w:firstLine="480" w:firstLineChars="200"/>
              <w:rPr>
                <w:rFonts w:hint="eastAsia" w:cs="Times New Roman"/>
                <w:color w:val="auto"/>
                <w:sz w:val="24"/>
                <w:szCs w:val="24"/>
                <w:highlight w:val="none"/>
              </w:rPr>
            </w:pPr>
            <w:r>
              <w:rPr>
                <w:rFonts w:hint="eastAsia" w:cs="Times New Roman"/>
                <w:color w:val="auto"/>
                <w:sz w:val="24"/>
                <w:szCs w:val="24"/>
                <w:highlight w:val="none"/>
                <w:lang w:val="en-US" w:eastAsia="zh-CN"/>
              </w:rPr>
              <w:t>本项目位于达州市大竹县，</w:t>
            </w:r>
            <w:r>
              <w:rPr>
                <w:rFonts w:hint="eastAsia" w:cs="Times New Roman"/>
                <w:color w:val="auto"/>
                <w:sz w:val="24"/>
                <w:szCs w:val="24"/>
                <w:highlight w:val="none"/>
              </w:rPr>
              <w:t>根据达州市生态环境局于2023年1月18日公开发布的《达州市2022年环境空气质量状况》，大竹县2022年SO</w:t>
            </w:r>
            <w:r>
              <w:rPr>
                <w:rFonts w:hint="eastAsia" w:cs="Times New Roman"/>
                <w:color w:val="auto"/>
                <w:sz w:val="24"/>
                <w:szCs w:val="24"/>
                <w:highlight w:val="none"/>
                <w:vertAlign w:val="subscript"/>
              </w:rPr>
              <w:t>2</w:t>
            </w:r>
            <w:r>
              <w:rPr>
                <w:rFonts w:hint="eastAsia" w:cs="Times New Roman"/>
                <w:color w:val="auto"/>
                <w:sz w:val="24"/>
                <w:szCs w:val="24"/>
                <w:highlight w:val="none"/>
              </w:rPr>
              <w:t>平均浓度为7μg/m</w:t>
            </w:r>
            <w:r>
              <w:rPr>
                <w:rFonts w:hint="eastAsia" w:cs="Times New Roman"/>
                <w:color w:val="auto"/>
                <w:sz w:val="24"/>
                <w:szCs w:val="24"/>
                <w:highlight w:val="none"/>
                <w:vertAlign w:val="superscript"/>
              </w:rPr>
              <w:t>3</w:t>
            </w:r>
            <w:r>
              <w:rPr>
                <w:rFonts w:hint="eastAsia" w:cs="Times New Roman"/>
                <w:color w:val="auto"/>
                <w:sz w:val="24"/>
                <w:szCs w:val="24"/>
                <w:highlight w:val="none"/>
              </w:rPr>
              <w:t>，NO</w:t>
            </w:r>
            <w:r>
              <w:rPr>
                <w:rFonts w:hint="eastAsia" w:cs="Times New Roman"/>
                <w:color w:val="auto"/>
                <w:sz w:val="24"/>
                <w:szCs w:val="24"/>
                <w:highlight w:val="none"/>
                <w:vertAlign w:val="subscript"/>
              </w:rPr>
              <w:t>2</w:t>
            </w:r>
            <w:r>
              <w:rPr>
                <w:rFonts w:hint="eastAsia" w:cs="Times New Roman"/>
                <w:color w:val="auto"/>
                <w:sz w:val="24"/>
                <w:szCs w:val="24"/>
                <w:highlight w:val="none"/>
              </w:rPr>
              <w:t>平均浓度为20μg/m</w:t>
            </w:r>
            <w:r>
              <w:rPr>
                <w:rFonts w:hint="eastAsia" w:cs="Times New Roman"/>
                <w:color w:val="auto"/>
                <w:sz w:val="24"/>
                <w:szCs w:val="24"/>
                <w:highlight w:val="none"/>
                <w:vertAlign w:val="superscript"/>
              </w:rPr>
              <w:t>3</w:t>
            </w:r>
            <w:r>
              <w:rPr>
                <w:rFonts w:hint="eastAsia" w:cs="Times New Roman"/>
                <w:color w:val="auto"/>
                <w:sz w:val="24"/>
                <w:szCs w:val="24"/>
                <w:highlight w:val="none"/>
              </w:rPr>
              <w:t>，CO浓度为1.3mg/m</w:t>
            </w:r>
            <w:r>
              <w:rPr>
                <w:rFonts w:hint="eastAsia" w:cs="Times New Roman"/>
                <w:color w:val="auto"/>
                <w:sz w:val="24"/>
                <w:szCs w:val="24"/>
                <w:highlight w:val="none"/>
                <w:vertAlign w:val="superscript"/>
              </w:rPr>
              <w:t>3</w:t>
            </w:r>
            <w:r>
              <w:rPr>
                <w:rFonts w:hint="eastAsia" w:cs="Times New Roman"/>
                <w:color w:val="auto"/>
                <w:sz w:val="24"/>
                <w:szCs w:val="24"/>
                <w:highlight w:val="none"/>
              </w:rPr>
              <w:t>，O</w:t>
            </w:r>
            <w:r>
              <w:rPr>
                <w:rFonts w:hint="eastAsia" w:cs="Times New Roman"/>
                <w:color w:val="auto"/>
                <w:sz w:val="24"/>
                <w:szCs w:val="24"/>
                <w:highlight w:val="none"/>
                <w:vertAlign w:val="subscript"/>
              </w:rPr>
              <w:t>3</w:t>
            </w:r>
            <w:r>
              <w:rPr>
                <w:rFonts w:hint="eastAsia" w:cs="Times New Roman"/>
                <w:color w:val="auto"/>
                <w:sz w:val="24"/>
                <w:szCs w:val="24"/>
                <w:highlight w:val="none"/>
              </w:rPr>
              <w:t>浓度为119μg/m</w:t>
            </w:r>
            <w:r>
              <w:rPr>
                <w:rFonts w:hint="eastAsia" w:cs="Times New Roman"/>
                <w:color w:val="auto"/>
                <w:sz w:val="24"/>
                <w:szCs w:val="24"/>
                <w:highlight w:val="none"/>
                <w:vertAlign w:val="superscript"/>
              </w:rPr>
              <w:t>3</w:t>
            </w:r>
            <w:r>
              <w:rPr>
                <w:rFonts w:hint="eastAsia" w:cs="Times New Roman"/>
                <w:color w:val="auto"/>
                <w:sz w:val="24"/>
                <w:szCs w:val="24"/>
                <w:highlight w:val="none"/>
              </w:rPr>
              <w:t>，PM</w:t>
            </w:r>
            <w:r>
              <w:rPr>
                <w:rFonts w:hint="eastAsia" w:cs="Times New Roman"/>
                <w:color w:val="auto"/>
                <w:sz w:val="24"/>
                <w:szCs w:val="24"/>
                <w:highlight w:val="none"/>
                <w:vertAlign w:val="subscript"/>
              </w:rPr>
              <w:t>2.5</w:t>
            </w:r>
            <w:r>
              <w:rPr>
                <w:rFonts w:hint="eastAsia" w:cs="Times New Roman"/>
                <w:color w:val="auto"/>
                <w:sz w:val="24"/>
                <w:szCs w:val="24"/>
                <w:highlight w:val="none"/>
              </w:rPr>
              <w:t>平均浓度为32μg/m</w:t>
            </w:r>
            <w:r>
              <w:rPr>
                <w:rFonts w:hint="eastAsia" w:cs="Times New Roman"/>
                <w:color w:val="auto"/>
                <w:sz w:val="24"/>
                <w:szCs w:val="24"/>
                <w:highlight w:val="none"/>
                <w:vertAlign w:val="superscript"/>
              </w:rPr>
              <w:t>3</w:t>
            </w:r>
            <w:r>
              <w:rPr>
                <w:rFonts w:hint="eastAsia" w:cs="Times New Roman"/>
                <w:color w:val="auto"/>
                <w:sz w:val="24"/>
                <w:szCs w:val="24"/>
                <w:highlight w:val="none"/>
              </w:rPr>
              <w:t>，PM</w:t>
            </w:r>
            <w:r>
              <w:rPr>
                <w:rFonts w:hint="eastAsia" w:cs="Times New Roman"/>
                <w:color w:val="auto"/>
                <w:sz w:val="24"/>
                <w:szCs w:val="24"/>
                <w:highlight w:val="none"/>
                <w:vertAlign w:val="subscript"/>
              </w:rPr>
              <w:t>10</w:t>
            </w:r>
            <w:r>
              <w:rPr>
                <w:rFonts w:hint="eastAsia" w:cs="Times New Roman"/>
                <w:color w:val="auto"/>
                <w:sz w:val="24"/>
                <w:szCs w:val="24"/>
                <w:highlight w:val="none"/>
              </w:rPr>
              <w:t>平均浓度为55μg/m</w:t>
            </w:r>
            <w:r>
              <w:rPr>
                <w:rFonts w:hint="eastAsia" w:cs="Times New Roman"/>
                <w:color w:val="auto"/>
                <w:sz w:val="24"/>
                <w:szCs w:val="24"/>
                <w:highlight w:val="none"/>
                <w:vertAlign w:val="superscript"/>
              </w:rPr>
              <w:t>3</w:t>
            </w:r>
            <w:r>
              <w:rPr>
                <w:rFonts w:hint="eastAsia" w:cs="Times New Roman"/>
                <w:color w:val="auto"/>
                <w:sz w:val="24"/>
                <w:szCs w:val="24"/>
                <w:highlight w:val="none"/>
              </w:rPr>
              <w:t>。</w:t>
            </w:r>
          </w:p>
          <w:p>
            <w:pPr>
              <w:spacing w:line="360" w:lineRule="auto"/>
              <w:jc w:val="center"/>
              <w:rPr>
                <w:rFonts w:hint="eastAsia" w:cs="Times New Roman"/>
                <w:b/>
                <w:bCs/>
                <w:color w:val="auto"/>
                <w:sz w:val="24"/>
                <w:szCs w:val="24"/>
                <w:highlight w:val="none"/>
              </w:rPr>
            </w:pPr>
            <w:r>
              <w:rPr>
                <w:rFonts w:hint="eastAsia" w:cs="Times New Roman"/>
                <w:b/>
                <w:bCs/>
                <w:color w:val="auto"/>
                <w:sz w:val="24"/>
                <w:szCs w:val="24"/>
                <w:highlight w:val="none"/>
              </w:rPr>
              <w:t>表3-1  区域空气质量现状评价表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1834"/>
              <w:gridCol w:w="1168"/>
              <w:gridCol w:w="1417"/>
              <w:gridCol w:w="1481"/>
              <w:gridCol w:w="13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77" w:type="pct"/>
                  <w:tcBorders>
                    <w:tl2br w:val="nil"/>
                    <w:tr2bl w:val="nil"/>
                  </w:tcBorders>
                  <w:noWrap w:val="0"/>
                  <w:vAlign w:val="center"/>
                </w:tcPr>
                <w:p>
                  <w:pPr>
                    <w:pStyle w:val="99"/>
                    <w:spacing w:line="240" w:lineRule="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污染物</w:t>
                  </w:r>
                </w:p>
              </w:tc>
              <w:tc>
                <w:tcPr>
                  <w:tcW w:w="1088" w:type="pct"/>
                  <w:tcBorders>
                    <w:tl2br w:val="nil"/>
                    <w:tr2bl w:val="nil"/>
                  </w:tcBorders>
                  <w:noWrap w:val="0"/>
                  <w:vAlign w:val="center"/>
                </w:tcPr>
                <w:p>
                  <w:pPr>
                    <w:pStyle w:val="99"/>
                    <w:spacing w:line="240" w:lineRule="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年评价指标</w:t>
                  </w:r>
                </w:p>
              </w:tc>
              <w:tc>
                <w:tcPr>
                  <w:tcW w:w="693" w:type="pct"/>
                  <w:tcBorders>
                    <w:tl2br w:val="nil"/>
                    <w:tr2bl w:val="nil"/>
                  </w:tcBorders>
                  <w:noWrap w:val="0"/>
                  <w:vAlign w:val="center"/>
                </w:tcPr>
                <w:p>
                  <w:pPr>
                    <w:widowControl/>
                    <w:spacing w:line="240" w:lineRule="auto"/>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kern w:val="0"/>
                      <w:sz w:val="21"/>
                      <w:szCs w:val="21"/>
                    </w:rPr>
                    <w:t>现状浓度（μg/m</w:t>
                  </w:r>
                  <w:r>
                    <w:rPr>
                      <w:rFonts w:hint="default" w:ascii="Times New Roman" w:hAnsi="Times New Roman" w:cs="Times New Roman"/>
                      <w:b/>
                      <w:bCs/>
                      <w:color w:val="auto"/>
                      <w:kern w:val="0"/>
                      <w:sz w:val="21"/>
                      <w:szCs w:val="21"/>
                      <w:vertAlign w:val="superscript"/>
                    </w:rPr>
                    <w:t>3</w:t>
                  </w:r>
                  <w:r>
                    <w:rPr>
                      <w:rFonts w:hint="default" w:ascii="Times New Roman" w:hAnsi="Times New Roman" w:cs="Times New Roman"/>
                      <w:b/>
                      <w:bCs/>
                      <w:color w:val="auto"/>
                      <w:kern w:val="0"/>
                      <w:sz w:val="21"/>
                      <w:szCs w:val="21"/>
                    </w:rPr>
                    <w:t>）</w:t>
                  </w:r>
                </w:p>
              </w:tc>
              <w:tc>
                <w:tcPr>
                  <w:tcW w:w="841"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kern w:val="0"/>
                      <w:sz w:val="21"/>
                      <w:szCs w:val="21"/>
                    </w:rPr>
                    <w:t>标准值（μg/m</w:t>
                  </w:r>
                  <w:r>
                    <w:rPr>
                      <w:rFonts w:hint="default" w:ascii="Times New Roman" w:hAnsi="Times New Roman" w:cs="Times New Roman"/>
                      <w:b/>
                      <w:bCs/>
                      <w:color w:val="auto"/>
                      <w:kern w:val="0"/>
                      <w:sz w:val="21"/>
                      <w:szCs w:val="21"/>
                      <w:vertAlign w:val="superscript"/>
                    </w:rPr>
                    <w:t>3</w:t>
                  </w:r>
                  <w:r>
                    <w:rPr>
                      <w:rFonts w:hint="default" w:ascii="Times New Roman" w:hAnsi="Times New Roman" w:cs="Times New Roman"/>
                      <w:b/>
                      <w:bCs/>
                      <w:color w:val="auto"/>
                      <w:kern w:val="0"/>
                      <w:sz w:val="21"/>
                      <w:szCs w:val="21"/>
                    </w:rPr>
                    <w:t>）</w:t>
                  </w:r>
                </w:p>
              </w:tc>
              <w:tc>
                <w:tcPr>
                  <w:tcW w:w="879" w:type="pct"/>
                  <w:tcBorders>
                    <w:tl2br w:val="nil"/>
                    <w:tr2bl w:val="nil"/>
                  </w:tcBorders>
                  <w:noWrap w:val="0"/>
                  <w:vAlign w:val="center"/>
                </w:tcPr>
                <w:p>
                  <w:pPr>
                    <w:pStyle w:val="99"/>
                    <w:spacing w:line="240" w:lineRule="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占标率（%）</w:t>
                  </w:r>
                </w:p>
              </w:tc>
              <w:tc>
                <w:tcPr>
                  <w:tcW w:w="820" w:type="pct"/>
                  <w:tcBorders>
                    <w:tl2br w:val="nil"/>
                    <w:tr2bl w:val="nil"/>
                  </w:tcBorders>
                  <w:noWrap w:val="0"/>
                  <w:vAlign w:val="center"/>
                </w:tcPr>
                <w:p>
                  <w:pPr>
                    <w:pStyle w:val="99"/>
                    <w:spacing w:line="240" w:lineRule="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7" w:type="pct"/>
                  <w:tcBorders>
                    <w:tl2br w:val="nil"/>
                    <w:tr2bl w:val="nil"/>
                  </w:tcBorders>
                  <w:noWrap w:val="0"/>
                  <w:vAlign w:val="center"/>
                </w:tcPr>
                <w:p>
                  <w:pPr>
                    <w:widowControl/>
                    <w:spacing w:line="240" w:lineRule="auto"/>
                    <w:jc w:val="center"/>
                    <w:textAlignment w:val="center"/>
                    <w:rPr>
                      <w:rFonts w:hint="default" w:eastAsia="宋体"/>
                      <w:color w:val="auto"/>
                      <w:sz w:val="21"/>
                      <w:szCs w:val="21"/>
                      <w:lang w:val="en-US" w:eastAsia="zh-CN"/>
                    </w:rPr>
                  </w:pPr>
                  <w:r>
                    <w:rPr>
                      <w:color w:val="auto"/>
                      <w:kern w:val="0"/>
                      <w:sz w:val="21"/>
                      <w:szCs w:val="21"/>
                    </w:rPr>
                    <w:t>PM</w:t>
                  </w:r>
                  <w:r>
                    <w:rPr>
                      <w:color w:val="auto"/>
                      <w:kern w:val="0"/>
                      <w:sz w:val="21"/>
                      <w:szCs w:val="21"/>
                      <w:vertAlign w:val="subscript"/>
                    </w:rPr>
                    <w:t>10</w:t>
                  </w:r>
                </w:p>
              </w:tc>
              <w:tc>
                <w:tcPr>
                  <w:tcW w:w="1088" w:type="pct"/>
                  <w:tcBorders>
                    <w:tl2br w:val="nil"/>
                    <w:tr2bl w:val="nil"/>
                  </w:tcBorders>
                  <w:noWrap w:val="0"/>
                  <w:vAlign w:val="center"/>
                </w:tcPr>
                <w:p>
                  <w:pPr>
                    <w:pStyle w:val="99"/>
                    <w:spacing w:line="240" w:lineRule="auto"/>
                    <w:rPr>
                      <w:rFonts w:hint="default" w:eastAsia="宋体"/>
                      <w:color w:val="auto"/>
                      <w:sz w:val="21"/>
                      <w:szCs w:val="21"/>
                      <w:lang w:val="en-US" w:eastAsia="zh-CN"/>
                    </w:rPr>
                  </w:pPr>
                  <w:r>
                    <w:rPr>
                      <w:rFonts w:cs="Times New Roman"/>
                      <w:color w:val="auto"/>
                      <w:sz w:val="21"/>
                      <w:szCs w:val="21"/>
                    </w:rPr>
                    <w:t>年</w:t>
                  </w:r>
                  <w:r>
                    <w:rPr>
                      <w:rFonts w:hint="eastAsia" w:cs="Times New Roman"/>
                      <w:color w:val="auto"/>
                      <w:sz w:val="21"/>
                      <w:szCs w:val="21"/>
                      <w:lang w:val="en-US" w:eastAsia="zh-CN"/>
                    </w:rPr>
                    <w:t>平均</w:t>
                  </w:r>
                </w:p>
              </w:tc>
              <w:tc>
                <w:tcPr>
                  <w:tcW w:w="693" w:type="pct"/>
                  <w:tcBorders>
                    <w:tl2br w:val="nil"/>
                    <w:tr2bl w:val="nil"/>
                  </w:tcBorders>
                  <w:noWrap w:val="0"/>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55</w:t>
                  </w:r>
                </w:p>
              </w:tc>
              <w:tc>
                <w:tcPr>
                  <w:tcW w:w="841" w:type="pct"/>
                  <w:tcBorders>
                    <w:tl2br w:val="nil"/>
                    <w:tr2bl w:val="nil"/>
                  </w:tcBorders>
                  <w:noWrap w:val="0"/>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70</w:t>
                  </w:r>
                </w:p>
              </w:tc>
              <w:tc>
                <w:tcPr>
                  <w:tcW w:w="879" w:type="pct"/>
                  <w:tcBorders>
                    <w:tl2br w:val="nil"/>
                    <w:tr2bl w:val="nil"/>
                  </w:tcBorders>
                  <w:noWrap w:val="0"/>
                  <w:vAlign w:val="center"/>
                </w:tcPr>
                <w:p>
                  <w:pPr>
                    <w:spacing w:line="240" w:lineRule="auto"/>
                    <w:jc w:val="center"/>
                    <w:rPr>
                      <w:rFonts w:hint="default" w:eastAsia="宋体"/>
                      <w:bCs/>
                      <w:color w:val="auto"/>
                      <w:sz w:val="21"/>
                      <w:szCs w:val="21"/>
                      <w:lang w:val="en-US" w:eastAsia="zh-CN"/>
                    </w:rPr>
                  </w:pPr>
                  <w:r>
                    <w:rPr>
                      <w:rFonts w:hint="eastAsia"/>
                      <w:bCs/>
                      <w:color w:val="auto"/>
                      <w:sz w:val="21"/>
                      <w:szCs w:val="21"/>
                      <w:lang w:val="en-US" w:eastAsia="zh-CN"/>
                    </w:rPr>
                    <w:t>78.57</w:t>
                  </w:r>
                </w:p>
              </w:tc>
              <w:tc>
                <w:tcPr>
                  <w:tcW w:w="820" w:type="pct"/>
                  <w:tcBorders>
                    <w:tl2br w:val="nil"/>
                    <w:tr2bl w:val="nil"/>
                  </w:tcBorders>
                  <w:noWrap w:val="0"/>
                  <w:vAlign w:val="center"/>
                </w:tcPr>
                <w:p>
                  <w:pPr>
                    <w:spacing w:line="240" w:lineRule="auto"/>
                    <w:jc w:val="center"/>
                    <w:rPr>
                      <w:rFonts w:hint="eastAsia"/>
                      <w:bCs/>
                      <w:color w:val="auto"/>
                      <w:sz w:val="21"/>
                      <w:szCs w:val="21"/>
                      <w:lang w:val="en-US" w:eastAsia="zh-CN"/>
                    </w:rPr>
                  </w:pPr>
                  <w:r>
                    <w:rPr>
                      <w:rFonts w:hint="eastAsia"/>
                      <w:bCs/>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tcBorders>
                    <w:tl2br w:val="nil"/>
                    <w:tr2bl w:val="nil"/>
                  </w:tcBorders>
                  <w:noWrap w:val="0"/>
                  <w:vAlign w:val="center"/>
                </w:tcPr>
                <w:p>
                  <w:pPr>
                    <w:widowControl/>
                    <w:spacing w:line="240" w:lineRule="auto"/>
                    <w:jc w:val="center"/>
                    <w:textAlignment w:val="center"/>
                    <w:rPr>
                      <w:rFonts w:hint="eastAsia" w:eastAsia="宋体"/>
                      <w:color w:val="auto"/>
                      <w:sz w:val="21"/>
                      <w:szCs w:val="21"/>
                      <w:lang w:val="en-US" w:eastAsia="zh-CN"/>
                    </w:rPr>
                  </w:pPr>
                  <w:r>
                    <w:rPr>
                      <w:color w:val="auto"/>
                      <w:kern w:val="0"/>
                      <w:sz w:val="21"/>
                      <w:szCs w:val="21"/>
                    </w:rPr>
                    <w:t>SO</w:t>
                  </w:r>
                  <w:r>
                    <w:rPr>
                      <w:color w:val="auto"/>
                      <w:kern w:val="0"/>
                      <w:sz w:val="21"/>
                      <w:szCs w:val="21"/>
                      <w:vertAlign w:val="subscript"/>
                    </w:rPr>
                    <w:t>2</w:t>
                  </w:r>
                </w:p>
              </w:tc>
              <w:tc>
                <w:tcPr>
                  <w:tcW w:w="1088" w:type="pct"/>
                  <w:tcBorders>
                    <w:tl2br w:val="nil"/>
                    <w:tr2bl w:val="nil"/>
                  </w:tcBorders>
                  <w:noWrap w:val="0"/>
                  <w:vAlign w:val="center"/>
                </w:tcPr>
                <w:p>
                  <w:pPr>
                    <w:spacing w:line="240" w:lineRule="auto"/>
                    <w:jc w:val="center"/>
                    <w:rPr>
                      <w:rFonts w:hint="eastAsia" w:eastAsia="宋体"/>
                      <w:color w:val="auto"/>
                      <w:sz w:val="21"/>
                      <w:szCs w:val="21"/>
                      <w:lang w:val="en-US" w:eastAsia="zh-CN"/>
                    </w:rPr>
                  </w:pPr>
                  <w:r>
                    <w:rPr>
                      <w:rFonts w:cs="Times New Roman"/>
                      <w:color w:val="auto"/>
                      <w:sz w:val="21"/>
                      <w:szCs w:val="21"/>
                    </w:rPr>
                    <w:t>年</w:t>
                  </w:r>
                  <w:r>
                    <w:rPr>
                      <w:rFonts w:hint="eastAsia" w:cs="Times New Roman"/>
                      <w:color w:val="auto"/>
                      <w:sz w:val="21"/>
                      <w:szCs w:val="21"/>
                      <w:lang w:val="en-US" w:eastAsia="zh-CN"/>
                    </w:rPr>
                    <w:t>平均</w:t>
                  </w:r>
                </w:p>
              </w:tc>
              <w:tc>
                <w:tcPr>
                  <w:tcW w:w="693" w:type="pct"/>
                  <w:tcBorders>
                    <w:tl2br w:val="nil"/>
                    <w:tr2bl w:val="nil"/>
                  </w:tcBorders>
                  <w:noWrap w:val="0"/>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7</w:t>
                  </w:r>
                </w:p>
              </w:tc>
              <w:tc>
                <w:tcPr>
                  <w:tcW w:w="841" w:type="pct"/>
                  <w:tcBorders>
                    <w:tl2br w:val="nil"/>
                    <w:tr2bl w:val="nil"/>
                  </w:tcBorders>
                  <w:noWrap w:val="0"/>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60</w:t>
                  </w:r>
                </w:p>
              </w:tc>
              <w:tc>
                <w:tcPr>
                  <w:tcW w:w="879" w:type="pct"/>
                  <w:tcBorders>
                    <w:tl2br w:val="nil"/>
                    <w:tr2bl w:val="nil"/>
                  </w:tcBorders>
                  <w:noWrap w:val="0"/>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11.67</w:t>
                  </w:r>
                </w:p>
              </w:tc>
              <w:tc>
                <w:tcPr>
                  <w:tcW w:w="820" w:type="pct"/>
                  <w:tcBorders>
                    <w:tl2br w:val="nil"/>
                    <w:tr2bl w:val="nil"/>
                  </w:tcBorders>
                  <w:noWrap w:val="0"/>
                  <w:vAlign w:val="center"/>
                </w:tcPr>
                <w:p>
                  <w:pPr>
                    <w:spacing w:line="240" w:lineRule="auto"/>
                    <w:jc w:val="center"/>
                    <w:rPr>
                      <w:rFonts w:hint="default"/>
                      <w:color w:val="auto"/>
                      <w:sz w:val="21"/>
                      <w:szCs w:val="21"/>
                      <w:lang w:val="en-US" w:eastAsia="zh-CN"/>
                    </w:rPr>
                  </w:pPr>
                  <w:r>
                    <w:rPr>
                      <w:rFonts w:hint="eastAsia"/>
                      <w:bCs/>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tcBorders>
                    <w:tl2br w:val="nil"/>
                    <w:tr2bl w:val="nil"/>
                  </w:tcBorders>
                  <w:noWrap w:val="0"/>
                  <w:vAlign w:val="center"/>
                </w:tcPr>
                <w:p>
                  <w:pPr>
                    <w:widowControl/>
                    <w:spacing w:line="240" w:lineRule="auto"/>
                    <w:jc w:val="center"/>
                    <w:textAlignment w:val="center"/>
                    <w:rPr>
                      <w:rFonts w:hint="eastAsia" w:eastAsia="宋体"/>
                      <w:color w:val="auto"/>
                      <w:sz w:val="21"/>
                      <w:szCs w:val="21"/>
                      <w:lang w:val="en-US" w:eastAsia="zh-CN"/>
                    </w:rPr>
                  </w:pPr>
                  <w:r>
                    <w:rPr>
                      <w:color w:val="auto"/>
                      <w:kern w:val="0"/>
                      <w:sz w:val="21"/>
                      <w:szCs w:val="21"/>
                    </w:rPr>
                    <w:t>NO</w:t>
                  </w:r>
                  <w:r>
                    <w:rPr>
                      <w:color w:val="auto"/>
                      <w:kern w:val="0"/>
                      <w:sz w:val="21"/>
                      <w:szCs w:val="21"/>
                      <w:vertAlign w:val="subscript"/>
                    </w:rPr>
                    <w:t>2</w:t>
                  </w:r>
                </w:p>
              </w:tc>
              <w:tc>
                <w:tcPr>
                  <w:tcW w:w="1088" w:type="pct"/>
                  <w:tcBorders>
                    <w:tl2br w:val="nil"/>
                    <w:tr2bl w:val="nil"/>
                  </w:tcBorders>
                  <w:noWrap w:val="0"/>
                  <w:vAlign w:val="center"/>
                </w:tcPr>
                <w:p>
                  <w:pPr>
                    <w:spacing w:line="240" w:lineRule="auto"/>
                    <w:jc w:val="center"/>
                    <w:rPr>
                      <w:rFonts w:hint="default" w:eastAsia="宋体"/>
                      <w:color w:val="auto"/>
                      <w:sz w:val="21"/>
                      <w:szCs w:val="21"/>
                      <w:lang w:val="en-US" w:eastAsia="zh-CN"/>
                    </w:rPr>
                  </w:pPr>
                  <w:r>
                    <w:rPr>
                      <w:rFonts w:cs="Times New Roman"/>
                      <w:color w:val="auto"/>
                      <w:sz w:val="21"/>
                      <w:szCs w:val="21"/>
                    </w:rPr>
                    <w:t>年</w:t>
                  </w:r>
                  <w:r>
                    <w:rPr>
                      <w:rFonts w:hint="eastAsia" w:cs="Times New Roman"/>
                      <w:color w:val="auto"/>
                      <w:sz w:val="21"/>
                      <w:szCs w:val="21"/>
                      <w:lang w:val="en-US" w:eastAsia="zh-CN"/>
                    </w:rPr>
                    <w:t>平均</w:t>
                  </w:r>
                </w:p>
              </w:tc>
              <w:tc>
                <w:tcPr>
                  <w:tcW w:w="693" w:type="pct"/>
                  <w:tcBorders>
                    <w:tl2br w:val="nil"/>
                    <w:tr2bl w:val="nil"/>
                  </w:tcBorders>
                  <w:noWrap w:val="0"/>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20</w:t>
                  </w:r>
                </w:p>
              </w:tc>
              <w:tc>
                <w:tcPr>
                  <w:tcW w:w="841" w:type="pct"/>
                  <w:tcBorders>
                    <w:tl2br w:val="nil"/>
                    <w:tr2bl w:val="nil"/>
                  </w:tcBorders>
                  <w:noWrap w:val="0"/>
                  <w:vAlign w:val="center"/>
                </w:tcPr>
                <w:p>
                  <w:pPr>
                    <w:spacing w:line="240" w:lineRule="auto"/>
                    <w:jc w:val="center"/>
                    <w:rPr>
                      <w:rFonts w:hint="default"/>
                      <w:color w:val="auto"/>
                      <w:sz w:val="21"/>
                      <w:szCs w:val="21"/>
                      <w:lang w:val="en-US"/>
                    </w:rPr>
                  </w:pPr>
                  <w:r>
                    <w:rPr>
                      <w:rFonts w:hint="eastAsia"/>
                      <w:color w:val="auto"/>
                      <w:sz w:val="21"/>
                      <w:szCs w:val="21"/>
                      <w:lang w:val="en-US" w:eastAsia="zh-CN"/>
                    </w:rPr>
                    <w:t>40</w:t>
                  </w:r>
                </w:p>
              </w:tc>
              <w:tc>
                <w:tcPr>
                  <w:tcW w:w="879" w:type="pct"/>
                  <w:tcBorders>
                    <w:tl2br w:val="nil"/>
                    <w:tr2bl w:val="nil"/>
                  </w:tcBorders>
                  <w:noWrap w:val="0"/>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50</w:t>
                  </w:r>
                </w:p>
              </w:tc>
              <w:tc>
                <w:tcPr>
                  <w:tcW w:w="820" w:type="pct"/>
                  <w:tcBorders>
                    <w:tl2br w:val="nil"/>
                    <w:tr2bl w:val="nil"/>
                  </w:tcBorders>
                  <w:noWrap w:val="0"/>
                  <w:vAlign w:val="center"/>
                </w:tcPr>
                <w:p>
                  <w:pPr>
                    <w:spacing w:line="240" w:lineRule="auto"/>
                    <w:jc w:val="center"/>
                    <w:rPr>
                      <w:rFonts w:hint="default" w:eastAsia="宋体"/>
                      <w:color w:val="auto"/>
                      <w:sz w:val="21"/>
                      <w:szCs w:val="21"/>
                      <w:lang w:val="en-US" w:eastAsia="zh-CN"/>
                    </w:rPr>
                  </w:pPr>
                  <w:r>
                    <w:rPr>
                      <w:rFonts w:hint="eastAsia"/>
                      <w:bCs/>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tcBorders>
                    <w:tl2br w:val="nil"/>
                    <w:tr2bl w:val="nil"/>
                  </w:tcBorders>
                  <w:noWrap w:val="0"/>
                  <w:vAlign w:val="center"/>
                </w:tcPr>
                <w:p>
                  <w:pPr>
                    <w:widowControl/>
                    <w:spacing w:line="240" w:lineRule="auto"/>
                    <w:jc w:val="center"/>
                    <w:textAlignment w:val="center"/>
                    <w:rPr>
                      <w:rFonts w:hint="eastAsia" w:eastAsia="宋体"/>
                      <w:color w:val="auto"/>
                      <w:sz w:val="21"/>
                      <w:szCs w:val="21"/>
                      <w:lang w:val="en-US" w:eastAsia="zh-CN"/>
                    </w:rPr>
                  </w:pPr>
                  <w:r>
                    <w:rPr>
                      <w:color w:val="auto"/>
                      <w:kern w:val="0"/>
                      <w:sz w:val="21"/>
                      <w:szCs w:val="21"/>
                    </w:rPr>
                    <w:t>PM</w:t>
                  </w:r>
                  <w:r>
                    <w:rPr>
                      <w:color w:val="auto"/>
                      <w:kern w:val="0"/>
                      <w:sz w:val="21"/>
                      <w:szCs w:val="21"/>
                      <w:vertAlign w:val="subscript"/>
                    </w:rPr>
                    <w:t>2.5</w:t>
                  </w:r>
                </w:p>
              </w:tc>
              <w:tc>
                <w:tcPr>
                  <w:tcW w:w="1088" w:type="pct"/>
                  <w:tcBorders>
                    <w:tl2br w:val="nil"/>
                    <w:tr2bl w:val="nil"/>
                  </w:tcBorders>
                  <w:noWrap w:val="0"/>
                  <w:vAlign w:val="center"/>
                </w:tcPr>
                <w:p>
                  <w:pPr>
                    <w:spacing w:line="240" w:lineRule="auto"/>
                    <w:jc w:val="center"/>
                    <w:rPr>
                      <w:rFonts w:hint="default" w:eastAsia="宋体"/>
                      <w:color w:val="auto"/>
                      <w:sz w:val="21"/>
                      <w:szCs w:val="21"/>
                      <w:lang w:val="en-US" w:eastAsia="zh-CN"/>
                    </w:rPr>
                  </w:pPr>
                  <w:r>
                    <w:rPr>
                      <w:rFonts w:cs="Times New Roman"/>
                      <w:color w:val="auto"/>
                      <w:sz w:val="21"/>
                      <w:szCs w:val="21"/>
                    </w:rPr>
                    <w:t>年</w:t>
                  </w:r>
                  <w:r>
                    <w:rPr>
                      <w:rFonts w:hint="eastAsia" w:cs="Times New Roman"/>
                      <w:color w:val="auto"/>
                      <w:sz w:val="21"/>
                      <w:szCs w:val="21"/>
                      <w:lang w:val="en-US" w:eastAsia="zh-CN"/>
                    </w:rPr>
                    <w:t>平均</w:t>
                  </w:r>
                </w:p>
              </w:tc>
              <w:tc>
                <w:tcPr>
                  <w:tcW w:w="693" w:type="pct"/>
                  <w:tcBorders>
                    <w:tl2br w:val="nil"/>
                    <w:tr2bl w:val="nil"/>
                  </w:tcBorders>
                  <w:noWrap w:val="0"/>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32</w:t>
                  </w:r>
                </w:p>
              </w:tc>
              <w:tc>
                <w:tcPr>
                  <w:tcW w:w="841" w:type="pct"/>
                  <w:tcBorders>
                    <w:tl2br w:val="nil"/>
                    <w:tr2bl w:val="nil"/>
                  </w:tcBorders>
                  <w:noWrap w:val="0"/>
                  <w:vAlign w:val="center"/>
                </w:tcPr>
                <w:p>
                  <w:pPr>
                    <w:spacing w:line="240" w:lineRule="auto"/>
                    <w:jc w:val="center"/>
                    <w:rPr>
                      <w:rFonts w:hint="default"/>
                      <w:color w:val="auto"/>
                      <w:sz w:val="21"/>
                      <w:szCs w:val="21"/>
                      <w:lang w:val="en-US"/>
                    </w:rPr>
                  </w:pPr>
                  <w:r>
                    <w:rPr>
                      <w:rFonts w:hint="eastAsia"/>
                      <w:color w:val="auto"/>
                      <w:sz w:val="21"/>
                      <w:szCs w:val="21"/>
                      <w:lang w:val="en-US" w:eastAsia="zh-CN"/>
                    </w:rPr>
                    <w:t>35</w:t>
                  </w:r>
                </w:p>
              </w:tc>
              <w:tc>
                <w:tcPr>
                  <w:tcW w:w="879" w:type="pct"/>
                  <w:tcBorders>
                    <w:tl2br w:val="nil"/>
                    <w:tr2bl w:val="nil"/>
                  </w:tcBorders>
                  <w:noWrap w:val="0"/>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91.43</w:t>
                  </w:r>
                </w:p>
              </w:tc>
              <w:tc>
                <w:tcPr>
                  <w:tcW w:w="820" w:type="pct"/>
                  <w:tcBorders>
                    <w:tl2br w:val="nil"/>
                    <w:tr2bl w:val="nil"/>
                  </w:tcBorders>
                  <w:noWrap w:val="0"/>
                  <w:vAlign w:val="center"/>
                </w:tcPr>
                <w:p>
                  <w:pPr>
                    <w:spacing w:line="240" w:lineRule="auto"/>
                    <w:jc w:val="center"/>
                    <w:rPr>
                      <w:rFonts w:hint="default" w:eastAsia="宋体"/>
                      <w:color w:val="auto"/>
                      <w:sz w:val="21"/>
                      <w:szCs w:val="21"/>
                      <w:lang w:val="en-US" w:eastAsia="zh-CN"/>
                    </w:rPr>
                  </w:pPr>
                  <w:r>
                    <w:rPr>
                      <w:rFonts w:hint="eastAsia"/>
                      <w:bCs/>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tcBorders>
                    <w:tl2br w:val="nil"/>
                    <w:tr2bl w:val="nil"/>
                  </w:tcBorders>
                  <w:noWrap w:val="0"/>
                  <w:vAlign w:val="center"/>
                </w:tcPr>
                <w:p>
                  <w:pPr>
                    <w:widowControl/>
                    <w:spacing w:line="240" w:lineRule="auto"/>
                    <w:jc w:val="center"/>
                    <w:textAlignment w:val="center"/>
                    <w:rPr>
                      <w:rFonts w:hint="eastAsia" w:eastAsia="宋体"/>
                      <w:color w:val="auto"/>
                      <w:sz w:val="21"/>
                      <w:szCs w:val="21"/>
                      <w:lang w:val="en-US" w:eastAsia="zh-CN"/>
                    </w:rPr>
                  </w:pPr>
                  <w:r>
                    <w:rPr>
                      <w:color w:val="auto"/>
                      <w:kern w:val="0"/>
                      <w:sz w:val="21"/>
                      <w:szCs w:val="21"/>
                    </w:rPr>
                    <w:t>O</w:t>
                  </w:r>
                  <w:r>
                    <w:rPr>
                      <w:color w:val="auto"/>
                      <w:kern w:val="0"/>
                      <w:sz w:val="21"/>
                      <w:szCs w:val="21"/>
                      <w:vertAlign w:val="subscript"/>
                    </w:rPr>
                    <w:t>3</w:t>
                  </w:r>
                </w:p>
              </w:tc>
              <w:tc>
                <w:tcPr>
                  <w:tcW w:w="1088" w:type="pct"/>
                  <w:tcBorders>
                    <w:tl2br w:val="nil"/>
                    <w:tr2bl w:val="nil"/>
                  </w:tcBorders>
                  <w:noWrap w:val="0"/>
                  <w:vAlign w:val="center"/>
                </w:tcPr>
                <w:p>
                  <w:pPr>
                    <w:pStyle w:val="99"/>
                    <w:spacing w:line="240" w:lineRule="auto"/>
                    <w:rPr>
                      <w:rFonts w:hint="eastAsia" w:eastAsia="宋体"/>
                      <w:color w:val="auto"/>
                      <w:sz w:val="21"/>
                      <w:szCs w:val="21"/>
                      <w:lang w:val="en-US" w:eastAsia="zh-CN"/>
                    </w:rPr>
                  </w:pPr>
                  <w:r>
                    <w:rPr>
                      <w:rFonts w:cs="Times New Roman"/>
                      <w:color w:val="auto"/>
                      <w:sz w:val="21"/>
                      <w:szCs w:val="21"/>
                    </w:rPr>
                    <w:t>日最大8h平均</w:t>
                  </w:r>
                </w:p>
              </w:tc>
              <w:tc>
                <w:tcPr>
                  <w:tcW w:w="693" w:type="pct"/>
                  <w:tcBorders>
                    <w:tl2br w:val="nil"/>
                    <w:tr2bl w:val="nil"/>
                  </w:tcBorders>
                  <w:noWrap w:val="0"/>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119</w:t>
                  </w:r>
                </w:p>
              </w:tc>
              <w:tc>
                <w:tcPr>
                  <w:tcW w:w="841" w:type="pct"/>
                  <w:tcBorders>
                    <w:tl2br w:val="nil"/>
                    <w:tr2bl w:val="nil"/>
                  </w:tcBorders>
                  <w:noWrap w:val="0"/>
                  <w:vAlign w:val="center"/>
                </w:tcPr>
                <w:p>
                  <w:pPr>
                    <w:spacing w:line="240" w:lineRule="auto"/>
                    <w:jc w:val="center"/>
                    <w:rPr>
                      <w:rFonts w:hint="default"/>
                      <w:color w:val="auto"/>
                      <w:sz w:val="21"/>
                      <w:szCs w:val="21"/>
                      <w:lang w:val="en-US"/>
                    </w:rPr>
                  </w:pPr>
                  <w:r>
                    <w:rPr>
                      <w:rFonts w:hint="eastAsia"/>
                      <w:color w:val="auto"/>
                      <w:sz w:val="21"/>
                      <w:szCs w:val="21"/>
                      <w:lang w:val="en-US" w:eastAsia="zh-CN"/>
                    </w:rPr>
                    <w:t>160</w:t>
                  </w:r>
                </w:p>
              </w:tc>
              <w:tc>
                <w:tcPr>
                  <w:tcW w:w="879" w:type="pct"/>
                  <w:tcBorders>
                    <w:tl2br w:val="nil"/>
                    <w:tr2bl w:val="nil"/>
                  </w:tcBorders>
                  <w:noWrap w:val="0"/>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74.38</w:t>
                  </w:r>
                </w:p>
              </w:tc>
              <w:tc>
                <w:tcPr>
                  <w:tcW w:w="820" w:type="pct"/>
                  <w:tcBorders>
                    <w:tl2br w:val="nil"/>
                    <w:tr2bl w:val="nil"/>
                  </w:tcBorders>
                  <w:noWrap w:val="0"/>
                  <w:vAlign w:val="center"/>
                </w:tcPr>
                <w:p>
                  <w:pPr>
                    <w:spacing w:line="240" w:lineRule="auto"/>
                    <w:jc w:val="center"/>
                    <w:rPr>
                      <w:rFonts w:hint="default" w:eastAsia="宋体"/>
                      <w:color w:val="auto"/>
                      <w:sz w:val="21"/>
                      <w:szCs w:val="21"/>
                      <w:lang w:val="en-US" w:eastAsia="zh-CN"/>
                    </w:rPr>
                  </w:pPr>
                  <w:r>
                    <w:rPr>
                      <w:rFonts w:hint="eastAsia"/>
                      <w:bCs/>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tcBorders>
                    <w:tl2br w:val="nil"/>
                    <w:tr2bl w:val="nil"/>
                  </w:tcBorders>
                  <w:noWrap w:val="0"/>
                  <w:vAlign w:val="center"/>
                </w:tcPr>
                <w:p>
                  <w:pPr>
                    <w:widowControl/>
                    <w:spacing w:line="240" w:lineRule="auto"/>
                    <w:jc w:val="center"/>
                    <w:textAlignment w:val="center"/>
                    <w:rPr>
                      <w:rFonts w:hint="eastAsia" w:eastAsia="宋体"/>
                      <w:color w:val="auto"/>
                      <w:sz w:val="21"/>
                      <w:szCs w:val="21"/>
                      <w:lang w:val="en-US" w:eastAsia="zh-CN"/>
                    </w:rPr>
                  </w:pPr>
                  <w:r>
                    <w:rPr>
                      <w:color w:val="auto"/>
                      <w:kern w:val="0"/>
                      <w:sz w:val="21"/>
                      <w:szCs w:val="21"/>
                    </w:rPr>
                    <w:t>CO</w:t>
                  </w:r>
                </w:p>
              </w:tc>
              <w:tc>
                <w:tcPr>
                  <w:tcW w:w="1088" w:type="pct"/>
                  <w:tcBorders>
                    <w:tl2br w:val="nil"/>
                    <w:tr2bl w:val="nil"/>
                  </w:tcBorders>
                  <w:noWrap w:val="0"/>
                  <w:vAlign w:val="center"/>
                </w:tcPr>
                <w:p>
                  <w:pPr>
                    <w:pStyle w:val="99"/>
                    <w:spacing w:line="240" w:lineRule="auto"/>
                    <w:rPr>
                      <w:rFonts w:hint="eastAsia" w:eastAsia="宋体"/>
                      <w:color w:val="auto"/>
                      <w:sz w:val="21"/>
                      <w:szCs w:val="21"/>
                      <w:lang w:val="en-US" w:eastAsia="zh-CN"/>
                    </w:rPr>
                  </w:pPr>
                  <w:r>
                    <w:rPr>
                      <w:rFonts w:cs="Times New Roman"/>
                      <w:color w:val="auto"/>
                      <w:sz w:val="21"/>
                      <w:szCs w:val="21"/>
                    </w:rPr>
                    <w:t>24小时平均</w:t>
                  </w:r>
                </w:p>
              </w:tc>
              <w:tc>
                <w:tcPr>
                  <w:tcW w:w="693" w:type="pct"/>
                  <w:tcBorders>
                    <w:tl2br w:val="nil"/>
                    <w:tr2bl w:val="nil"/>
                  </w:tcBorders>
                  <w:noWrap w:val="0"/>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1.3mg/m</w:t>
                  </w:r>
                  <w:r>
                    <w:rPr>
                      <w:rFonts w:hint="eastAsia"/>
                      <w:color w:val="auto"/>
                      <w:sz w:val="21"/>
                      <w:szCs w:val="21"/>
                      <w:vertAlign w:val="superscript"/>
                      <w:lang w:val="en-US" w:eastAsia="zh-CN"/>
                    </w:rPr>
                    <w:t>3</w:t>
                  </w:r>
                </w:p>
              </w:tc>
              <w:tc>
                <w:tcPr>
                  <w:tcW w:w="841" w:type="pct"/>
                  <w:tcBorders>
                    <w:tl2br w:val="nil"/>
                    <w:tr2bl w:val="nil"/>
                  </w:tcBorders>
                  <w:noWrap w:val="0"/>
                  <w:vAlign w:val="center"/>
                </w:tcPr>
                <w:p>
                  <w:pPr>
                    <w:spacing w:line="240" w:lineRule="auto"/>
                    <w:jc w:val="center"/>
                    <w:rPr>
                      <w:rFonts w:hint="eastAsia"/>
                      <w:color w:val="auto"/>
                      <w:sz w:val="21"/>
                      <w:szCs w:val="21"/>
                    </w:rPr>
                  </w:pPr>
                  <w:r>
                    <w:rPr>
                      <w:rFonts w:hint="eastAsia"/>
                      <w:color w:val="auto"/>
                      <w:sz w:val="21"/>
                      <w:szCs w:val="21"/>
                      <w:lang w:val="en-US" w:eastAsia="zh-CN"/>
                    </w:rPr>
                    <w:t>4mg/m</w:t>
                  </w:r>
                  <w:r>
                    <w:rPr>
                      <w:rFonts w:hint="eastAsia"/>
                      <w:color w:val="auto"/>
                      <w:sz w:val="21"/>
                      <w:szCs w:val="21"/>
                      <w:vertAlign w:val="superscript"/>
                      <w:lang w:val="en-US" w:eastAsia="zh-CN"/>
                    </w:rPr>
                    <w:t>3</w:t>
                  </w:r>
                </w:p>
              </w:tc>
              <w:tc>
                <w:tcPr>
                  <w:tcW w:w="879" w:type="pct"/>
                  <w:tcBorders>
                    <w:tl2br w:val="nil"/>
                    <w:tr2bl w:val="nil"/>
                  </w:tcBorders>
                  <w:noWrap w:val="0"/>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32.5</w:t>
                  </w:r>
                </w:p>
              </w:tc>
              <w:tc>
                <w:tcPr>
                  <w:tcW w:w="820" w:type="pct"/>
                  <w:tcBorders>
                    <w:tl2br w:val="nil"/>
                    <w:tr2bl w:val="nil"/>
                  </w:tcBorders>
                  <w:noWrap w:val="0"/>
                  <w:vAlign w:val="center"/>
                </w:tcPr>
                <w:p>
                  <w:pPr>
                    <w:spacing w:line="240" w:lineRule="auto"/>
                    <w:jc w:val="center"/>
                    <w:rPr>
                      <w:rFonts w:hint="default" w:eastAsia="宋体"/>
                      <w:color w:val="auto"/>
                      <w:sz w:val="21"/>
                      <w:szCs w:val="21"/>
                      <w:lang w:val="en-US" w:eastAsia="zh-CN"/>
                    </w:rPr>
                  </w:pPr>
                  <w:r>
                    <w:rPr>
                      <w:rFonts w:hint="eastAsia"/>
                      <w:bCs/>
                      <w:color w:val="auto"/>
                      <w:sz w:val="21"/>
                      <w:szCs w:val="21"/>
                      <w:lang w:val="en-US" w:eastAsia="zh-CN"/>
                    </w:rPr>
                    <w:t>达标</w:t>
                  </w:r>
                </w:p>
              </w:tc>
            </w:tr>
          </w:tbl>
          <w:p>
            <w:pPr>
              <w:spacing w:line="360" w:lineRule="auto"/>
              <w:ind w:firstLine="480" w:firstLineChars="200"/>
              <w:rPr>
                <w:rFonts w:hint="default" w:eastAsia="宋体" w:cs="Times New Roman"/>
                <w:color w:val="auto"/>
                <w:sz w:val="24"/>
                <w:szCs w:val="24"/>
                <w:highlight w:val="none"/>
                <w:lang w:val="en-US" w:eastAsia="zh-CN"/>
              </w:rPr>
            </w:pPr>
            <w:r>
              <w:rPr>
                <w:rFonts w:hint="eastAsia" w:cs="Times New Roman"/>
                <w:color w:val="auto"/>
                <w:sz w:val="24"/>
                <w:szCs w:val="24"/>
                <w:highlight w:val="none"/>
              </w:rPr>
              <w:t>根据《环境影响评价技术导则大气环境》（HJ2.2-2018），城市环境空气质量达标情况评价指标为SO</w:t>
            </w:r>
            <w:r>
              <w:rPr>
                <w:rFonts w:hint="eastAsia" w:cs="Times New Roman"/>
                <w:color w:val="auto"/>
                <w:sz w:val="24"/>
                <w:szCs w:val="24"/>
                <w:highlight w:val="none"/>
                <w:vertAlign w:val="subscript"/>
              </w:rPr>
              <w:t>2</w:t>
            </w:r>
            <w:r>
              <w:rPr>
                <w:rFonts w:hint="eastAsia" w:cs="Times New Roman"/>
                <w:color w:val="auto"/>
                <w:sz w:val="24"/>
                <w:szCs w:val="24"/>
                <w:highlight w:val="none"/>
              </w:rPr>
              <w:t>、NO</w:t>
            </w:r>
            <w:r>
              <w:rPr>
                <w:rFonts w:hint="eastAsia" w:cs="Times New Roman"/>
                <w:color w:val="auto"/>
                <w:sz w:val="24"/>
                <w:szCs w:val="24"/>
                <w:highlight w:val="none"/>
                <w:vertAlign w:val="subscript"/>
              </w:rPr>
              <w:t>2</w:t>
            </w:r>
            <w:r>
              <w:rPr>
                <w:rFonts w:hint="eastAsia" w:cs="Times New Roman"/>
                <w:color w:val="auto"/>
                <w:sz w:val="24"/>
                <w:szCs w:val="24"/>
                <w:highlight w:val="none"/>
              </w:rPr>
              <w:t>、PM</w:t>
            </w:r>
            <w:r>
              <w:rPr>
                <w:rFonts w:hint="eastAsia" w:cs="Times New Roman"/>
                <w:color w:val="auto"/>
                <w:sz w:val="24"/>
                <w:szCs w:val="24"/>
                <w:highlight w:val="none"/>
                <w:vertAlign w:val="subscript"/>
              </w:rPr>
              <w:t>10</w:t>
            </w:r>
            <w:r>
              <w:rPr>
                <w:rFonts w:hint="eastAsia" w:cs="Times New Roman"/>
                <w:color w:val="auto"/>
                <w:sz w:val="24"/>
                <w:szCs w:val="24"/>
                <w:highlight w:val="none"/>
              </w:rPr>
              <w:t>、PM</w:t>
            </w:r>
            <w:r>
              <w:rPr>
                <w:rFonts w:hint="eastAsia" w:cs="Times New Roman"/>
                <w:color w:val="auto"/>
                <w:sz w:val="24"/>
                <w:szCs w:val="24"/>
                <w:highlight w:val="none"/>
                <w:vertAlign w:val="subscript"/>
              </w:rPr>
              <w:t>2.5</w:t>
            </w:r>
            <w:r>
              <w:rPr>
                <w:rFonts w:hint="eastAsia" w:cs="Times New Roman"/>
                <w:color w:val="auto"/>
                <w:sz w:val="24"/>
                <w:szCs w:val="24"/>
                <w:highlight w:val="none"/>
              </w:rPr>
              <w:t>、CO和O</w:t>
            </w:r>
            <w:r>
              <w:rPr>
                <w:rFonts w:hint="eastAsia" w:cs="Times New Roman"/>
                <w:color w:val="auto"/>
                <w:sz w:val="24"/>
                <w:szCs w:val="24"/>
                <w:highlight w:val="none"/>
                <w:vertAlign w:val="subscript"/>
              </w:rPr>
              <w:t>3</w:t>
            </w:r>
            <w:r>
              <w:rPr>
                <w:rFonts w:hint="eastAsia" w:cs="Times New Roman"/>
                <w:color w:val="auto"/>
                <w:sz w:val="24"/>
                <w:szCs w:val="24"/>
                <w:highlight w:val="none"/>
              </w:rPr>
              <w:t>，六项污染物全部达标即为城市环境空气质量达标，</w:t>
            </w:r>
            <w:r>
              <w:rPr>
                <w:rFonts w:hint="eastAsia" w:cs="Times New Roman"/>
                <w:color w:val="auto"/>
                <w:sz w:val="24"/>
                <w:szCs w:val="24"/>
                <w:highlight w:val="none"/>
                <w:lang w:val="en-US" w:eastAsia="zh-CN"/>
              </w:rPr>
              <w:t>根据上述描述，六项污染物全部达标，</w:t>
            </w:r>
            <w:r>
              <w:rPr>
                <w:rFonts w:hint="eastAsia" w:cs="Times New Roman"/>
                <w:color w:val="auto"/>
                <w:sz w:val="24"/>
                <w:szCs w:val="24"/>
                <w:highlight w:val="none"/>
              </w:rPr>
              <w:t>因此，本项目所在区域为达标区。</w:t>
            </w:r>
          </w:p>
          <w:p>
            <w:pPr>
              <w:spacing w:line="360" w:lineRule="auto"/>
              <w:ind w:firstLine="482" w:firstLineChars="200"/>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（2）其他污染物环境质量现状评价</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为了解</w:t>
            </w:r>
            <w:r>
              <w:rPr>
                <w:rFonts w:hint="eastAsia" w:cs="Times New Roman"/>
                <w:color w:val="auto"/>
                <w:sz w:val="24"/>
                <w:szCs w:val="24"/>
                <w:highlight w:val="none"/>
                <w:lang w:val="en-US" w:eastAsia="zh-CN"/>
              </w:rPr>
              <w:t>区域</w:t>
            </w:r>
            <w:r>
              <w:rPr>
                <w:rFonts w:hint="default" w:ascii="Times New Roman" w:hAnsi="Times New Roman" w:eastAsia="宋体" w:cs="Times New Roman"/>
                <w:color w:val="auto"/>
                <w:sz w:val="24"/>
                <w:szCs w:val="24"/>
                <w:highlight w:val="none"/>
                <w:lang w:val="en-US" w:eastAsia="zh-CN"/>
              </w:rPr>
              <w:t>大气环境质量现状，本次评价委托达州恒福环境监测服务有限公司于20</w:t>
            </w:r>
            <w:r>
              <w:rPr>
                <w:rFonts w:hint="eastAsia"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lang w:val="en-US" w:eastAsia="zh-CN"/>
              </w:rPr>
              <w:t>日~</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lang w:val="en-US" w:eastAsia="zh-CN"/>
              </w:rPr>
              <w:t>日对区域大气环境质量现状进行监测。</w:t>
            </w:r>
          </w:p>
          <w:p>
            <w:pPr>
              <w:spacing w:line="360" w:lineRule="auto"/>
              <w:ind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1）监测项目</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TSP</w:t>
            </w:r>
          </w:p>
          <w:p>
            <w:pPr>
              <w:spacing w:line="360" w:lineRule="auto"/>
              <w:ind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2）监测时间</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lang w:val="en-US" w:eastAsia="zh-CN"/>
              </w:rPr>
              <w:t>日~</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lang w:val="en-US" w:eastAsia="zh-CN"/>
              </w:rPr>
              <w:t>日</w:t>
            </w:r>
            <w:r>
              <w:rPr>
                <w:rFonts w:hint="eastAsia" w:ascii="Times New Roman" w:hAnsi="Times New Roman" w:eastAsia="宋体" w:cs="Times New Roman"/>
                <w:color w:val="auto"/>
                <w:sz w:val="24"/>
                <w:szCs w:val="24"/>
                <w:highlight w:val="none"/>
                <w:lang w:val="en-US" w:eastAsia="zh-CN"/>
              </w:rPr>
              <w:t>，共</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天。</w:t>
            </w:r>
          </w:p>
          <w:p>
            <w:pPr>
              <w:spacing w:line="360" w:lineRule="auto"/>
              <w:ind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3）监测结果</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本次大气环境质量现状监测数据见表3-</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w:t>
            </w:r>
          </w:p>
          <w:p>
            <w:pPr>
              <w:spacing w:line="360" w:lineRule="auto"/>
              <w:jc w:val="center"/>
              <w:rPr>
                <w:rFonts w:ascii="Times New Roman" w:hAnsi="Times New Roman" w:eastAsiaTheme="minorEastAsia"/>
                <w:b/>
                <w:bCs/>
                <w:color w:val="auto"/>
                <w:sz w:val="24"/>
                <w:szCs w:val="24"/>
                <w:highlight w:val="none"/>
              </w:rPr>
            </w:pPr>
          </w:p>
          <w:p>
            <w:pPr>
              <w:spacing w:line="360" w:lineRule="auto"/>
              <w:jc w:val="center"/>
              <w:rPr>
                <w:rFonts w:ascii="Times New Roman" w:hAnsi="Times New Roman" w:eastAsiaTheme="minorEastAsia"/>
                <w:b/>
                <w:bCs/>
                <w:color w:val="auto"/>
                <w:sz w:val="24"/>
                <w:szCs w:val="24"/>
                <w:highlight w:val="none"/>
              </w:rPr>
            </w:pPr>
          </w:p>
          <w:p>
            <w:pPr>
              <w:spacing w:line="360" w:lineRule="auto"/>
              <w:jc w:val="center"/>
              <w:rPr>
                <w:rFonts w:ascii="Times New Roman" w:hAnsi="Times New Roman" w:eastAsiaTheme="minorEastAsia"/>
                <w:b/>
                <w:bCs/>
                <w:color w:val="auto"/>
                <w:sz w:val="24"/>
                <w:szCs w:val="24"/>
                <w:highlight w:val="none"/>
              </w:rPr>
            </w:pPr>
          </w:p>
          <w:p>
            <w:pPr>
              <w:spacing w:line="360" w:lineRule="auto"/>
              <w:jc w:val="center"/>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表3-2监测结果</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46"/>
              <w:gridCol w:w="1072"/>
              <w:gridCol w:w="1635"/>
              <w:gridCol w:w="1635"/>
              <w:gridCol w:w="16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rPr>
                  </w:pPr>
                  <w:r>
                    <w:rPr>
                      <w:rFonts w:hint="default" w:ascii="Times New Roman" w:hAnsi="Times New Roman" w:cs="Times New Roman"/>
                      <w:b/>
                      <w:bCs/>
                      <w:color w:val="auto"/>
                      <w:sz w:val="21"/>
                      <w:szCs w:val="21"/>
                      <w:highlight w:val="none"/>
                    </w:rPr>
                    <w:t>检测点编号及位置</w:t>
                  </w:r>
                </w:p>
              </w:tc>
              <w:tc>
                <w:tcPr>
                  <w:tcW w:w="63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rPr>
                  </w:pPr>
                  <w:r>
                    <w:rPr>
                      <w:rFonts w:hint="default" w:ascii="Times New Roman" w:hAnsi="Times New Roman" w:cs="Times New Roman"/>
                      <w:b/>
                      <w:bCs/>
                      <w:color w:val="auto"/>
                      <w:sz w:val="21"/>
                      <w:szCs w:val="21"/>
                      <w:highlight w:val="none"/>
                    </w:rPr>
                    <w:t>检测因子</w:t>
                  </w:r>
                </w:p>
              </w:tc>
              <w:tc>
                <w:tcPr>
                  <w:tcW w:w="2912"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eastAsia" w:ascii="Times New Roman" w:hAnsi="Times New Roman" w:cs="Times New Roman"/>
                      <w:b/>
                      <w:bCs/>
                      <w:color w:val="auto"/>
                      <w:sz w:val="21"/>
                      <w:szCs w:val="21"/>
                      <w:highlight w:val="none"/>
                      <w:lang w:eastAsia="zh-CN"/>
                    </w:rPr>
                    <w:t>采样日期及检测</w:t>
                  </w:r>
                  <w:r>
                    <w:rPr>
                      <w:rFonts w:hint="default" w:ascii="Times New Roman" w:hAnsi="Times New Roman" w:cs="Times New Roman"/>
                      <w:b/>
                      <w:bCs/>
                      <w:color w:val="auto"/>
                      <w:sz w:val="21"/>
                      <w:szCs w:val="21"/>
                      <w:highlight w:val="none"/>
                      <w:lang w:eastAsia="zh-CN"/>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1" w:type="pct"/>
                  <w:vMerge w:val="continue"/>
                  <w:tcBorders>
                    <w:tl2br w:val="nil"/>
                    <w:tr2bl w:val="nil"/>
                  </w:tcBorders>
                  <w:noWrap w:val="0"/>
                  <w:vAlign w:val="top"/>
                </w:tcPr>
                <w:p>
                  <w:pPr>
                    <w:pStyle w:val="4"/>
                    <w:keepNext w:val="0"/>
                    <w:keepLines w:val="0"/>
                    <w:pageBreakBefore w:val="0"/>
                    <w:numPr>
                      <w:ilvl w:val="0"/>
                      <w:numId w:val="0"/>
                    </w:numPr>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val="0"/>
                      <w:bCs w:val="0"/>
                      <w:color w:val="auto"/>
                      <w:sz w:val="21"/>
                      <w:szCs w:val="21"/>
                      <w:highlight w:val="none"/>
                      <w:vertAlign w:val="baseline"/>
                    </w:rPr>
                  </w:pPr>
                </w:p>
              </w:tc>
              <w:tc>
                <w:tcPr>
                  <w:tcW w:w="63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rPr>
                  </w:pPr>
                </w:p>
              </w:tc>
              <w:tc>
                <w:tcPr>
                  <w:tcW w:w="970" w:type="pct"/>
                  <w:tcBorders>
                    <w:tl2br w:val="nil"/>
                    <w:tr2bl w:val="nil"/>
                  </w:tcBorders>
                  <w:noWrap w:val="0"/>
                  <w:vAlign w:val="center"/>
                </w:tcPr>
                <w:p>
                  <w:pPr>
                    <w:spacing w:line="240" w:lineRule="auto"/>
                    <w:jc w:val="center"/>
                    <w:rPr>
                      <w:rFonts w:hint="default" w:ascii="Times New Roman" w:hAnsi="Times New Roman" w:eastAsia="宋体" w:cs="黑体"/>
                      <w:b/>
                      <w:bCs/>
                      <w:color w:val="auto"/>
                      <w:kern w:val="2"/>
                      <w:sz w:val="21"/>
                      <w:szCs w:val="21"/>
                      <w:highlight w:val="none"/>
                      <w:lang w:val="en-US" w:eastAsia="zh-CN" w:bidi="ar-SA"/>
                    </w:rPr>
                  </w:pPr>
                  <w:r>
                    <w:rPr>
                      <w:b/>
                      <w:bCs/>
                      <w:color w:val="auto"/>
                      <w:sz w:val="21"/>
                      <w:szCs w:val="21"/>
                      <w:highlight w:val="none"/>
                    </w:rPr>
                    <w:t>202</w:t>
                  </w:r>
                  <w:r>
                    <w:rPr>
                      <w:rFonts w:hint="eastAsia"/>
                      <w:b/>
                      <w:bCs/>
                      <w:color w:val="auto"/>
                      <w:sz w:val="21"/>
                      <w:szCs w:val="21"/>
                      <w:highlight w:val="none"/>
                    </w:rPr>
                    <w:t>3.0</w:t>
                  </w:r>
                  <w:r>
                    <w:rPr>
                      <w:rFonts w:hint="eastAsia"/>
                      <w:b/>
                      <w:bCs/>
                      <w:color w:val="auto"/>
                      <w:sz w:val="21"/>
                      <w:szCs w:val="21"/>
                      <w:highlight w:val="none"/>
                      <w:lang w:val="en-US" w:eastAsia="zh-CN"/>
                    </w:rPr>
                    <w:t>5</w:t>
                  </w:r>
                  <w:r>
                    <w:rPr>
                      <w:rFonts w:hint="eastAsia"/>
                      <w:b/>
                      <w:bCs/>
                      <w:color w:val="auto"/>
                      <w:sz w:val="21"/>
                      <w:szCs w:val="21"/>
                      <w:highlight w:val="none"/>
                    </w:rPr>
                    <w:t>.17</w:t>
                  </w:r>
                </w:p>
              </w:tc>
              <w:tc>
                <w:tcPr>
                  <w:tcW w:w="970" w:type="pct"/>
                  <w:tcBorders>
                    <w:tl2br w:val="nil"/>
                    <w:tr2bl w:val="nil"/>
                  </w:tcBorders>
                  <w:noWrap w:val="0"/>
                  <w:vAlign w:val="center"/>
                </w:tcPr>
                <w:p>
                  <w:pPr>
                    <w:spacing w:line="240" w:lineRule="auto"/>
                    <w:jc w:val="center"/>
                    <w:rPr>
                      <w:rFonts w:hint="default" w:ascii="Times New Roman" w:hAnsi="Times New Roman" w:eastAsia="宋体" w:cs="黑体"/>
                      <w:b/>
                      <w:bCs/>
                      <w:color w:val="auto"/>
                      <w:kern w:val="2"/>
                      <w:sz w:val="21"/>
                      <w:szCs w:val="21"/>
                      <w:highlight w:val="none"/>
                      <w:lang w:val="en-US" w:eastAsia="zh-CN" w:bidi="ar-SA"/>
                    </w:rPr>
                  </w:pPr>
                  <w:r>
                    <w:rPr>
                      <w:b/>
                      <w:bCs/>
                      <w:color w:val="auto"/>
                      <w:sz w:val="21"/>
                      <w:szCs w:val="21"/>
                      <w:highlight w:val="none"/>
                    </w:rPr>
                    <w:t>202</w:t>
                  </w:r>
                  <w:r>
                    <w:rPr>
                      <w:rFonts w:hint="eastAsia"/>
                      <w:b/>
                      <w:bCs/>
                      <w:color w:val="auto"/>
                      <w:sz w:val="21"/>
                      <w:szCs w:val="21"/>
                      <w:highlight w:val="none"/>
                    </w:rPr>
                    <w:t>3.0</w:t>
                  </w:r>
                  <w:r>
                    <w:rPr>
                      <w:rFonts w:hint="eastAsia"/>
                      <w:b/>
                      <w:bCs/>
                      <w:color w:val="auto"/>
                      <w:sz w:val="21"/>
                      <w:szCs w:val="21"/>
                      <w:highlight w:val="none"/>
                      <w:lang w:val="en-US" w:eastAsia="zh-CN"/>
                    </w:rPr>
                    <w:t>5</w:t>
                  </w:r>
                  <w:r>
                    <w:rPr>
                      <w:rFonts w:hint="eastAsia"/>
                      <w:b/>
                      <w:bCs/>
                      <w:color w:val="auto"/>
                      <w:sz w:val="21"/>
                      <w:szCs w:val="21"/>
                      <w:highlight w:val="none"/>
                    </w:rPr>
                    <w:t>.18</w:t>
                  </w:r>
                </w:p>
              </w:tc>
              <w:tc>
                <w:tcPr>
                  <w:tcW w:w="971" w:type="pct"/>
                  <w:tcBorders>
                    <w:tl2br w:val="nil"/>
                    <w:tr2bl w:val="nil"/>
                  </w:tcBorders>
                  <w:noWrap w:val="0"/>
                  <w:vAlign w:val="center"/>
                </w:tcPr>
                <w:p>
                  <w:pPr>
                    <w:spacing w:line="240" w:lineRule="auto"/>
                    <w:jc w:val="center"/>
                    <w:rPr>
                      <w:rFonts w:hint="default" w:ascii="Times New Roman" w:hAnsi="Times New Roman" w:eastAsia="宋体" w:cs="黑体"/>
                      <w:b/>
                      <w:bCs/>
                      <w:color w:val="auto"/>
                      <w:kern w:val="2"/>
                      <w:sz w:val="21"/>
                      <w:szCs w:val="21"/>
                      <w:highlight w:val="none"/>
                      <w:lang w:val="en-US" w:eastAsia="zh-CN" w:bidi="ar-SA"/>
                    </w:rPr>
                  </w:pPr>
                  <w:r>
                    <w:rPr>
                      <w:b/>
                      <w:bCs/>
                      <w:color w:val="auto"/>
                      <w:sz w:val="21"/>
                      <w:szCs w:val="21"/>
                      <w:highlight w:val="none"/>
                    </w:rPr>
                    <w:t>202</w:t>
                  </w:r>
                  <w:r>
                    <w:rPr>
                      <w:rFonts w:hint="eastAsia"/>
                      <w:b/>
                      <w:bCs/>
                      <w:color w:val="auto"/>
                      <w:sz w:val="21"/>
                      <w:szCs w:val="21"/>
                      <w:highlight w:val="none"/>
                    </w:rPr>
                    <w:t>3.0</w:t>
                  </w:r>
                  <w:r>
                    <w:rPr>
                      <w:rFonts w:hint="eastAsia"/>
                      <w:b/>
                      <w:bCs/>
                      <w:color w:val="auto"/>
                      <w:sz w:val="21"/>
                      <w:szCs w:val="21"/>
                      <w:highlight w:val="none"/>
                      <w:lang w:val="en-US" w:eastAsia="zh-CN"/>
                    </w:rPr>
                    <w:t>5</w:t>
                  </w:r>
                  <w:r>
                    <w:rPr>
                      <w:rFonts w:hint="eastAsia"/>
                      <w:b/>
                      <w:bCs/>
                      <w:color w:val="auto"/>
                      <w:sz w:val="21"/>
                      <w:szCs w:val="21"/>
                      <w:highlight w:val="none"/>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1" w:type="pct"/>
                  <w:tcBorders>
                    <w:tl2br w:val="nil"/>
                    <w:tr2bl w:val="nil"/>
                  </w:tcBorders>
                  <w:noWrap w:val="0"/>
                  <w:vAlign w:val="center"/>
                </w:tcPr>
                <w:p>
                  <w:pPr>
                    <w:pStyle w:val="4"/>
                    <w:keepNext w:val="0"/>
                    <w:keepLines w:val="0"/>
                    <w:pageBreakBefore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rPr>
                  </w:pPr>
                  <w:r>
                    <w:rPr>
                      <w:rFonts w:hint="default" w:ascii="Times New Roman" w:hAnsi="Times New Roman" w:cs="Times New Roman"/>
                      <w:b w:val="0"/>
                      <w:bCs w:val="0"/>
                      <w:color w:val="auto"/>
                      <w:sz w:val="21"/>
                      <w:szCs w:val="21"/>
                      <w:highlight w:val="none"/>
                      <w:vertAlign w:val="baseline"/>
                    </w:rPr>
                    <w:t>①，项目南侧30m居民处</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bCs w:val="0"/>
                      <w:color w:val="auto"/>
                      <w:sz w:val="21"/>
                      <w:szCs w:val="21"/>
                      <w:highlight w:val="none"/>
                      <w:vertAlign w:val="baseline"/>
                    </w:rPr>
                  </w:pPr>
                  <w:r>
                    <w:rPr>
                      <w:rFonts w:hint="eastAsia" w:cs="Times New Roman"/>
                      <w:color w:val="auto"/>
                      <w:sz w:val="21"/>
                      <w:szCs w:val="21"/>
                      <w:highlight w:val="none"/>
                      <w:lang w:val="en-US" w:eastAsia="zh-CN"/>
                    </w:rPr>
                    <w:t>TSP</w:t>
                  </w:r>
                </w:p>
              </w:tc>
              <w:tc>
                <w:tcPr>
                  <w:tcW w:w="970" w:type="pct"/>
                  <w:tcBorders>
                    <w:tl2br w:val="nil"/>
                    <w:tr2bl w:val="nil"/>
                  </w:tcBorders>
                  <w:noWrap w:val="0"/>
                  <w:vAlign w:val="center"/>
                </w:tcPr>
                <w:p>
                  <w:pPr>
                    <w:pStyle w:val="4"/>
                    <w:keepNext w:val="0"/>
                    <w:keepLines w:val="0"/>
                    <w:pageBreakBefore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rPr>
                    <w:t>0.155</w:t>
                  </w:r>
                </w:p>
              </w:tc>
              <w:tc>
                <w:tcPr>
                  <w:tcW w:w="970" w:type="pct"/>
                  <w:tcBorders>
                    <w:tl2br w:val="nil"/>
                    <w:tr2bl w:val="nil"/>
                  </w:tcBorders>
                  <w:noWrap w:val="0"/>
                  <w:vAlign w:val="center"/>
                </w:tcPr>
                <w:p>
                  <w:pPr>
                    <w:pStyle w:val="4"/>
                    <w:keepNext w:val="0"/>
                    <w:keepLines w:val="0"/>
                    <w:pageBreakBefore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rPr>
                    <w:t>0.138</w:t>
                  </w:r>
                </w:p>
              </w:tc>
              <w:tc>
                <w:tcPr>
                  <w:tcW w:w="971" w:type="pct"/>
                  <w:tcBorders>
                    <w:tl2br w:val="nil"/>
                    <w:tr2bl w:val="nil"/>
                  </w:tcBorders>
                  <w:noWrap w:val="0"/>
                  <w:vAlign w:val="center"/>
                </w:tcPr>
                <w:p>
                  <w:pPr>
                    <w:pStyle w:val="4"/>
                    <w:keepNext w:val="0"/>
                    <w:keepLines w:val="0"/>
                    <w:pageBreakBefore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rPr>
                    <w:t>0.163</w:t>
                  </w:r>
                </w:p>
              </w:tc>
            </w:tr>
          </w:tbl>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ascii="Times New Roman" w:hAnsi="Times New Roman" w:eastAsiaTheme="minorEastAsia"/>
                <w:b/>
                <w:bCs/>
                <w:color w:val="auto"/>
                <w:sz w:val="24"/>
                <w:szCs w:val="24"/>
                <w:highlight w:val="none"/>
              </w:rPr>
            </w:pPr>
            <w:r>
              <w:rPr>
                <w:rFonts w:hint="eastAsia" w:eastAsiaTheme="minorEastAsia"/>
                <w:b/>
                <w:bCs/>
                <w:color w:val="auto"/>
                <w:sz w:val="24"/>
                <w:szCs w:val="24"/>
                <w:highlight w:val="none"/>
                <w:lang w:eastAsia="zh-CN"/>
              </w:rPr>
              <w:t>（</w:t>
            </w:r>
            <w:r>
              <w:rPr>
                <w:rFonts w:hint="eastAsia" w:eastAsiaTheme="minorEastAsia"/>
                <w:b/>
                <w:bCs/>
                <w:color w:val="auto"/>
                <w:sz w:val="24"/>
                <w:szCs w:val="24"/>
                <w:highlight w:val="none"/>
                <w:lang w:val="en-US" w:eastAsia="zh-CN"/>
              </w:rPr>
              <w:t>3</w:t>
            </w:r>
            <w:r>
              <w:rPr>
                <w:rFonts w:hint="eastAsia" w:eastAsiaTheme="minorEastAsia"/>
                <w:b/>
                <w:bCs/>
                <w:color w:val="auto"/>
                <w:sz w:val="24"/>
                <w:szCs w:val="24"/>
                <w:highlight w:val="none"/>
                <w:lang w:eastAsia="zh-CN"/>
              </w:rPr>
              <w:t>）</w:t>
            </w:r>
            <w:r>
              <w:rPr>
                <w:rFonts w:ascii="Times New Roman" w:hAnsi="Times New Roman" w:eastAsiaTheme="minorEastAsia"/>
                <w:b/>
                <w:bCs/>
                <w:color w:val="auto"/>
                <w:sz w:val="24"/>
                <w:szCs w:val="24"/>
                <w:highlight w:val="none"/>
              </w:rPr>
              <w:t>大气环境质量现状评价</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1）评价因子</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Theme="minorEastAsia"/>
                <w:color w:val="auto"/>
                <w:sz w:val="24"/>
                <w:szCs w:val="24"/>
                <w:highlight w:val="none"/>
              </w:rPr>
            </w:pPr>
            <w:r>
              <w:rPr>
                <w:rFonts w:hint="eastAsia" w:cs="Times New Roman"/>
                <w:color w:val="auto"/>
                <w:sz w:val="24"/>
                <w:szCs w:val="24"/>
                <w:highlight w:val="none"/>
                <w:lang w:val="en-US" w:eastAsia="zh-CN"/>
              </w:rPr>
              <w:t>TSP</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2）评价标准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《环境影响评价技术导则-大气环境》（HJ2.2-2018）表D.1其他污染物空气质量浓度</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3）评价方法</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采用单项质量指数法，公式为：</w:t>
            </w:r>
          </w:p>
          <w:p>
            <w:pPr>
              <w:keepNext w:val="0"/>
              <w:keepLines w:val="0"/>
              <w:pageBreakBefore w:val="0"/>
              <w:widowControl w:val="0"/>
              <w:kinsoku/>
              <w:wordWrap/>
              <w:overflowPunct/>
              <w:topLinePunct w:val="0"/>
              <w:autoSpaceDE/>
              <w:autoSpaceDN/>
              <w:bidi w:val="0"/>
              <w:spacing w:line="360" w:lineRule="auto"/>
              <w:jc w:val="center"/>
              <w:textAlignment w:val="auto"/>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Pi = Ci / Si</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 xml:space="preserve">   式中，Pi ——第i个污染物标准指数值；</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 xml:space="preserve">         Ci ——第i个污染物实测浓度值，mg/m</w:t>
            </w:r>
            <w:r>
              <w:rPr>
                <w:rFonts w:ascii="Times New Roman" w:hAnsi="Times New Roman" w:eastAsiaTheme="minorEastAsia"/>
                <w:color w:val="auto"/>
                <w:sz w:val="24"/>
                <w:szCs w:val="24"/>
                <w:highlight w:val="none"/>
                <w:vertAlign w:val="superscript"/>
              </w:rPr>
              <w:t>3</w:t>
            </w:r>
            <w:r>
              <w:rPr>
                <w:rFonts w:ascii="Times New Roman" w:hAnsi="Times New Roman" w:eastAsiaTheme="minorEastAsia"/>
                <w:color w:val="auto"/>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 xml:space="preserve">         Si ——第i个污染物评价标准限值，mg/m</w:t>
            </w:r>
            <w:r>
              <w:rPr>
                <w:rFonts w:ascii="Times New Roman" w:hAnsi="Times New Roman" w:eastAsiaTheme="minorEastAsia"/>
                <w:color w:val="auto"/>
                <w:sz w:val="24"/>
                <w:szCs w:val="24"/>
                <w:highlight w:val="none"/>
                <w:vertAlign w:val="superscript"/>
              </w:rPr>
              <w:t>3</w:t>
            </w:r>
            <w:r>
              <w:rPr>
                <w:rFonts w:ascii="Times New Roman" w:hAnsi="Times New Roman" w:eastAsiaTheme="minorEastAsia"/>
                <w:color w:val="auto"/>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当Pi值大于1.0时，表明大气环境已受到该项评价因子所表征的污染物的污染。Pi值越大，受污染程度越重；Pi值越小，受污染程度越轻。</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4）评价结果</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Theme="minorEastAsia"/>
                <w:color w:val="auto"/>
                <w:sz w:val="24"/>
                <w:szCs w:val="24"/>
                <w:highlight w:val="none"/>
              </w:rPr>
            </w:pPr>
            <w:r>
              <w:rPr>
                <w:rFonts w:ascii="Times New Roman" w:hAnsi="Times New Roman" w:eastAsiaTheme="minorEastAsia"/>
                <w:color w:val="auto"/>
                <w:sz w:val="24"/>
                <w:szCs w:val="24"/>
                <w:highlight w:val="none"/>
              </w:rPr>
              <w:t xml:space="preserve"> 本项目所在区域大气环境质量现状评价结果见表3-</w:t>
            </w:r>
            <w:r>
              <w:rPr>
                <w:rFonts w:hint="eastAsia" w:eastAsiaTheme="minorEastAsia"/>
                <w:color w:val="auto"/>
                <w:sz w:val="24"/>
                <w:szCs w:val="24"/>
                <w:highlight w:val="none"/>
                <w:lang w:val="en-US" w:eastAsia="zh-CN"/>
              </w:rPr>
              <w:t>3</w:t>
            </w:r>
            <w:r>
              <w:rPr>
                <w:rFonts w:ascii="Times New Roman" w:hAnsi="Times New Roman" w:eastAsiaTheme="minorEastAsia"/>
                <w:color w:val="auto"/>
                <w:sz w:val="24"/>
                <w:szCs w:val="24"/>
                <w:highlight w:val="none"/>
              </w:rPr>
              <w:t>。</w:t>
            </w:r>
          </w:p>
          <w:p>
            <w:pPr>
              <w:keepNext w:val="0"/>
              <w:keepLines w:val="0"/>
              <w:pageBreakBefore w:val="0"/>
              <w:widowControl w:val="0"/>
              <w:kinsoku/>
              <w:wordWrap/>
              <w:overflowPunct/>
              <w:topLinePunct w:val="0"/>
              <w:autoSpaceDE/>
              <w:autoSpaceDN/>
              <w:bidi w:val="0"/>
              <w:spacing w:line="360" w:lineRule="auto"/>
              <w:jc w:val="center"/>
              <w:textAlignment w:val="auto"/>
              <w:rPr>
                <w:rFonts w:ascii="Times New Roman" w:hAnsi="Times New Roman" w:eastAsiaTheme="minorEastAsia"/>
                <w:b/>
                <w:bCs/>
                <w:color w:val="auto"/>
                <w:sz w:val="24"/>
                <w:szCs w:val="24"/>
                <w:highlight w:val="none"/>
              </w:rPr>
            </w:pPr>
            <w:r>
              <w:rPr>
                <w:rFonts w:ascii="Times New Roman" w:hAnsi="Times New Roman" w:eastAsiaTheme="minorEastAsia"/>
                <w:b/>
                <w:bCs/>
                <w:color w:val="auto"/>
                <w:sz w:val="24"/>
                <w:szCs w:val="24"/>
                <w:highlight w:val="none"/>
              </w:rPr>
              <w:t>表3-</w:t>
            </w:r>
            <w:r>
              <w:rPr>
                <w:rFonts w:hint="eastAsia" w:eastAsiaTheme="minorEastAsia"/>
                <w:b/>
                <w:bCs/>
                <w:color w:val="auto"/>
                <w:sz w:val="24"/>
                <w:szCs w:val="24"/>
                <w:highlight w:val="none"/>
                <w:lang w:val="en-US" w:eastAsia="zh-CN"/>
              </w:rPr>
              <w:t>3</w:t>
            </w:r>
            <w:r>
              <w:rPr>
                <w:rFonts w:ascii="Times New Roman" w:hAnsi="Times New Roman" w:eastAsiaTheme="minorEastAsia"/>
                <w:b/>
                <w:bCs/>
                <w:color w:val="auto"/>
                <w:sz w:val="24"/>
                <w:szCs w:val="24"/>
                <w:highlight w:val="none"/>
              </w:rPr>
              <w:t xml:space="preserve">  大气环境质量现状评价结果</w:t>
            </w:r>
          </w:p>
          <w:tbl>
            <w:tblPr>
              <w:tblStyle w:val="23"/>
              <w:tblW w:w="842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24"/>
              <w:gridCol w:w="1895"/>
              <w:gridCol w:w="1450"/>
              <w:gridCol w:w="1450"/>
              <w:gridCol w:w="899"/>
              <w:gridCol w:w="150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1224" w:type="dxa"/>
                  <w:tcBorders>
                    <w:tl2br w:val="nil"/>
                    <w:tr2bl w:val="nil"/>
                  </w:tcBorders>
                  <w:vAlign w:val="center"/>
                </w:tcPr>
                <w:p>
                  <w:pPr>
                    <w:pStyle w:val="48"/>
                    <w:spacing w:line="240" w:lineRule="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评价因子</w:t>
                  </w:r>
                </w:p>
              </w:tc>
              <w:tc>
                <w:tcPr>
                  <w:tcW w:w="1895" w:type="dxa"/>
                  <w:tcBorders>
                    <w:tl2br w:val="nil"/>
                    <w:tr2bl w:val="nil"/>
                  </w:tcBorders>
                  <w:vAlign w:val="center"/>
                </w:tcPr>
                <w:p>
                  <w:pPr>
                    <w:pStyle w:val="48"/>
                    <w:spacing w:line="240" w:lineRule="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浓度max（mg/m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w:t>
                  </w:r>
                </w:p>
              </w:tc>
              <w:tc>
                <w:tcPr>
                  <w:tcW w:w="1450" w:type="dxa"/>
                  <w:tcBorders>
                    <w:tl2br w:val="nil"/>
                    <w:tr2bl w:val="nil"/>
                  </w:tcBorders>
                  <w:vAlign w:val="center"/>
                </w:tcPr>
                <w:p>
                  <w:pPr>
                    <w:pStyle w:val="46"/>
                    <w:spacing w:line="240" w:lineRule="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标准值（mg/m</w:t>
                  </w:r>
                  <w:r>
                    <w:rPr>
                      <w:rFonts w:hint="default" w:ascii="Times New Roman" w:hAnsi="Times New Roman" w:cs="Times New Roman"/>
                      <w:b/>
                      <w:color w:val="auto"/>
                      <w:sz w:val="21"/>
                      <w:szCs w:val="21"/>
                      <w:highlight w:val="none"/>
                      <w:vertAlign w:val="superscript"/>
                    </w:rPr>
                    <w:t>3</w:t>
                  </w:r>
                  <w:r>
                    <w:rPr>
                      <w:rFonts w:hint="default" w:ascii="Times New Roman" w:hAnsi="Times New Roman" w:cs="Times New Roman"/>
                      <w:b/>
                      <w:color w:val="auto"/>
                      <w:sz w:val="21"/>
                      <w:szCs w:val="21"/>
                      <w:highlight w:val="none"/>
                    </w:rPr>
                    <w:t>）</w:t>
                  </w:r>
                </w:p>
              </w:tc>
              <w:tc>
                <w:tcPr>
                  <w:tcW w:w="1450" w:type="dxa"/>
                  <w:tcBorders>
                    <w:tl2br w:val="nil"/>
                    <w:tr2bl w:val="nil"/>
                  </w:tcBorders>
                  <w:vAlign w:val="center"/>
                </w:tcPr>
                <w:p>
                  <w:pPr>
                    <w:pStyle w:val="48"/>
                    <w:spacing w:line="240" w:lineRule="auto"/>
                    <w:rPr>
                      <w:rFonts w:hint="default" w:ascii="Times New Roman" w:hAnsi="Times New Roman" w:cs="Times New Roman"/>
                      <w:bCs/>
                      <w:color w:val="auto"/>
                      <w:sz w:val="21"/>
                      <w:szCs w:val="21"/>
                      <w:highlight w:val="none"/>
                    </w:rPr>
                  </w:pPr>
                  <w:r>
                    <w:rPr>
                      <w:rFonts w:hint="default" w:ascii="Times New Roman" w:hAnsi="Times New Roman" w:cs="Times New Roman"/>
                      <w:bCs/>
                      <w:i/>
                      <w:color w:val="auto"/>
                      <w:sz w:val="21"/>
                      <w:szCs w:val="21"/>
                      <w:highlight w:val="none"/>
                    </w:rPr>
                    <w:t>P</w:t>
                  </w:r>
                  <w:r>
                    <w:rPr>
                      <w:rFonts w:hint="default" w:ascii="Times New Roman" w:hAnsi="Times New Roman" w:cs="Times New Roman"/>
                      <w:bCs/>
                      <w:i/>
                      <w:color w:val="auto"/>
                      <w:sz w:val="21"/>
                      <w:szCs w:val="21"/>
                      <w:highlight w:val="none"/>
                      <w:vertAlign w:val="subscript"/>
                    </w:rPr>
                    <w:t>max</w:t>
                  </w:r>
                </w:p>
              </w:tc>
              <w:tc>
                <w:tcPr>
                  <w:tcW w:w="899" w:type="dxa"/>
                  <w:tcBorders>
                    <w:tl2br w:val="nil"/>
                    <w:tr2bl w:val="nil"/>
                  </w:tcBorders>
                  <w:vAlign w:val="center"/>
                </w:tcPr>
                <w:p>
                  <w:pPr>
                    <w:pStyle w:val="48"/>
                    <w:spacing w:line="240" w:lineRule="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超标个数</w:t>
                  </w:r>
                </w:p>
              </w:tc>
              <w:tc>
                <w:tcPr>
                  <w:tcW w:w="1508" w:type="dxa"/>
                  <w:tcBorders>
                    <w:tl2br w:val="nil"/>
                    <w:tr2bl w:val="nil"/>
                  </w:tcBorders>
                  <w:vAlign w:val="center"/>
                </w:tcPr>
                <w:p>
                  <w:pPr>
                    <w:pStyle w:val="48"/>
                    <w:spacing w:line="240" w:lineRule="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最大超标倍数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1224"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rPr>
                  </w:pPr>
                  <w:r>
                    <w:rPr>
                      <w:color w:val="auto"/>
                      <w:sz w:val="21"/>
                      <w:szCs w:val="21"/>
                      <w:highlight w:val="none"/>
                    </w:rPr>
                    <w:t>TSP</w:t>
                  </w:r>
                </w:p>
              </w:tc>
              <w:tc>
                <w:tcPr>
                  <w:tcW w:w="189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 w:val="0"/>
                      <w:bCs w:val="0"/>
                      <w:color w:val="auto"/>
                      <w:sz w:val="21"/>
                      <w:szCs w:val="21"/>
                      <w:highlight w:val="none"/>
                      <w:vertAlign w:val="baseline"/>
                    </w:rPr>
                    <w:t>0.163</w:t>
                  </w:r>
                </w:p>
              </w:tc>
              <w:tc>
                <w:tcPr>
                  <w:tcW w:w="1450" w:type="dxa"/>
                  <w:tcBorders>
                    <w:tl2br w:val="nil"/>
                    <w:tr2bl w:val="nil"/>
                  </w:tcBorders>
                </w:tcPr>
                <w:p>
                  <w:pPr>
                    <w:pStyle w:val="48"/>
                    <w:spacing w:line="240" w:lineRule="auto"/>
                    <w:rPr>
                      <w:rFonts w:hint="default" w:ascii="Times New Roman" w:hAnsi="Times New Roman" w:eastAsia="宋体" w:cs="Times New Roman"/>
                      <w:b w:val="0"/>
                      <w:color w:val="auto"/>
                      <w:sz w:val="21"/>
                      <w:szCs w:val="21"/>
                      <w:highlight w:val="none"/>
                      <w:lang w:eastAsia="zh-CN"/>
                    </w:rPr>
                  </w:pPr>
                  <w:r>
                    <w:rPr>
                      <w:rFonts w:hint="default" w:ascii="Times New Roman" w:hAnsi="Times New Roman" w:cs="Times New Roman"/>
                      <w:b w:val="0"/>
                      <w:color w:val="auto"/>
                      <w:sz w:val="21"/>
                      <w:szCs w:val="21"/>
                      <w:highlight w:val="none"/>
                    </w:rPr>
                    <w:t>0.</w:t>
                  </w:r>
                  <w:r>
                    <w:rPr>
                      <w:rFonts w:hint="eastAsia" w:ascii="Times New Roman" w:hAnsi="Times New Roman" w:cs="Times New Roman"/>
                      <w:b w:val="0"/>
                      <w:color w:val="auto"/>
                      <w:sz w:val="21"/>
                      <w:szCs w:val="21"/>
                      <w:highlight w:val="none"/>
                      <w:lang w:val="en-US" w:eastAsia="zh-CN"/>
                    </w:rPr>
                    <w:t>3</w:t>
                  </w:r>
                </w:p>
              </w:tc>
              <w:tc>
                <w:tcPr>
                  <w:tcW w:w="1450" w:type="dxa"/>
                  <w:tcBorders>
                    <w:tl2br w:val="nil"/>
                    <w:tr2bl w:val="nil"/>
                  </w:tcBorders>
                  <w:vAlign w:val="center"/>
                </w:tcPr>
                <w:p>
                  <w:pPr>
                    <w:pStyle w:val="48"/>
                    <w:spacing w:line="240" w:lineRule="auto"/>
                    <w:rPr>
                      <w:rFonts w:hint="default" w:ascii="Times New Roman" w:hAnsi="Times New Roman" w:eastAsia="宋体" w:cs="Times New Roman"/>
                      <w:b w:val="0"/>
                      <w:color w:val="auto"/>
                      <w:sz w:val="21"/>
                      <w:szCs w:val="21"/>
                      <w:highlight w:val="none"/>
                      <w:lang w:val="en-US" w:eastAsia="zh-CN"/>
                    </w:rPr>
                  </w:pPr>
                  <w:r>
                    <w:rPr>
                      <w:rFonts w:hint="eastAsia" w:cs="Times New Roman"/>
                      <w:b w:val="0"/>
                      <w:color w:val="auto"/>
                      <w:sz w:val="21"/>
                      <w:szCs w:val="21"/>
                      <w:highlight w:val="none"/>
                      <w:lang w:val="en-US" w:eastAsia="zh-CN"/>
                    </w:rPr>
                    <w:t>0.54</w:t>
                  </w:r>
                </w:p>
              </w:tc>
              <w:tc>
                <w:tcPr>
                  <w:tcW w:w="899"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08"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bl>
          <w:p>
            <w:pPr>
              <w:spacing w:line="360" w:lineRule="auto"/>
              <w:ind w:firstLine="480" w:firstLineChars="200"/>
              <w:rPr>
                <w:rFonts w:hint="eastAsia" w:cs="Times New Roman"/>
                <w:color w:val="auto"/>
                <w:sz w:val="24"/>
                <w:szCs w:val="24"/>
                <w:highlight w:val="none"/>
                <w:lang w:val="en-US" w:eastAsia="zh-CN"/>
              </w:rPr>
            </w:pPr>
            <w:r>
              <w:rPr>
                <w:rFonts w:hint="eastAsia" w:ascii="Times New Roman" w:hAnsi="Times New Roman"/>
                <w:color w:val="auto"/>
                <w:sz w:val="24"/>
                <w:szCs w:val="24"/>
                <w:highlight w:val="none"/>
              </w:rPr>
              <w:t>由上表可知，监测及评价结果分析表明：评价区域环境空气中的</w:t>
            </w:r>
            <w:r>
              <w:rPr>
                <w:rFonts w:hint="eastAsia" w:cs="Times New Roman"/>
                <w:color w:val="auto"/>
                <w:sz w:val="24"/>
                <w:szCs w:val="24"/>
                <w:highlight w:val="none"/>
                <w:lang w:val="en-US" w:eastAsia="zh-CN"/>
              </w:rPr>
              <w:t>TSP</w:t>
            </w:r>
            <w:r>
              <w:rPr>
                <w:rFonts w:hint="eastAsia" w:ascii="Times New Roman" w:hAnsi="Times New Roman"/>
                <w:color w:val="auto"/>
                <w:sz w:val="24"/>
                <w:szCs w:val="24"/>
                <w:highlight w:val="none"/>
              </w:rPr>
              <w:t>浓度值满足《环境空气质量标准》（GB3095-2012）二级标准限值，项目所在区域环境空气质量良好。</w:t>
            </w:r>
          </w:p>
          <w:p>
            <w:pPr>
              <w:spacing w:line="360" w:lineRule="auto"/>
              <w:ind w:firstLine="482" w:firstLineChars="200"/>
              <w:rPr>
                <w:rFonts w:cs="Times New Roman"/>
                <w:b/>
                <w:color w:val="auto"/>
                <w:sz w:val="24"/>
                <w:szCs w:val="24"/>
                <w:highlight w:val="none"/>
              </w:rPr>
            </w:pPr>
            <w:r>
              <w:rPr>
                <w:rFonts w:cs="Times New Roman"/>
                <w:b/>
                <w:color w:val="auto"/>
                <w:sz w:val="24"/>
                <w:szCs w:val="24"/>
                <w:highlight w:val="none"/>
              </w:rPr>
              <w:t>2</w:t>
            </w:r>
            <w:r>
              <w:rPr>
                <w:rFonts w:hint="eastAsia" w:cs="Times New Roman"/>
                <w:b/>
                <w:color w:val="auto"/>
                <w:sz w:val="24"/>
                <w:szCs w:val="24"/>
                <w:highlight w:val="none"/>
              </w:rPr>
              <w:t>、地表水环境质量现状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hAnsi="Times New Roman" w:eastAsia="宋体" w:cs="Times New Roman"/>
                <w:color w:val="0000FF"/>
                <w:sz w:val="24"/>
                <w:szCs w:val="24"/>
                <w:highlight w:val="none"/>
                <w:lang w:val="en-US" w:eastAsia="zh-CN"/>
              </w:rPr>
            </w:pPr>
            <w:r>
              <w:rPr>
                <w:rFonts w:hint="eastAsia" w:cs="Times New Roman"/>
                <w:color w:val="0000FF"/>
                <w:sz w:val="24"/>
                <w:szCs w:val="24"/>
                <w:highlight w:val="none"/>
              </w:rPr>
              <w:t>本项目区域河流为</w:t>
            </w:r>
            <w:r>
              <w:rPr>
                <w:rFonts w:hint="default" w:cs="Times New Roman"/>
                <w:color w:val="0000FF"/>
                <w:sz w:val="24"/>
                <w:szCs w:val="24"/>
                <w:highlight w:val="none"/>
                <w:lang w:val="en-US" w:eastAsia="zh-CN"/>
              </w:rPr>
              <w:t>大洪河</w:t>
            </w:r>
            <w:r>
              <w:rPr>
                <w:rFonts w:hint="eastAsia" w:cs="Times New Roman"/>
                <w:color w:val="0000FF"/>
                <w:sz w:val="24"/>
                <w:szCs w:val="24"/>
                <w:highlight w:val="none"/>
              </w:rPr>
              <w:t>水系</w:t>
            </w:r>
            <w:r>
              <w:rPr>
                <w:rFonts w:hint="eastAsia" w:cs="Times New Roman"/>
                <w:color w:val="0000FF"/>
                <w:sz w:val="24"/>
                <w:szCs w:val="24"/>
                <w:highlight w:val="none"/>
                <w:lang w:val="en-US" w:eastAsia="zh-CN"/>
              </w:rPr>
              <w:t>。</w:t>
            </w:r>
            <w:r>
              <w:rPr>
                <w:rFonts w:hint="eastAsia" w:cs="Times New Roman"/>
                <w:color w:val="0000FF"/>
                <w:sz w:val="24"/>
                <w:szCs w:val="24"/>
                <w:highlight w:val="none"/>
              </w:rPr>
              <w:t>根据</w:t>
            </w:r>
            <w:r>
              <w:rPr>
                <w:rFonts w:hint="eastAsia" w:cs="Times New Roman"/>
                <w:color w:val="0000FF"/>
                <w:sz w:val="24"/>
                <w:szCs w:val="24"/>
                <w:highlight w:val="none"/>
                <w:lang w:eastAsia="zh-CN"/>
              </w:rPr>
              <w:t>《</w:t>
            </w:r>
            <w:r>
              <w:rPr>
                <w:rFonts w:hint="eastAsia" w:cs="Times New Roman"/>
                <w:color w:val="0000FF"/>
                <w:sz w:val="24"/>
                <w:szCs w:val="24"/>
                <w:highlight w:val="none"/>
              </w:rPr>
              <w:t>建设项目环境影响报告表编制技术指南（污染影响类）（试行）</w:t>
            </w:r>
            <w:r>
              <w:rPr>
                <w:rFonts w:hint="eastAsia" w:cs="Times New Roman"/>
                <w:color w:val="0000FF"/>
                <w:sz w:val="24"/>
                <w:szCs w:val="24"/>
                <w:highlight w:val="none"/>
                <w:lang w:eastAsia="zh-CN"/>
              </w:rPr>
              <w:t>》</w:t>
            </w:r>
            <w:r>
              <w:rPr>
                <w:rFonts w:hint="eastAsia" w:cs="Times New Roman"/>
                <w:color w:val="0000FF"/>
                <w:sz w:val="24"/>
                <w:szCs w:val="24"/>
                <w:highlight w:val="none"/>
              </w:rPr>
              <w:t>中“</w:t>
            </w:r>
            <w:r>
              <w:rPr>
                <w:rFonts w:hint="eastAsia" w:cs="Times New Roman"/>
                <w:i/>
                <w:color w:val="0000FF"/>
                <w:sz w:val="24"/>
                <w:szCs w:val="24"/>
                <w:highlight w:val="none"/>
              </w:rPr>
              <w:t>应优先采用国务院生态环境保护主管部门统一发布的水环境状况信息</w:t>
            </w:r>
            <w:r>
              <w:rPr>
                <w:rFonts w:hint="eastAsia" w:cs="Times New Roman"/>
                <w:color w:val="0000FF"/>
                <w:sz w:val="24"/>
                <w:szCs w:val="24"/>
                <w:highlight w:val="none"/>
              </w:rPr>
              <w:t>”的规定，</w:t>
            </w:r>
            <w:r>
              <w:rPr>
                <w:rFonts w:hint="default" w:ascii="Times New Roman" w:hAnsi="Times New Roman" w:eastAsia="宋体" w:cs="Times New Roman"/>
                <w:color w:val="0000FF"/>
                <w:sz w:val="24"/>
                <w:szCs w:val="24"/>
                <w:highlight w:val="none"/>
                <w:lang w:val="en-US" w:eastAsia="zh-CN"/>
              </w:rPr>
              <w:t>根据达州市生态环境局20</w:t>
            </w:r>
            <w:r>
              <w:rPr>
                <w:rFonts w:hint="eastAsia" w:cs="Times New Roman"/>
                <w:color w:val="0000FF"/>
                <w:sz w:val="24"/>
                <w:szCs w:val="24"/>
                <w:highlight w:val="none"/>
                <w:lang w:val="en-US" w:eastAsia="zh-CN"/>
              </w:rPr>
              <w:t>23</w:t>
            </w:r>
            <w:r>
              <w:rPr>
                <w:rFonts w:hint="default" w:ascii="Times New Roman" w:hAnsi="Times New Roman" w:eastAsia="宋体" w:cs="Times New Roman"/>
                <w:color w:val="0000FF"/>
                <w:sz w:val="24"/>
                <w:szCs w:val="24"/>
                <w:highlight w:val="none"/>
                <w:lang w:val="en-US" w:eastAsia="zh-CN"/>
              </w:rPr>
              <w:t>年</w:t>
            </w:r>
            <w:r>
              <w:rPr>
                <w:rFonts w:hint="eastAsia" w:cs="Times New Roman"/>
                <w:color w:val="0000FF"/>
                <w:sz w:val="24"/>
                <w:szCs w:val="24"/>
                <w:highlight w:val="none"/>
                <w:lang w:val="en-US" w:eastAsia="zh-CN"/>
              </w:rPr>
              <w:t>10</w:t>
            </w:r>
            <w:r>
              <w:rPr>
                <w:rFonts w:hint="default" w:ascii="Times New Roman" w:hAnsi="Times New Roman" w:eastAsia="宋体" w:cs="Times New Roman"/>
                <w:color w:val="0000FF"/>
                <w:sz w:val="24"/>
                <w:szCs w:val="24"/>
                <w:highlight w:val="none"/>
                <w:lang w:val="en-US" w:eastAsia="zh-CN"/>
              </w:rPr>
              <w:t>月</w:t>
            </w:r>
            <w:r>
              <w:rPr>
                <w:rFonts w:hint="eastAsia" w:cs="Times New Roman"/>
                <w:color w:val="0000FF"/>
                <w:sz w:val="24"/>
                <w:szCs w:val="24"/>
                <w:highlight w:val="none"/>
                <w:lang w:val="en-US" w:eastAsia="zh-CN"/>
              </w:rPr>
              <w:t>24日</w:t>
            </w:r>
            <w:r>
              <w:rPr>
                <w:rFonts w:hint="default" w:ascii="Times New Roman" w:hAnsi="Times New Roman" w:eastAsia="宋体" w:cs="Times New Roman"/>
                <w:color w:val="0000FF"/>
                <w:sz w:val="24"/>
                <w:szCs w:val="24"/>
                <w:highlight w:val="none"/>
                <w:lang w:val="en-US" w:eastAsia="zh-CN"/>
              </w:rPr>
              <w:t>发布的202</w:t>
            </w:r>
            <w:r>
              <w:rPr>
                <w:rFonts w:hint="eastAsia" w:cs="Times New Roman"/>
                <w:color w:val="0000FF"/>
                <w:sz w:val="24"/>
                <w:szCs w:val="24"/>
                <w:highlight w:val="none"/>
                <w:lang w:val="en-US" w:eastAsia="zh-CN"/>
              </w:rPr>
              <w:t>3</w:t>
            </w:r>
            <w:r>
              <w:rPr>
                <w:rFonts w:hint="default" w:ascii="Times New Roman" w:hAnsi="Times New Roman" w:eastAsia="宋体" w:cs="Times New Roman"/>
                <w:color w:val="0000FF"/>
                <w:sz w:val="24"/>
                <w:szCs w:val="24"/>
                <w:highlight w:val="none"/>
                <w:lang w:val="en-US" w:eastAsia="zh-CN"/>
              </w:rPr>
              <w:t>年</w:t>
            </w:r>
            <w:r>
              <w:rPr>
                <w:rFonts w:hint="eastAsia" w:cs="Times New Roman"/>
                <w:color w:val="0000FF"/>
                <w:sz w:val="24"/>
                <w:szCs w:val="24"/>
                <w:highlight w:val="none"/>
                <w:lang w:val="en-US" w:eastAsia="zh-CN"/>
              </w:rPr>
              <w:t>9</w:t>
            </w:r>
            <w:r>
              <w:rPr>
                <w:rFonts w:hint="default" w:ascii="Times New Roman" w:hAnsi="Times New Roman" w:eastAsia="宋体" w:cs="Times New Roman"/>
                <w:color w:val="0000FF"/>
                <w:sz w:val="24"/>
                <w:szCs w:val="24"/>
                <w:highlight w:val="none"/>
                <w:lang w:val="en-US" w:eastAsia="zh-CN"/>
              </w:rPr>
              <w:t>月达州市地表水水质月报</w:t>
            </w:r>
            <w:r>
              <w:rPr>
                <w:rFonts w:hint="eastAsia" w:hAnsi="Times New Roman" w:eastAsia="宋体" w:cs="Times New Roman"/>
                <w:color w:val="0000FF"/>
                <w:sz w:val="24"/>
                <w:szCs w:val="24"/>
                <w:highlight w:val="none"/>
                <w:lang w:val="en-US" w:eastAsia="zh-CN"/>
              </w:rPr>
              <w:t>（https://sthjj.dazhou.gov.cn/news-show-17230.html）：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FF"/>
                <w:sz w:val="24"/>
                <w:szCs w:val="24"/>
                <w:highlight w:val="none"/>
                <w:lang w:val="en-US" w:eastAsia="zh-CN"/>
              </w:rPr>
            </w:pPr>
            <w:r>
              <w:rPr>
                <w:rFonts w:hint="default" w:ascii="Times New Roman" w:hAnsi="Times New Roman" w:eastAsia="宋体" w:cs="Times New Roman"/>
                <w:color w:val="0000FF"/>
                <w:sz w:val="24"/>
                <w:szCs w:val="24"/>
                <w:highlight w:val="none"/>
                <w:lang w:val="en-US" w:eastAsia="zh-CN"/>
              </w:rPr>
              <w:t>2023 年 9 月全市 37 个河流断面均为优（Ⅰ ~ Ⅱ类）良（Ⅲ类）水质断面，占比 100%。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0000FF"/>
                <w:sz w:val="24"/>
                <w:szCs w:val="24"/>
                <w:highlight w:val="none"/>
              </w:rPr>
            </w:pPr>
            <w:r>
              <w:rPr>
                <w:rFonts w:hint="default" w:ascii="Times New Roman" w:hAnsi="Times New Roman" w:eastAsia="宋体" w:cs="Times New Roman"/>
                <w:color w:val="0000FF"/>
                <w:sz w:val="24"/>
                <w:szCs w:val="24"/>
                <w:highlight w:val="none"/>
                <w:lang w:val="en-US" w:eastAsia="zh-CN"/>
              </w:rPr>
              <w:t>项目区域地表水有联系的监测断面水质评价结果情况见下表所示</w:t>
            </w:r>
            <w:r>
              <w:rPr>
                <w:rFonts w:hint="eastAsia" w:ascii="Times New Roman" w:hAnsi="Times New Roman" w:eastAsia="宋体" w:cs="Times New Roman"/>
                <w:color w:val="0000FF"/>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0000FF"/>
                <w:sz w:val="24"/>
                <w:szCs w:val="24"/>
                <w:highlight w:val="none"/>
                <w:lang w:val="en-US" w:eastAsia="zh-CN"/>
              </w:rPr>
            </w:pPr>
            <w:r>
              <w:rPr>
                <w:rFonts w:hint="eastAsia"/>
                <w:b/>
                <w:bCs/>
                <w:color w:val="0000FF"/>
                <w:sz w:val="24"/>
                <w:szCs w:val="24"/>
                <w:highlight w:val="none"/>
                <w:lang w:val="en-US" w:eastAsia="zh-CN"/>
              </w:rPr>
              <w:t>表3-4  2023年9月达州市河流水质评价结果表</w:t>
            </w:r>
          </w:p>
          <w:tbl>
            <w:tblPr>
              <w:tblStyle w:val="23"/>
              <w:tblW w:w="4995"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626"/>
              <w:gridCol w:w="1396"/>
              <w:gridCol w:w="1190"/>
              <w:gridCol w:w="2046"/>
              <w:gridCol w:w="1052"/>
              <w:gridCol w:w="1052"/>
              <w:gridCol w:w="1059"/>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2" w:type="pct"/>
                  <w:tcBorders>
                    <w:tl2br w:val="nil"/>
                    <w:tr2bl w:val="nil"/>
                  </w:tcBorders>
                  <w:noWrap w:val="0"/>
                  <w:vAlign w:val="center"/>
                </w:tcPr>
                <w:p>
                  <w:pPr>
                    <w:pStyle w:val="71"/>
                    <w:spacing w:line="240" w:lineRule="auto"/>
                    <w:ind w:firstLine="0" w:firstLineChars="0"/>
                    <w:rPr>
                      <w:rFonts w:hint="default" w:ascii="Times New Roman" w:hAnsi="Times New Roman" w:eastAsia="宋体" w:cs="Times New Roman"/>
                      <w:b/>
                      <w:bCs w:val="0"/>
                      <w:color w:val="0000FF"/>
                      <w:kern w:val="2"/>
                      <w:sz w:val="21"/>
                      <w:szCs w:val="21"/>
                      <w:highlight w:val="none"/>
                      <w:lang w:val="en-US" w:eastAsia="zh-CN" w:bidi="ar-SA"/>
                    </w:rPr>
                  </w:pPr>
                  <w:r>
                    <w:rPr>
                      <w:rFonts w:hint="default" w:ascii="Times New Roman" w:hAnsi="Times New Roman" w:eastAsia="宋体" w:cs="Times New Roman"/>
                      <w:b/>
                      <w:bCs w:val="0"/>
                      <w:color w:val="0000FF"/>
                      <w:kern w:val="2"/>
                      <w:sz w:val="21"/>
                      <w:szCs w:val="21"/>
                      <w:highlight w:val="none"/>
                      <w:lang w:val="en-US" w:eastAsia="zh-CN" w:bidi="ar-SA"/>
                    </w:rPr>
                    <w:t>序号</w:t>
                  </w:r>
                </w:p>
              </w:tc>
              <w:tc>
                <w:tcPr>
                  <w:tcW w:w="828" w:type="pct"/>
                  <w:tcBorders>
                    <w:tl2br w:val="nil"/>
                    <w:tr2bl w:val="nil"/>
                  </w:tcBorders>
                  <w:noWrap w:val="0"/>
                  <w:vAlign w:val="center"/>
                </w:tcPr>
                <w:p>
                  <w:pPr>
                    <w:pStyle w:val="71"/>
                    <w:spacing w:line="240" w:lineRule="auto"/>
                    <w:ind w:firstLine="0" w:firstLineChars="0"/>
                    <w:rPr>
                      <w:rFonts w:hint="default" w:ascii="Times New Roman" w:hAnsi="Times New Roman" w:eastAsia="宋体" w:cs="Times New Roman"/>
                      <w:b/>
                      <w:bCs w:val="0"/>
                      <w:color w:val="0000FF"/>
                      <w:kern w:val="2"/>
                      <w:sz w:val="21"/>
                      <w:szCs w:val="21"/>
                      <w:highlight w:val="none"/>
                      <w:lang w:val="en-US" w:eastAsia="zh-CN" w:bidi="ar-SA"/>
                    </w:rPr>
                  </w:pPr>
                  <w:r>
                    <w:rPr>
                      <w:rFonts w:hint="default" w:ascii="Times New Roman" w:hAnsi="Times New Roman" w:eastAsia="宋体" w:cs="Times New Roman"/>
                      <w:b/>
                      <w:bCs w:val="0"/>
                      <w:color w:val="0000FF"/>
                      <w:kern w:val="2"/>
                      <w:sz w:val="21"/>
                      <w:szCs w:val="21"/>
                      <w:highlight w:val="none"/>
                      <w:lang w:val="en-US" w:eastAsia="zh-CN" w:bidi="ar-SA"/>
                    </w:rPr>
                    <w:t>河流</w:t>
                  </w:r>
                </w:p>
              </w:tc>
              <w:tc>
                <w:tcPr>
                  <w:tcW w:w="706" w:type="pct"/>
                  <w:tcBorders>
                    <w:tl2br w:val="nil"/>
                    <w:tr2bl w:val="nil"/>
                  </w:tcBorders>
                  <w:noWrap w:val="0"/>
                  <w:vAlign w:val="center"/>
                </w:tcPr>
                <w:p>
                  <w:pPr>
                    <w:pStyle w:val="71"/>
                    <w:spacing w:line="240" w:lineRule="auto"/>
                    <w:ind w:firstLine="0" w:firstLineChars="0"/>
                    <w:rPr>
                      <w:rFonts w:hint="default" w:ascii="Times New Roman" w:hAnsi="Times New Roman" w:eastAsia="宋体" w:cs="Times New Roman"/>
                      <w:b/>
                      <w:bCs w:val="0"/>
                      <w:color w:val="0000FF"/>
                      <w:kern w:val="2"/>
                      <w:sz w:val="21"/>
                      <w:szCs w:val="21"/>
                      <w:highlight w:val="none"/>
                      <w:lang w:val="en-US" w:eastAsia="zh-CN" w:bidi="ar-SA"/>
                    </w:rPr>
                  </w:pPr>
                  <w:r>
                    <w:rPr>
                      <w:rFonts w:hint="default" w:ascii="Times New Roman" w:hAnsi="Times New Roman" w:eastAsia="宋体" w:cs="Times New Roman"/>
                      <w:b/>
                      <w:bCs w:val="0"/>
                      <w:color w:val="0000FF"/>
                      <w:kern w:val="2"/>
                      <w:sz w:val="21"/>
                      <w:szCs w:val="21"/>
                      <w:highlight w:val="none"/>
                      <w:lang w:val="en-US" w:eastAsia="zh-CN" w:bidi="ar-SA"/>
                    </w:rPr>
                    <w:t>断面名称</w:t>
                  </w:r>
                </w:p>
              </w:tc>
              <w:tc>
                <w:tcPr>
                  <w:tcW w:w="1214" w:type="pct"/>
                  <w:tcBorders>
                    <w:tl2br w:val="nil"/>
                    <w:tr2bl w:val="nil"/>
                  </w:tcBorders>
                  <w:noWrap w:val="0"/>
                  <w:vAlign w:val="center"/>
                </w:tcPr>
                <w:p>
                  <w:pPr>
                    <w:pStyle w:val="71"/>
                    <w:spacing w:line="240" w:lineRule="auto"/>
                    <w:ind w:firstLine="0" w:firstLineChars="0"/>
                    <w:rPr>
                      <w:rFonts w:hint="default" w:ascii="Times New Roman" w:hAnsi="Times New Roman" w:eastAsia="宋体" w:cs="Times New Roman"/>
                      <w:b/>
                      <w:bCs w:val="0"/>
                      <w:color w:val="0000FF"/>
                      <w:kern w:val="2"/>
                      <w:sz w:val="21"/>
                      <w:szCs w:val="21"/>
                      <w:highlight w:val="none"/>
                      <w:lang w:val="en-US" w:eastAsia="zh-CN" w:bidi="ar-SA"/>
                    </w:rPr>
                  </w:pPr>
                  <w:r>
                    <w:rPr>
                      <w:rFonts w:hint="default" w:ascii="Times New Roman" w:hAnsi="Times New Roman" w:eastAsia="宋体" w:cs="Times New Roman"/>
                      <w:b/>
                      <w:bCs w:val="0"/>
                      <w:color w:val="0000FF"/>
                      <w:kern w:val="2"/>
                      <w:sz w:val="21"/>
                      <w:szCs w:val="21"/>
                      <w:highlight w:val="none"/>
                      <w:lang w:val="en-US" w:eastAsia="zh-CN" w:bidi="ar-SA"/>
                    </w:rPr>
                    <w:t>断面属性</w:t>
                  </w:r>
                </w:p>
              </w:tc>
              <w:tc>
                <w:tcPr>
                  <w:tcW w:w="624" w:type="pct"/>
                  <w:tcBorders>
                    <w:tl2br w:val="nil"/>
                    <w:tr2bl w:val="nil"/>
                  </w:tcBorders>
                  <w:noWrap w:val="0"/>
                  <w:vAlign w:val="center"/>
                </w:tcPr>
                <w:p>
                  <w:pPr>
                    <w:pStyle w:val="71"/>
                    <w:spacing w:line="240" w:lineRule="auto"/>
                    <w:ind w:firstLine="0" w:firstLineChars="0"/>
                    <w:rPr>
                      <w:rFonts w:hint="default" w:ascii="Times New Roman" w:hAnsi="Times New Roman" w:eastAsia="宋体" w:cs="Times New Roman"/>
                      <w:b/>
                      <w:bCs w:val="0"/>
                      <w:color w:val="0000FF"/>
                      <w:kern w:val="2"/>
                      <w:sz w:val="21"/>
                      <w:szCs w:val="21"/>
                      <w:highlight w:val="none"/>
                      <w:lang w:val="en-US" w:eastAsia="zh-CN" w:bidi="ar-SA"/>
                    </w:rPr>
                  </w:pPr>
                  <w:r>
                    <w:rPr>
                      <w:rFonts w:hint="default" w:ascii="Times New Roman" w:hAnsi="Times New Roman" w:eastAsia="宋体" w:cs="Times New Roman"/>
                      <w:b/>
                      <w:bCs w:val="0"/>
                      <w:color w:val="0000FF"/>
                      <w:kern w:val="2"/>
                      <w:sz w:val="21"/>
                      <w:szCs w:val="21"/>
                      <w:highlight w:val="none"/>
                      <w:lang w:val="en-US" w:eastAsia="zh-CN" w:bidi="ar-SA"/>
                    </w:rPr>
                    <w:t>上年同期</w:t>
                  </w:r>
                </w:p>
              </w:tc>
              <w:tc>
                <w:tcPr>
                  <w:tcW w:w="624" w:type="pct"/>
                  <w:tcBorders>
                    <w:tl2br w:val="nil"/>
                    <w:tr2bl w:val="nil"/>
                  </w:tcBorders>
                  <w:noWrap w:val="0"/>
                  <w:vAlign w:val="center"/>
                </w:tcPr>
                <w:p>
                  <w:pPr>
                    <w:pStyle w:val="71"/>
                    <w:spacing w:line="240" w:lineRule="auto"/>
                    <w:ind w:firstLine="0" w:firstLineChars="0"/>
                    <w:rPr>
                      <w:rFonts w:hint="default" w:ascii="Times New Roman" w:hAnsi="Times New Roman" w:eastAsia="宋体" w:cs="Times New Roman"/>
                      <w:b/>
                      <w:bCs w:val="0"/>
                      <w:color w:val="0000FF"/>
                      <w:kern w:val="2"/>
                      <w:sz w:val="21"/>
                      <w:szCs w:val="21"/>
                      <w:highlight w:val="none"/>
                      <w:lang w:val="en-US" w:eastAsia="zh-CN" w:bidi="ar-SA"/>
                    </w:rPr>
                  </w:pPr>
                  <w:r>
                    <w:rPr>
                      <w:rFonts w:hint="default" w:ascii="Times New Roman" w:hAnsi="Times New Roman" w:eastAsia="宋体" w:cs="Times New Roman"/>
                      <w:b/>
                      <w:bCs w:val="0"/>
                      <w:color w:val="0000FF"/>
                      <w:kern w:val="2"/>
                      <w:sz w:val="21"/>
                      <w:szCs w:val="21"/>
                      <w:highlight w:val="none"/>
                      <w:lang w:val="en-US" w:eastAsia="zh-CN" w:bidi="ar-SA"/>
                    </w:rPr>
                    <w:t>上月类别</w:t>
                  </w:r>
                </w:p>
              </w:tc>
              <w:tc>
                <w:tcPr>
                  <w:tcW w:w="628" w:type="pct"/>
                  <w:tcBorders>
                    <w:tl2br w:val="nil"/>
                    <w:tr2bl w:val="nil"/>
                  </w:tcBorders>
                  <w:noWrap w:val="0"/>
                  <w:vAlign w:val="center"/>
                </w:tcPr>
                <w:p>
                  <w:pPr>
                    <w:pStyle w:val="71"/>
                    <w:spacing w:line="240" w:lineRule="auto"/>
                    <w:ind w:firstLine="0" w:firstLineChars="0"/>
                    <w:rPr>
                      <w:rFonts w:hint="default" w:ascii="Times New Roman" w:hAnsi="Times New Roman" w:eastAsia="宋体" w:cs="Times New Roman"/>
                      <w:b/>
                      <w:bCs w:val="0"/>
                      <w:color w:val="0000FF"/>
                      <w:kern w:val="2"/>
                      <w:sz w:val="21"/>
                      <w:szCs w:val="21"/>
                      <w:highlight w:val="none"/>
                      <w:lang w:val="en-US" w:eastAsia="zh-CN" w:bidi="ar-SA"/>
                    </w:rPr>
                  </w:pPr>
                  <w:r>
                    <w:rPr>
                      <w:rFonts w:hint="default" w:ascii="Times New Roman" w:hAnsi="Times New Roman" w:eastAsia="宋体" w:cs="Times New Roman"/>
                      <w:b/>
                      <w:bCs w:val="0"/>
                      <w:color w:val="0000FF"/>
                      <w:kern w:val="2"/>
                      <w:sz w:val="21"/>
                      <w:szCs w:val="21"/>
                      <w:highlight w:val="none"/>
                      <w:lang w:val="en-US" w:eastAsia="zh-CN" w:bidi="ar-SA"/>
                    </w:rPr>
                    <w:t>本月类别</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2" w:type="pct"/>
                  <w:tcBorders>
                    <w:tl2br w:val="nil"/>
                    <w:tr2bl w:val="nil"/>
                  </w:tcBorders>
                  <w:noWrap w:val="0"/>
                  <w:vAlign w:val="center"/>
                </w:tcPr>
                <w:p>
                  <w:pPr>
                    <w:pStyle w:val="71"/>
                    <w:spacing w:line="240" w:lineRule="auto"/>
                    <w:ind w:firstLine="0" w:firstLineChars="0"/>
                    <w:rPr>
                      <w:rFonts w:hint="default" w:ascii="Times New Roman" w:hAnsi="Times New Roman" w:eastAsia="宋体" w:cs="Times New Roman"/>
                      <w:b w:val="0"/>
                      <w:bCs/>
                      <w:color w:val="0000FF"/>
                      <w:kern w:val="2"/>
                      <w:sz w:val="21"/>
                      <w:szCs w:val="21"/>
                      <w:highlight w:val="none"/>
                      <w:lang w:val="en-US" w:eastAsia="zh-CN" w:bidi="ar-SA"/>
                    </w:rPr>
                  </w:pPr>
                  <w:r>
                    <w:rPr>
                      <w:rFonts w:hint="default" w:ascii="Times New Roman" w:hAnsi="Times New Roman" w:eastAsia="宋体" w:cs="Times New Roman"/>
                      <w:b w:val="0"/>
                      <w:bCs/>
                      <w:color w:val="0000FF"/>
                      <w:kern w:val="2"/>
                      <w:sz w:val="21"/>
                      <w:szCs w:val="21"/>
                      <w:highlight w:val="none"/>
                      <w:lang w:val="en-US" w:eastAsia="zh-CN" w:bidi="ar-SA"/>
                    </w:rPr>
                    <w:t>1</w:t>
                  </w:r>
                </w:p>
              </w:tc>
              <w:tc>
                <w:tcPr>
                  <w:tcW w:w="828" w:type="pct"/>
                  <w:tcBorders>
                    <w:tl2br w:val="nil"/>
                    <w:tr2bl w:val="nil"/>
                  </w:tcBorders>
                  <w:noWrap w:val="0"/>
                  <w:vAlign w:val="center"/>
                </w:tcPr>
                <w:p>
                  <w:pPr>
                    <w:pStyle w:val="71"/>
                    <w:spacing w:line="240" w:lineRule="auto"/>
                    <w:ind w:firstLine="0" w:firstLineChars="0"/>
                    <w:rPr>
                      <w:rFonts w:hint="default" w:ascii="Times New Roman" w:hAnsi="Times New Roman" w:eastAsia="宋体" w:cs="Times New Roman"/>
                      <w:b w:val="0"/>
                      <w:bCs/>
                      <w:color w:val="0000FF"/>
                      <w:kern w:val="2"/>
                      <w:sz w:val="21"/>
                      <w:szCs w:val="21"/>
                      <w:highlight w:val="none"/>
                      <w:lang w:val="en-US" w:eastAsia="zh-CN" w:bidi="ar-SA"/>
                    </w:rPr>
                  </w:pPr>
                  <w:r>
                    <w:rPr>
                      <w:rFonts w:hint="default" w:ascii="Times New Roman" w:hAnsi="Times New Roman" w:eastAsia="宋体" w:cs="Times New Roman"/>
                      <w:b w:val="0"/>
                      <w:bCs/>
                      <w:color w:val="0000FF"/>
                      <w:kern w:val="2"/>
                      <w:sz w:val="21"/>
                      <w:szCs w:val="21"/>
                      <w:highlight w:val="none"/>
                      <w:lang w:val="en-US" w:eastAsia="zh-CN" w:bidi="ar-SA"/>
                    </w:rPr>
                    <w:t>大洪河</w:t>
                  </w:r>
                </w:p>
              </w:tc>
              <w:tc>
                <w:tcPr>
                  <w:tcW w:w="706" w:type="pct"/>
                  <w:tcBorders>
                    <w:tl2br w:val="nil"/>
                    <w:tr2bl w:val="nil"/>
                  </w:tcBorders>
                  <w:noWrap w:val="0"/>
                  <w:vAlign w:val="center"/>
                </w:tcPr>
                <w:p>
                  <w:pPr>
                    <w:pStyle w:val="71"/>
                    <w:spacing w:line="240" w:lineRule="auto"/>
                    <w:ind w:firstLine="0" w:firstLineChars="0"/>
                    <w:rPr>
                      <w:rFonts w:hint="default" w:ascii="Times New Roman" w:hAnsi="Times New Roman" w:eastAsia="宋体" w:cs="Times New Roman"/>
                      <w:b w:val="0"/>
                      <w:bCs/>
                      <w:color w:val="0000FF"/>
                      <w:kern w:val="2"/>
                      <w:sz w:val="21"/>
                      <w:szCs w:val="21"/>
                      <w:highlight w:val="none"/>
                      <w:lang w:val="en-US" w:eastAsia="zh-CN" w:bidi="ar-SA"/>
                    </w:rPr>
                  </w:pPr>
                  <w:r>
                    <w:rPr>
                      <w:rFonts w:hint="default" w:ascii="Times New Roman" w:hAnsi="Times New Roman" w:eastAsia="宋体" w:cs="Times New Roman"/>
                      <w:b w:val="0"/>
                      <w:bCs/>
                      <w:color w:val="0000FF"/>
                      <w:kern w:val="2"/>
                      <w:sz w:val="21"/>
                      <w:szCs w:val="21"/>
                      <w:highlight w:val="none"/>
                      <w:lang w:val="en-US" w:eastAsia="zh-CN" w:bidi="ar-SA"/>
                    </w:rPr>
                    <w:t>岗架大桥</w:t>
                  </w:r>
                </w:p>
              </w:tc>
              <w:tc>
                <w:tcPr>
                  <w:tcW w:w="1214" w:type="pct"/>
                  <w:tcBorders>
                    <w:tl2br w:val="nil"/>
                    <w:tr2bl w:val="nil"/>
                  </w:tcBorders>
                  <w:noWrap w:val="0"/>
                  <w:vAlign w:val="center"/>
                </w:tcPr>
                <w:p>
                  <w:pPr>
                    <w:pStyle w:val="71"/>
                    <w:spacing w:line="240" w:lineRule="auto"/>
                    <w:ind w:firstLine="0" w:firstLineChars="0"/>
                    <w:rPr>
                      <w:rFonts w:hint="default" w:ascii="Times New Roman" w:hAnsi="Times New Roman" w:eastAsia="宋体" w:cs="Times New Roman"/>
                      <w:b w:val="0"/>
                      <w:bCs/>
                      <w:color w:val="0000FF"/>
                      <w:kern w:val="2"/>
                      <w:sz w:val="21"/>
                      <w:szCs w:val="21"/>
                      <w:highlight w:val="none"/>
                      <w:lang w:val="en-US" w:eastAsia="zh-CN" w:bidi="ar-SA"/>
                    </w:rPr>
                  </w:pPr>
                  <w:r>
                    <w:rPr>
                      <w:rFonts w:hint="default" w:ascii="Times New Roman" w:hAnsi="Times New Roman" w:eastAsia="宋体" w:cs="Times New Roman"/>
                      <w:b w:val="0"/>
                      <w:bCs/>
                      <w:color w:val="0000FF"/>
                      <w:kern w:val="2"/>
                      <w:sz w:val="21"/>
                      <w:szCs w:val="21"/>
                      <w:highlight w:val="none"/>
                      <w:lang w:val="en-US" w:eastAsia="zh-CN" w:bidi="ar-SA"/>
                    </w:rPr>
                    <w:t>市界</w:t>
                  </w:r>
                </w:p>
                <w:p>
                  <w:pPr>
                    <w:pStyle w:val="71"/>
                    <w:spacing w:line="240" w:lineRule="auto"/>
                    <w:ind w:firstLine="0" w:firstLineChars="0"/>
                    <w:rPr>
                      <w:rFonts w:hint="default" w:ascii="Times New Roman" w:hAnsi="Times New Roman" w:eastAsia="宋体" w:cs="Times New Roman"/>
                      <w:b w:val="0"/>
                      <w:bCs/>
                      <w:color w:val="0000FF"/>
                      <w:kern w:val="2"/>
                      <w:sz w:val="21"/>
                      <w:szCs w:val="21"/>
                      <w:highlight w:val="none"/>
                      <w:lang w:val="en-US" w:eastAsia="zh-CN" w:bidi="ar-SA"/>
                    </w:rPr>
                  </w:pPr>
                  <w:r>
                    <w:rPr>
                      <w:rFonts w:hint="eastAsia" w:cs="Times New Roman"/>
                      <w:b w:val="0"/>
                      <w:bCs/>
                      <w:color w:val="0000FF"/>
                      <w:kern w:val="2"/>
                      <w:sz w:val="21"/>
                      <w:szCs w:val="21"/>
                      <w:highlight w:val="none"/>
                      <w:lang w:val="en-US" w:eastAsia="zh-CN" w:bidi="ar-SA"/>
                    </w:rPr>
                    <w:t>（</w:t>
                  </w:r>
                  <w:r>
                    <w:rPr>
                      <w:rFonts w:hint="default" w:ascii="Times New Roman" w:hAnsi="Times New Roman" w:eastAsia="宋体" w:cs="Times New Roman"/>
                      <w:b w:val="0"/>
                      <w:bCs/>
                      <w:color w:val="0000FF"/>
                      <w:kern w:val="2"/>
                      <w:sz w:val="21"/>
                      <w:szCs w:val="21"/>
                      <w:highlight w:val="none"/>
                      <w:lang w:val="en-US" w:eastAsia="zh-CN" w:bidi="ar-SA"/>
                    </w:rPr>
                    <w:t>达州市→广安市</w:t>
                  </w:r>
                  <w:r>
                    <w:rPr>
                      <w:rFonts w:hint="eastAsia" w:cs="Times New Roman"/>
                      <w:b w:val="0"/>
                      <w:bCs/>
                      <w:color w:val="0000FF"/>
                      <w:kern w:val="2"/>
                      <w:sz w:val="21"/>
                      <w:szCs w:val="21"/>
                      <w:highlight w:val="none"/>
                      <w:lang w:val="en-US" w:eastAsia="zh-CN" w:bidi="ar-SA"/>
                    </w:rPr>
                    <w:t>）</w:t>
                  </w:r>
                </w:p>
              </w:tc>
              <w:tc>
                <w:tcPr>
                  <w:tcW w:w="624" w:type="pct"/>
                  <w:tcBorders>
                    <w:tl2br w:val="nil"/>
                    <w:tr2bl w:val="nil"/>
                  </w:tcBorders>
                  <w:noWrap w:val="0"/>
                  <w:vAlign w:val="center"/>
                </w:tcPr>
                <w:p>
                  <w:pPr>
                    <w:pStyle w:val="71"/>
                    <w:spacing w:line="240" w:lineRule="auto"/>
                    <w:ind w:firstLine="0" w:firstLineChars="0"/>
                    <w:rPr>
                      <w:rFonts w:hint="default" w:ascii="Times New Roman" w:hAnsi="Times New Roman" w:eastAsia="宋体" w:cs="Times New Roman"/>
                      <w:b w:val="0"/>
                      <w:bCs/>
                      <w:color w:val="0000FF"/>
                      <w:kern w:val="2"/>
                      <w:sz w:val="21"/>
                      <w:szCs w:val="21"/>
                      <w:highlight w:val="none"/>
                      <w:lang w:val="en-US" w:eastAsia="zh-CN" w:bidi="ar-SA"/>
                    </w:rPr>
                  </w:pPr>
                  <w:r>
                    <w:rPr>
                      <w:rFonts w:hint="default" w:ascii="Times New Roman" w:hAnsi="Times New Roman" w:eastAsia="宋体" w:cs="Times New Roman"/>
                      <w:b w:val="0"/>
                      <w:bCs/>
                      <w:color w:val="0000FF"/>
                      <w:kern w:val="2"/>
                      <w:sz w:val="21"/>
                      <w:szCs w:val="21"/>
                      <w:highlight w:val="none"/>
                      <w:lang w:val="en-US" w:eastAsia="zh-CN" w:bidi="ar-SA"/>
                    </w:rPr>
                    <w:t>III</w:t>
                  </w:r>
                </w:p>
              </w:tc>
              <w:tc>
                <w:tcPr>
                  <w:tcW w:w="624" w:type="pct"/>
                  <w:tcBorders>
                    <w:tl2br w:val="nil"/>
                    <w:tr2bl w:val="nil"/>
                  </w:tcBorders>
                  <w:noWrap w:val="0"/>
                  <w:vAlign w:val="center"/>
                </w:tcPr>
                <w:p>
                  <w:pPr>
                    <w:pStyle w:val="71"/>
                    <w:spacing w:line="240" w:lineRule="auto"/>
                    <w:ind w:firstLine="0" w:firstLineChars="0"/>
                    <w:rPr>
                      <w:rFonts w:hint="default" w:ascii="Times New Roman" w:hAnsi="Times New Roman" w:eastAsia="宋体" w:cs="Times New Roman"/>
                      <w:b w:val="0"/>
                      <w:bCs/>
                      <w:color w:val="0000FF"/>
                      <w:kern w:val="2"/>
                      <w:sz w:val="21"/>
                      <w:szCs w:val="21"/>
                      <w:highlight w:val="none"/>
                      <w:lang w:val="en-US" w:eastAsia="zh-CN" w:bidi="ar-SA"/>
                    </w:rPr>
                  </w:pPr>
                  <w:r>
                    <w:rPr>
                      <w:rFonts w:hint="default" w:ascii="Times New Roman" w:hAnsi="Times New Roman" w:eastAsia="宋体" w:cs="Times New Roman"/>
                      <w:b w:val="0"/>
                      <w:bCs/>
                      <w:color w:val="0000FF"/>
                      <w:kern w:val="2"/>
                      <w:sz w:val="21"/>
                      <w:szCs w:val="21"/>
                      <w:highlight w:val="none"/>
                      <w:lang w:val="en-US" w:eastAsia="zh-CN" w:bidi="ar-SA"/>
                    </w:rPr>
                    <w:t>III</w:t>
                  </w:r>
                </w:p>
              </w:tc>
              <w:tc>
                <w:tcPr>
                  <w:tcW w:w="628" w:type="pct"/>
                  <w:tcBorders>
                    <w:tl2br w:val="nil"/>
                    <w:tr2bl w:val="nil"/>
                  </w:tcBorders>
                  <w:noWrap w:val="0"/>
                  <w:vAlign w:val="center"/>
                </w:tcPr>
                <w:p>
                  <w:pPr>
                    <w:pStyle w:val="71"/>
                    <w:spacing w:line="240" w:lineRule="auto"/>
                    <w:ind w:firstLine="0" w:firstLineChars="0"/>
                    <w:rPr>
                      <w:rFonts w:hint="default" w:ascii="Times New Roman" w:hAnsi="Times New Roman" w:eastAsia="宋体" w:cs="Times New Roman"/>
                      <w:b w:val="0"/>
                      <w:bCs/>
                      <w:color w:val="0000FF"/>
                      <w:kern w:val="2"/>
                      <w:sz w:val="21"/>
                      <w:szCs w:val="21"/>
                      <w:highlight w:val="none"/>
                      <w:lang w:val="en-US" w:eastAsia="zh-CN" w:bidi="ar-SA"/>
                    </w:rPr>
                  </w:pPr>
                  <w:r>
                    <w:rPr>
                      <w:rFonts w:hint="default" w:ascii="Times New Roman" w:hAnsi="Times New Roman" w:eastAsia="宋体" w:cs="Times New Roman"/>
                      <w:b w:val="0"/>
                      <w:bCs/>
                      <w:color w:val="0000FF"/>
                      <w:kern w:val="2"/>
                      <w:sz w:val="21"/>
                      <w:szCs w:val="21"/>
                      <w:highlight w:val="none"/>
                      <w:lang w:val="en-US" w:eastAsia="zh-CN" w:bidi="ar-SA"/>
                    </w:rPr>
                    <w:t>III</w:t>
                  </w:r>
                </w:p>
              </w:tc>
            </w:tr>
          </w:tbl>
          <w:p>
            <w:pPr>
              <w:spacing w:line="360" w:lineRule="auto"/>
              <w:ind w:firstLine="480" w:firstLineChars="200"/>
              <w:rPr>
                <w:rFonts w:hint="eastAsia" w:cs="Times New Roman"/>
                <w:color w:val="0000FF"/>
                <w:sz w:val="24"/>
                <w:szCs w:val="24"/>
                <w:highlight w:val="none"/>
              </w:rPr>
            </w:pPr>
            <w:r>
              <w:rPr>
                <w:rFonts w:hint="eastAsia" w:cs="Times New Roman"/>
                <w:color w:val="0000FF"/>
                <w:sz w:val="24"/>
                <w:szCs w:val="24"/>
                <w:highlight w:val="none"/>
              </w:rPr>
              <w:t>本项目位于</w:t>
            </w:r>
            <w:r>
              <w:rPr>
                <w:rFonts w:hint="eastAsia" w:eastAsia="宋体" w:cs="Times New Roman"/>
                <w:color w:val="0000FF"/>
                <w:sz w:val="24"/>
                <w:szCs w:val="24"/>
                <w:highlight w:val="none"/>
                <w:lang w:eastAsia="zh-CN"/>
              </w:rPr>
              <w:t>达州</w:t>
            </w:r>
            <w:r>
              <w:rPr>
                <w:rFonts w:hint="eastAsia" w:cs="Times New Roman"/>
                <w:color w:val="0000FF"/>
                <w:sz w:val="24"/>
                <w:szCs w:val="24"/>
                <w:highlight w:val="none"/>
                <w:lang w:val="en-US" w:eastAsia="zh-CN"/>
              </w:rPr>
              <w:t>市大竹县文星镇</w:t>
            </w:r>
            <w:r>
              <w:rPr>
                <w:rFonts w:hint="eastAsia" w:cs="Times New Roman"/>
                <w:color w:val="0000FF"/>
                <w:sz w:val="24"/>
                <w:szCs w:val="24"/>
                <w:highlight w:val="none"/>
              </w:rPr>
              <w:t>，参考断面为“</w:t>
            </w:r>
            <w:r>
              <w:rPr>
                <w:rFonts w:hint="default" w:ascii="Times New Roman" w:hAnsi="Times New Roman" w:eastAsia="宋体" w:cs="Times New Roman"/>
                <w:b w:val="0"/>
                <w:bCs/>
                <w:color w:val="0000FF"/>
                <w:kern w:val="2"/>
                <w:sz w:val="21"/>
                <w:szCs w:val="21"/>
                <w:highlight w:val="none"/>
                <w:lang w:val="en-US" w:eastAsia="zh-CN" w:bidi="ar-SA"/>
              </w:rPr>
              <w:t>岗架大桥</w:t>
            </w:r>
            <w:r>
              <w:rPr>
                <w:rFonts w:hint="eastAsia" w:cs="Times New Roman"/>
                <w:color w:val="0000FF"/>
                <w:sz w:val="24"/>
                <w:szCs w:val="24"/>
                <w:highlight w:val="none"/>
              </w:rPr>
              <w:t>断面”，由上表可知，</w:t>
            </w:r>
            <w:r>
              <w:rPr>
                <w:rFonts w:hint="default" w:ascii="Times New Roman" w:hAnsi="Times New Roman" w:eastAsia="宋体" w:cs="Times New Roman"/>
                <w:b w:val="0"/>
                <w:bCs/>
                <w:color w:val="0000FF"/>
                <w:kern w:val="2"/>
                <w:sz w:val="21"/>
                <w:szCs w:val="21"/>
                <w:highlight w:val="none"/>
                <w:lang w:val="en-US" w:eastAsia="zh-CN" w:bidi="ar-SA"/>
              </w:rPr>
              <w:t>岗架大桥</w:t>
            </w:r>
            <w:r>
              <w:rPr>
                <w:rFonts w:hint="eastAsia" w:cs="Times New Roman"/>
                <w:color w:val="0000FF"/>
                <w:sz w:val="24"/>
                <w:szCs w:val="24"/>
                <w:highlight w:val="none"/>
              </w:rPr>
              <w:t>断面水质可达到《地表水环境质量标准》（GB3838—2002）中的</w:t>
            </w:r>
            <w:r>
              <w:rPr>
                <w:rFonts w:hint="default" w:ascii="Times New Roman" w:hAnsi="Times New Roman" w:eastAsia="宋体" w:cs="Times New Roman"/>
                <w:b w:val="0"/>
                <w:bCs/>
                <w:color w:val="0000FF"/>
                <w:kern w:val="2"/>
                <w:sz w:val="24"/>
                <w:szCs w:val="24"/>
                <w:highlight w:val="none"/>
                <w:lang w:val="en-US" w:eastAsia="zh-CN" w:bidi="ar-SA"/>
              </w:rPr>
              <w:t>III</w:t>
            </w:r>
            <w:r>
              <w:rPr>
                <w:rFonts w:hint="eastAsia" w:cs="Times New Roman"/>
                <w:color w:val="0000FF"/>
                <w:sz w:val="24"/>
                <w:szCs w:val="24"/>
                <w:highlight w:val="none"/>
              </w:rPr>
              <w:t>类水域标准。</w:t>
            </w:r>
          </w:p>
          <w:p>
            <w:pPr>
              <w:spacing w:line="360" w:lineRule="auto"/>
              <w:ind w:firstLine="482" w:firstLineChars="200"/>
              <w:rPr>
                <w:rFonts w:cs="Times New Roman"/>
                <w:b/>
                <w:color w:val="auto"/>
                <w:sz w:val="24"/>
                <w:szCs w:val="24"/>
                <w:highlight w:val="none"/>
              </w:rPr>
            </w:pPr>
            <w:r>
              <w:rPr>
                <w:rFonts w:cs="Times New Roman"/>
                <w:b/>
                <w:color w:val="auto"/>
                <w:sz w:val="24"/>
                <w:szCs w:val="24"/>
                <w:highlight w:val="none"/>
              </w:rPr>
              <w:t>3</w:t>
            </w:r>
            <w:r>
              <w:rPr>
                <w:rFonts w:hint="eastAsia" w:cs="Times New Roman"/>
                <w:b/>
                <w:color w:val="auto"/>
                <w:sz w:val="24"/>
                <w:szCs w:val="24"/>
                <w:highlight w:val="none"/>
              </w:rPr>
              <w:t>、声环境质量现状</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rPr>
              <w:t>为了解区域声环境质量现状，本次环评</w:t>
            </w:r>
            <w:r>
              <w:rPr>
                <w:rFonts w:hint="eastAsia" w:cs="Times New Roman"/>
                <w:color w:val="auto"/>
                <w:sz w:val="24"/>
                <w:szCs w:val="24"/>
                <w:highlight w:val="none"/>
                <w:lang w:val="en-US" w:eastAsia="zh-CN"/>
              </w:rPr>
              <w:t>区域噪声</w:t>
            </w:r>
            <w:r>
              <w:rPr>
                <w:rFonts w:hint="eastAsia" w:ascii="Times New Roman" w:hAnsi="Times New Roman" w:eastAsia="宋体" w:cs="Times New Roman"/>
                <w:color w:val="auto"/>
                <w:sz w:val="24"/>
                <w:szCs w:val="24"/>
                <w:highlight w:val="none"/>
                <w:lang w:val="en-US" w:eastAsia="zh-CN"/>
              </w:rPr>
              <w:t>委托</w:t>
            </w:r>
            <w:r>
              <w:rPr>
                <w:rFonts w:hint="eastAsia" w:cs="Times New Roman"/>
                <w:color w:val="auto"/>
                <w:sz w:val="24"/>
                <w:szCs w:val="24"/>
                <w:highlight w:val="none"/>
              </w:rPr>
              <w:t>达州恒福环境监测服务有限公司</w:t>
            </w:r>
            <w:r>
              <w:rPr>
                <w:rFonts w:hint="eastAsia" w:ascii="Times New Roman" w:hAnsi="Times New Roman" w:eastAsia="宋体" w:cs="Times New Roman"/>
                <w:color w:val="auto"/>
                <w:sz w:val="24"/>
                <w:szCs w:val="24"/>
                <w:highlight w:val="none"/>
                <w:lang w:val="en-US" w:eastAsia="zh-CN"/>
              </w:rPr>
              <w:t>于</w:t>
            </w:r>
            <w:r>
              <w:rPr>
                <w:rFonts w:hint="default" w:ascii="Times New Roman" w:hAnsi="Times New Roman" w:eastAsia="宋体" w:cs="Times New Roman"/>
                <w:color w:val="auto"/>
                <w:sz w:val="24"/>
                <w:szCs w:val="24"/>
                <w:highlight w:val="none"/>
                <w:lang w:val="en-US" w:eastAsia="zh-CN"/>
              </w:rPr>
              <w:t>20</w:t>
            </w:r>
            <w:r>
              <w:rPr>
                <w:rFonts w:hint="eastAsia"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lang w:val="en-US" w:eastAsia="zh-CN"/>
              </w:rPr>
              <w:t>日</w:t>
            </w:r>
            <w:r>
              <w:rPr>
                <w:rFonts w:hint="eastAsia" w:ascii="Times New Roman" w:hAnsi="Times New Roman" w:eastAsia="宋体" w:cs="Times New Roman"/>
                <w:color w:val="auto"/>
                <w:sz w:val="24"/>
                <w:szCs w:val="24"/>
                <w:highlight w:val="none"/>
                <w:lang w:val="en-US" w:eastAsia="zh-CN"/>
              </w:rPr>
              <w:t>对区域声质量现状进行监测。</w:t>
            </w:r>
          </w:p>
          <w:p>
            <w:pPr>
              <w:spacing w:line="360" w:lineRule="auto"/>
              <w:ind w:firstLine="482" w:firstLineChars="200"/>
              <w:rPr>
                <w:b/>
                <w:color w:val="auto"/>
                <w:sz w:val="24"/>
                <w:szCs w:val="24"/>
                <w:highlight w:val="none"/>
              </w:rPr>
            </w:pPr>
            <w:r>
              <w:rPr>
                <w:rFonts w:hint="eastAsia"/>
                <w:b/>
                <w:color w:val="auto"/>
                <w:sz w:val="24"/>
                <w:szCs w:val="24"/>
                <w:highlight w:val="none"/>
              </w:rPr>
              <w:t>①</w:t>
            </w:r>
            <w:r>
              <w:rPr>
                <w:rFonts w:hint="eastAsia" w:cs="Times New Roman"/>
                <w:b/>
                <w:color w:val="auto"/>
                <w:sz w:val="24"/>
                <w:szCs w:val="24"/>
                <w:highlight w:val="none"/>
              </w:rPr>
              <w:t>监测点位</w:t>
            </w:r>
          </w:p>
          <w:p>
            <w:pPr>
              <w:spacing w:line="360" w:lineRule="auto"/>
              <w:ind w:firstLine="480" w:firstLineChars="200"/>
              <w:rPr>
                <w:color w:val="auto"/>
                <w:sz w:val="24"/>
                <w:szCs w:val="24"/>
                <w:highlight w:val="none"/>
              </w:rPr>
            </w:pPr>
            <w:r>
              <w:rPr>
                <w:rFonts w:hint="eastAsia"/>
                <w:color w:val="auto"/>
                <w:sz w:val="24"/>
                <w:szCs w:val="24"/>
                <w:highlight w:val="none"/>
              </w:rPr>
              <w:t>本次环评共设噪声监测点</w:t>
            </w:r>
            <w:r>
              <w:rPr>
                <w:rFonts w:hint="eastAsia"/>
                <w:color w:val="auto"/>
                <w:sz w:val="24"/>
                <w:szCs w:val="24"/>
                <w:highlight w:val="none"/>
                <w:lang w:val="en-US" w:eastAsia="zh-CN"/>
              </w:rPr>
              <w:t>5</w:t>
            </w:r>
            <w:r>
              <w:rPr>
                <w:rFonts w:hint="eastAsia"/>
                <w:color w:val="auto"/>
                <w:sz w:val="24"/>
                <w:szCs w:val="24"/>
                <w:highlight w:val="none"/>
              </w:rPr>
              <w:t>个，监测点位置见表3-</w:t>
            </w:r>
            <w:r>
              <w:rPr>
                <w:color w:val="auto"/>
                <w:sz w:val="24"/>
                <w:szCs w:val="24"/>
                <w:highlight w:val="none"/>
              </w:rPr>
              <w:t>5</w:t>
            </w:r>
            <w:r>
              <w:rPr>
                <w:rFonts w:hint="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b/>
                <w:bCs/>
                <w:color w:val="auto"/>
                <w:sz w:val="24"/>
                <w:szCs w:val="24"/>
                <w:highlight w:val="none"/>
                <w:lang w:val="en-US" w:eastAsia="zh-CN"/>
              </w:rPr>
            </w:pPr>
            <w:r>
              <w:rPr>
                <w:rFonts w:hint="eastAsia" w:ascii="Times New Roman" w:hAnsi="Times New Roman"/>
                <w:b/>
                <w:bCs/>
                <w:color w:val="auto"/>
                <w:sz w:val="24"/>
                <w:szCs w:val="24"/>
                <w:highlight w:val="none"/>
                <w:lang w:val="en-US" w:eastAsia="zh-CN"/>
              </w:rPr>
              <w:t>表3-5  噪声监测点位表</w:t>
            </w:r>
          </w:p>
          <w:tbl>
            <w:tblPr>
              <w:tblStyle w:val="24"/>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74"/>
              <w:gridCol w:w="60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8" w:type="pct"/>
                  <w:tcBorders>
                    <w:tl2br w:val="nil"/>
                    <w:tr2bl w:val="nil"/>
                  </w:tcBorders>
                  <w:vAlign w:val="center"/>
                </w:tcPr>
                <w:p>
                  <w:pPr>
                    <w:spacing w:line="240" w:lineRule="auto"/>
                    <w:jc w:val="center"/>
                    <w:rPr>
                      <w:rFonts w:cstheme="minorHAnsi"/>
                      <w:b/>
                      <w:bCs/>
                      <w:color w:val="auto"/>
                      <w:sz w:val="21"/>
                      <w:szCs w:val="21"/>
                      <w:highlight w:val="none"/>
                    </w:rPr>
                  </w:pPr>
                  <w:r>
                    <w:rPr>
                      <w:rFonts w:cstheme="minorHAnsi"/>
                      <w:b/>
                      <w:bCs/>
                      <w:color w:val="auto"/>
                      <w:sz w:val="21"/>
                      <w:szCs w:val="21"/>
                      <w:highlight w:val="none"/>
                    </w:rPr>
                    <w:t>编号</w:t>
                  </w:r>
                </w:p>
              </w:tc>
              <w:tc>
                <w:tcPr>
                  <w:tcW w:w="3591" w:type="pct"/>
                  <w:tcBorders>
                    <w:tl2br w:val="nil"/>
                    <w:tr2bl w:val="nil"/>
                  </w:tcBorders>
                  <w:vAlign w:val="center"/>
                </w:tcPr>
                <w:p>
                  <w:pPr>
                    <w:spacing w:line="240" w:lineRule="auto"/>
                    <w:jc w:val="center"/>
                    <w:rPr>
                      <w:rFonts w:cstheme="minorHAnsi"/>
                      <w:b/>
                      <w:bCs/>
                      <w:color w:val="auto"/>
                      <w:sz w:val="21"/>
                      <w:szCs w:val="21"/>
                      <w:highlight w:val="none"/>
                    </w:rPr>
                  </w:pPr>
                  <w:r>
                    <w:rPr>
                      <w:rFonts w:cstheme="minorHAnsi"/>
                      <w:b/>
                      <w:bCs/>
                      <w:color w:val="auto"/>
                      <w:sz w:val="21"/>
                      <w:szCs w:val="21"/>
                      <w:highlight w:val="none"/>
                    </w:rPr>
                    <w:t>监测点名称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8" w:type="pct"/>
                  <w:tcBorders>
                    <w:tl2br w:val="nil"/>
                    <w:tr2bl w:val="nil"/>
                  </w:tcBorders>
                  <w:vAlign w:val="center"/>
                </w:tcPr>
                <w:p>
                  <w:pPr>
                    <w:spacing w:line="240" w:lineRule="auto"/>
                    <w:jc w:val="center"/>
                    <w:rPr>
                      <w:rFonts w:cstheme="minorHAnsi"/>
                      <w:color w:val="auto"/>
                      <w:sz w:val="21"/>
                      <w:szCs w:val="21"/>
                      <w:highlight w:val="none"/>
                    </w:rPr>
                  </w:pPr>
                  <w:r>
                    <w:rPr>
                      <w:rFonts w:hint="eastAsia" w:cstheme="minorHAnsi"/>
                      <w:color w:val="auto"/>
                      <w:sz w:val="21"/>
                      <w:szCs w:val="21"/>
                      <w:highlight w:val="none"/>
                    </w:rPr>
                    <w:t>1#</w:t>
                  </w:r>
                </w:p>
              </w:tc>
              <w:tc>
                <w:tcPr>
                  <w:tcW w:w="3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w:t>
                  </w:r>
                  <w:r>
                    <w:rPr>
                      <w:rFonts w:hint="eastAsia" w:ascii="Times New Roman" w:hAnsi="Times New Roman" w:eastAsia="宋体" w:cs="Times New Roman"/>
                      <w:color w:val="auto"/>
                      <w:kern w:val="2"/>
                      <w:sz w:val="21"/>
                      <w:szCs w:val="21"/>
                      <w:lang w:val="en-US" w:eastAsia="zh-CN" w:bidi="ar-SA"/>
                    </w:rPr>
                    <w:t>北</w:t>
                  </w:r>
                  <w:r>
                    <w:rPr>
                      <w:rFonts w:hint="default" w:ascii="Times New Roman" w:hAnsi="Times New Roman" w:eastAsia="宋体" w:cs="Times New Roman"/>
                      <w:color w:val="auto"/>
                      <w:kern w:val="2"/>
                      <w:sz w:val="21"/>
                      <w:szCs w:val="21"/>
                      <w:lang w:val="en-US" w:eastAsia="zh-CN" w:bidi="ar-SA"/>
                    </w:rPr>
                    <w:t>厂界外1m处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8" w:type="pct"/>
                  <w:tcBorders>
                    <w:tl2br w:val="nil"/>
                    <w:tr2bl w:val="nil"/>
                  </w:tcBorders>
                  <w:vAlign w:val="center"/>
                </w:tcPr>
                <w:p>
                  <w:pPr>
                    <w:spacing w:line="240" w:lineRule="auto"/>
                    <w:jc w:val="center"/>
                    <w:rPr>
                      <w:rFonts w:cstheme="minorHAnsi"/>
                      <w:color w:val="auto"/>
                      <w:sz w:val="21"/>
                      <w:szCs w:val="21"/>
                      <w:highlight w:val="none"/>
                    </w:rPr>
                  </w:pPr>
                  <w:r>
                    <w:rPr>
                      <w:rFonts w:hint="eastAsia" w:cstheme="minorHAnsi"/>
                      <w:color w:val="auto"/>
                      <w:sz w:val="21"/>
                      <w:szCs w:val="21"/>
                      <w:highlight w:val="none"/>
                    </w:rPr>
                    <w:t>2#</w:t>
                  </w:r>
                </w:p>
              </w:tc>
              <w:tc>
                <w:tcPr>
                  <w:tcW w:w="3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w:t>
                  </w:r>
                  <w:r>
                    <w:rPr>
                      <w:rFonts w:hint="eastAsia" w:ascii="Times New Roman" w:hAnsi="Times New Roman" w:eastAsia="宋体" w:cs="Times New Roman"/>
                      <w:color w:val="auto"/>
                      <w:kern w:val="2"/>
                      <w:sz w:val="21"/>
                      <w:szCs w:val="21"/>
                      <w:lang w:val="en-US" w:eastAsia="zh-CN" w:bidi="ar-SA"/>
                    </w:rPr>
                    <w:t>东</w:t>
                  </w:r>
                  <w:r>
                    <w:rPr>
                      <w:rFonts w:hint="default" w:ascii="Times New Roman" w:hAnsi="Times New Roman" w:eastAsia="宋体" w:cs="Times New Roman"/>
                      <w:color w:val="auto"/>
                      <w:kern w:val="2"/>
                      <w:sz w:val="21"/>
                      <w:szCs w:val="21"/>
                      <w:lang w:val="en-US" w:eastAsia="zh-CN" w:bidi="ar-SA"/>
                    </w:rPr>
                    <w:t>厂界外1m处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8" w:type="pct"/>
                  <w:tcBorders>
                    <w:tl2br w:val="nil"/>
                    <w:tr2bl w:val="nil"/>
                  </w:tcBorders>
                  <w:vAlign w:val="center"/>
                </w:tcPr>
                <w:p>
                  <w:pPr>
                    <w:spacing w:line="240" w:lineRule="auto"/>
                    <w:jc w:val="center"/>
                    <w:rPr>
                      <w:rFonts w:cstheme="minorHAnsi"/>
                      <w:color w:val="auto"/>
                      <w:sz w:val="21"/>
                      <w:szCs w:val="21"/>
                      <w:highlight w:val="none"/>
                    </w:rPr>
                  </w:pPr>
                  <w:r>
                    <w:rPr>
                      <w:rFonts w:hint="eastAsia" w:cstheme="minorHAnsi"/>
                      <w:color w:val="auto"/>
                      <w:sz w:val="21"/>
                      <w:szCs w:val="21"/>
                      <w:highlight w:val="none"/>
                    </w:rPr>
                    <w:t>3#</w:t>
                  </w:r>
                </w:p>
              </w:tc>
              <w:tc>
                <w:tcPr>
                  <w:tcW w:w="3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项目南厂界外1m处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8" w:type="pct"/>
                  <w:tcBorders>
                    <w:tl2br w:val="nil"/>
                    <w:tr2bl w:val="nil"/>
                  </w:tcBorders>
                  <w:vAlign w:val="center"/>
                </w:tcPr>
                <w:p>
                  <w:pPr>
                    <w:spacing w:line="240" w:lineRule="auto"/>
                    <w:jc w:val="center"/>
                    <w:rPr>
                      <w:rFonts w:cstheme="minorHAnsi"/>
                      <w:color w:val="auto"/>
                      <w:sz w:val="21"/>
                      <w:szCs w:val="21"/>
                      <w:highlight w:val="none"/>
                    </w:rPr>
                  </w:pPr>
                  <w:r>
                    <w:rPr>
                      <w:rFonts w:hint="eastAsia" w:cstheme="minorHAnsi"/>
                      <w:color w:val="auto"/>
                      <w:sz w:val="21"/>
                      <w:szCs w:val="21"/>
                      <w:highlight w:val="none"/>
                    </w:rPr>
                    <w:t>4#</w:t>
                  </w:r>
                </w:p>
              </w:tc>
              <w:tc>
                <w:tcPr>
                  <w:tcW w:w="3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项目西厂界外1m处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8" w:type="pct"/>
                  <w:tcBorders>
                    <w:tl2br w:val="nil"/>
                    <w:tr2bl w:val="nil"/>
                  </w:tcBorders>
                  <w:vAlign w:val="center"/>
                </w:tcPr>
                <w:p>
                  <w:pPr>
                    <w:spacing w:line="240" w:lineRule="auto"/>
                    <w:jc w:val="center"/>
                    <w:rPr>
                      <w:rFonts w:hint="eastAsia" w:cstheme="minorHAnsi"/>
                      <w:color w:val="auto"/>
                      <w:sz w:val="21"/>
                      <w:szCs w:val="21"/>
                      <w:highlight w:val="none"/>
                    </w:rPr>
                  </w:pPr>
                  <w:r>
                    <w:rPr>
                      <w:rFonts w:hint="eastAsia"/>
                      <w:color w:val="auto"/>
                      <w:sz w:val="21"/>
                      <w:szCs w:val="21"/>
                      <w:highlight w:val="none"/>
                    </w:rPr>
                    <w:t>5#</w:t>
                  </w:r>
                </w:p>
              </w:tc>
              <w:tc>
                <w:tcPr>
                  <w:tcW w:w="3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项目南侧居民处（约30m）</w:t>
                  </w:r>
                </w:p>
              </w:tc>
            </w:tr>
          </w:tbl>
          <w:p>
            <w:pPr>
              <w:spacing w:line="360" w:lineRule="auto"/>
              <w:ind w:firstLine="482" w:firstLineChars="200"/>
              <w:rPr>
                <w:b/>
                <w:color w:val="auto"/>
                <w:sz w:val="24"/>
                <w:szCs w:val="24"/>
                <w:highlight w:val="none"/>
              </w:rPr>
            </w:pPr>
            <w:r>
              <w:rPr>
                <w:rFonts w:hint="eastAsia"/>
                <w:b/>
                <w:color w:val="auto"/>
                <w:sz w:val="24"/>
                <w:szCs w:val="24"/>
                <w:highlight w:val="none"/>
              </w:rPr>
              <w:t>②</w:t>
            </w:r>
            <w:r>
              <w:rPr>
                <w:rFonts w:hint="eastAsia" w:cs="Times New Roman"/>
                <w:b/>
                <w:color w:val="auto"/>
                <w:sz w:val="24"/>
                <w:szCs w:val="24"/>
                <w:highlight w:val="none"/>
              </w:rPr>
              <w:t>监测时间</w:t>
            </w:r>
          </w:p>
          <w:p>
            <w:pPr>
              <w:spacing w:line="360" w:lineRule="auto"/>
              <w:ind w:firstLine="480" w:firstLineChars="200"/>
              <w:rPr>
                <w:rFonts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20</w:t>
            </w:r>
            <w:r>
              <w:rPr>
                <w:rFonts w:hint="eastAsia"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lang w:val="en-US" w:eastAsia="zh-CN"/>
              </w:rPr>
              <w:t>日</w:t>
            </w:r>
            <w:r>
              <w:rPr>
                <w:rFonts w:hint="eastAsia" w:cs="Times New Roman"/>
                <w:color w:val="auto"/>
                <w:sz w:val="24"/>
                <w:szCs w:val="24"/>
                <w:highlight w:val="none"/>
              </w:rPr>
              <w:t>，共</w:t>
            </w:r>
            <w:r>
              <w:rPr>
                <w:rFonts w:cs="Times New Roman"/>
                <w:color w:val="auto"/>
                <w:sz w:val="24"/>
                <w:szCs w:val="24"/>
                <w:highlight w:val="none"/>
              </w:rPr>
              <w:t>监测</w:t>
            </w:r>
            <w:r>
              <w:rPr>
                <w:rFonts w:hint="eastAsia" w:cs="Times New Roman"/>
                <w:color w:val="auto"/>
                <w:sz w:val="24"/>
                <w:szCs w:val="24"/>
                <w:highlight w:val="none"/>
                <w:lang w:val="en-US" w:eastAsia="zh-CN"/>
              </w:rPr>
              <w:t>1</w:t>
            </w:r>
            <w:r>
              <w:rPr>
                <w:rFonts w:cs="Times New Roman"/>
                <w:color w:val="auto"/>
                <w:sz w:val="24"/>
                <w:szCs w:val="24"/>
                <w:highlight w:val="none"/>
              </w:rPr>
              <w:t>天，昼</w:t>
            </w:r>
            <w:r>
              <w:rPr>
                <w:rFonts w:hint="eastAsia" w:cs="Times New Roman"/>
                <w:color w:val="auto"/>
                <w:sz w:val="24"/>
                <w:szCs w:val="24"/>
                <w:highlight w:val="none"/>
                <w:lang w:val="en-US" w:eastAsia="zh-CN"/>
              </w:rPr>
              <w:t>夜各</w:t>
            </w:r>
            <w:r>
              <w:rPr>
                <w:rFonts w:cs="Times New Roman"/>
                <w:color w:val="auto"/>
                <w:sz w:val="24"/>
                <w:szCs w:val="24"/>
                <w:highlight w:val="none"/>
              </w:rPr>
              <w:t>监测</w:t>
            </w:r>
            <w:r>
              <w:rPr>
                <w:rFonts w:hint="eastAsia" w:cs="Times New Roman"/>
                <w:color w:val="auto"/>
                <w:sz w:val="24"/>
                <w:szCs w:val="24"/>
                <w:highlight w:val="none"/>
                <w:lang w:val="en-US" w:eastAsia="zh-CN"/>
              </w:rPr>
              <w:t>1</w:t>
            </w:r>
            <w:r>
              <w:rPr>
                <w:rFonts w:hint="eastAsia" w:cs="Times New Roman"/>
                <w:color w:val="auto"/>
                <w:sz w:val="24"/>
                <w:szCs w:val="24"/>
                <w:highlight w:val="none"/>
              </w:rPr>
              <w:t>次。</w:t>
            </w:r>
          </w:p>
          <w:p>
            <w:pPr>
              <w:spacing w:line="360" w:lineRule="auto"/>
              <w:ind w:firstLine="482" w:firstLineChars="200"/>
              <w:rPr>
                <w:b/>
                <w:color w:val="auto"/>
                <w:sz w:val="24"/>
                <w:szCs w:val="24"/>
                <w:highlight w:val="none"/>
              </w:rPr>
            </w:pPr>
            <w:r>
              <w:rPr>
                <w:rFonts w:hint="eastAsia"/>
                <w:b/>
                <w:color w:val="auto"/>
                <w:sz w:val="24"/>
                <w:szCs w:val="24"/>
                <w:highlight w:val="none"/>
              </w:rPr>
              <w:t>③</w:t>
            </w:r>
            <w:r>
              <w:rPr>
                <w:rFonts w:cs="Times New Roman"/>
                <w:b/>
                <w:color w:val="auto"/>
                <w:sz w:val="24"/>
                <w:szCs w:val="24"/>
                <w:highlight w:val="none"/>
              </w:rPr>
              <w:t>评价标准</w:t>
            </w:r>
          </w:p>
          <w:p>
            <w:pPr>
              <w:spacing w:line="360" w:lineRule="auto"/>
              <w:ind w:firstLine="480" w:firstLineChars="200"/>
              <w:rPr>
                <w:rFonts w:cs="Times New Roman"/>
                <w:color w:val="auto"/>
                <w:sz w:val="24"/>
                <w:szCs w:val="24"/>
                <w:highlight w:val="none"/>
              </w:rPr>
            </w:pPr>
            <w:r>
              <w:rPr>
                <w:rFonts w:hint="eastAsia"/>
                <w:color w:val="auto"/>
                <w:sz w:val="24"/>
                <w:szCs w:val="24"/>
                <w:highlight w:val="none"/>
                <w:lang w:val="zh-CN"/>
              </w:rPr>
              <w:t>执行《声环境</w:t>
            </w:r>
            <w:r>
              <w:rPr>
                <w:color w:val="auto"/>
                <w:sz w:val="24"/>
                <w:szCs w:val="24"/>
                <w:highlight w:val="none"/>
                <w:lang w:val="zh-CN"/>
              </w:rPr>
              <w:t>质量标准》（GB3096-2008</w:t>
            </w:r>
            <w:r>
              <w:rPr>
                <w:rFonts w:hint="eastAsia"/>
                <w:color w:val="auto"/>
                <w:sz w:val="24"/>
                <w:szCs w:val="24"/>
                <w:highlight w:val="none"/>
                <w:lang w:val="zh-CN"/>
              </w:rPr>
              <w:t>）</w:t>
            </w:r>
            <w:r>
              <w:rPr>
                <w:rFonts w:hint="eastAsia"/>
                <w:color w:val="auto"/>
                <w:sz w:val="24"/>
                <w:szCs w:val="24"/>
                <w:highlight w:val="none"/>
                <w:lang w:val="en-US" w:eastAsia="zh-CN"/>
              </w:rPr>
              <w:t>2</w:t>
            </w:r>
            <w:r>
              <w:rPr>
                <w:rFonts w:hint="eastAsia"/>
                <w:color w:val="auto"/>
                <w:sz w:val="24"/>
                <w:szCs w:val="24"/>
                <w:highlight w:val="none"/>
                <w:lang w:val="zh-CN"/>
              </w:rPr>
              <w:t>类</w:t>
            </w:r>
            <w:r>
              <w:rPr>
                <w:color w:val="auto"/>
                <w:sz w:val="24"/>
                <w:szCs w:val="24"/>
                <w:highlight w:val="none"/>
                <w:lang w:val="zh-CN"/>
              </w:rPr>
              <w:t>标准</w:t>
            </w:r>
            <w:r>
              <w:rPr>
                <w:rFonts w:hint="eastAsia" w:cs="Times New Roman"/>
                <w:color w:val="auto"/>
                <w:sz w:val="24"/>
                <w:szCs w:val="24"/>
                <w:highlight w:val="none"/>
              </w:rPr>
              <w:t>。</w:t>
            </w:r>
          </w:p>
          <w:p>
            <w:pPr>
              <w:spacing w:line="360" w:lineRule="auto"/>
              <w:ind w:firstLine="482" w:firstLineChars="200"/>
              <w:rPr>
                <w:b/>
                <w:color w:val="auto"/>
                <w:sz w:val="24"/>
                <w:szCs w:val="24"/>
                <w:highlight w:val="none"/>
              </w:rPr>
            </w:pPr>
            <w:r>
              <w:rPr>
                <w:rFonts w:hint="eastAsia"/>
                <w:b/>
                <w:color w:val="auto"/>
                <w:sz w:val="24"/>
                <w:szCs w:val="24"/>
                <w:highlight w:val="none"/>
              </w:rPr>
              <w:t>④</w:t>
            </w:r>
            <w:r>
              <w:rPr>
                <w:rFonts w:cs="Times New Roman"/>
                <w:b/>
                <w:color w:val="auto"/>
                <w:sz w:val="24"/>
                <w:szCs w:val="24"/>
                <w:highlight w:val="none"/>
              </w:rPr>
              <w:t>评价</w:t>
            </w:r>
            <w:r>
              <w:rPr>
                <w:rFonts w:hint="eastAsia" w:cs="Times New Roman"/>
                <w:b/>
                <w:color w:val="auto"/>
                <w:sz w:val="24"/>
                <w:szCs w:val="24"/>
                <w:highlight w:val="none"/>
              </w:rPr>
              <w:t>结果</w:t>
            </w:r>
          </w:p>
          <w:p>
            <w:pPr>
              <w:spacing w:line="360" w:lineRule="auto"/>
              <w:ind w:firstLine="480" w:firstLineChars="200"/>
              <w:rPr>
                <w:rFonts w:cs="Times New Roman"/>
                <w:color w:val="auto"/>
                <w:sz w:val="24"/>
                <w:szCs w:val="24"/>
                <w:highlight w:val="none"/>
              </w:rPr>
            </w:pPr>
            <w:r>
              <w:rPr>
                <w:rFonts w:cs="Times New Roman"/>
                <w:color w:val="auto"/>
                <w:sz w:val="24"/>
                <w:szCs w:val="24"/>
                <w:highlight w:val="none"/>
              </w:rPr>
              <w:t>区域声环境质量</w:t>
            </w:r>
            <w:r>
              <w:rPr>
                <w:rFonts w:hint="eastAsia" w:cs="Times New Roman"/>
                <w:color w:val="auto"/>
                <w:sz w:val="24"/>
                <w:szCs w:val="24"/>
                <w:highlight w:val="none"/>
              </w:rPr>
              <w:t>现状</w:t>
            </w:r>
            <w:r>
              <w:rPr>
                <w:rFonts w:hint="eastAsia" w:cs="Times New Roman"/>
                <w:color w:val="auto"/>
                <w:sz w:val="24"/>
                <w:szCs w:val="24"/>
                <w:highlight w:val="none"/>
                <w:lang w:val="en-US" w:eastAsia="zh-CN"/>
              </w:rPr>
              <w:t>监测</w:t>
            </w:r>
            <w:r>
              <w:rPr>
                <w:rFonts w:cs="Times New Roman"/>
                <w:color w:val="auto"/>
                <w:sz w:val="24"/>
                <w:szCs w:val="24"/>
                <w:highlight w:val="none"/>
              </w:rPr>
              <w:t>结果</w:t>
            </w:r>
            <w:r>
              <w:rPr>
                <w:rFonts w:hint="eastAsia" w:cs="Times New Roman"/>
                <w:color w:val="auto"/>
                <w:sz w:val="24"/>
                <w:szCs w:val="24"/>
                <w:highlight w:val="none"/>
              </w:rPr>
              <w:t>见</w:t>
            </w:r>
            <w:r>
              <w:rPr>
                <w:rFonts w:cs="Times New Roman"/>
                <w:color w:val="auto"/>
                <w:sz w:val="24"/>
                <w:szCs w:val="24"/>
                <w:highlight w:val="none"/>
              </w:rPr>
              <w:t>表3-6。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b/>
                <w:bCs/>
                <w:color w:val="auto"/>
                <w:sz w:val="24"/>
                <w:szCs w:val="24"/>
                <w:highlight w:val="none"/>
                <w:lang w:val="en-US" w:eastAsia="zh-CN"/>
              </w:rPr>
            </w:pPr>
            <w:r>
              <w:rPr>
                <w:rFonts w:hint="eastAsia" w:ascii="Times New Roman" w:hAnsi="Times New Roman"/>
                <w:b/>
                <w:bCs/>
                <w:color w:val="auto"/>
                <w:sz w:val="24"/>
                <w:szCs w:val="24"/>
                <w:highlight w:val="none"/>
                <w:lang w:val="en-US" w:eastAsia="zh-CN"/>
              </w:rPr>
              <w:t>表3-6  声环境质量现状评价结果</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3045"/>
              <w:gridCol w:w="2286"/>
              <w:gridCol w:w="1922"/>
              <w:gridCol w:w="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694" w:type="pct"/>
                  <w:vMerge w:val="restart"/>
                  <w:tcBorders>
                    <w:tl2br w:val="nil"/>
                    <w:tr2bl w:val="nil"/>
                  </w:tcBorders>
                  <w:vAlign w:val="center"/>
                </w:tcPr>
                <w:p>
                  <w:pPr>
                    <w:spacing w:line="240" w:lineRule="auto"/>
                    <w:jc w:val="center"/>
                    <w:rPr>
                      <w:rFonts w:hint="default" w:eastAsia="宋体" w:cstheme="minorHAnsi"/>
                      <w:b/>
                      <w:bCs/>
                      <w:color w:val="auto"/>
                      <w:sz w:val="21"/>
                      <w:szCs w:val="21"/>
                      <w:highlight w:val="none"/>
                      <w:lang w:val="en-US" w:eastAsia="zh-CN"/>
                    </w:rPr>
                  </w:pPr>
                  <w:r>
                    <w:rPr>
                      <w:rFonts w:hint="eastAsia" w:cstheme="minorHAnsi"/>
                      <w:b/>
                      <w:bCs/>
                      <w:color w:val="auto"/>
                      <w:sz w:val="21"/>
                      <w:szCs w:val="21"/>
                      <w:highlight w:val="none"/>
                      <w:lang w:val="en-US" w:eastAsia="zh-CN"/>
                    </w:rPr>
                    <w:t>检测因子</w:t>
                  </w:r>
                </w:p>
              </w:tc>
              <w:tc>
                <w:tcPr>
                  <w:tcW w:w="1806" w:type="pct"/>
                  <w:vMerge w:val="restart"/>
                  <w:tcBorders>
                    <w:tl2br w:val="nil"/>
                    <w:tr2bl w:val="nil"/>
                  </w:tcBorders>
                  <w:vAlign w:val="center"/>
                </w:tcPr>
                <w:p>
                  <w:pPr>
                    <w:spacing w:line="240" w:lineRule="auto"/>
                    <w:jc w:val="center"/>
                    <w:rPr>
                      <w:rFonts w:cstheme="minorHAnsi"/>
                      <w:b/>
                      <w:bCs/>
                      <w:color w:val="auto"/>
                      <w:sz w:val="21"/>
                      <w:szCs w:val="21"/>
                      <w:highlight w:val="none"/>
                    </w:rPr>
                  </w:pPr>
                  <w:r>
                    <w:rPr>
                      <w:rFonts w:cstheme="minorHAnsi"/>
                      <w:b/>
                      <w:bCs/>
                      <w:color w:val="auto"/>
                      <w:sz w:val="21"/>
                      <w:szCs w:val="21"/>
                      <w:highlight w:val="none"/>
                    </w:rPr>
                    <w:t>监测点名称</w:t>
                  </w:r>
                </w:p>
              </w:tc>
              <w:tc>
                <w:tcPr>
                  <w:tcW w:w="2498" w:type="pct"/>
                  <w:gridSpan w:val="3"/>
                  <w:tcBorders>
                    <w:tl2br w:val="nil"/>
                    <w:tr2bl w:val="nil"/>
                  </w:tcBorders>
                  <w:vAlign w:val="center"/>
                </w:tcPr>
                <w:p>
                  <w:pPr>
                    <w:spacing w:line="240" w:lineRule="auto"/>
                    <w:jc w:val="center"/>
                    <w:rPr>
                      <w:rFonts w:cstheme="minorHAnsi"/>
                      <w:b/>
                      <w:bCs/>
                      <w:color w:val="auto"/>
                      <w:sz w:val="21"/>
                      <w:szCs w:val="21"/>
                      <w:highlight w:val="none"/>
                    </w:rPr>
                  </w:pPr>
                  <w:r>
                    <w:rPr>
                      <w:rFonts w:hint="eastAsia" w:cstheme="minorHAnsi"/>
                      <w:b/>
                      <w:bCs/>
                      <w:color w:val="auto"/>
                      <w:sz w:val="21"/>
                      <w:szCs w:val="21"/>
                      <w:highlight w:val="none"/>
                      <w:lang w:val="en-US" w:eastAsia="zh-CN"/>
                    </w:rPr>
                    <w:t>检测日期及检测结果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694" w:type="pct"/>
                  <w:vMerge w:val="continue"/>
                  <w:tcBorders>
                    <w:tl2br w:val="nil"/>
                    <w:tr2bl w:val="nil"/>
                  </w:tcBorders>
                  <w:vAlign w:val="center"/>
                </w:tcPr>
                <w:p>
                  <w:pPr>
                    <w:spacing w:line="240" w:lineRule="auto"/>
                    <w:jc w:val="center"/>
                    <w:rPr>
                      <w:rFonts w:hint="eastAsia" w:cstheme="minorHAnsi"/>
                      <w:b/>
                      <w:bCs/>
                      <w:color w:val="auto"/>
                      <w:sz w:val="21"/>
                      <w:szCs w:val="21"/>
                      <w:highlight w:val="none"/>
                      <w:lang w:val="en-US" w:eastAsia="zh-CN"/>
                    </w:rPr>
                  </w:pPr>
                </w:p>
              </w:tc>
              <w:tc>
                <w:tcPr>
                  <w:tcW w:w="1806" w:type="pct"/>
                  <w:vMerge w:val="continue"/>
                  <w:tcBorders>
                    <w:tl2br w:val="nil"/>
                    <w:tr2bl w:val="nil"/>
                  </w:tcBorders>
                  <w:vAlign w:val="center"/>
                </w:tcPr>
                <w:p>
                  <w:pPr>
                    <w:spacing w:line="240" w:lineRule="auto"/>
                    <w:jc w:val="center"/>
                    <w:rPr>
                      <w:rFonts w:cstheme="minorHAnsi"/>
                      <w:b/>
                      <w:bCs/>
                      <w:color w:val="auto"/>
                      <w:sz w:val="21"/>
                      <w:szCs w:val="21"/>
                      <w:highlight w:val="none"/>
                    </w:rPr>
                  </w:pPr>
                </w:p>
              </w:tc>
              <w:tc>
                <w:tcPr>
                  <w:tcW w:w="2498" w:type="pct"/>
                  <w:gridSpan w:val="3"/>
                  <w:tcBorders>
                    <w:tl2br w:val="nil"/>
                    <w:tr2bl w:val="nil"/>
                  </w:tcBorders>
                  <w:vAlign w:val="center"/>
                </w:tcPr>
                <w:p>
                  <w:pPr>
                    <w:spacing w:line="240" w:lineRule="auto"/>
                    <w:jc w:val="center"/>
                    <w:rPr>
                      <w:rFonts w:hint="default" w:cstheme="minorHAnsi"/>
                      <w:b/>
                      <w:bCs/>
                      <w:color w:val="auto"/>
                      <w:sz w:val="21"/>
                      <w:szCs w:val="21"/>
                      <w:highlight w:val="none"/>
                      <w:lang w:val="en-US"/>
                    </w:rPr>
                  </w:pPr>
                  <w:r>
                    <w:rPr>
                      <w:rFonts w:hint="eastAsia" w:cstheme="minorHAnsi"/>
                      <w:b/>
                      <w:bCs/>
                      <w:color w:val="auto"/>
                      <w:sz w:val="21"/>
                      <w:szCs w:val="21"/>
                      <w:highlight w:val="none"/>
                      <w:lang w:val="en-US" w:eastAsia="zh-CN"/>
                    </w:rPr>
                    <w:t>2023.5.17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116" w:hRule="atLeast"/>
              </w:trPr>
              <w:tc>
                <w:tcPr>
                  <w:tcW w:w="694" w:type="pct"/>
                  <w:vMerge w:val="continue"/>
                  <w:tcBorders>
                    <w:tl2br w:val="nil"/>
                    <w:tr2bl w:val="nil"/>
                  </w:tcBorders>
                  <w:vAlign w:val="center"/>
                </w:tcPr>
                <w:p>
                  <w:pPr>
                    <w:spacing w:line="240" w:lineRule="auto"/>
                    <w:jc w:val="center"/>
                    <w:rPr>
                      <w:rFonts w:hint="eastAsia" w:cstheme="minorHAnsi"/>
                      <w:b/>
                      <w:bCs/>
                      <w:color w:val="auto"/>
                      <w:sz w:val="21"/>
                      <w:szCs w:val="21"/>
                      <w:highlight w:val="none"/>
                      <w:lang w:val="en-US" w:eastAsia="zh-CN"/>
                    </w:rPr>
                  </w:pPr>
                </w:p>
              </w:tc>
              <w:tc>
                <w:tcPr>
                  <w:tcW w:w="1806" w:type="pct"/>
                  <w:vMerge w:val="continue"/>
                  <w:tcBorders>
                    <w:tl2br w:val="nil"/>
                    <w:tr2bl w:val="nil"/>
                  </w:tcBorders>
                  <w:vAlign w:val="center"/>
                </w:tcPr>
                <w:p>
                  <w:pPr>
                    <w:spacing w:line="240" w:lineRule="auto"/>
                    <w:jc w:val="center"/>
                    <w:rPr>
                      <w:rFonts w:cstheme="minorHAnsi"/>
                      <w:b/>
                      <w:bCs/>
                      <w:color w:val="auto"/>
                      <w:sz w:val="21"/>
                      <w:szCs w:val="21"/>
                      <w:highlight w:val="none"/>
                    </w:rPr>
                  </w:pPr>
                </w:p>
              </w:tc>
              <w:tc>
                <w:tcPr>
                  <w:tcW w:w="1356" w:type="pct"/>
                  <w:tcBorders>
                    <w:tl2br w:val="nil"/>
                    <w:tr2bl w:val="nil"/>
                  </w:tcBorders>
                  <w:vAlign w:val="center"/>
                </w:tcPr>
                <w:p>
                  <w:pPr>
                    <w:spacing w:line="240" w:lineRule="auto"/>
                    <w:jc w:val="center"/>
                    <w:rPr>
                      <w:rFonts w:hint="default" w:cstheme="minorHAnsi"/>
                      <w:b/>
                      <w:bCs/>
                      <w:color w:val="auto"/>
                      <w:sz w:val="21"/>
                      <w:szCs w:val="21"/>
                      <w:highlight w:val="none"/>
                      <w:lang w:val="en-US" w:eastAsia="zh-CN"/>
                    </w:rPr>
                  </w:pPr>
                  <w:r>
                    <w:rPr>
                      <w:rFonts w:hint="eastAsia" w:cstheme="minorHAnsi"/>
                      <w:b/>
                      <w:bCs/>
                      <w:color w:val="auto"/>
                      <w:sz w:val="21"/>
                      <w:szCs w:val="21"/>
                      <w:highlight w:val="none"/>
                      <w:lang w:val="en-US" w:eastAsia="zh-CN"/>
                    </w:rPr>
                    <w:t>昼间</w:t>
                  </w:r>
                </w:p>
              </w:tc>
              <w:tc>
                <w:tcPr>
                  <w:tcW w:w="1140" w:type="pct"/>
                  <w:tcBorders>
                    <w:tl2br w:val="nil"/>
                    <w:tr2bl w:val="nil"/>
                  </w:tcBorders>
                  <w:vAlign w:val="center"/>
                </w:tcPr>
                <w:p>
                  <w:pPr>
                    <w:spacing w:line="240" w:lineRule="auto"/>
                    <w:jc w:val="center"/>
                    <w:rPr>
                      <w:rFonts w:hint="eastAsia" w:eastAsia="宋体" w:cstheme="minorHAnsi"/>
                      <w:b/>
                      <w:bCs/>
                      <w:color w:val="auto"/>
                      <w:sz w:val="21"/>
                      <w:szCs w:val="21"/>
                      <w:highlight w:val="none"/>
                      <w:lang w:val="en-US" w:eastAsia="zh-CN"/>
                    </w:rPr>
                  </w:pPr>
                  <w:r>
                    <w:rPr>
                      <w:rFonts w:hint="eastAsia" w:cstheme="minorHAnsi"/>
                      <w:b/>
                      <w:bCs/>
                      <w:color w:val="auto"/>
                      <w:sz w:val="21"/>
                      <w:szCs w:val="21"/>
                      <w:highlight w:val="none"/>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93" w:hRule="atLeast"/>
              </w:trPr>
              <w:tc>
                <w:tcPr>
                  <w:tcW w:w="694" w:type="pct"/>
                  <w:vMerge w:val="restart"/>
                  <w:tcBorders>
                    <w:tl2br w:val="nil"/>
                    <w:tr2bl w:val="nil"/>
                  </w:tcBorders>
                  <w:vAlign w:val="center"/>
                </w:tcPr>
                <w:p>
                  <w:pPr>
                    <w:spacing w:line="240" w:lineRule="auto"/>
                    <w:jc w:val="center"/>
                    <w:rPr>
                      <w:rFonts w:hint="default" w:eastAsia="宋体" w:cstheme="minorHAnsi"/>
                      <w:color w:val="auto"/>
                      <w:sz w:val="21"/>
                      <w:szCs w:val="21"/>
                      <w:highlight w:val="none"/>
                      <w:lang w:val="en-US" w:eastAsia="zh-CN"/>
                    </w:rPr>
                  </w:pPr>
                  <w:r>
                    <w:rPr>
                      <w:rFonts w:hint="eastAsia" w:cstheme="minorHAnsi"/>
                      <w:color w:val="auto"/>
                      <w:sz w:val="21"/>
                      <w:szCs w:val="21"/>
                      <w:highlight w:val="none"/>
                      <w:lang w:val="en-US" w:eastAsia="zh-CN"/>
                    </w:rPr>
                    <w:t>Lep</w:t>
                  </w:r>
                </w:p>
              </w:tc>
              <w:tc>
                <w:tcPr>
                  <w:tcW w:w="18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w:t>
                  </w:r>
                  <w:r>
                    <w:rPr>
                      <w:rFonts w:hint="eastAsia" w:ascii="Times New Roman" w:hAnsi="Times New Roman" w:eastAsia="宋体" w:cs="Times New Roman"/>
                      <w:color w:val="auto"/>
                      <w:kern w:val="2"/>
                      <w:sz w:val="21"/>
                      <w:szCs w:val="21"/>
                      <w:lang w:val="en-US" w:eastAsia="zh-CN" w:bidi="ar-SA"/>
                    </w:rPr>
                    <w:t>北</w:t>
                  </w:r>
                  <w:r>
                    <w:rPr>
                      <w:rFonts w:hint="default" w:ascii="Times New Roman" w:hAnsi="Times New Roman" w:eastAsia="宋体" w:cs="Times New Roman"/>
                      <w:color w:val="auto"/>
                      <w:kern w:val="2"/>
                      <w:sz w:val="21"/>
                      <w:szCs w:val="21"/>
                      <w:lang w:val="en-US" w:eastAsia="zh-CN" w:bidi="ar-SA"/>
                    </w:rPr>
                    <w:t>厂界外1m处</w:t>
                  </w:r>
                </w:p>
              </w:tc>
              <w:tc>
                <w:tcPr>
                  <w:tcW w:w="1356" w:type="pct"/>
                  <w:tcBorders>
                    <w:tl2br w:val="nil"/>
                    <w:tr2bl w:val="nil"/>
                  </w:tcBorders>
                  <w:vAlign w:val="center"/>
                </w:tcPr>
                <w:p>
                  <w:pPr>
                    <w:pStyle w:val="73"/>
                    <w:snapToGrid w:val="0"/>
                    <w:spacing w:before="0" w:after="0" w:line="240" w:lineRule="auto"/>
                    <w:ind w:left="210" w:leftChars="-50" w:right="-105" w:rightChars="-50" w:hanging="315" w:firstLineChars="0"/>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rPr>
                    <w:t>50</w:t>
                  </w:r>
                </w:p>
              </w:tc>
              <w:tc>
                <w:tcPr>
                  <w:tcW w:w="1140" w:type="pct"/>
                  <w:tcBorders>
                    <w:tl2br w:val="nil"/>
                    <w:tr2bl w:val="nil"/>
                  </w:tcBorders>
                  <w:vAlign w:val="center"/>
                </w:tcPr>
                <w:p>
                  <w:pPr>
                    <w:pStyle w:val="73"/>
                    <w:snapToGrid w:val="0"/>
                    <w:spacing w:before="0" w:after="0" w:line="240" w:lineRule="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183" w:hRule="atLeast"/>
              </w:trPr>
              <w:tc>
                <w:tcPr>
                  <w:tcW w:w="694" w:type="pct"/>
                  <w:vMerge w:val="continue"/>
                  <w:tcBorders>
                    <w:tl2br w:val="nil"/>
                    <w:tr2bl w:val="nil"/>
                  </w:tcBorders>
                  <w:vAlign w:val="center"/>
                </w:tcPr>
                <w:p>
                  <w:pPr>
                    <w:spacing w:line="240" w:lineRule="auto"/>
                    <w:jc w:val="center"/>
                    <w:rPr>
                      <w:rFonts w:cstheme="minorHAnsi"/>
                      <w:color w:val="auto"/>
                      <w:sz w:val="21"/>
                      <w:szCs w:val="21"/>
                      <w:highlight w:val="none"/>
                    </w:rPr>
                  </w:pPr>
                </w:p>
              </w:tc>
              <w:tc>
                <w:tcPr>
                  <w:tcW w:w="18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w:t>
                  </w:r>
                  <w:r>
                    <w:rPr>
                      <w:rFonts w:hint="eastAsia" w:ascii="Times New Roman" w:hAnsi="Times New Roman" w:eastAsia="宋体" w:cs="Times New Roman"/>
                      <w:color w:val="auto"/>
                      <w:kern w:val="2"/>
                      <w:sz w:val="21"/>
                      <w:szCs w:val="21"/>
                      <w:lang w:val="en-US" w:eastAsia="zh-CN" w:bidi="ar-SA"/>
                    </w:rPr>
                    <w:t>东</w:t>
                  </w:r>
                  <w:r>
                    <w:rPr>
                      <w:rFonts w:hint="default" w:ascii="Times New Roman" w:hAnsi="Times New Roman" w:eastAsia="宋体" w:cs="Times New Roman"/>
                      <w:color w:val="auto"/>
                      <w:kern w:val="2"/>
                      <w:sz w:val="21"/>
                      <w:szCs w:val="21"/>
                      <w:lang w:val="en-US" w:eastAsia="zh-CN" w:bidi="ar-SA"/>
                    </w:rPr>
                    <w:t>厂界外1m处</w:t>
                  </w:r>
                </w:p>
              </w:tc>
              <w:tc>
                <w:tcPr>
                  <w:tcW w:w="1356" w:type="pct"/>
                  <w:tcBorders>
                    <w:tl2br w:val="nil"/>
                    <w:tr2bl w:val="nil"/>
                  </w:tcBorders>
                  <w:vAlign w:val="center"/>
                </w:tcPr>
                <w:p>
                  <w:pPr>
                    <w:pStyle w:val="73"/>
                    <w:snapToGrid w:val="0"/>
                    <w:spacing w:before="0" w:after="0" w:line="240" w:lineRule="auto"/>
                    <w:ind w:left="210" w:leftChars="-50" w:right="-105" w:rightChars="-50" w:hanging="315" w:firstLineChars="0"/>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rPr>
                    <w:t>52</w:t>
                  </w:r>
                </w:p>
              </w:tc>
              <w:tc>
                <w:tcPr>
                  <w:tcW w:w="1140" w:type="pct"/>
                  <w:tcBorders>
                    <w:tl2br w:val="nil"/>
                    <w:tr2bl w:val="nil"/>
                  </w:tcBorders>
                  <w:vAlign w:val="center"/>
                </w:tcPr>
                <w:p>
                  <w:pPr>
                    <w:pStyle w:val="73"/>
                    <w:snapToGrid w:val="0"/>
                    <w:spacing w:before="0" w:after="0" w:line="240" w:lineRule="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189" w:hRule="atLeast"/>
              </w:trPr>
              <w:tc>
                <w:tcPr>
                  <w:tcW w:w="694" w:type="pct"/>
                  <w:vMerge w:val="continue"/>
                  <w:tcBorders>
                    <w:tl2br w:val="nil"/>
                    <w:tr2bl w:val="nil"/>
                  </w:tcBorders>
                  <w:vAlign w:val="center"/>
                </w:tcPr>
                <w:p>
                  <w:pPr>
                    <w:spacing w:line="240" w:lineRule="auto"/>
                    <w:jc w:val="center"/>
                    <w:rPr>
                      <w:rFonts w:cstheme="minorHAnsi"/>
                      <w:color w:val="auto"/>
                      <w:sz w:val="21"/>
                      <w:szCs w:val="21"/>
                      <w:highlight w:val="none"/>
                    </w:rPr>
                  </w:pPr>
                </w:p>
              </w:tc>
              <w:tc>
                <w:tcPr>
                  <w:tcW w:w="18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项目南厂界外1m处</w:t>
                  </w:r>
                </w:p>
              </w:tc>
              <w:tc>
                <w:tcPr>
                  <w:tcW w:w="1356" w:type="pct"/>
                  <w:tcBorders>
                    <w:tl2br w:val="nil"/>
                    <w:tr2bl w:val="nil"/>
                  </w:tcBorders>
                  <w:vAlign w:val="center"/>
                </w:tcPr>
                <w:p>
                  <w:pPr>
                    <w:pStyle w:val="73"/>
                    <w:snapToGrid w:val="0"/>
                    <w:spacing w:before="0" w:after="0" w:line="240" w:lineRule="auto"/>
                    <w:ind w:left="210" w:leftChars="-50" w:right="-105" w:rightChars="-50" w:hanging="315" w:firstLineChars="0"/>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rPr>
                    <w:t>51</w:t>
                  </w:r>
                </w:p>
              </w:tc>
              <w:tc>
                <w:tcPr>
                  <w:tcW w:w="1140" w:type="pct"/>
                  <w:tcBorders>
                    <w:tl2br w:val="nil"/>
                    <w:tr2bl w:val="nil"/>
                  </w:tcBorders>
                  <w:vAlign w:val="center"/>
                </w:tcPr>
                <w:p>
                  <w:pPr>
                    <w:pStyle w:val="73"/>
                    <w:snapToGrid w:val="0"/>
                    <w:spacing w:before="0" w:after="0" w:line="240" w:lineRule="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107" w:hRule="atLeast"/>
              </w:trPr>
              <w:tc>
                <w:tcPr>
                  <w:tcW w:w="694" w:type="pct"/>
                  <w:vMerge w:val="continue"/>
                  <w:tcBorders>
                    <w:tl2br w:val="nil"/>
                    <w:tr2bl w:val="nil"/>
                  </w:tcBorders>
                  <w:vAlign w:val="center"/>
                </w:tcPr>
                <w:p>
                  <w:pPr>
                    <w:spacing w:line="240" w:lineRule="auto"/>
                    <w:jc w:val="center"/>
                    <w:rPr>
                      <w:rFonts w:cstheme="minorHAnsi"/>
                      <w:color w:val="auto"/>
                      <w:sz w:val="21"/>
                      <w:szCs w:val="21"/>
                      <w:highlight w:val="none"/>
                    </w:rPr>
                  </w:pPr>
                </w:p>
              </w:tc>
              <w:tc>
                <w:tcPr>
                  <w:tcW w:w="18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项目西厂界外1m处</w:t>
                  </w:r>
                </w:p>
              </w:tc>
              <w:tc>
                <w:tcPr>
                  <w:tcW w:w="1356" w:type="pct"/>
                  <w:tcBorders>
                    <w:tl2br w:val="nil"/>
                    <w:tr2bl w:val="nil"/>
                  </w:tcBorders>
                  <w:vAlign w:val="center"/>
                </w:tcPr>
                <w:p>
                  <w:pPr>
                    <w:pStyle w:val="73"/>
                    <w:snapToGrid w:val="0"/>
                    <w:spacing w:before="0" w:after="0" w:line="240" w:lineRule="auto"/>
                    <w:ind w:left="210" w:leftChars="-50" w:right="-105" w:rightChars="-50" w:hanging="315" w:firstLineChars="0"/>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rPr>
                    <w:t>52</w:t>
                  </w:r>
                </w:p>
              </w:tc>
              <w:tc>
                <w:tcPr>
                  <w:tcW w:w="1140" w:type="pct"/>
                  <w:tcBorders>
                    <w:tl2br w:val="nil"/>
                    <w:tr2bl w:val="nil"/>
                  </w:tcBorders>
                  <w:vAlign w:val="center"/>
                </w:tcPr>
                <w:p>
                  <w:pPr>
                    <w:pStyle w:val="73"/>
                    <w:snapToGrid w:val="0"/>
                    <w:spacing w:before="0" w:after="0" w:line="240" w:lineRule="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107" w:hRule="atLeast"/>
              </w:trPr>
              <w:tc>
                <w:tcPr>
                  <w:tcW w:w="694" w:type="pct"/>
                  <w:vMerge w:val="continue"/>
                </w:tcPr>
                <w:p>
                  <w:pPr>
                    <w:spacing w:line="240" w:lineRule="auto"/>
                    <w:jc w:val="center"/>
                    <w:rPr>
                      <w:rFonts w:cstheme="minorHAnsi"/>
                      <w:color w:val="auto"/>
                      <w:sz w:val="21"/>
                      <w:szCs w:val="21"/>
                      <w:highlight w:val="none"/>
                    </w:rPr>
                  </w:pP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项目南侧居民处（约30m）</w:t>
                  </w:r>
                </w:p>
              </w:tc>
              <w:tc>
                <w:tcPr>
                  <w:tcW w:w="0" w:type="auto"/>
                  <w:vAlign w:val="center"/>
                </w:tcPr>
                <w:p>
                  <w:pPr>
                    <w:pStyle w:val="73"/>
                    <w:snapToGrid w:val="0"/>
                    <w:spacing w:before="0" w:after="0" w:line="240" w:lineRule="auto"/>
                    <w:ind w:left="210" w:leftChars="-50" w:right="-105" w:rightChars="-50" w:hanging="315" w:firstLineChars="0"/>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rPr>
                    <w:t>52</w:t>
                  </w:r>
                </w:p>
              </w:tc>
              <w:tc>
                <w:tcPr>
                  <w:tcW w:w="0" w:type="auto"/>
                  <w:vAlign w:val="center"/>
                </w:tcPr>
                <w:p>
                  <w:pPr>
                    <w:pStyle w:val="73"/>
                    <w:snapToGrid w:val="0"/>
                    <w:spacing w:before="0" w:after="0" w:line="240" w:lineRule="auto"/>
                    <w:ind w:left="315" w:leftChars="0" w:hanging="315" w:firstLineChars="0"/>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rPr>
                    <w:t>44</w:t>
                  </w:r>
                </w:p>
              </w:tc>
            </w:tr>
          </w:tbl>
          <w:p>
            <w:pPr>
              <w:spacing w:line="360" w:lineRule="auto"/>
              <w:ind w:firstLine="480" w:firstLineChars="200"/>
              <w:rPr>
                <w:rFonts w:hint="eastAsia" w:cs="Times New Roman"/>
                <w:color w:val="auto"/>
                <w:sz w:val="24"/>
                <w:szCs w:val="24"/>
                <w:highlight w:val="none"/>
              </w:rPr>
            </w:pPr>
            <w:r>
              <w:rPr>
                <w:rFonts w:cs="Times New Roman"/>
                <w:color w:val="auto"/>
                <w:sz w:val="24"/>
                <w:szCs w:val="24"/>
                <w:highlight w:val="none"/>
              </w:rPr>
              <w:t>结果表明，区域</w:t>
            </w:r>
            <w:r>
              <w:rPr>
                <w:rFonts w:hint="eastAsia" w:cs="Times New Roman"/>
                <w:color w:val="auto"/>
                <w:sz w:val="24"/>
                <w:szCs w:val="24"/>
                <w:highlight w:val="none"/>
              </w:rPr>
              <w:t>各监测点噪声值</w:t>
            </w:r>
            <w:r>
              <w:rPr>
                <w:rFonts w:cs="Times New Roman"/>
                <w:color w:val="auto"/>
                <w:sz w:val="24"/>
                <w:szCs w:val="24"/>
                <w:highlight w:val="none"/>
              </w:rPr>
              <w:t>均达到</w:t>
            </w:r>
            <w:r>
              <w:rPr>
                <w:rFonts w:hint="eastAsia" w:cs="Times New Roman"/>
                <w:color w:val="auto"/>
                <w:sz w:val="24"/>
                <w:szCs w:val="24"/>
                <w:highlight w:val="none"/>
              </w:rPr>
              <w:t>《声环境质量标准》（GB3096-2008）</w:t>
            </w:r>
            <w:r>
              <w:rPr>
                <w:rFonts w:hint="eastAsia" w:cs="Times New Roman"/>
                <w:color w:val="auto"/>
                <w:sz w:val="24"/>
                <w:szCs w:val="24"/>
                <w:highlight w:val="none"/>
                <w:lang w:val="en-US" w:eastAsia="zh-CN"/>
              </w:rPr>
              <w:t>2</w:t>
            </w:r>
            <w:r>
              <w:rPr>
                <w:rFonts w:cs="Times New Roman"/>
                <w:color w:val="auto"/>
                <w:sz w:val="24"/>
                <w:szCs w:val="24"/>
                <w:highlight w:val="none"/>
              </w:rPr>
              <w:t>类</w:t>
            </w:r>
            <w:r>
              <w:rPr>
                <w:rFonts w:hint="eastAsia" w:cs="Times New Roman"/>
                <w:color w:val="auto"/>
                <w:sz w:val="24"/>
                <w:szCs w:val="24"/>
                <w:highlight w:val="none"/>
              </w:rPr>
              <w:t>标准，区域声环境质量良好。</w:t>
            </w:r>
          </w:p>
          <w:p>
            <w:pPr>
              <w:spacing w:line="360" w:lineRule="auto"/>
              <w:ind w:firstLine="482" w:firstLineChars="200"/>
              <w:rPr>
                <w:rFonts w:hint="eastAsia" w:eastAsia="宋体" w:cs="Times New Roman"/>
                <w:b/>
                <w:bCs/>
                <w:color w:val="auto"/>
                <w:sz w:val="24"/>
                <w:szCs w:val="24"/>
                <w:highlight w:val="none"/>
                <w:lang w:val="zh-CN" w:eastAsia="zh-CN"/>
              </w:rPr>
            </w:pPr>
            <w:r>
              <w:rPr>
                <w:rFonts w:hint="eastAsia" w:cs="Times New Roman"/>
                <w:b/>
                <w:bCs/>
                <w:color w:val="auto"/>
                <w:sz w:val="24"/>
                <w:szCs w:val="24"/>
                <w:highlight w:val="none"/>
                <w:lang w:val="en-US" w:eastAsia="zh-CN"/>
              </w:rPr>
              <w:t>4</w:t>
            </w:r>
            <w:r>
              <w:rPr>
                <w:rFonts w:hint="eastAsia" w:eastAsia="宋体" w:cs="Times New Roman"/>
                <w:b/>
                <w:bCs/>
                <w:color w:val="auto"/>
                <w:sz w:val="24"/>
                <w:szCs w:val="24"/>
                <w:highlight w:val="none"/>
                <w:lang w:val="zh-CN" w:eastAsia="zh-CN"/>
              </w:rPr>
              <w:t>、生态环境质量现状分析</w:t>
            </w:r>
          </w:p>
          <w:p>
            <w:pPr>
              <w:spacing w:line="360" w:lineRule="auto"/>
              <w:ind w:firstLine="480" w:firstLineChars="200"/>
              <w:rPr>
                <w:rFonts w:hint="eastAsia" w:eastAsia="宋体" w:cs="Times New Roman"/>
                <w:color w:val="auto"/>
                <w:sz w:val="24"/>
                <w:szCs w:val="24"/>
                <w:highlight w:val="none"/>
                <w:lang w:val="zh-CN" w:eastAsia="zh-CN"/>
              </w:rPr>
            </w:pPr>
            <w:r>
              <w:rPr>
                <w:rFonts w:hint="eastAsia" w:eastAsia="宋体" w:cs="Times New Roman"/>
                <w:color w:val="auto"/>
                <w:sz w:val="24"/>
                <w:szCs w:val="24"/>
                <w:highlight w:val="none"/>
                <w:lang w:val="zh-CN" w:eastAsia="zh-CN"/>
              </w:rPr>
              <w:t>本项目所在地为</w:t>
            </w:r>
            <w:r>
              <w:rPr>
                <w:rFonts w:hint="eastAsia" w:cs="Times New Roman"/>
                <w:color w:val="auto"/>
                <w:sz w:val="24"/>
                <w:szCs w:val="24"/>
                <w:highlight w:val="none"/>
                <w:lang w:val="en-US" w:eastAsia="zh-CN"/>
              </w:rPr>
              <w:t>农村地区</w:t>
            </w:r>
            <w:r>
              <w:rPr>
                <w:rFonts w:hint="eastAsia" w:eastAsia="宋体" w:cs="Times New Roman"/>
                <w:color w:val="auto"/>
                <w:sz w:val="24"/>
                <w:szCs w:val="24"/>
                <w:highlight w:val="none"/>
                <w:lang w:val="zh-CN" w:eastAsia="zh-CN"/>
              </w:rPr>
              <w:t>，自然植被少，主要为人工种植的花草树木，人类活动频繁，生态环境质量现状总体尚好。另外，项目区内无大型野生动物及古大珍稀植物，无特殊文物保护单位。因此，区域生态系统敏感程度低。</w:t>
            </w:r>
          </w:p>
          <w:p>
            <w:pPr>
              <w:spacing w:line="360" w:lineRule="auto"/>
              <w:ind w:firstLine="480" w:firstLineChars="200"/>
              <w:rPr>
                <w:rFonts w:hint="eastAsia" w:eastAsia="宋体" w:cs="Times New Roman"/>
                <w:color w:val="auto"/>
                <w:sz w:val="24"/>
                <w:szCs w:val="24"/>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4" w:type="dxa"/>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环境</w:t>
            </w:r>
          </w:p>
          <w:p>
            <w:pPr>
              <w:spacing w:line="360" w:lineRule="auto"/>
              <w:jc w:val="center"/>
              <w:rPr>
                <w:rFonts w:cs="Times New Roman"/>
                <w:color w:val="auto"/>
                <w:sz w:val="24"/>
                <w:szCs w:val="24"/>
                <w:highlight w:val="none"/>
              </w:rPr>
            </w:pPr>
            <w:r>
              <w:rPr>
                <w:rFonts w:hint="eastAsia" w:cs="Times New Roman"/>
                <w:color w:val="auto"/>
                <w:sz w:val="24"/>
                <w:szCs w:val="24"/>
                <w:highlight w:val="none"/>
              </w:rPr>
              <w:t>保护</w:t>
            </w:r>
          </w:p>
          <w:p>
            <w:pPr>
              <w:spacing w:line="360" w:lineRule="auto"/>
              <w:jc w:val="center"/>
              <w:rPr>
                <w:rFonts w:cs="Times New Roman"/>
                <w:color w:val="auto"/>
                <w:sz w:val="24"/>
                <w:szCs w:val="24"/>
                <w:highlight w:val="none"/>
              </w:rPr>
            </w:pPr>
            <w:r>
              <w:rPr>
                <w:rFonts w:hint="eastAsia" w:cs="Times New Roman"/>
                <w:color w:val="auto"/>
                <w:sz w:val="24"/>
                <w:szCs w:val="24"/>
                <w:highlight w:val="none"/>
              </w:rPr>
              <w:t>目标</w:t>
            </w:r>
          </w:p>
        </w:tc>
        <w:tc>
          <w:tcPr>
            <w:tcW w:w="8645" w:type="dxa"/>
            <w:vAlign w:val="center"/>
          </w:tcPr>
          <w:p>
            <w:pPr>
              <w:spacing w:line="360" w:lineRule="auto"/>
              <w:ind w:firstLine="482" w:firstLineChars="200"/>
              <w:rPr>
                <w:rFonts w:cs="Times New Roman"/>
                <w:b/>
                <w:color w:val="auto"/>
                <w:sz w:val="24"/>
                <w:szCs w:val="24"/>
                <w:highlight w:val="none"/>
              </w:rPr>
            </w:pPr>
            <w:r>
              <w:rPr>
                <w:rFonts w:cs="Times New Roman"/>
                <w:b/>
                <w:color w:val="auto"/>
                <w:sz w:val="24"/>
                <w:szCs w:val="24"/>
                <w:highlight w:val="none"/>
              </w:rPr>
              <w:t>1、大气环境</w:t>
            </w:r>
          </w:p>
          <w:p>
            <w:pPr>
              <w:spacing w:line="360" w:lineRule="auto"/>
              <w:ind w:firstLine="480" w:firstLineChars="200"/>
              <w:rPr>
                <w:rFonts w:hint="eastAsia" w:eastAsia="宋体" w:cs="Times New Roman"/>
                <w:color w:val="auto"/>
                <w:sz w:val="24"/>
                <w:szCs w:val="24"/>
                <w:highlight w:val="none"/>
                <w:lang w:eastAsia="zh-CN"/>
              </w:rPr>
            </w:pPr>
            <w:r>
              <w:rPr>
                <w:rFonts w:cs="Times New Roman"/>
                <w:color w:val="auto"/>
                <w:sz w:val="24"/>
                <w:szCs w:val="24"/>
                <w:highlight w:val="none"/>
              </w:rPr>
              <w:t>本项目厂界外500m范围内大气环境环境保护目标见表3-7。</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表3-7  主要环境保护目标</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1459"/>
              <w:gridCol w:w="831"/>
              <w:gridCol w:w="1471"/>
              <w:gridCol w:w="1422"/>
              <w:gridCol w:w="811"/>
              <w:gridCol w:w="18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1" w:type="pct"/>
                  <w:tcBorders>
                    <w:tl2br w:val="nil"/>
                    <w:tr2bl w:val="nil"/>
                  </w:tcBorders>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865" w:type="pct"/>
                  <w:tcBorders>
                    <w:tl2br w:val="nil"/>
                    <w:tr2bl w:val="nil"/>
                  </w:tcBorders>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保护对象</w:t>
                  </w:r>
                </w:p>
              </w:tc>
              <w:tc>
                <w:tcPr>
                  <w:tcW w:w="493" w:type="pct"/>
                  <w:tcBorders>
                    <w:tl2br w:val="nil"/>
                    <w:tr2bl w:val="nil"/>
                  </w:tcBorders>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方位</w:t>
                  </w:r>
                </w:p>
              </w:tc>
              <w:tc>
                <w:tcPr>
                  <w:tcW w:w="872" w:type="pct"/>
                  <w:tcBorders>
                    <w:tl2br w:val="nil"/>
                    <w:tr2bl w:val="nil"/>
                  </w:tcBorders>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距离</w:t>
                  </w:r>
                </w:p>
              </w:tc>
              <w:tc>
                <w:tcPr>
                  <w:tcW w:w="843" w:type="pct"/>
                  <w:tcBorders>
                    <w:tl2br w:val="nil"/>
                    <w:tr2bl w:val="nil"/>
                  </w:tcBorders>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规模</w:t>
                  </w:r>
                </w:p>
              </w:tc>
              <w:tc>
                <w:tcPr>
                  <w:tcW w:w="481" w:type="pct"/>
                  <w:tcBorders>
                    <w:tl2br w:val="nil"/>
                    <w:tr2bl w:val="nil"/>
                  </w:tcBorders>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性质</w:t>
                  </w:r>
                </w:p>
              </w:tc>
              <w:tc>
                <w:tcPr>
                  <w:tcW w:w="1091" w:type="pct"/>
                  <w:tcBorders>
                    <w:tl2br w:val="nil"/>
                    <w:tr2bl w:val="nil"/>
                  </w:tcBorders>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1"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6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小河咀</w:t>
                  </w:r>
                </w:p>
              </w:tc>
              <w:tc>
                <w:tcPr>
                  <w:tcW w:w="49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东北侧</w:t>
                  </w:r>
                </w:p>
              </w:tc>
              <w:tc>
                <w:tcPr>
                  <w:tcW w:w="872"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约405m</w:t>
                  </w:r>
                </w:p>
              </w:tc>
              <w:tc>
                <w:tcPr>
                  <w:tcW w:w="8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12户农户，约48人</w:t>
                  </w:r>
                </w:p>
              </w:tc>
              <w:tc>
                <w:tcPr>
                  <w:tcW w:w="481"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住宅</w:t>
                  </w:r>
                </w:p>
              </w:tc>
              <w:tc>
                <w:tcPr>
                  <w:tcW w:w="1091" w:type="pct"/>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1"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6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农户</w:t>
                  </w:r>
                </w:p>
              </w:tc>
              <w:tc>
                <w:tcPr>
                  <w:tcW w:w="49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东北侧</w:t>
                  </w:r>
                </w:p>
              </w:tc>
              <w:tc>
                <w:tcPr>
                  <w:tcW w:w="872"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约423m</w:t>
                  </w:r>
                </w:p>
              </w:tc>
              <w:tc>
                <w:tcPr>
                  <w:tcW w:w="8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4户农户，约16人</w:t>
                  </w:r>
                </w:p>
              </w:tc>
              <w:tc>
                <w:tcPr>
                  <w:tcW w:w="481"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住宅</w:t>
                  </w:r>
                </w:p>
              </w:tc>
              <w:tc>
                <w:tcPr>
                  <w:tcW w:w="1091"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1"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86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下湾</w:t>
                  </w:r>
                </w:p>
              </w:tc>
              <w:tc>
                <w:tcPr>
                  <w:tcW w:w="49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东南侧</w:t>
                  </w:r>
                </w:p>
              </w:tc>
              <w:tc>
                <w:tcPr>
                  <w:tcW w:w="872"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约225m</w:t>
                  </w:r>
                </w:p>
              </w:tc>
              <w:tc>
                <w:tcPr>
                  <w:tcW w:w="8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3户农户，约12人</w:t>
                  </w:r>
                </w:p>
              </w:tc>
              <w:tc>
                <w:tcPr>
                  <w:tcW w:w="481"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住宅</w:t>
                  </w:r>
                </w:p>
              </w:tc>
              <w:tc>
                <w:tcPr>
                  <w:tcW w:w="1091"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1"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86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李家湾</w:t>
                  </w:r>
                </w:p>
              </w:tc>
              <w:tc>
                <w:tcPr>
                  <w:tcW w:w="49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东南侧</w:t>
                  </w:r>
                </w:p>
              </w:tc>
              <w:tc>
                <w:tcPr>
                  <w:tcW w:w="872"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约275m</w:t>
                  </w:r>
                </w:p>
              </w:tc>
              <w:tc>
                <w:tcPr>
                  <w:tcW w:w="8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4户农户，约16人</w:t>
                  </w:r>
                </w:p>
              </w:tc>
              <w:tc>
                <w:tcPr>
                  <w:tcW w:w="481"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住宅</w:t>
                  </w:r>
                </w:p>
              </w:tc>
              <w:tc>
                <w:tcPr>
                  <w:tcW w:w="1091"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1"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86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农户</w:t>
                  </w:r>
                </w:p>
              </w:tc>
              <w:tc>
                <w:tcPr>
                  <w:tcW w:w="49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南侧</w:t>
                  </w:r>
                </w:p>
              </w:tc>
              <w:tc>
                <w:tcPr>
                  <w:tcW w:w="872"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约30m</w:t>
                  </w:r>
                </w:p>
              </w:tc>
              <w:tc>
                <w:tcPr>
                  <w:tcW w:w="8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2户农户，约8人</w:t>
                  </w:r>
                </w:p>
              </w:tc>
              <w:tc>
                <w:tcPr>
                  <w:tcW w:w="481"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住宅</w:t>
                  </w:r>
                </w:p>
              </w:tc>
              <w:tc>
                <w:tcPr>
                  <w:tcW w:w="1091"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1"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86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龙门下湾</w:t>
                  </w:r>
                </w:p>
              </w:tc>
              <w:tc>
                <w:tcPr>
                  <w:tcW w:w="49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南侧</w:t>
                  </w:r>
                </w:p>
              </w:tc>
              <w:tc>
                <w:tcPr>
                  <w:tcW w:w="872"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约55m~150m</w:t>
                  </w:r>
                </w:p>
              </w:tc>
              <w:tc>
                <w:tcPr>
                  <w:tcW w:w="8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10户农户，约40人</w:t>
                  </w:r>
                </w:p>
              </w:tc>
              <w:tc>
                <w:tcPr>
                  <w:tcW w:w="481"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住宅</w:t>
                  </w:r>
                </w:p>
              </w:tc>
              <w:tc>
                <w:tcPr>
                  <w:tcW w:w="1091"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1"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86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大沙坝</w:t>
                  </w:r>
                </w:p>
              </w:tc>
              <w:tc>
                <w:tcPr>
                  <w:tcW w:w="49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南侧</w:t>
                  </w:r>
                </w:p>
              </w:tc>
              <w:tc>
                <w:tcPr>
                  <w:tcW w:w="872"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约175m~415m</w:t>
                  </w:r>
                </w:p>
              </w:tc>
              <w:tc>
                <w:tcPr>
                  <w:tcW w:w="8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30户农户，约120人</w:t>
                  </w:r>
                </w:p>
              </w:tc>
              <w:tc>
                <w:tcPr>
                  <w:tcW w:w="481"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住宅</w:t>
                  </w:r>
                </w:p>
              </w:tc>
              <w:tc>
                <w:tcPr>
                  <w:tcW w:w="1091"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1"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86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高地坝</w:t>
                  </w:r>
                </w:p>
              </w:tc>
              <w:tc>
                <w:tcPr>
                  <w:tcW w:w="49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西侧</w:t>
                  </w:r>
                </w:p>
              </w:tc>
              <w:tc>
                <w:tcPr>
                  <w:tcW w:w="872"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约65m~320m</w:t>
                  </w:r>
                </w:p>
              </w:tc>
              <w:tc>
                <w:tcPr>
                  <w:tcW w:w="8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35户农户，约140人</w:t>
                  </w:r>
                </w:p>
              </w:tc>
              <w:tc>
                <w:tcPr>
                  <w:tcW w:w="481"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住宅</w:t>
                  </w:r>
                </w:p>
              </w:tc>
              <w:tc>
                <w:tcPr>
                  <w:tcW w:w="1091"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1"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p>
              </w:tc>
              <w:tc>
                <w:tcPr>
                  <w:tcW w:w="86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大坡</w:t>
                  </w:r>
                </w:p>
              </w:tc>
              <w:tc>
                <w:tcPr>
                  <w:tcW w:w="49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西侧</w:t>
                  </w:r>
                </w:p>
              </w:tc>
              <w:tc>
                <w:tcPr>
                  <w:tcW w:w="872"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约300m</w:t>
                  </w:r>
                </w:p>
              </w:tc>
              <w:tc>
                <w:tcPr>
                  <w:tcW w:w="8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7户农户，约28人</w:t>
                  </w:r>
                </w:p>
              </w:tc>
              <w:tc>
                <w:tcPr>
                  <w:tcW w:w="481"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住宅</w:t>
                  </w:r>
                </w:p>
              </w:tc>
              <w:tc>
                <w:tcPr>
                  <w:tcW w:w="1091"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1"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86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文星镇龙门村</w:t>
                  </w:r>
                </w:p>
              </w:tc>
              <w:tc>
                <w:tcPr>
                  <w:tcW w:w="49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西北侧、北侧</w:t>
                  </w:r>
                </w:p>
              </w:tc>
              <w:tc>
                <w:tcPr>
                  <w:tcW w:w="872"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约180m~500m</w:t>
                  </w:r>
                </w:p>
              </w:tc>
              <w:tc>
                <w:tcPr>
                  <w:tcW w:w="8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100户农户，约400人</w:t>
                  </w:r>
                </w:p>
              </w:tc>
              <w:tc>
                <w:tcPr>
                  <w:tcW w:w="481"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住宅</w:t>
                  </w:r>
                </w:p>
              </w:tc>
              <w:tc>
                <w:tcPr>
                  <w:tcW w:w="1091"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rPr>
                  </w:pPr>
                </w:p>
              </w:tc>
            </w:tr>
          </w:tbl>
          <w:p>
            <w:pPr>
              <w:spacing w:line="360" w:lineRule="auto"/>
              <w:ind w:firstLine="482" w:firstLineChars="200"/>
              <w:rPr>
                <w:rFonts w:cs="Times New Roman"/>
                <w:b/>
                <w:color w:val="auto"/>
                <w:sz w:val="24"/>
                <w:szCs w:val="24"/>
                <w:highlight w:val="none"/>
              </w:rPr>
            </w:pPr>
            <w:r>
              <w:rPr>
                <w:rFonts w:cs="Times New Roman"/>
                <w:b/>
                <w:color w:val="auto"/>
                <w:sz w:val="24"/>
                <w:szCs w:val="24"/>
                <w:highlight w:val="none"/>
              </w:rPr>
              <w:t>2、</w:t>
            </w:r>
            <w:r>
              <w:rPr>
                <w:rFonts w:hint="eastAsia" w:cs="Times New Roman"/>
                <w:b/>
                <w:color w:val="auto"/>
                <w:sz w:val="24"/>
                <w:szCs w:val="24"/>
                <w:highlight w:val="none"/>
              </w:rPr>
              <w:t>声</w:t>
            </w:r>
            <w:r>
              <w:rPr>
                <w:rFonts w:cs="Times New Roman"/>
                <w:b/>
                <w:color w:val="auto"/>
                <w:sz w:val="24"/>
                <w:szCs w:val="24"/>
                <w:highlight w:val="none"/>
              </w:rPr>
              <w:t>环境</w:t>
            </w:r>
          </w:p>
          <w:p>
            <w:pPr>
              <w:spacing w:line="360" w:lineRule="auto"/>
              <w:ind w:firstLine="480" w:firstLineChars="200"/>
              <w:rPr>
                <w:rFonts w:hint="eastAsia" w:eastAsia="宋体" w:cs="Times New Roman"/>
                <w:color w:val="auto"/>
                <w:sz w:val="24"/>
                <w:szCs w:val="24"/>
                <w:highlight w:val="none"/>
                <w:lang w:val="en-US" w:eastAsia="zh-CN"/>
              </w:rPr>
            </w:pPr>
            <w:r>
              <w:rPr>
                <w:rFonts w:cs="Times New Roman"/>
                <w:color w:val="auto"/>
                <w:sz w:val="24"/>
                <w:szCs w:val="24"/>
                <w:highlight w:val="none"/>
              </w:rPr>
              <w:t>本项目厂界外50m范围内</w:t>
            </w:r>
            <w:r>
              <w:rPr>
                <w:rFonts w:hint="eastAsia" w:cs="Times New Roman"/>
                <w:color w:val="auto"/>
                <w:sz w:val="24"/>
                <w:szCs w:val="24"/>
                <w:highlight w:val="none"/>
              </w:rPr>
              <w:t>声环境</w:t>
            </w:r>
            <w:r>
              <w:rPr>
                <w:rFonts w:cs="Times New Roman"/>
                <w:color w:val="auto"/>
                <w:sz w:val="24"/>
                <w:szCs w:val="24"/>
                <w:highlight w:val="none"/>
              </w:rPr>
              <w:t>保护目标见</w:t>
            </w:r>
            <w:r>
              <w:rPr>
                <w:rFonts w:hint="eastAsia" w:cs="Times New Roman"/>
                <w:color w:val="auto"/>
                <w:sz w:val="24"/>
                <w:szCs w:val="24"/>
                <w:highlight w:val="none"/>
                <w:lang w:val="en-US" w:eastAsia="zh-CN"/>
              </w:rPr>
              <w:t>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表3-8  主要环境保护目标</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347"/>
              <w:gridCol w:w="720"/>
              <w:gridCol w:w="1049"/>
              <w:gridCol w:w="1349"/>
              <w:gridCol w:w="735"/>
              <w:gridCol w:w="25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tcBorders>
                    <w:tl2br w:val="nil"/>
                    <w:tr2bl w:val="nil"/>
                  </w:tcBorders>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799" w:type="pct"/>
                  <w:tcBorders>
                    <w:tl2br w:val="nil"/>
                    <w:tr2bl w:val="nil"/>
                  </w:tcBorders>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保护对象</w:t>
                  </w:r>
                </w:p>
              </w:tc>
              <w:tc>
                <w:tcPr>
                  <w:tcW w:w="427" w:type="pct"/>
                  <w:tcBorders>
                    <w:tl2br w:val="nil"/>
                    <w:tr2bl w:val="nil"/>
                  </w:tcBorders>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方位</w:t>
                  </w:r>
                </w:p>
              </w:tc>
              <w:tc>
                <w:tcPr>
                  <w:tcW w:w="622" w:type="pct"/>
                  <w:tcBorders>
                    <w:tl2br w:val="nil"/>
                    <w:tr2bl w:val="nil"/>
                  </w:tcBorders>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距离</w:t>
                  </w:r>
                </w:p>
              </w:tc>
              <w:tc>
                <w:tcPr>
                  <w:tcW w:w="800" w:type="pct"/>
                  <w:tcBorders>
                    <w:tl2br w:val="nil"/>
                    <w:tr2bl w:val="nil"/>
                  </w:tcBorders>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规模</w:t>
                  </w:r>
                </w:p>
              </w:tc>
              <w:tc>
                <w:tcPr>
                  <w:tcW w:w="436" w:type="pct"/>
                  <w:tcBorders>
                    <w:tl2br w:val="nil"/>
                    <w:tr2bl w:val="nil"/>
                  </w:tcBorders>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性质</w:t>
                  </w:r>
                </w:p>
              </w:tc>
              <w:tc>
                <w:tcPr>
                  <w:tcW w:w="1525" w:type="pct"/>
                  <w:tcBorders>
                    <w:tl2br w:val="nil"/>
                    <w:tr2bl w:val="nil"/>
                  </w:tcBorders>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799"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农户</w:t>
                  </w:r>
                </w:p>
              </w:tc>
              <w:tc>
                <w:tcPr>
                  <w:tcW w:w="427"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南侧</w:t>
                  </w:r>
                </w:p>
              </w:tc>
              <w:tc>
                <w:tcPr>
                  <w:tcW w:w="622"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约30m</w:t>
                  </w:r>
                </w:p>
              </w:tc>
              <w:tc>
                <w:tcPr>
                  <w:tcW w:w="800"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2户农户，约8人</w:t>
                  </w:r>
                </w:p>
              </w:tc>
              <w:tc>
                <w:tcPr>
                  <w:tcW w:w="436"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住宅</w:t>
                  </w:r>
                </w:p>
              </w:tc>
              <w:tc>
                <w:tcPr>
                  <w:tcW w:w="152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rPr>
                    <w:t>《声环境质量标准》（GB3096-2008）</w:t>
                  </w:r>
                  <w:r>
                    <w:rPr>
                      <w:rFonts w:hint="eastAsia" w:cs="Times New Roman"/>
                      <w:color w:val="auto"/>
                      <w:sz w:val="21"/>
                      <w:szCs w:val="21"/>
                      <w:highlight w:val="none"/>
                      <w:lang w:val="en-US" w:eastAsia="zh-CN"/>
                    </w:rPr>
                    <w:t>2</w:t>
                  </w:r>
                  <w:r>
                    <w:rPr>
                      <w:rFonts w:cs="Times New Roman"/>
                      <w:color w:val="auto"/>
                      <w:sz w:val="21"/>
                      <w:szCs w:val="21"/>
                      <w:highlight w:val="none"/>
                    </w:rPr>
                    <w:t>类</w:t>
                  </w:r>
                  <w:r>
                    <w:rPr>
                      <w:rFonts w:hint="eastAsia" w:cs="Times New Roman"/>
                      <w:color w:val="auto"/>
                      <w:sz w:val="21"/>
                      <w:szCs w:val="21"/>
                      <w:highlight w:val="none"/>
                    </w:rPr>
                    <w:t>标准</w:t>
                  </w:r>
                </w:p>
              </w:tc>
            </w:tr>
          </w:tbl>
          <w:p>
            <w:pPr>
              <w:spacing w:line="360" w:lineRule="auto"/>
              <w:ind w:firstLine="482" w:firstLineChars="200"/>
              <w:rPr>
                <w:rFonts w:cs="Times New Roman"/>
                <w:b/>
                <w:color w:val="auto"/>
                <w:sz w:val="24"/>
                <w:szCs w:val="24"/>
                <w:highlight w:val="none"/>
              </w:rPr>
            </w:pPr>
            <w:r>
              <w:rPr>
                <w:rFonts w:cs="Times New Roman"/>
                <w:b/>
                <w:color w:val="auto"/>
                <w:sz w:val="24"/>
                <w:szCs w:val="24"/>
                <w:highlight w:val="none"/>
              </w:rPr>
              <w:t>3、</w:t>
            </w:r>
            <w:r>
              <w:rPr>
                <w:rFonts w:hint="eastAsia" w:cs="Times New Roman"/>
                <w:b/>
                <w:color w:val="auto"/>
                <w:sz w:val="24"/>
                <w:szCs w:val="24"/>
                <w:highlight w:val="none"/>
              </w:rPr>
              <w:t>地下水</w:t>
            </w:r>
            <w:r>
              <w:rPr>
                <w:rFonts w:cs="Times New Roman"/>
                <w:b/>
                <w:color w:val="auto"/>
                <w:sz w:val="24"/>
                <w:szCs w:val="24"/>
                <w:highlight w:val="none"/>
              </w:rPr>
              <w:t>环境</w:t>
            </w:r>
          </w:p>
          <w:p>
            <w:pPr>
              <w:spacing w:line="360" w:lineRule="auto"/>
              <w:ind w:firstLine="480" w:firstLineChars="200"/>
              <w:rPr>
                <w:rFonts w:cs="Times New Roman"/>
                <w:color w:val="auto"/>
                <w:sz w:val="24"/>
                <w:szCs w:val="24"/>
                <w:highlight w:val="none"/>
              </w:rPr>
            </w:pPr>
            <w:r>
              <w:rPr>
                <w:rFonts w:cs="Times New Roman"/>
                <w:color w:val="auto"/>
                <w:sz w:val="24"/>
                <w:szCs w:val="24"/>
                <w:highlight w:val="none"/>
              </w:rPr>
              <w:t>本项目厂界外500m范围内无地下水集中式饮用水水源和热水</w:t>
            </w:r>
            <w:r>
              <w:rPr>
                <w:rFonts w:hint="eastAsia" w:cs="Times New Roman"/>
                <w:color w:val="auto"/>
                <w:sz w:val="24"/>
                <w:szCs w:val="24"/>
                <w:highlight w:val="none"/>
              </w:rPr>
              <w:t>、矿泉水、温泉等特殊地下水资源。</w:t>
            </w:r>
          </w:p>
          <w:p>
            <w:pPr>
              <w:spacing w:line="360" w:lineRule="auto"/>
              <w:ind w:firstLine="482" w:firstLineChars="200"/>
              <w:rPr>
                <w:rFonts w:cs="Times New Roman"/>
                <w:b/>
                <w:color w:val="auto"/>
                <w:sz w:val="24"/>
                <w:szCs w:val="24"/>
                <w:highlight w:val="none"/>
              </w:rPr>
            </w:pPr>
            <w:r>
              <w:rPr>
                <w:rFonts w:cs="Times New Roman"/>
                <w:b/>
                <w:color w:val="auto"/>
                <w:sz w:val="24"/>
                <w:szCs w:val="24"/>
                <w:highlight w:val="none"/>
              </w:rPr>
              <w:t>4、</w:t>
            </w:r>
            <w:r>
              <w:rPr>
                <w:rFonts w:hint="eastAsia" w:cs="Times New Roman"/>
                <w:b/>
                <w:color w:val="auto"/>
                <w:sz w:val="24"/>
                <w:szCs w:val="24"/>
                <w:highlight w:val="none"/>
              </w:rPr>
              <w:t>生态</w:t>
            </w:r>
            <w:r>
              <w:rPr>
                <w:rFonts w:cs="Times New Roman"/>
                <w:b/>
                <w:color w:val="auto"/>
                <w:sz w:val="24"/>
                <w:szCs w:val="24"/>
                <w:highlight w:val="none"/>
              </w:rPr>
              <w:t>环境</w:t>
            </w:r>
          </w:p>
          <w:p>
            <w:pPr>
              <w:spacing w:line="360" w:lineRule="auto"/>
              <w:ind w:firstLine="480" w:firstLineChars="200"/>
              <w:rPr>
                <w:rFonts w:cs="Times New Roman"/>
                <w:b/>
                <w:color w:val="auto"/>
                <w:sz w:val="24"/>
                <w:szCs w:val="24"/>
                <w:highlight w:val="none"/>
              </w:rPr>
            </w:pPr>
            <w:r>
              <w:rPr>
                <w:rFonts w:cs="Times New Roman"/>
                <w:color w:val="auto"/>
                <w:sz w:val="24"/>
                <w:szCs w:val="24"/>
                <w:highlight w:val="none"/>
              </w:rPr>
              <w:t>本项目用地范围内无生态环境保护目标</w:t>
            </w:r>
            <w:r>
              <w:rPr>
                <w:rFonts w:hint="eastAsia" w:cs="Times New Roman"/>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4" w:type="dxa"/>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污染</w:t>
            </w:r>
          </w:p>
          <w:p>
            <w:pPr>
              <w:spacing w:line="360" w:lineRule="auto"/>
              <w:jc w:val="center"/>
              <w:rPr>
                <w:rFonts w:cs="Times New Roman"/>
                <w:color w:val="auto"/>
                <w:sz w:val="24"/>
                <w:szCs w:val="24"/>
                <w:highlight w:val="none"/>
              </w:rPr>
            </w:pPr>
            <w:r>
              <w:rPr>
                <w:rFonts w:hint="eastAsia" w:cs="Times New Roman"/>
                <w:color w:val="auto"/>
                <w:sz w:val="24"/>
                <w:szCs w:val="24"/>
                <w:highlight w:val="none"/>
              </w:rPr>
              <w:t>物排</w:t>
            </w:r>
          </w:p>
          <w:p>
            <w:pPr>
              <w:spacing w:line="360" w:lineRule="auto"/>
              <w:jc w:val="center"/>
              <w:rPr>
                <w:rFonts w:cs="Times New Roman"/>
                <w:color w:val="auto"/>
                <w:sz w:val="24"/>
                <w:szCs w:val="24"/>
                <w:highlight w:val="none"/>
              </w:rPr>
            </w:pPr>
            <w:r>
              <w:rPr>
                <w:rFonts w:hint="eastAsia" w:cs="Times New Roman"/>
                <w:color w:val="auto"/>
                <w:sz w:val="24"/>
                <w:szCs w:val="24"/>
                <w:highlight w:val="none"/>
              </w:rPr>
              <w:t>放控</w:t>
            </w:r>
          </w:p>
          <w:p>
            <w:pPr>
              <w:spacing w:line="360" w:lineRule="auto"/>
              <w:jc w:val="center"/>
              <w:rPr>
                <w:rFonts w:cs="Times New Roman"/>
                <w:color w:val="auto"/>
                <w:sz w:val="24"/>
                <w:szCs w:val="24"/>
                <w:highlight w:val="none"/>
              </w:rPr>
            </w:pPr>
            <w:r>
              <w:rPr>
                <w:rFonts w:hint="eastAsia" w:cs="Times New Roman"/>
                <w:color w:val="auto"/>
                <w:sz w:val="24"/>
                <w:szCs w:val="24"/>
                <w:highlight w:val="none"/>
              </w:rPr>
              <w:t>制标</w:t>
            </w:r>
          </w:p>
          <w:p>
            <w:pPr>
              <w:spacing w:line="360" w:lineRule="auto"/>
              <w:jc w:val="center"/>
              <w:rPr>
                <w:rFonts w:cs="Times New Roman"/>
                <w:color w:val="auto"/>
                <w:sz w:val="24"/>
                <w:szCs w:val="24"/>
                <w:highlight w:val="none"/>
              </w:rPr>
            </w:pPr>
            <w:r>
              <w:rPr>
                <w:rFonts w:hint="eastAsia" w:cs="Times New Roman"/>
                <w:color w:val="auto"/>
                <w:sz w:val="24"/>
                <w:szCs w:val="24"/>
                <w:highlight w:val="none"/>
              </w:rPr>
              <w:t>准</w:t>
            </w:r>
          </w:p>
        </w:tc>
        <w:tc>
          <w:tcPr>
            <w:tcW w:w="8645" w:type="dxa"/>
            <w:vAlign w:val="center"/>
          </w:tcPr>
          <w:p>
            <w:pPr>
              <w:spacing w:line="360" w:lineRule="auto"/>
              <w:ind w:firstLine="482" w:firstLineChars="200"/>
              <w:rPr>
                <w:rFonts w:cs="Times New Roman"/>
                <w:b/>
                <w:color w:val="auto"/>
                <w:sz w:val="24"/>
                <w:szCs w:val="24"/>
                <w:highlight w:val="none"/>
              </w:rPr>
            </w:pPr>
            <w:r>
              <w:rPr>
                <w:rFonts w:cs="Times New Roman"/>
                <w:b/>
                <w:color w:val="auto"/>
                <w:sz w:val="24"/>
                <w:szCs w:val="24"/>
                <w:highlight w:val="none"/>
              </w:rPr>
              <w:t>1、废气</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施工期扬尘执行《四川省施工场地扬尘排放标准》（DB51/2682-2020）；</w:t>
            </w:r>
            <w:r>
              <w:rPr>
                <w:rFonts w:hint="eastAsia"/>
                <w:color w:val="0000FF"/>
                <w:sz w:val="24"/>
                <w:szCs w:val="24"/>
              </w:rPr>
              <w:t>运营期执行《大气污染物综合排放标准》（</w:t>
            </w:r>
            <w:r>
              <w:rPr>
                <w:color w:val="0000FF"/>
                <w:sz w:val="24"/>
                <w:szCs w:val="24"/>
              </w:rPr>
              <w:t>GB16297-1996）</w:t>
            </w:r>
            <w:r>
              <w:rPr>
                <w:rFonts w:hint="eastAsia"/>
                <w:color w:val="0000FF"/>
                <w:sz w:val="24"/>
                <w:szCs w:val="24"/>
              </w:rPr>
              <w:t>表2无组织排放限值</w:t>
            </w:r>
            <w:r>
              <w:rPr>
                <w:rFonts w:hint="default" w:ascii="Times New Roman" w:hAnsi="Times New Roman" w:cs="Times New Roman"/>
                <w:color w:val="0000FF"/>
                <w:sz w:val="24"/>
                <w:szCs w:val="24"/>
                <w:highlight w:val="none"/>
              </w:rPr>
              <w:t>；</w:t>
            </w:r>
            <w:r>
              <w:rPr>
                <w:rFonts w:hint="default" w:ascii="Times New Roman" w:hAnsi="Times New Roman" w:cs="Times New Roman"/>
                <w:color w:val="auto"/>
                <w:sz w:val="24"/>
                <w:szCs w:val="24"/>
                <w:highlight w:val="none"/>
              </w:rPr>
              <w:t>运营期食堂油烟执行《饮食业油烟排放标准》（GB18483-2001）小型规模标准。</w:t>
            </w:r>
          </w:p>
          <w:p>
            <w:pPr>
              <w:spacing w:line="360" w:lineRule="auto"/>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表3-</w:t>
            </w:r>
            <w:r>
              <w:rPr>
                <w:rFonts w:hint="eastAsia" w:cs="Times New Roman"/>
                <w:b/>
                <w:bCs/>
                <w:color w:val="auto"/>
                <w:sz w:val="24"/>
                <w:szCs w:val="24"/>
                <w:highlight w:val="none"/>
                <w:lang w:val="en-US" w:eastAsia="zh-CN"/>
              </w:rPr>
              <w:t>9</w:t>
            </w:r>
            <w:r>
              <w:rPr>
                <w:rFonts w:hint="default" w:ascii="Times New Roman" w:hAnsi="Times New Roman" w:cs="Times New Roman"/>
                <w:b/>
                <w:bCs/>
                <w:color w:val="auto"/>
                <w:sz w:val="24"/>
                <w:szCs w:val="24"/>
                <w:highlight w:val="none"/>
              </w:rPr>
              <w:t xml:space="preserve">  施工场地扬尘排放限值</w:t>
            </w:r>
          </w:p>
          <w:tbl>
            <w:tblPr>
              <w:tblStyle w:val="23"/>
              <w:tblW w:w="84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1536"/>
              <w:gridCol w:w="2127"/>
              <w:gridCol w:w="2696"/>
              <w:gridCol w:w="13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6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5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21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施工阶段</w:t>
                  </w:r>
                </w:p>
              </w:tc>
              <w:tc>
                <w:tcPr>
                  <w:tcW w:w="26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监测点排放限值（mg/m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13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53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总悬浮颗粒物（TSP）</w:t>
                  </w:r>
                </w:p>
              </w:tc>
              <w:tc>
                <w:tcPr>
                  <w:tcW w:w="21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拆除过程/土方开挖/土方回填</w:t>
                  </w:r>
                </w:p>
              </w:tc>
              <w:tc>
                <w:tcPr>
                  <w:tcW w:w="26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0.600</w:t>
                  </w:r>
                </w:p>
              </w:tc>
              <w:tc>
                <w:tcPr>
                  <w:tcW w:w="130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自监测起持续15min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53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21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其他过程阶段</w:t>
                  </w:r>
                </w:p>
              </w:tc>
              <w:tc>
                <w:tcPr>
                  <w:tcW w:w="26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0.250</w:t>
                  </w:r>
                </w:p>
              </w:tc>
              <w:tc>
                <w:tcPr>
                  <w:tcW w:w="130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highlight w:val="none"/>
                    </w:rPr>
                  </w:pPr>
                </w:p>
              </w:tc>
            </w:tr>
          </w:tbl>
          <w:p>
            <w:pPr>
              <w:spacing w:line="360" w:lineRule="auto"/>
              <w:jc w:val="center"/>
              <w:rPr>
                <w:rFonts w:hint="eastAsia"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rPr>
              <w:t>表3-</w:t>
            </w:r>
            <w:r>
              <w:rPr>
                <w:rFonts w:hint="eastAsia" w:cs="Times New Roman"/>
                <w:b/>
                <w:bCs/>
                <w:color w:val="auto"/>
                <w:sz w:val="24"/>
                <w:szCs w:val="24"/>
                <w:highlight w:val="none"/>
                <w:lang w:val="en-US" w:eastAsia="zh-CN"/>
              </w:rPr>
              <w:t>10</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b/>
                <w:bCs/>
                <w:color w:val="auto"/>
                <w:sz w:val="24"/>
                <w:szCs w:val="24"/>
                <w:highlight w:val="none"/>
                <w:lang w:val="zh-CN" w:eastAsia="zh-CN"/>
              </w:rPr>
              <w:t>大气污</w:t>
            </w:r>
            <w:r>
              <w:rPr>
                <w:rFonts w:hint="default" w:ascii="Times New Roman" w:hAnsi="Times New Roman" w:eastAsia="宋体" w:cs="Times New Roman"/>
                <w:b/>
                <w:bCs/>
                <w:color w:val="auto"/>
                <w:sz w:val="24"/>
                <w:szCs w:val="24"/>
                <w:highlight w:val="none"/>
              </w:rPr>
              <w:t>染物排放标准</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359"/>
              <w:gridCol w:w="35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FF"/>
                      <w:kern w:val="0"/>
                      <w:sz w:val="21"/>
                      <w:szCs w:val="21"/>
                      <w:highlight w:val="none"/>
                    </w:rPr>
                  </w:pPr>
                  <w:r>
                    <w:rPr>
                      <w:rFonts w:hint="default" w:ascii="Times New Roman" w:hAnsi="Times New Roman" w:eastAsia="宋体" w:cs="Times New Roman"/>
                      <w:b/>
                      <w:bCs/>
                      <w:color w:val="0000FF"/>
                      <w:kern w:val="0"/>
                      <w:sz w:val="21"/>
                      <w:szCs w:val="21"/>
                      <w:highlight w:val="none"/>
                    </w:rPr>
                    <w:t>污染物名称</w:t>
                  </w:r>
                </w:p>
              </w:tc>
              <w:tc>
                <w:tcPr>
                  <w:tcW w:w="19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FF"/>
                      <w:kern w:val="0"/>
                      <w:sz w:val="21"/>
                      <w:szCs w:val="21"/>
                      <w:highlight w:val="none"/>
                    </w:rPr>
                  </w:pPr>
                  <w:r>
                    <w:rPr>
                      <w:rFonts w:hint="default" w:ascii="Times New Roman" w:hAnsi="Times New Roman" w:eastAsia="宋体" w:cs="Times New Roman"/>
                      <w:b/>
                      <w:bCs/>
                      <w:color w:val="0000FF"/>
                      <w:kern w:val="0"/>
                      <w:sz w:val="21"/>
                      <w:szCs w:val="21"/>
                      <w:highlight w:val="none"/>
                    </w:rPr>
                    <w:t>无组织排放监控浓度限值（mg/m</w:t>
                  </w:r>
                  <w:r>
                    <w:rPr>
                      <w:rFonts w:hint="default" w:ascii="Times New Roman" w:hAnsi="Times New Roman" w:eastAsia="宋体" w:cs="Times New Roman"/>
                      <w:b/>
                      <w:bCs/>
                      <w:color w:val="0000FF"/>
                      <w:kern w:val="0"/>
                      <w:sz w:val="21"/>
                      <w:szCs w:val="21"/>
                      <w:highlight w:val="none"/>
                      <w:vertAlign w:val="superscript"/>
                    </w:rPr>
                    <w:t>3</w:t>
                  </w:r>
                  <w:r>
                    <w:rPr>
                      <w:rFonts w:hint="default" w:ascii="Times New Roman" w:hAnsi="Times New Roman" w:eastAsia="宋体" w:cs="Times New Roman"/>
                      <w:b/>
                      <w:bCs/>
                      <w:color w:val="0000FF"/>
                      <w:kern w:val="0"/>
                      <w:sz w:val="21"/>
                      <w:szCs w:val="21"/>
                      <w:highlight w:val="none"/>
                    </w:rPr>
                    <w:t>）</w:t>
                  </w:r>
                </w:p>
              </w:tc>
              <w:tc>
                <w:tcPr>
                  <w:tcW w:w="20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FF"/>
                      <w:kern w:val="0"/>
                      <w:sz w:val="21"/>
                      <w:szCs w:val="21"/>
                      <w:highlight w:val="none"/>
                      <w:lang w:val="en-US" w:eastAsia="zh-CN"/>
                    </w:rPr>
                  </w:pPr>
                  <w:r>
                    <w:rPr>
                      <w:rFonts w:hint="eastAsia" w:cs="Times New Roman"/>
                      <w:b/>
                      <w:bCs/>
                      <w:color w:val="0000FF"/>
                      <w:kern w:val="0"/>
                      <w:sz w:val="21"/>
                      <w:szCs w:val="21"/>
                      <w:highlight w:val="none"/>
                      <w:lang w:val="en-US" w:eastAsia="zh-CN"/>
                    </w:rPr>
                    <w:t>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kern w:val="0"/>
                      <w:sz w:val="21"/>
                      <w:szCs w:val="21"/>
                      <w:highlight w:val="none"/>
                    </w:rPr>
                  </w:pPr>
                  <w:r>
                    <w:rPr>
                      <w:rFonts w:hint="default" w:ascii="Times New Roman" w:hAnsi="Times New Roman" w:eastAsia="宋体" w:cs="Times New Roman"/>
                      <w:color w:val="0000FF"/>
                      <w:kern w:val="0"/>
                      <w:sz w:val="21"/>
                      <w:szCs w:val="21"/>
                      <w:highlight w:val="none"/>
                    </w:rPr>
                    <w:t>颗粒物</w:t>
                  </w:r>
                </w:p>
              </w:tc>
              <w:tc>
                <w:tcPr>
                  <w:tcW w:w="19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1.0</w:t>
                  </w:r>
                </w:p>
              </w:tc>
              <w:tc>
                <w:tcPr>
                  <w:tcW w:w="20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kern w:val="0"/>
                      <w:sz w:val="21"/>
                      <w:szCs w:val="21"/>
                      <w:highlight w:val="none"/>
                    </w:rPr>
                  </w:pPr>
                  <w:r>
                    <w:rPr>
                      <w:rFonts w:hint="default" w:ascii="Times New Roman" w:hAnsi="Times New Roman" w:eastAsia="宋体" w:cs="Times New Roman"/>
                      <w:color w:val="0000FF"/>
                      <w:kern w:val="0"/>
                      <w:sz w:val="21"/>
                      <w:szCs w:val="21"/>
                      <w:highlight w:val="none"/>
                    </w:rPr>
                    <w:t>《大气污染物排放标准》（GB4915-2013）表2 中标准</w:t>
                  </w:r>
                </w:p>
              </w:tc>
            </w:tr>
          </w:tbl>
          <w:p>
            <w:pPr>
              <w:spacing w:line="360" w:lineRule="auto"/>
              <w:jc w:val="center"/>
              <w:rPr>
                <w:rFonts w:hint="default" w:ascii="Times New Roman" w:hAnsi="Times New Roman" w:eastAsia="宋体" w:cs="Times New Roman"/>
                <w:b/>
                <w:bCs/>
                <w:color w:val="auto"/>
                <w:sz w:val="24"/>
                <w:szCs w:val="24"/>
                <w:highlight w:val="none"/>
                <w:lang w:val="en-US"/>
              </w:rPr>
            </w:pPr>
            <w:r>
              <w:rPr>
                <w:rFonts w:hint="default" w:ascii="Times New Roman" w:hAnsi="Times New Roman" w:eastAsia="宋体" w:cs="Times New Roman"/>
                <w:b/>
                <w:bCs/>
                <w:color w:val="auto"/>
                <w:sz w:val="24"/>
                <w:szCs w:val="24"/>
                <w:highlight w:val="none"/>
              </w:rPr>
              <w:t>表3-</w:t>
            </w:r>
            <w:r>
              <w:rPr>
                <w:rFonts w:hint="default" w:ascii="Times New Roman" w:hAnsi="Times New Roman" w:eastAsia="宋体"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 xml:space="preserve">  饮食业油烟排放标准</w:t>
            </w:r>
          </w:p>
          <w:tbl>
            <w:tblPr>
              <w:tblStyle w:val="23"/>
              <w:tblW w:w="84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27"/>
              <w:gridCol w:w="1799"/>
              <w:gridCol w:w="1799"/>
              <w:gridCol w:w="18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0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规模</w:t>
                  </w:r>
                </w:p>
              </w:tc>
              <w:tc>
                <w:tcPr>
                  <w:tcW w:w="17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小型</w:t>
                  </w:r>
                </w:p>
              </w:tc>
              <w:tc>
                <w:tcPr>
                  <w:tcW w:w="17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中型</w:t>
                  </w:r>
                </w:p>
              </w:tc>
              <w:tc>
                <w:tcPr>
                  <w:tcW w:w="180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大型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0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最高运行排放浓度（mg/m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p>
              </w:tc>
              <w:tc>
                <w:tcPr>
                  <w:tcW w:w="5402"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0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净化设施最低去除效率（%）</w:t>
                  </w:r>
                </w:p>
              </w:tc>
              <w:tc>
                <w:tcPr>
                  <w:tcW w:w="17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60</w:t>
                  </w:r>
                </w:p>
              </w:tc>
              <w:tc>
                <w:tcPr>
                  <w:tcW w:w="17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75</w:t>
                  </w:r>
                </w:p>
              </w:tc>
              <w:tc>
                <w:tcPr>
                  <w:tcW w:w="180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85</w:t>
                  </w:r>
                </w:p>
              </w:tc>
            </w:tr>
          </w:tbl>
          <w:p>
            <w:pPr>
              <w:spacing w:line="360" w:lineRule="auto"/>
              <w:ind w:firstLine="482" w:firstLineChars="200"/>
              <w:rPr>
                <w:rFonts w:hint="default" w:cs="Times New Roman"/>
                <w:b/>
                <w:color w:val="auto"/>
                <w:sz w:val="24"/>
                <w:szCs w:val="24"/>
                <w:highlight w:val="none"/>
                <w:lang w:val="en-US" w:eastAsia="zh-CN"/>
              </w:rPr>
            </w:pPr>
            <w:r>
              <w:rPr>
                <w:rFonts w:hint="eastAsia" w:cs="Times New Roman"/>
                <w:b/>
                <w:color w:val="auto"/>
                <w:sz w:val="24"/>
                <w:szCs w:val="24"/>
                <w:highlight w:val="none"/>
                <w:lang w:val="en-US" w:eastAsia="zh-CN"/>
              </w:rPr>
              <w:t>2、废水</w:t>
            </w:r>
          </w:p>
          <w:p>
            <w:pPr>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eastAsia" w:cs="Times New Roman"/>
                <w:color w:val="auto"/>
                <w:sz w:val="24"/>
                <w:szCs w:val="24"/>
                <w:highlight w:val="none"/>
                <w:lang w:val="zh-CN" w:eastAsia="zh-CN"/>
              </w:rPr>
              <w:t>项目生产废水经螺旋绞砂机对粗砂颗粒分离后，进入三级沉淀池处理，沉淀池底泥经板框压滤机压成泥饼，废水处理后全部循环使用，不外排</w:t>
            </w:r>
            <w:r>
              <w:rPr>
                <w:rFonts w:hint="eastAsia" w:cs="Times New Roman"/>
                <w:color w:val="0000FF"/>
                <w:sz w:val="24"/>
                <w:szCs w:val="24"/>
                <w:highlight w:val="none"/>
                <w:lang w:val="en-US" w:eastAsia="zh-CN"/>
              </w:rPr>
              <w:t>；</w:t>
            </w:r>
            <w:r>
              <w:rPr>
                <w:rFonts w:hint="eastAsia" w:ascii="Times New Roman" w:hAnsi="Times New Roman" w:cs="Times New Roman"/>
                <w:color w:val="auto"/>
                <w:sz w:val="24"/>
                <w:szCs w:val="24"/>
                <w:highlight w:val="none"/>
                <w:lang w:val="en-US" w:eastAsia="zh-CN"/>
              </w:rPr>
              <w:t>生活污水</w:t>
            </w:r>
            <w:r>
              <w:rPr>
                <w:rFonts w:hint="eastAsia" w:cs="Times New Roman"/>
                <w:color w:val="auto"/>
                <w:sz w:val="24"/>
                <w:szCs w:val="24"/>
                <w:highlight w:val="none"/>
                <w:lang w:val="en-US" w:eastAsia="zh-CN"/>
              </w:rPr>
              <w:t>（食堂废水先经隔油池处理）经旱厕处理后用作周边农田农肥</w:t>
            </w:r>
            <w:r>
              <w:rPr>
                <w:rFonts w:hint="default" w:ascii="Times New Roman" w:hAnsi="Times New Roman" w:eastAsia="宋体" w:cs="Times New Roman"/>
                <w:color w:val="auto"/>
                <w:sz w:val="24"/>
                <w:szCs w:val="24"/>
                <w:highlight w:val="none"/>
                <w:lang w:val="zh-CN" w:eastAsia="zh-CN"/>
              </w:rPr>
              <w:t>，不外排。</w:t>
            </w:r>
          </w:p>
          <w:p>
            <w:pPr>
              <w:spacing w:line="360" w:lineRule="auto"/>
              <w:ind w:firstLine="482" w:firstLineChars="200"/>
              <w:rPr>
                <w:rFonts w:cs="Times New Roman"/>
                <w:b/>
                <w:color w:val="auto"/>
                <w:sz w:val="24"/>
                <w:szCs w:val="24"/>
                <w:highlight w:val="none"/>
              </w:rPr>
            </w:pPr>
            <w:r>
              <w:rPr>
                <w:rFonts w:hint="eastAsia" w:cs="Times New Roman"/>
                <w:b/>
                <w:color w:val="auto"/>
                <w:sz w:val="24"/>
                <w:szCs w:val="24"/>
                <w:highlight w:val="none"/>
                <w:lang w:val="en-US" w:eastAsia="zh-CN"/>
              </w:rPr>
              <w:t>3</w:t>
            </w:r>
            <w:r>
              <w:rPr>
                <w:rFonts w:cs="Times New Roman"/>
                <w:b/>
                <w:color w:val="auto"/>
                <w:sz w:val="24"/>
                <w:szCs w:val="24"/>
                <w:highlight w:val="none"/>
              </w:rPr>
              <w:t>、</w:t>
            </w:r>
            <w:r>
              <w:rPr>
                <w:rFonts w:hint="eastAsia" w:cs="Times New Roman"/>
                <w:b/>
                <w:color w:val="auto"/>
                <w:sz w:val="24"/>
                <w:szCs w:val="24"/>
                <w:highlight w:val="none"/>
              </w:rPr>
              <w:t>噪声</w:t>
            </w:r>
          </w:p>
          <w:p>
            <w:pPr>
              <w:spacing w:line="360" w:lineRule="auto"/>
              <w:ind w:firstLine="480" w:firstLineChars="200"/>
              <w:rPr>
                <w:rFonts w:cs="Times New Roman"/>
                <w:color w:val="auto"/>
                <w:sz w:val="24"/>
                <w:szCs w:val="24"/>
                <w:highlight w:val="none"/>
              </w:rPr>
            </w:pPr>
            <w:r>
              <w:rPr>
                <w:rFonts w:hint="eastAsia" w:cs="Times New Roman"/>
                <w:color w:val="auto"/>
                <w:sz w:val="24"/>
                <w:szCs w:val="24"/>
                <w:highlight w:val="none"/>
              </w:rPr>
              <w:t>运营期执行《工业企业厂界环境噪声排放标准》（GB12348-2008）</w:t>
            </w:r>
            <w:r>
              <w:rPr>
                <w:rFonts w:hint="eastAsia" w:cs="Times New Roman"/>
                <w:color w:val="auto"/>
                <w:sz w:val="24"/>
                <w:szCs w:val="24"/>
                <w:highlight w:val="none"/>
                <w:lang w:val="en-US" w:eastAsia="zh-CN"/>
              </w:rPr>
              <w:t>2</w:t>
            </w:r>
            <w:r>
              <w:rPr>
                <w:rFonts w:hint="eastAsia" w:cs="Times New Roman"/>
                <w:color w:val="auto"/>
                <w:sz w:val="24"/>
                <w:szCs w:val="24"/>
                <w:highlight w:val="none"/>
              </w:rPr>
              <w:t>类标准。</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b/>
                <w:bCs/>
                <w:color w:val="auto"/>
                <w:sz w:val="24"/>
                <w:szCs w:val="24"/>
                <w:highlight w:val="none"/>
                <w:lang w:val="en-US" w:eastAsia="zh-CN"/>
              </w:rPr>
            </w:pPr>
            <w:r>
              <w:rPr>
                <w:rFonts w:hint="eastAsia" w:ascii="Times New Roman" w:hAnsi="Times New Roman"/>
                <w:b/>
                <w:bCs/>
                <w:color w:val="auto"/>
                <w:sz w:val="24"/>
                <w:szCs w:val="24"/>
                <w:highlight w:val="none"/>
                <w:lang w:val="en-US" w:eastAsia="zh-CN"/>
              </w:rPr>
              <w:t>表3-</w:t>
            </w:r>
            <w:r>
              <w:rPr>
                <w:rFonts w:hint="eastAsia"/>
                <w:b/>
                <w:bCs/>
                <w:color w:val="auto"/>
                <w:sz w:val="24"/>
                <w:szCs w:val="24"/>
                <w:highlight w:val="none"/>
                <w:lang w:val="en-US" w:eastAsia="zh-CN"/>
              </w:rPr>
              <w:t>12</w:t>
            </w:r>
            <w:r>
              <w:rPr>
                <w:rFonts w:hint="eastAsia" w:ascii="Times New Roman" w:hAnsi="Times New Roman"/>
                <w:b/>
                <w:bCs/>
                <w:color w:val="auto"/>
                <w:sz w:val="24"/>
                <w:szCs w:val="24"/>
                <w:highlight w:val="none"/>
                <w:lang w:val="en-US" w:eastAsia="zh-CN"/>
              </w:rPr>
              <w:t xml:space="preserve">  噪声排放标准限值</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13"/>
              <w:gridCol w:w="2708"/>
              <w:gridCol w:w="27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87" w:type="pct"/>
                  <w:tcBorders>
                    <w:tl2br w:val="nil"/>
                    <w:tr2bl w:val="nil"/>
                  </w:tcBorders>
                  <w:shd w:val="clear" w:color="auto" w:fill="auto"/>
                  <w:vAlign w:val="center"/>
                </w:tcPr>
                <w:p>
                  <w:pPr>
                    <w:spacing w:line="240" w:lineRule="auto"/>
                    <w:jc w:val="center"/>
                    <w:rPr>
                      <w:rFonts w:cstheme="minorHAnsi"/>
                      <w:b/>
                      <w:bCs/>
                      <w:color w:val="auto"/>
                      <w:sz w:val="21"/>
                      <w:szCs w:val="21"/>
                      <w:highlight w:val="none"/>
                    </w:rPr>
                  </w:pPr>
                  <w:r>
                    <w:rPr>
                      <w:rFonts w:cstheme="minorHAnsi"/>
                      <w:b/>
                      <w:bCs/>
                      <w:color w:val="auto"/>
                      <w:sz w:val="21"/>
                      <w:szCs w:val="21"/>
                      <w:highlight w:val="none"/>
                    </w:rPr>
                    <w:t>项目</w:t>
                  </w:r>
                </w:p>
              </w:tc>
              <w:tc>
                <w:tcPr>
                  <w:tcW w:w="1606" w:type="pct"/>
                  <w:tcBorders>
                    <w:tl2br w:val="nil"/>
                    <w:tr2bl w:val="nil"/>
                  </w:tcBorders>
                  <w:shd w:val="clear" w:color="auto" w:fill="auto"/>
                  <w:vAlign w:val="center"/>
                </w:tcPr>
                <w:p>
                  <w:pPr>
                    <w:spacing w:line="240" w:lineRule="auto"/>
                    <w:jc w:val="center"/>
                    <w:rPr>
                      <w:rFonts w:cstheme="minorHAnsi"/>
                      <w:b/>
                      <w:bCs/>
                      <w:color w:val="auto"/>
                      <w:sz w:val="21"/>
                      <w:szCs w:val="21"/>
                      <w:highlight w:val="none"/>
                    </w:rPr>
                  </w:pPr>
                  <w:r>
                    <w:rPr>
                      <w:rFonts w:cstheme="minorHAnsi"/>
                      <w:b/>
                      <w:bCs/>
                      <w:color w:val="auto"/>
                      <w:sz w:val="21"/>
                      <w:szCs w:val="21"/>
                      <w:highlight w:val="none"/>
                    </w:rPr>
                    <w:t>昼间</w:t>
                  </w:r>
                </w:p>
              </w:tc>
              <w:tc>
                <w:tcPr>
                  <w:tcW w:w="1606" w:type="pct"/>
                  <w:tcBorders>
                    <w:tl2br w:val="nil"/>
                    <w:tr2bl w:val="nil"/>
                  </w:tcBorders>
                  <w:shd w:val="clear" w:color="auto" w:fill="auto"/>
                  <w:vAlign w:val="center"/>
                </w:tcPr>
                <w:p>
                  <w:pPr>
                    <w:spacing w:line="240" w:lineRule="auto"/>
                    <w:jc w:val="center"/>
                    <w:rPr>
                      <w:rFonts w:cstheme="minorHAnsi"/>
                      <w:b/>
                      <w:bCs/>
                      <w:color w:val="auto"/>
                      <w:sz w:val="21"/>
                      <w:szCs w:val="21"/>
                      <w:highlight w:val="none"/>
                    </w:rPr>
                  </w:pPr>
                  <w:r>
                    <w:rPr>
                      <w:rFonts w:cstheme="minorHAnsi"/>
                      <w:b/>
                      <w:bCs/>
                      <w:color w:val="auto"/>
                      <w:sz w:val="21"/>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87" w:type="pct"/>
                  <w:tcBorders>
                    <w:tl2br w:val="nil"/>
                    <w:tr2bl w:val="nil"/>
                  </w:tcBorders>
                  <w:shd w:val="clear" w:color="auto" w:fill="auto"/>
                  <w:vAlign w:val="center"/>
                </w:tcPr>
                <w:p>
                  <w:pPr>
                    <w:spacing w:line="240" w:lineRule="auto"/>
                    <w:jc w:val="center"/>
                    <w:rPr>
                      <w:rFonts w:cstheme="minorHAnsi"/>
                      <w:color w:val="auto"/>
                      <w:sz w:val="21"/>
                      <w:szCs w:val="21"/>
                      <w:highlight w:val="none"/>
                    </w:rPr>
                  </w:pPr>
                  <w:r>
                    <w:rPr>
                      <w:rFonts w:cstheme="minorHAnsi"/>
                      <w:color w:val="auto"/>
                      <w:sz w:val="21"/>
                      <w:szCs w:val="21"/>
                      <w:highlight w:val="none"/>
                    </w:rPr>
                    <w:t>运营期排放限值</w:t>
                  </w:r>
                  <w:r>
                    <w:rPr>
                      <w:rFonts w:eastAsia="仿宋" w:cstheme="minorHAnsi"/>
                      <w:color w:val="auto"/>
                      <w:sz w:val="21"/>
                      <w:szCs w:val="21"/>
                      <w:highlight w:val="none"/>
                    </w:rPr>
                    <w:t>[</w:t>
                  </w:r>
                  <w:r>
                    <w:rPr>
                      <w:rFonts w:cstheme="minorHAnsi"/>
                      <w:color w:val="auto"/>
                      <w:sz w:val="21"/>
                      <w:szCs w:val="21"/>
                      <w:highlight w:val="none"/>
                    </w:rPr>
                    <w:t>dB（A）</w:t>
                  </w:r>
                  <w:r>
                    <w:rPr>
                      <w:rFonts w:eastAsia="仿宋" w:cstheme="minorHAnsi"/>
                      <w:color w:val="auto"/>
                      <w:sz w:val="21"/>
                      <w:szCs w:val="21"/>
                      <w:highlight w:val="none"/>
                    </w:rPr>
                    <w:t>]</w:t>
                  </w:r>
                </w:p>
              </w:tc>
              <w:tc>
                <w:tcPr>
                  <w:tcW w:w="1606" w:type="pct"/>
                  <w:tcBorders>
                    <w:tl2br w:val="nil"/>
                    <w:tr2bl w:val="nil"/>
                  </w:tcBorders>
                  <w:shd w:val="clear" w:color="auto" w:fill="auto"/>
                  <w:vAlign w:val="center"/>
                </w:tcPr>
                <w:p>
                  <w:pPr>
                    <w:spacing w:line="240" w:lineRule="auto"/>
                    <w:jc w:val="center"/>
                    <w:rPr>
                      <w:rFonts w:hint="eastAsia" w:eastAsia="宋体" w:cstheme="minorHAnsi"/>
                      <w:color w:val="auto"/>
                      <w:sz w:val="21"/>
                      <w:szCs w:val="21"/>
                      <w:highlight w:val="none"/>
                      <w:lang w:eastAsia="zh-CN"/>
                    </w:rPr>
                  </w:pPr>
                  <w:r>
                    <w:rPr>
                      <w:rFonts w:cstheme="minorHAnsi"/>
                      <w:color w:val="auto"/>
                      <w:sz w:val="21"/>
                      <w:szCs w:val="21"/>
                      <w:highlight w:val="none"/>
                    </w:rPr>
                    <w:t>6</w:t>
                  </w:r>
                  <w:r>
                    <w:rPr>
                      <w:rFonts w:hint="eastAsia" w:cstheme="minorHAnsi"/>
                      <w:color w:val="auto"/>
                      <w:sz w:val="21"/>
                      <w:szCs w:val="21"/>
                      <w:highlight w:val="none"/>
                      <w:lang w:val="en-US" w:eastAsia="zh-CN"/>
                    </w:rPr>
                    <w:t>0</w:t>
                  </w:r>
                </w:p>
              </w:tc>
              <w:tc>
                <w:tcPr>
                  <w:tcW w:w="1606" w:type="pct"/>
                  <w:tcBorders>
                    <w:tl2br w:val="nil"/>
                    <w:tr2bl w:val="nil"/>
                  </w:tcBorders>
                  <w:shd w:val="clear" w:color="auto" w:fill="auto"/>
                  <w:vAlign w:val="center"/>
                </w:tcPr>
                <w:p>
                  <w:pPr>
                    <w:spacing w:line="240" w:lineRule="auto"/>
                    <w:jc w:val="center"/>
                    <w:rPr>
                      <w:rFonts w:hint="eastAsia" w:eastAsia="宋体" w:cstheme="minorHAnsi"/>
                      <w:color w:val="auto"/>
                      <w:sz w:val="21"/>
                      <w:szCs w:val="21"/>
                      <w:highlight w:val="none"/>
                      <w:lang w:eastAsia="zh-CN"/>
                    </w:rPr>
                  </w:pPr>
                  <w:r>
                    <w:rPr>
                      <w:rFonts w:cstheme="minorHAnsi"/>
                      <w:color w:val="auto"/>
                      <w:sz w:val="21"/>
                      <w:szCs w:val="21"/>
                      <w:highlight w:val="none"/>
                    </w:rPr>
                    <w:t>5</w:t>
                  </w:r>
                  <w:r>
                    <w:rPr>
                      <w:rFonts w:hint="eastAsia" w:cstheme="minorHAnsi"/>
                      <w:color w:val="auto"/>
                      <w:sz w:val="21"/>
                      <w:szCs w:val="21"/>
                      <w:highlight w:val="none"/>
                      <w:lang w:val="en-US" w:eastAsia="zh-CN"/>
                    </w:rPr>
                    <w:t>0</w:t>
                  </w:r>
                </w:p>
              </w:tc>
            </w:tr>
          </w:tbl>
          <w:p>
            <w:pPr>
              <w:spacing w:line="360" w:lineRule="auto"/>
              <w:ind w:firstLine="482" w:firstLineChars="200"/>
              <w:rPr>
                <w:rFonts w:cs="Times New Roman"/>
                <w:b/>
                <w:color w:val="auto"/>
                <w:sz w:val="24"/>
                <w:szCs w:val="24"/>
                <w:highlight w:val="none"/>
              </w:rPr>
            </w:pPr>
            <w:r>
              <w:rPr>
                <w:rFonts w:hint="eastAsia" w:cs="Times New Roman"/>
                <w:b/>
                <w:color w:val="auto"/>
                <w:sz w:val="24"/>
                <w:szCs w:val="24"/>
                <w:highlight w:val="none"/>
                <w:lang w:val="en-US" w:eastAsia="zh-CN"/>
              </w:rPr>
              <w:t>4</w:t>
            </w:r>
            <w:r>
              <w:rPr>
                <w:rFonts w:cs="Times New Roman"/>
                <w:b/>
                <w:color w:val="auto"/>
                <w:sz w:val="24"/>
                <w:szCs w:val="24"/>
                <w:highlight w:val="none"/>
              </w:rPr>
              <w:t>、</w:t>
            </w:r>
            <w:r>
              <w:rPr>
                <w:rFonts w:hint="eastAsia" w:cs="Times New Roman"/>
                <w:b/>
                <w:color w:val="auto"/>
                <w:sz w:val="24"/>
                <w:szCs w:val="24"/>
                <w:highlight w:val="none"/>
              </w:rPr>
              <w:t>固体废物</w:t>
            </w:r>
          </w:p>
          <w:p>
            <w:pPr>
              <w:spacing w:line="360" w:lineRule="auto"/>
              <w:ind w:firstLine="480" w:firstLineChars="200"/>
              <w:rPr>
                <w:rFonts w:hint="eastAsia"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rPr>
              <w:t>按照《中华人民共和国固体废弃物防治法》的要求，固体废物要妥善处置，不得形成二次污染。营运期固废贮存执行《一般工业固体废物贮存和填埋污染控制标准》（GB 18599-2020）</w:t>
            </w:r>
            <w:r>
              <w:rPr>
                <w:rFonts w:hint="eastAsia" w:ascii="Times New Roman" w:hAnsi="Times New Roman" w:cs="Times New Roman"/>
                <w:color w:val="auto"/>
                <w:szCs w:val="21"/>
                <w:highlight w:val="none"/>
              </w:rPr>
              <w:t>、</w:t>
            </w:r>
            <w:r>
              <w:rPr>
                <w:rFonts w:hint="eastAsia" w:ascii="Times New Roman" w:hAnsi="Times New Roman" w:cs="Times New Roman"/>
                <w:color w:val="0000FF"/>
                <w:szCs w:val="21"/>
                <w:highlight w:val="none"/>
              </w:rPr>
              <w:t>《危险废物贮存污染控制标准》（GB18597-20</w:t>
            </w:r>
            <w:r>
              <w:rPr>
                <w:rFonts w:hint="eastAsia" w:cs="Times New Roman"/>
                <w:color w:val="0000FF"/>
                <w:szCs w:val="21"/>
                <w:highlight w:val="none"/>
                <w:lang w:val="en-US" w:eastAsia="zh-CN"/>
              </w:rPr>
              <w:t>23</w:t>
            </w:r>
            <w:r>
              <w:rPr>
                <w:rFonts w:hint="eastAsia" w:ascii="Times New Roman" w:hAnsi="Times New Roman" w:cs="Times New Roman"/>
                <w:color w:val="0000FF"/>
                <w:szCs w:val="21"/>
                <w:highlight w:val="none"/>
              </w:rPr>
              <w:t>）</w:t>
            </w:r>
            <w:r>
              <w:rPr>
                <w:rFonts w:hint="eastAsia" w:ascii="Times New Roman" w:hAnsi="Times New Roman" w:cs="Times New Roman"/>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总量</w:t>
            </w:r>
          </w:p>
          <w:p>
            <w:pPr>
              <w:spacing w:line="360" w:lineRule="auto"/>
              <w:jc w:val="center"/>
              <w:rPr>
                <w:rFonts w:cs="Times New Roman"/>
                <w:color w:val="auto"/>
                <w:sz w:val="24"/>
                <w:szCs w:val="24"/>
                <w:highlight w:val="none"/>
              </w:rPr>
            </w:pPr>
            <w:r>
              <w:rPr>
                <w:rFonts w:hint="eastAsia" w:cs="Times New Roman"/>
                <w:color w:val="auto"/>
                <w:sz w:val="24"/>
                <w:szCs w:val="24"/>
                <w:highlight w:val="none"/>
              </w:rPr>
              <w:t>控制</w:t>
            </w:r>
          </w:p>
          <w:p>
            <w:pPr>
              <w:spacing w:line="360" w:lineRule="auto"/>
              <w:jc w:val="center"/>
              <w:rPr>
                <w:rFonts w:cs="Times New Roman"/>
                <w:color w:val="auto"/>
                <w:sz w:val="24"/>
                <w:szCs w:val="24"/>
                <w:highlight w:val="none"/>
              </w:rPr>
            </w:pPr>
            <w:r>
              <w:rPr>
                <w:rFonts w:hint="eastAsia" w:cs="Times New Roman"/>
                <w:color w:val="auto"/>
                <w:sz w:val="24"/>
                <w:szCs w:val="24"/>
                <w:highlight w:val="none"/>
              </w:rPr>
              <w:t>指标</w:t>
            </w:r>
          </w:p>
        </w:tc>
        <w:tc>
          <w:tcPr>
            <w:tcW w:w="8645" w:type="dxa"/>
            <w:vAlign w:val="center"/>
          </w:tcPr>
          <w:p>
            <w:pPr>
              <w:pStyle w:val="76"/>
              <w:tabs>
                <w:tab w:val="left" w:pos="8789"/>
              </w:tabs>
              <w:spacing w:line="360" w:lineRule="auto"/>
              <w:ind w:firstLine="480" w:firstLineChars="200"/>
              <w:jc w:val="left"/>
              <w:rPr>
                <w:rFonts w:hint="eastAsia" w:cs="Times New Roman"/>
                <w:color w:val="auto"/>
                <w:sz w:val="24"/>
                <w:szCs w:val="24"/>
                <w:highlight w:val="none"/>
                <w:lang w:eastAsia="zh-CN"/>
              </w:rPr>
            </w:pPr>
          </w:p>
          <w:p>
            <w:pPr>
              <w:pStyle w:val="76"/>
              <w:tabs>
                <w:tab w:val="left" w:pos="8789"/>
              </w:tabs>
              <w:spacing w:line="360" w:lineRule="auto"/>
              <w:ind w:firstLine="480" w:firstLineChars="200"/>
              <w:jc w:val="left"/>
              <w:rPr>
                <w:rFonts w:hint="eastAsia" w:cs="Times New Roman"/>
                <w:color w:val="auto"/>
                <w:sz w:val="24"/>
                <w:szCs w:val="24"/>
                <w:highlight w:val="none"/>
                <w:lang w:eastAsia="zh-CN"/>
              </w:rPr>
            </w:pPr>
          </w:p>
          <w:p>
            <w:pPr>
              <w:pStyle w:val="76"/>
              <w:tabs>
                <w:tab w:val="left" w:pos="8789"/>
              </w:tabs>
              <w:spacing w:line="360" w:lineRule="auto"/>
              <w:ind w:firstLine="480" w:firstLineChars="200"/>
              <w:jc w:val="left"/>
              <w:rPr>
                <w:rFonts w:hint="eastAsia" w:cs="Times New Roman"/>
                <w:color w:val="auto"/>
                <w:sz w:val="24"/>
                <w:szCs w:val="24"/>
                <w:highlight w:val="none"/>
                <w:lang w:eastAsia="zh-CN"/>
              </w:rPr>
            </w:pPr>
          </w:p>
          <w:p>
            <w:pPr>
              <w:pStyle w:val="76"/>
              <w:tabs>
                <w:tab w:val="left" w:pos="8789"/>
              </w:tabs>
              <w:spacing w:line="360" w:lineRule="auto"/>
              <w:ind w:firstLine="480" w:firstLineChars="200"/>
              <w:jc w:val="left"/>
              <w:rPr>
                <w:rFonts w:hint="eastAsia" w:cs="Times New Roman"/>
                <w:color w:val="auto"/>
                <w:sz w:val="24"/>
                <w:szCs w:val="24"/>
                <w:highlight w:val="none"/>
                <w:lang w:eastAsia="zh-CN"/>
              </w:rPr>
            </w:pPr>
          </w:p>
          <w:p>
            <w:pPr>
              <w:pStyle w:val="76"/>
              <w:tabs>
                <w:tab w:val="left" w:pos="8789"/>
              </w:tabs>
              <w:spacing w:line="360" w:lineRule="auto"/>
              <w:ind w:firstLine="480" w:firstLineChars="200"/>
              <w:jc w:val="left"/>
              <w:rPr>
                <w:rFonts w:hint="eastAsia"/>
                <w:b w:val="0"/>
                <w:bCs w:val="0"/>
                <w:color w:val="auto"/>
                <w:sz w:val="24"/>
                <w:szCs w:val="24"/>
                <w:highlight w:val="none"/>
                <w:lang w:val="en-US" w:eastAsia="zh-CN"/>
              </w:rPr>
            </w:pPr>
          </w:p>
          <w:p>
            <w:pPr>
              <w:pStyle w:val="76"/>
              <w:tabs>
                <w:tab w:val="left" w:pos="8789"/>
              </w:tabs>
              <w:spacing w:line="360" w:lineRule="auto"/>
              <w:ind w:firstLine="480" w:firstLineChars="200"/>
              <w:jc w:val="left"/>
              <w:rPr>
                <w:rFonts w:hint="eastAsia"/>
                <w:b w:val="0"/>
                <w:bCs w:val="0"/>
                <w:color w:val="auto"/>
                <w:sz w:val="24"/>
                <w:szCs w:val="24"/>
                <w:highlight w:val="none"/>
                <w:lang w:val="en-US" w:eastAsia="zh-CN"/>
              </w:rPr>
            </w:pPr>
          </w:p>
          <w:p>
            <w:pPr>
              <w:pStyle w:val="76"/>
              <w:tabs>
                <w:tab w:val="left" w:pos="8789"/>
              </w:tabs>
              <w:spacing w:line="360" w:lineRule="auto"/>
              <w:ind w:firstLine="480" w:firstLineChars="200"/>
              <w:jc w:val="left"/>
              <w:rPr>
                <w:rFonts w:hint="eastAsia"/>
                <w:b w:val="0"/>
                <w:bCs w:val="0"/>
                <w:color w:val="auto"/>
                <w:sz w:val="24"/>
                <w:szCs w:val="24"/>
                <w:highlight w:val="none"/>
                <w:lang w:val="en-US" w:eastAsia="zh-CN"/>
              </w:rPr>
            </w:pPr>
          </w:p>
          <w:p>
            <w:pPr>
              <w:pStyle w:val="76"/>
              <w:tabs>
                <w:tab w:val="left" w:pos="8789"/>
              </w:tabs>
              <w:spacing w:line="360" w:lineRule="auto"/>
              <w:ind w:firstLine="480" w:firstLineChars="200"/>
              <w:jc w:val="left"/>
              <w:rPr>
                <w:rFonts w:hint="eastAsia"/>
                <w:b w:val="0"/>
                <w:bCs w:val="0"/>
                <w:color w:val="auto"/>
                <w:sz w:val="24"/>
                <w:szCs w:val="24"/>
                <w:highlight w:val="none"/>
                <w:lang w:val="en-US" w:eastAsia="zh-CN"/>
              </w:rPr>
            </w:pPr>
          </w:p>
          <w:p>
            <w:pPr>
              <w:pStyle w:val="76"/>
              <w:tabs>
                <w:tab w:val="left" w:pos="8789"/>
              </w:tabs>
              <w:spacing w:line="360" w:lineRule="auto"/>
              <w:ind w:firstLine="480" w:firstLineChars="200"/>
              <w:jc w:val="left"/>
              <w:rPr>
                <w:rFonts w:hint="eastAsia"/>
                <w:b w:val="0"/>
                <w:bCs w:val="0"/>
                <w:color w:val="auto"/>
                <w:sz w:val="24"/>
                <w:szCs w:val="24"/>
                <w:highlight w:val="none"/>
                <w:lang w:val="en-US" w:eastAsia="zh-CN"/>
              </w:rPr>
            </w:pPr>
          </w:p>
          <w:p>
            <w:pPr>
              <w:pStyle w:val="76"/>
              <w:tabs>
                <w:tab w:val="left" w:pos="8789"/>
              </w:tabs>
              <w:spacing w:line="360" w:lineRule="auto"/>
              <w:ind w:firstLine="480" w:firstLineChars="200"/>
              <w:jc w:val="left"/>
              <w:rPr>
                <w:rFonts w:hint="eastAsia" w:cs="Times New Roman"/>
                <w:color w:val="auto"/>
                <w:sz w:val="24"/>
                <w:szCs w:val="24"/>
                <w:highlight w:val="none"/>
                <w:lang w:eastAsia="zh-CN"/>
              </w:rPr>
            </w:pPr>
            <w:r>
              <w:rPr>
                <w:rFonts w:hint="eastAsia"/>
                <w:b w:val="0"/>
                <w:bCs w:val="0"/>
                <w:color w:val="auto"/>
                <w:sz w:val="24"/>
                <w:szCs w:val="24"/>
                <w:highlight w:val="none"/>
                <w:lang w:val="en-US" w:eastAsia="zh-CN"/>
              </w:rPr>
              <w:t>本项目不涉及总量控制指标。</w:t>
            </w:r>
          </w:p>
          <w:p>
            <w:pPr>
              <w:pStyle w:val="76"/>
              <w:tabs>
                <w:tab w:val="left" w:pos="8789"/>
              </w:tabs>
              <w:spacing w:line="360" w:lineRule="auto"/>
              <w:ind w:firstLine="480" w:firstLineChars="200"/>
              <w:jc w:val="left"/>
              <w:rPr>
                <w:rFonts w:hint="eastAsia" w:cs="Times New Roman"/>
                <w:color w:val="auto"/>
                <w:sz w:val="24"/>
                <w:szCs w:val="24"/>
                <w:highlight w:val="none"/>
                <w:lang w:eastAsia="zh-CN"/>
              </w:rPr>
            </w:pPr>
          </w:p>
          <w:p>
            <w:pPr>
              <w:pStyle w:val="76"/>
              <w:tabs>
                <w:tab w:val="left" w:pos="8789"/>
              </w:tabs>
              <w:spacing w:line="360" w:lineRule="auto"/>
              <w:ind w:firstLine="480" w:firstLineChars="200"/>
              <w:jc w:val="left"/>
              <w:rPr>
                <w:rFonts w:hint="eastAsia" w:cs="Times New Roman"/>
                <w:color w:val="auto"/>
                <w:sz w:val="24"/>
                <w:szCs w:val="24"/>
                <w:highlight w:val="none"/>
                <w:lang w:eastAsia="zh-CN"/>
              </w:rPr>
            </w:pPr>
          </w:p>
          <w:p>
            <w:pPr>
              <w:pStyle w:val="76"/>
              <w:tabs>
                <w:tab w:val="left" w:pos="8789"/>
              </w:tabs>
              <w:spacing w:line="360" w:lineRule="auto"/>
              <w:ind w:firstLine="480" w:firstLineChars="200"/>
              <w:jc w:val="left"/>
              <w:rPr>
                <w:rFonts w:hint="eastAsia" w:cs="Times New Roman"/>
                <w:color w:val="auto"/>
                <w:sz w:val="24"/>
                <w:szCs w:val="24"/>
                <w:highlight w:val="none"/>
                <w:lang w:eastAsia="zh-CN"/>
              </w:rPr>
            </w:pPr>
          </w:p>
          <w:p>
            <w:pPr>
              <w:pStyle w:val="76"/>
              <w:tabs>
                <w:tab w:val="left" w:pos="8789"/>
              </w:tabs>
              <w:spacing w:line="360" w:lineRule="auto"/>
              <w:ind w:firstLine="480" w:firstLineChars="200"/>
              <w:jc w:val="left"/>
              <w:rPr>
                <w:rFonts w:hint="eastAsia" w:cs="Times New Roman"/>
                <w:color w:val="auto"/>
                <w:sz w:val="24"/>
                <w:szCs w:val="24"/>
                <w:highlight w:val="none"/>
                <w:lang w:eastAsia="zh-CN"/>
              </w:rPr>
            </w:pPr>
          </w:p>
          <w:p>
            <w:pPr>
              <w:pStyle w:val="76"/>
              <w:tabs>
                <w:tab w:val="left" w:pos="8789"/>
              </w:tabs>
              <w:spacing w:line="360" w:lineRule="auto"/>
              <w:ind w:firstLine="480" w:firstLineChars="200"/>
              <w:jc w:val="left"/>
              <w:rPr>
                <w:rFonts w:hint="eastAsia" w:cs="Times New Roman"/>
                <w:color w:val="auto"/>
                <w:sz w:val="24"/>
                <w:szCs w:val="24"/>
                <w:highlight w:val="none"/>
                <w:lang w:eastAsia="zh-CN"/>
              </w:rPr>
            </w:pPr>
          </w:p>
          <w:p>
            <w:pPr>
              <w:pStyle w:val="76"/>
              <w:tabs>
                <w:tab w:val="left" w:pos="8789"/>
              </w:tabs>
              <w:spacing w:line="360" w:lineRule="auto"/>
              <w:ind w:firstLine="480" w:firstLineChars="200"/>
              <w:jc w:val="left"/>
              <w:rPr>
                <w:rFonts w:hint="eastAsia" w:cs="Times New Roman"/>
                <w:color w:val="auto"/>
                <w:sz w:val="24"/>
                <w:szCs w:val="24"/>
                <w:highlight w:val="none"/>
                <w:lang w:eastAsia="zh-CN"/>
              </w:rPr>
            </w:pPr>
          </w:p>
          <w:p>
            <w:pPr>
              <w:pStyle w:val="76"/>
              <w:tabs>
                <w:tab w:val="left" w:pos="8789"/>
              </w:tabs>
              <w:spacing w:line="360" w:lineRule="auto"/>
              <w:ind w:firstLine="480" w:firstLineChars="200"/>
              <w:jc w:val="left"/>
              <w:rPr>
                <w:rFonts w:hint="eastAsia" w:cs="Times New Roman"/>
                <w:color w:val="auto"/>
                <w:sz w:val="24"/>
                <w:szCs w:val="24"/>
                <w:highlight w:val="none"/>
                <w:lang w:eastAsia="zh-CN"/>
              </w:rPr>
            </w:pPr>
          </w:p>
          <w:p>
            <w:pPr>
              <w:pStyle w:val="76"/>
              <w:tabs>
                <w:tab w:val="left" w:pos="8789"/>
              </w:tabs>
              <w:spacing w:line="360" w:lineRule="auto"/>
              <w:ind w:firstLine="480" w:firstLineChars="200"/>
              <w:jc w:val="left"/>
              <w:rPr>
                <w:rFonts w:hint="eastAsia" w:cs="Times New Roman"/>
                <w:color w:val="auto"/>
                <w:sz w:val="24"/>
                <w:szCs w:val="24"/>
                <w:highlight w:val="none"/>
                <w:lang w:eastAsia="zh-CN"/>
              </w:rPr>
            </w:pPr>
          </w:p>
          <w:p>
            <w:pPr>
              <w:pStyle w:val="76"/>
              <w:tabs>
                <w:tab w:val="left" w:pos="8789"/>
              </w:tabs>
              <w:spacing w:line="360" w:lineRule="auto"/>
              <w:ind w:firstLine="480" w:firstLineChars="200"/>
              <w:jc w:val="left"/>
              <w:rPr>
                <w:rFonts w:hint="eastAsia" w:cs="Times New Roman"/>
                <w:color w:val="auto"/>
                <w:sz w:val="24"/>
                <w:szCs w:val="24"/>
                <w:highlight w:val="none"/>
                <w:lang w:eastAsia="zh-CN"/>
              </w:rPr>
            </w:pPr>
          </w:p>
          <w:p>
            <w:pPr>
              <w:pStyle w:val="76"/>
              <w:tabs>
                <w:tab w:val="left" w:pos="8789"/>
              </w:tabs>
              <w:spacing w:line="360" w:lineRule="auto"/>
              <w:ind w:firstLine="480" w:firstLineChars="200"/>
              <w:jc w:val="left"/>
              <w:rPr>
                <w:rFonts w:hint="eastAsia" w:cs="Times New Roman"/>
                <w:color w:val="auto"/>
                <w:sz w:val="24"/>
                <w:szCs w:val="24"/>
                <w:highlight w:val="none"/>
                <w:lang w:eastAsia="zh-CN"/>
              </w:rPr>
            </w:pPr>
          </w:p>
          <w:p>
            <w:pPr>
              <w:pStyle w:val="76"/>
              <w:tabs>
                <w:tab w:val="left" w:pos="8789"/>
              </w:tabs>
              <w:spacing w:line="360" w:lineRule="auto"/>
              <w:ind w:firstLine="480" w:firstLineChars="200"/>
              <w:jc w:val="left"/>
              <w:rPr>
                <w:rFonts w:hint="eastAsia" w:cs="Times New Roman"/>
                <w:color w:val="auto"/>
                <w:sz w:val="24"/>
                <w:szCs w:val="24"/>
                <w:highlight w:val="none"/>
                <w:lang w:eastAsia="zh-CN"/>
              </w:rPr>
            </w:pPr>
          </w:p>
          <w:p>
            <w:pPr>
              <w:pStyle w:val="76"/>
              <w:tabs>
                <w:tab w:val="left" w:pos="8789"/>
              </w:tabs>
              <w:spacing w:line="360" w:lineRule="auto"/>
              <w:ind w:firstLine="480" w:firstLineChars="200"/>
              <w:jc w:val="left"/>
              <w:rPr>
                <w:rFonts w:hint="eastAsia" w:eastAsia="宋体" w:cs="Times New Roman"/>
                <w:color w:val="auto"/>
                <w:sz w:val="24"/>
                <w:szCs w:val="24"/>
                <w:highlight w:val="none"/>
                <w:lang w:eastAsia="zh-CN"/>
              </w:rPr>
            </w:pPr>
          </w:p>
        </w:tc>
      </w:tr>
    </w:tbl>
    <w:p>
      <w:pPr>
        <w:spacing w:line="360" w:lineRule="auto"/>
        <w:rPr>
          <w:rFonts w:cs="Times New Roman"/>
          <w:b/>
          <w:color w:val="auto"/>
          <w:sz w:val="28"/>
          <w:szCs w:val="24"/>
          <w:highlight w:val="none"/>
        </w:rPr>
        <w:sectPr>
          <w:pgSz w:w="11906" w:h="16838"/>
          <w:pgMar w:top="1134" w:right="1134" w:bottom="1134" w:left="1418" w:header="851" w:footer="992" w:gutter="0"/>
          <w:pgBorders>
            <w:top w:val="none" w:sz="0" w:space="0"/>
            <w:left w:val="none" w:sz="0" w:space="0"/>
            <w:bottom w:val="none" w:sz="0" w:space="0"/>
            <w:right w:val="none" w:sz="0" w:space="0"/>
          </w:pgBorders>
          <w:cols w:space="720" w:num="1"/>
          <w:docGrid w:type="lines" w:linePitch="312" w:charSpace="0"/>
        </w:sectPr>
      </w:pPr>
    </w:p>
    <w:p>
      <w:pPr>
        <w:pStyle w:val="55"/>
        <w:jc w:val="center"/>
        <w:rPr>
          <w:rFonts w:ascii="黑体" w:hAnsi="黑体" w:eastAsia="黑体"/>
          <w:b w:val="0"/>
          <w:color w:val="auto"/>
          <w:sz w:val="30"/>
          <w:szCs w:val="30"/>
          <w:highlight w:val="none"/>
        </w:rPr>
      </w:pPr>
      <w:r>
        <w:rPr>
          <w:rFonts w:hint="eastAsia" w:ascii="黑体" w:hAnsi="黑体" w:eastAsia="黑体"/>
          <w:b w:val="0"/>
          <w:color w:val="auto"/>
          <w:sz w:val="30"/>
          <w:szCs w:val="30"/>
          <w:highlight w:val="none"/>
        </w:rPr>
        <w:t>四、主要环境影响和保护措施</w:t>
      </w:r>
    </w:p>
    <w:tbl>
      <w:tblPr>
        <w:tblStyle w:val="23"/>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4" w:type="dxa"/>
            <w:vAlign w:val="center"/>
          </w:tcPr>
          <w:p>
            <w:pPr>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w:t>
            </w:r>
          </w:p>
          <w:p>
            <w:pPr>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期环</w:t>
            </w:r>
          </w:p>
          <w:p>
            <w:pPr>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境保</w:t>
            </w:r>
          </w:p>
          <w:p>
            <w:pPr>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护措</w:t>
            </w:r>
          </w:p>
          <w:p>
            <w:pPr>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w:t>
            </w:r>
          </w:p>
        </w:tc>
        <w:tc>
          <w:tcPr>
            <w:tcW w:w="8645"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1、废气</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61" w:firstLineChars="15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（1）施工扬尘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在施工阶段，产生扬尘的作业主要有土地平整、开挖、回填、建材运输、装卸等过程，经类比分析，施工场地扬尘浓度一般约为3.5mg/m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会对周围环境产生一定影响。为减轻施工期扬尘对大气环境的影响施工单位必须严格按照《四川省建筑工程扬尘污染防治技术导则（试行）》（川建发〔2019〕16号）等有关要求进行施工，采取以下扬尘防治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FF"/>
                <w:sz w:val="24"/>
                <w:szCs w:val="24"/>
                <w:highlight w:val="none"/>
              </w:rPr>
            </w:pPr>
            <w:r>
              <w:rPr>
                <w:rFonts w:hint="default" w:ascii="Times New Roman" w:hAnsi="Times New Roman" w:eastAsia="宋体" w:cs="Times New Roman"/>
                <w:color w:val="0000FF"/>
                <w:sz w:val="24"/>
                <w:szCs w:val="24"/>
                <w:highlight w:val="none"/>
              </w:rPr>
              <w:t>①施工现场架设围挡，</w:t>
            </w:r>
            <w:r>
              <w:rPr>
                <w:rFonts w:hint="eastAsia"/>
                <w:color w:val="0000FF"/>
                <w:sz w:val="24"/>
                <w:szCs w:val="24"/>
                <w:highlight w:val="none"/>
              </w:rPr>
              <w:t>围挡顶部设置水喷雾装置</w:t>
            </w:r>
            <w:r>
              <w:rPr>
                <w:rFonts w:hint="eastAsia"/>
                <w:color w:val="0000FF"/>
                <w:sz w:val="24"/>
                <w:szCs w:val="24"/>
                <w:highlight w:val="none"/>
                <w:lang w:val="en-US" w:eastAsia="zh-CN"/>
              </w:rPr>
              <w:t>且</w:t>
            </w:r>
            <w:r>
              <w:rPr>
                <w:rFonts w:hint="default" w:ascii="Times New Roman" w:hAnsi="Times New Roman" w:eastAsia="宋体" w:cs="Times New Roman"/>
                <w:color w:val="0000FF"/>
                <w:sz w:val="24"/>
                <w:szCs w:val="24"/>
                <w:highlight w:val="none"/>
              </w:rPr>
              <w:t>封闭施工现场，施工现场主要道路及施工区域与社会通行道路交叉通道必须硬化。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FF"/>
                <w:sz w:val="24"/>
                <w:szCs w:val="24"/>
                <w:highlight w:val="none"/>
              </w:rPr>
            </w:pPr>
            <w:r>
              <w:rPr>
                <w:rFonts w:hint="default" w:ascii="Times New Roman" w:hAnsi="Times New Roman" w:eastAsia="宋体" w:cs="Times New Roman"/>
                <w:color w:val="0000FF"/>
                <w:sz w:val="24"/>
                <w:szCs w:val="24"/>
                <w:highlight w:val="none"/>
              </w:rPr>
              <w:t>②施工车辆实施限速管理，施工现场主要运输道路定期洒水抑尘；施工场地设置喷淋、冲洗等防尘降尘设施，对驶离车辆实施冲洗，配套设置地面排水沟、沉淀池。</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FF"/>
                <w:sz w:val="24"/>
                <w:szCs w:val="24"/>
                <w:highlight w:val="none"/>
              </w:rPr>
            </w:pPr>
            <w:r>
              <w:rPr>
                <w:rFonts w:hint="default" w:ascii="Times New Roman" w:hAnsi="Times New Roman" w:eastAsia="宋体" w:cs="Times New Roman"/>
                <w:color w:val="0000FF"/>
                <w:sz w:val="24"/>
                <w:szCs w:val="24"/>
                <w:highlight w:val="none"/>
              </w:rPr>
              <w:t>③运输车辆严禁超载行驶，必须采取密闭运输，装卸作业时必须采取有效防护措施，不得遗撒、泄漏、违规倾倒。</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④禁止在风天进行渣土堆放作业，建材堆放地点要相对集中，建筑垃圾应及时清运，并对堆场以防尘布覆盖，禁止露天堆放。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同时，施工单位</w:t>
            </w:r>
            <w:r>
              <w:rPr>
                <w:rFonts w:hint="eastAsia" w:cs="Times New Roman"/>
                <w:color w:val="auto"/>
                <w:sz w:val="24"/>
                <w:szCs w:val="24"/>
                <w:highlight w:val="none"/>
                <w:lang w:eastAsia="zh-CN"/>
              </w:rPr>
              <w:t>必须</w:t>
            </w:r>
            <w:r>
              <w:rPr>
                <w:rFonts w:hint="default" w:ascii="Times New Roman" w:hAnsi="Times New Roman" w:eastAsia="宋体" w:cs="Times New Roman"/>
                <w:color w:val="auto"/>
                <w:sz w:val="24"/>
                <w:szCs w:val="24"/>
                <w:highlight w:val="none"/>
              </w:rPr>
              <w:t>全面督查建筑工地现场管理“六必须”、“六不准”的执行情况，即：必须打围作业、必须硬化道路、必须设置冲洗设施、必须湿法作业、必须配齐保洁人员、必须定时清扫施工现场；不准车辆带泥出门，不准运渣车辆冒顶装载、不准高空抛撒建渣、不准现场搅拌混凝土、不准场地积水、不准现场焚烧废弃物。同时，施工单位必须严格按照《四川省建筑工程扬尘污染防治技术导则（试行）》（川建发〔2019〕16号）中要求，严格落实“六个百分百”要求，包括：工地周边围挡、物料堆放覆盖、出入车辆冲洗、施工现场道路及材料堆场硬化、工地湿法作业及渣土车辆密闭运输，确保施工场地扬尘达到《四川省施工场地扬尘排放标准》（DB51/2682-2020）中相关限值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61" w:firstLineChars="15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（2）施工机械废气</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项目施工设备和建筑机械设备的运转，会排放一定量的CO、NO</w:t>
            </w:r>
            <w:r>
              <w:rPr>
                <w:rFonts w:hint="default" w:ascii="Times New Roman" w:hAnsi="Times New Roman" w:eastAsia="宋体" w:cs="Times New Roman"/>
                <w:color w:val="auto"/>
                <w:sz w:val="24"/>
                <w:szCs w:val="24"/>
                <w:highlight w:val="none"/>
                <w:vertAlign w:val="subscript"/>
              </w:rPr>
              <w:t>x</w:t>
            </w:r>
            <w:r>
              <w:rPr>
                <w:rFonts w:hint="default" w:ascii="Times New Roman" w:hAnsi="Times New Roman" w:eastAsia="宋体" w:cs="Times New Roman"/>
                <w:color w:val="auto"/>
                <w:sz w:val="24"/>
                <w:szCs w:val="24"/>
                <w:highlight w:val="none"/>
              </w:rPr>
              <w:t>以及未完全燃烧的THC等，由于其属间断性无组织排放，特点是排放量小，加之施工场地开阔，扩散条件良好，对其不加处理也可达到相应的排放标准。环评要求建设单位禁止使用高排放非道路移动机械，制定施工现场非道路移动机械管理制度，并加强施工设备的维护和用油管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2、废水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61" w:firstLineChars="15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（1）生活污水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施工高峰期施工人员预计约</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人，施工人员生活用水量按0.1m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/d，生活污水产生系数取0.85，则生活污水产生量为</w:t>
            </w:r>
            <w:r>
              <w:rPr>
                <w:rFonts w:hint="eastAsia" w:cs="Times New Roman"/>
                <w:color w:val="auto"/>
                <w:sz w:val="24"/>
                <w:szCs w:val="24"/>
                <w:highlight w:val="none"/>
                <w:lang w:val="en-US" w:eastAsia="zh-CN"/>
              </w:rPr>
              <w:t>0.85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/d，生活污水经临时</w:t>
            </w:r>
            <w:r>
              <w:rPr>
                <w:rFonts w:hint="eastAsia" w:cs="Times New Roman"/>
                <w:color w:val="auto"/>
                <w:kern w:val="24"/>
                <w:sz w:val="24"/>
                <w:szCs w:val="24"/>
                <w:highlight w:val="none"/>
                <w:lang w:val="en-US" w:eastAsia="zh-CN"/>
              </w:rPr>
              <w:t>旱厕</w:t>
            </w:r>
            <w:r>
              <w:rPr>
                <w:rFonts w:hint="default" w:ascii="Times New Roman" w:hAnsi="Times New Roman" w:eastAsia="宋体" w:cs="Times New Roman"/>
                <w:color w:val="auto"/>
                <w:sz w:val="24"/>
                <w:szCs w:val="24"/>
                <w:highlight w:val="none"/>
              </w:rPr>
              <w:t>处理后</w:t>
            </w:r>
            <w:r>
              <w:rPr>
                <w:rFonts w:hint="eastAsia" w:cs="Times New Roman"/>
                <w:color w:val="auto"/>
                <w:sz w:val="24"/>
                <w:szCs w:val="24"/>
                <w:highlight w:val="none"/>
                <w:lang w:val="en-US" w:eastAsia="zh-CN"/>
              </w:rPr>
              <w:t>用于周边农田施肥</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61" w:firstLineChars="15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（2）施工废水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施工废水中的主要污染物为pH（一般大于7）、SS、COD、石油类，污水中COD浓度值最高约500m/L、BOD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约400mg/L、SS 约1000mg/L。经类比分析，项目施工期施工废水预计排放量为</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/d，为防止施工废水对区域地表水环境造成影响，本环评要求建设单位应采取以下污染防治措施：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①施工场地应建设沉淀池，施工废水经沉淀后全部用于建筑工地洒水和车辆冲洗。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②施工期机械和车辆冲洗废水含有少量油污，应修建</w:t>
            </w:r>
            <w:r>
              <w:rPr>
                <w:rFonts w:hint="eastAsia" w:cs="Times New Roman"/>
                <w:color w:val="auto"/>
                <w:sz w:val="24"/>
                <w:szCs w:val="24"/>
                <w:highlight w:val="none"/>
                <w:lang w:val="en-US" w:eastAsia="zh-CN"/>
              </w:rPr>
              <w:t>沉淀</w:t>
            </w:r>
            <w:r>
              <w:rPr>
                <w:rFonts w:hint="default" w:ascii="Times New Roman" w:hAnsi="Times New Roman" w:eastAsia="宋体" w:cs="Times New Roman"/>
                <w:color w:val="auto"/>
                <w:sz w:val="24"/>
                <w:szCs w:val="24"/>
                <w:highlight w:val="none"/>
              </w:rPr>
              <w:t>池及配套排水沟，污水经</w:t>
            </w:r>
            <w:r>
              <w:rPr>
                <w:rFonts w:hint="eastAsia" w:cs="Times New Roman"/>
                <w:color w:val="auto"/>
                <w:sz w:val="24"/>
                <w:szCs w:val="24"/>
                <w:highlight w:val="none"/>
                <w:lang w:val="en-US" w:eastAsia="zh-CN"/>
              </w:rPr>
              <w:t>沉淀</w:t>
            </w:r>
            <w:r>
              <w:rPr>
                <w:rFonts w:hint="default" w:ascii="Times New Roman" w:hAnsi="Times New Roman" w:eastAsia="宋体" w:cs="Times New Roman"/>
                <w:color w:val="auto"/>
                <w:sz w:val="24"/>
                <w:szCs w:val="24"/>
                <w:highlight w:val="none"/>
              </w:rPr>
              <w:t>处理后全部回用。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3、噪声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噪声主要来源于施工现场的各类机械设备噪声，不同施工阶段和不同施工机械发出的噪声水平是不同的，各机械设备的动力噪声源声级一般在85dB（A）以上，其在多台机械设备同时作业时，各台设备产生的噪声会产生叠加。根据工程所在区域环境现状，为实现施工场界噪声达标排放，降低施工噪声对周围环境的影响，施工单位需严格按照相关要求文明施工，采取以下噪声防治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①选用符合国家标准的低噪声设备，定期加强对设备的维修保养，避免由于设备非正常工作而产生噪声污染。</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②合理安排施工时间，禁止夜间（22:00~6:00）施工，如夜间需进行施工工艺要求必须连续作业的强噪声施工，须事先征得周围居民同意，向当地管理部门申报。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③加强管理，文明施工。装卸、搬运木材、模具、钢材等严禁抛掷，材料运输车辆进场要专人指挥，厂内运输车辆实施限速、禁止鸣笛。施工监理单位应做好噪声控制措施，确保施工场界噪声达标排放。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④施工运输车辆应按照有关部门同意的运输路线行进，运输时间应避开居民进出高峰期，同时严格限速、限载管理，禁止鸣笛。</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⑤合理布置施工总平面。施工期高噪声尽量设备布置在场地中央，有效利用距离的衰减，确保</w:t>
            </w:r>
            <w:r>
              <w:rPr>
                <w:rFonts w:hint="eastAsia" w:cs="Times New Roman"/>
                <w:color w:val="auto"/>
                <w:sz w:val="24"/>
                <w:szCs w:val="24"/>
                <w:highlight w:val="none"/>
                <w:lang w:eastAsia="zh-CN"/>
              </w:rPr>
              <w:t>厂界</w:t>
            </w:r>
            <w:r>
              <w:rPr>
                <w:rFonts w:hint="default" w:ascii="Times New Roman" w:hAnsi="Times New Roman" w:eastAsia="宋体" w:cs="Times New Roman"/>
                <w:color w:val="auto"/>
                <w:sz w:val="24"/>
                <w:szCs w:val="24"/>
                <w:highlight w:val="none"/>
              </w:rPr>
              <w:t>达标排放。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⑥施工前应进行公示，施工单位应在现场张贴通告和投诉电话，建设单位在接到投诉电话后及时与当地环保部门联系，及时处理各种环境纠纷。</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本项目施工期噪声污染源源强核算结果及相关参数见下表：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表4-1 工业企业噪声施工期源强调查清单（室外声源）</w:t>
            </w:r>
          </w:p>
          <w:tbl>
            <w:tblPr>
              <w:tblStyle w:val="23"/>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01"/>
              <w:gridCol w:w="878"/>
              <w:gridCol w:w="540"/>
              <w:gridCol w:w="590"/>
              <w:gridCol w:w="590"/>
              <w:gridCol w:w="590"/>
              <w:gridCol w:w="1423"/>
              <w:gridCol w:w="824"/>
              <w:gridCol w:w="1161"/>
              <w:gridCol w:w="14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8"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序号</w:t>
                  </w:r>
                </w:p>
              </w:tc>
              <w:tc>
                <w:tcPr>
                  <w:tcW w:w="521"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rPr>
                    <w:t>声源</w:t>
                  </w:r>
                  <w:r>
                    <w:rPr>
                      <w:rFonts w:hint="eastAsia" w:cs="Times New Roman"/>
                      <w:b/>
                      <w:bCs/>
                      <w:color w:val="auto"/>
                      <w:szCs w:val="21"/>
                      <w:highlight w:val="none"/>
                      <w:lang w:val="en-US" w:eastAsia="zh-CN"/>
                    </w:rPr>
                    <w:t>名称</w:t>
                  </w:r>
                </w:p>
              </w:tc>
              <w:tc>
                <w:tcPr>
                  <w:tcW w:w="3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型号</w:t>
                  </w:r>
                </w:p>
              </w:tc>
              <w:tc>
                <w:tcPr>
                  <w:tcW w:w="1051" w:type="pct"/>
                  <w:gridSpan w:val="3"/>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cs="Times New Roman"/>
                      <w:b/>
                      <w:bCs/>
                      <w:color w:val="auto"/>
                      <w:szCs w:val="21"/>
                      <w:highlight w:val="none"/>
                      <w:lang w:val="en-US" w:eastAsia="zh-CN"/>
                    </w:rPr>
                  </w:pPr>
                  <w:r>
                    <w:rPr>
                      <w:rFonts w:hint="eastAsia" w:cs="Times New Roman"/>
                      <w:b/>
                      <w:bCs/>
                      <w:color w:val="auto"/>
                      <w:szCs w:val="21"/>
                      <w:highlight w:val="none"/>
                      <w:lang w:val="en-US" w:eastAsia="zh-CN"/>
                    </w:rPr>
                    <w:t>空间相对位置</w:t>
                  </w:r>
                </w:p>
              </w:tc>
              <w:tc>
                <w:tcPr>
                  <w:tcW w:w="1334" w:type="pct"/>
                  <w:gridSpan w:val="2"/>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rPr>
                    <w:t>噪声源强</w:t>
                  </w:r>
                  <w:r>
                    <w:rPr>
                      <w:rFonts w:hint="eastAsia" w:cs="Times New Roman"/>
                      <w:b/>
                      <w:bCs/>
                      <w:color w:val="auto"/>
                      <w:szCs w:val="21"/>
                      <w:highlight w:val="none"/>
                      <w:lang w:eastAsia="zh-CN"/>
                    </w:rPr>
                    <w:t>（</w:t>
                  </w:r>
                  <w:r>
                    <w:rPr>
                      <w:rFonts w:hint="eastAsia" w:cs="Times New Roman"/>
                      <w:b/>
                      <w:bCs/>
                      <w:color w:val="auto"/>
                      <w:szCs w:val="21"/>
                      <w:highlight w:val="none"/>
                      <w:lang w:val="en-US" w:eastAsia="zh-CN"/>
                    </w:rPr>
                    <w:t>任选一种</w:t>
                  </w:r>
                  <w:r>
                    <w:rPr>
                      <w:rFonts w:hint="eastAsia" w:cs="Times New Roman"/>
                      <w:b/>
                      <w:bCs/>
                      <w:color w:val="auto"/>
                      <w:szCs w:val="21"/>
                      <w:highlight w:val="none"/>
                      <w:lang w:eastAsia="zh-CN"/>
                    </w:rPr>
                    <w:t>）</w:t>
                  </w:r>
                </w:p>
              </w:tc>
              <w:tc>
                <w:tcPr>
                  <w:tcW w:w="689"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声源控制措施</w:t>
                  </w:r>
                </w:p>
              </w:tc>
              <w:tc>
                <w:tcPr>
                  <w:tcW w:w="844"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auto"/>
                      <w:szCs w:val="21"/>
                      <w:highlight w:val="none"/>
                    </w:rPr>
                  </w:pPr>
                </w:p>
              </w:tc>
              <w:tc>
                <w:tcPr>
                  <w:tcW w:w="52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auto"/>
                      <w:szCs w:val="21"/>
                      <w:highlight w:val="none"/>
                    </w:rPr>
                  </w:pP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auto"/>
                      <w:szCs w:val="21"/>
                      <w:highlight w:val="none"/>
                    </w:rPr>
                  </w:pPr>
                </w:p>
              </w:tc>
              <w:tc>
                <w:tcPr>
                  <w:tcW w:w="35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szCs w:val="21"/>
                      <w:highlight w:val="none"/>
                      <w:lang w:val="en-US" w:eastAsia="zh-CN"/>
                    </w:rPr>
                    <w:t>X</w:t>
                  </w:r>
                </w:p>
              </w:tc>
              <w:tc>
                <w:tcPr>
                  <w:tcW w:w="35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szCs w:val="21"/>
                      <w:highlight w:val="none"/>
                      <w:lang w:val="en-US" w:eastAsia="zh-CN"/>
                    </w:rPr>
                    <w:t>Y</w:t>
                  </w:r>
                </w:p>
              </w:tc>
              <w:tc>
                <w:tcPr>
                  <w:tcW w:w="35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szCs w:val="21"/>
                      <w:highlight w:val="none"/>
                      <w:lang w:val="en-US" w:eastAsia="zh-CN"/>
                    </w:rPr>
                    <w:t>Z</w:t>
                  </w:r>
                </w:p>
              </w:tc>
              <w:tc>
                <w:tcPr>
                  <w:tcW w:w="845"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（声压级/距声源距离）/（dB（A）/m）</w:t>
                  </w:r>
                </w:p>
              </w:tc>
              <w:tc>
                <w:tcPr>
                  <w:tcW w:w="489"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b/>
                      <w:bCs/>
                      <w:color w:val="auto"/>
                      <w:szCs w:val="21"/>
                      <w:highlight w:val="none"/>
                    </w:rPr>
                  </w:pPr>
                  <w:r>
                    <w:rPr>
                      <w:rFonts w:hint="eastAsia" w:cs="Times New Roman"/>
                      <w:b/>
                      <w:bCs/>
                      <w:color w:val="auto"/>
                      <w:szCs w:val="21"/>
                      <w:highlight w:val="none"/>
                      <w:lang w:val="en-US" w:eastAsia="zh-CN"/>
                    </w:rPr>
                    <w:t>声功率级/</w:t>
                  </w:r>
                  <w:r>
                    <w:rPr>
                      <w:rFonts w:hint="default" w:ascii="Times New Roman" w:hAnsi="Times New Roman" w:cs="Times New Roman"/>
                      <w:b/>
                      <w:bCs/>
                      <w:color w:val="auto"/>
                      <w:szCs w:val="21"/>
                      <w:highlight w:val="none"/>
                    </w:rPr>
                    <w:t>dB</w:t>
                  </w:r>
                  <w:r>
                    <w:rPr>
                      <w:rFonts w:hint="default" w:ascii="Times New Roman" w:hAnsi="Times New Roman" w:cs="Times New Roman"/>
                      <w:b/>
                      <w:bCs/>
                      <w:color w:val="auto"/>
                      <w:szCs w:val="21"/>
                      <w:highlight w:val="none"/>
                      <w:lang w:eastAsia="zh-CN"/>
                    </w:rPr>
                    <w:t>（</w:t>
                  </w:r>
                  <w:r>
                    <w:rPr>
                      <w:rFonts w:hint="default" w:ascii="Times New Roman" w:hAnsi="Times New Roman" w:cs="Times New Roman"/>
                      <w:b/>
                      <w:bCs/>
                      <w:color w:val="auto"/>
                      <w:szCs w:val="21"/>
                      <w:highlight w:val="none"/>
                    </w:rPr>
                    <w:t>A</w:t>
                  </w:r>
                  <w:r>
                    <w:rPr>
                      <w:rFonts w:hint="default" w:ascii="Times New Roman" w:hAnsi="Times New Roman" w:cs="Times New Roman"/>
                      <w:b/>
                      <w:bCs/>
                      <w:color w:val="auto"/>
                      <w:szCs w:val="21"/>
                      <w:highlight w:val="none"/>
                      <w:lang w:eastAsia="zh-CN"/>
                    </w:rPr>
                    <w:t>）</w:t>
                  </w:r>
                </w:p>
              </w:tc>
              <w:tc>
                <w:tcPr>
                  <w:tcW w:w="6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s="Times New Roman"/>
                      <w:b/>
                      <w:bCs/>
                      <w:color w:val="auto"/>
                      <w:szCs w:val="21"/>
                      <w:highlight w:val="none"/>
                      <w:lang w:val="en-US" w:eastAsia="zh-CN"/>
                    </w:rPr>
                  </w:pPr>
                </w:p>
              </w:tc>
              <w:tc>
                <w:tcPr>
                  <w:tcW w:w="84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s="Times New Roman"/>
                      <w:b/>
                      <w:bCs/>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hint="eastAsia"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1</w:t>
                  </w:r>
                </w:p>
              </w:tc>
              <w:tc>
                <w:tcPr>
                  <w:tcW w:w="521" w:type="pc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Fonts w:hint="eastAsia"/>
                      <w:color w:val="auto"/>
                    </w:rPr>
                    <w:t>挖土机</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w:t>
                  </w:r>
                </w:p>
              </w:tc>
              <w:tc>
                <w:tcPr>
                  <w:tcW w:w="35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auto"/>
                      <w:szCs w:val="21"/>
                      <w:highlight w:val="none"/>
                    </w:rPr>
                  </w:pPr>
                  <w:r>
                    <w:rPr>
                      <w:rFonts w:hint="eastAsia"/>
                      <w:color w:val="auto"/>
                    </w:rPr>
                    <w:t>14.3</w:t>
                  </w:r>
                </w:p>
              </w:tc>
              <w:tc>
                <w:tcPr>
                  <w:tcW w:w="35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auto"/>
                      <w:szCs w:val="21"/>
                      <w:highlight w:val="none"/>
                    </w:rPr>
                  </w:pPr>
                  <w:r>
                    <w:rPr>
                      <w:rFonts w:hint="eastAsia"/>
                      <w:color w:val="auto"/>
                    </w:rPr>
                    <w:t>-6.7</w:t>
                  </w:r>
                </w:p>
              </w:tc>
              <w:tc>
                <w:tcPr>
                  <w:tcW w:w="35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auto"/>
                      <w:szCs w:val="21"/>
                      <w:highlight w:val="none"/>
                    </w:rPr>
                  </w:pPr>
                  <w:r>
                    <w:rPr>
                      <w:rFonts w:hint="eastAsia"/>
                      <w:color w:val="auto"/>
                    </w:rPr>
                    <w:t>1</w:t>
                  </w:r>
                </w:p>
              </w:tc>
              <w:tc>
                <w:tcPr>
                  <w:tcW w:w="845"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w:t>
                  </w:r>
                </w:p>
              </w:tc>
              <w:tc>
                <w:tcPr>
                  <w:tcW w:w="489"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Cs w:val="21"/>
                      <w:highlight w:val="none"/>
                      <w:lang w:val="en-US" w:eastAsia="zh-CN"/>
                    </w:rPr>
                  </w:pPr>
                  <w:r>
                    <w:rPr>
                      <w:rFonts w:hint="eastAsia"/>
                      <w:color w:val="auto"/>
                    </w:rPr>
                    <w:t>95</w:t>
                  </w:r>
                </w:p>
              </w:tc>
              <w:tc>
                <w:tcPr>
                  <w:tcW w:w="689"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选用低噪声设备，合理布置设备，加强管理</w:t>
                  </w:r>
                </w:p>
              </w:tc>
              <w:tc>
                <w:tcPr>
                  <w:tcW w:w="844"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cs="Times New Roman"/>
                      <w:color w:val="auto"/>
                      <w:szCs w:val="21"/>
                      <w:highlight w:val="none"/>
                      <w:lang w:val="en-US" w:eastAsia="zh-CN"/>
                    </w:rPr>
                  </w:pPr>
                  <w:r>
                    <w:rPr>
                      <w:rFonts w:hint="eastAsia"/>
                      <w:color w:val="auto"/>
                      <w:highlight w:val="none"/>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hint="default"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2</w:t>
                  </w:r>
                </w:p>
              </w:tc>
              <w:tc>
                <w:tcPr>
                  <w:tcW w:w="521" w:type="pc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Fonts w:hint="eastAsia"/>
                      <w:color w:val="auto"/>
                    </w:rPr>
                    <w:t>打桩机</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w:t>
                  </w:r>
                </w:p>
              </w:tc>
              <w:tc>
                <w:tcPr>
                  <w:tcW w:w="35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auto"/>
                      <w:szCs w:val="21"/>
                      <w:highlight w:val="none"/>
                    </w:rPr>
                  </w:pPr>
                  <w:r>
                    <w:rPr>
                      <w:rFonts w:hint="eastAsia"/>
                      <w:color w:val="auto"/>
                    </w:rPr>
                    <w:t>11.61</w:t>
                  </w:r>
                </w:p>
              </w:tc>
              <w:tc>
                <w:tcPr>
                  <w:tcW w:w="35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auto"/>
                      <w:szCs w:val="21"/>
                      <w:highlight w:val="none"/>
                    </w:rPr>
                  </w:pPr>
                  <w:r>
                    <w:rPr>
                      <w:rFonts w:hint="eastAsia"/>
                      <w:color w:val="auto"/>
                    </w:rPr>
                    <w:t>2.27</w:t>
                  </w:r>
                </w:p>
              </w:tc>
              <w:tc>
                <w:tcPr>
                  <w:tcW w:w="35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auto"/>
                      <w:szCs w:val="21"/>
                      <w:highlight w:val="none"/>
                    </w:rPr>
                  </w:pPr>
                  <w:r>
                    <w:rPr>
                      <w:rFonts w:hint="eastAsia"/>
                      <w:color w:val="auto"/>
                    </w:rPr>
                    <w:t>1</w:t>
                  </w:r>
                </w:p>
              </w:tc>
              <w:tc>
                <w:tcPr>
                  <w:tcW w:w="845"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w:t>
                  </w:r>
                </w:p>
              </w:tc>
              <w:tc>
                <w:tcPr>
                  <w:tcW w:w="489"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Cs w:val="21"/>
                      <w:highlight w:val="none"/>
                      <w:lang w:val="en-US" w:eastAsia="zh-CN"/>
                    </w:rPr>
                  </w:pPr>
                  <w:r>
                    <w:rPr>
                      <w:rFonts w:hint="eastAsia"/>
                      <w:color w:val="auto"/>
                    </w:rPr>
                    <w:t>95</w:t>
                  </w:r>
                </w:p>
              </w:tc>
              <w:tc>
                <w:tcPr>
                  <w:tcW w:w="6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s="Times New Roman"/>
                      <w:color w:val="auto"/>
                      <w:szCs w:val="21"/>
                      <w:highlight w:val="none"/>
                      <w:lang w:val="en-US" w:eastAsia="zh-CN"/>
                    </w:rPr>
                  </w:pPr>
                </w:p>
              </w:tc>
              <w:tc>
                <w:tcPr>
                  <w:tcW w:w="844"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hint="default" w:ascii="Times New Roman" w:hAnsi="Times New Roman" w:cs="Times New Roman"/>
                      <w:b w:val="0"/>
                      <w:i w:val="0"/>
                      <w:caps w:val="0"/>
                      <w:color w:val="auto"/>
                      <w:spacing w:val="0"/>
                      <w:w w:val="100"/>
                      <w:sz w:val="21"/>
                      <w:szCs w:val="21"/>
                      <w:highlight w:val="none"/>
                      <w:lang w:val="en-US" w:eastAsia="zh-CN"/>
                    </w:rPr>
                  </w:pPr>
                  <w:r>
                    <w:rPr>
                      <w:rFonts w:hint="eastAsia" w:cs="Times New Roman"/>
                      <w:b w:val="0"/>
                      <w:i w:val="0"/>
                      <w:caps w:val="0"/>
                      <w:color w:val="auto"/>
                      <w:spacing w:val="0"/>
                      <w:w w:val="100"/>
                      <w:sz w:val="21"/>
                      <w:szCs w:val="21"/>
                      <w:highlight w:val="none"/>
                      <w:lang w:val="en-US" w:eastAsia="zh-CN"/>
                    </w:rPr>
                    <w:t>3</w:t>
                  </w:r>
                </w:p>
              </w:tc>
              <w:tc>
                <w:tcPr>
                  <w:tcW w:w="521" w:type="pc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Fonts w:hint="eastAsia"/>
                      <w:color w:val="auto"/>
                    </w:rPr>
                    <w:t>挖土机</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w:t>
                  </w:r>
                </w:p>
              </w:tc>
              <w:tc>
                <w:tcPr>
                  <w:tcW w:w="35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auto"/>
                      <w:szCs w:val="21"/>
                      <w:highlight w:val="none"/>
                      <w:lang w:val="en-US" w:eastAsia="zh-CN"/>
                    </w:rPr>
                  </w:pPr>
                  <w:r>
                    <w:rPr>
                      <w:rFonts w:hint="eastAsia"/>
                      <w:color w:val="auto"/>
                    </w:rPr>
                    <w:t>11.61</w:t>
                  </w:r>
                </w:p>
              </w:tc>
              <w:tc>
                <w:tcPr>
                  <w:tcW w:w="35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auto"/>
                      <w:szCs w:val="21"/>
                      <w:highlight w:val="none"/>
                      <w:lang w:val="en-US" w:eastAsia="zh-CN"/>
                    </w:rPr>
                  </w:pPr>
                  <w:r>
                    <w:rPr>
                      <w:rFonts w:hint="eastAsia"/>
                      <w:color w:val="auto"/>
                    </w:rPr>
                    <w:t>17.66</w:t>
                  </w:r>
                </w:p>
              </w:tc>
              <w:tc>
                <w:tcPr>
                  <w:tcW w:w="35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auto"/>
                      <w:szCs w:val="21"/>
                      <w:highlight w:val="none"/>
                      <w:lang w:val="en-US" w:eastAsia="zh-CN"/>
                    </w:rPr>
                  </w:pPr>
                  <w:r>
                    <w:rPr>
                      <w:rFonts w:hint="eastAsia"/>
                      <w:color w:val="auto"/>
                    </w:rPr>
                    <w:t>1</w:t>
                  </w:r>
                </w:p>
              </w:tc>
              <w:tc>
                <w:tcPr>
                  <w:tcW w:w="845"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w:t>
                  </w:r>
                </w:p>
              </w:tc>
              <w:tc>
                <w:tcPr>
                  <w:tcW w:w="489"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rPr>
                    <w:t>80</w:t>
                  </w:r>
                </w:p>
              </w:tc>
              <w:tc>
                <w:tcPr>
                  <w:tcW w:w="6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s="Times New Roman"/>
                      <w:color w:val="auto"/>
                      <w:szCs w:val="21"/>
                      <w:highlight w:val="none"/>
                      <w:lang w:val="en-US" w:eastAsia="zh-CN"/>
                    </w:rPr>
                  </w:pPr>
                </w:p>
              </w:tc>
              <w:tc>
                <w:tcPr>
                  <w:tcW w:w="844"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hint="default" w:cs="Times New Roman"/>
                      <w:b w:val="0"/>
                      <w:i w:val="0"/>
                      <w:caps w:val="0"/>
                      <w:color w:val="auto"/>
                      <w:spacing w:val="0"/>
                      <w:w w:val="100"/>
                      <w:sz w:val="21"/>
                      <w:szCs w:val="21"/>
                      <w:highlight w:val="none"/>
                      <w:lang w:val="en-US" w:eastAsia="zh-CN"/>
                    </w:rPr>
                  </w:pPr>
                  <w:r>
                    <w:rPr>
                      <w:rFonts w:hint="eastAsia" w:cs="Times New Roman"/>
                      <w:b w:val="0"/>
                      <w:i w:val="0"/>
                      <w:caps w:val="0"/>
                      <w:color w:val="auto"/>
                      <w:spacing w:val="0"/>
                      <w:w w:val="100"/>
                      <w:sz w:val="21"/>
                      <w:szCs w:val="21"/>
                      <w:highlight w:val="none"/>
                      <w:lang w:val="en-US" w:eastAsia="zh-CN"/>
                    </w:rPr>
                    <w:t>4</w:t>
                  </w:r>
                </w:p>
              </w:tc>
              <w:tc>
                <w:tcPr>
                  <w:tcW w:w="521" w:type="pc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ascii="Times New Roman" w:hAnsi="Times New Roman" w:eastAsiaTheme="minorEastAsia"/>
                      <w:color w:val="auto"/>
                      <w:sz w:val="21"/>
                      <w:szCs w:val="21"/>
                      <w:highlight w:val="none"/>
                    </w:rPr>
                  </w:pPr>
                  <w:r>
                    <w:rPr>
                      <w:rFonts w:hint="eastAsia"/>
                      <w:color w:val="auto"/>
                    </w:rPr>
                    <w:t>振捣器</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w:t>
                  </w:r>
                </w:p>
              </w:tc>
              <w:tc>
                <w:tcPr>
                  <w:tcW w:w="35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auto"/>
                      <w:szCs w:val="21"/>
                      <w:highlight w:val="none"/>
                      <w:lang w:val="en-US" w:eastAsia="zh-CN"/>
                    </w:rPr>
                  </w:pPr>
                  <w:r>
                    <w:rPr>
                      <w:rFonts w:hint="eastAsia"/>
                      <w:color w:val="auto"/>
                    </w:rPr>
                    <w:t>11.76</w:t>
                  </w:r>
                </w:p>
              </w:tc>
              <w:tc>
                <w:tcPr>
                  <w:tcW w:w="35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auto"/>
                      <w:szCs w:val="21"/>
                      <w:highlight w:val="none"/>
                      <w:lang w:val="en-US" w:eastAsia="zh-CN"/>
                    </w:rPr>
                  </w:pPr>
                  <w:r>
                    <w:rPr>
                      <w:rFonts w:hint="eastAsia"/>
                      <w:color w:val="auto"/>
                    </w:rPr>
                    <w:t>-1.77</w:t>
                  </w:r>
                </w:p>
              </w:tc>
              <w:tc>
                <w:tcPr>
                  <w:tcW w:w="35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auto"/>
                      <w:szCs w:val="21"/>
                      <w:highlight w:val="none"/>
                      <w:lang w:val="en-US" w:eastAsia="zh-CN"/>
                    </w:rPr>
                  </w:pPr>
                  <w:r>
                    <w:rPr>
                      <w:rFonts w:hint="eastAsia"/>
                      <w:color w:val="auto"/>
                    </w:rPr>
                    <w:t>1</w:t>
                  </w:r>
                </w:p>
              </w:tc>
              <w:tc>
                <w:tcPr>
                  <w:tcW w:w="845"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w:t>
                  </w:r>
                </w:p>
              </w:tc>
              <w:tc>
                <w:tcPr>
                  <w:tcW w:w="489"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cs="Times New Roman"/>
                      <w:color w:val="auto"/>
                      <w:kern w:val="2"/>
                      <w:sz w:val="21"/>
                      <w:szCs w:val="21"/>
                      <w:highlight w:val="none"/>
                      <w:lang w:val="en-US" w:eastAsia="zh-CN" w:bidi="ar-SA"/>
                    </w:rPr>
                  </w:pPr>
                  <w:r>
                    <w:rPr>
                      <w:rFonts w:hint="eastAsia"/>
                      <w:color w:val="auto"/>
                    </w:rPr>
                    <w:t>95</w:t>
                  </w:r>
                </w:p>
              </w:tc>
              <w:tc>
                <w:tcPr>
                  <w:tcW w:w="6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s="Times New Roman"/>
                      <w:color w:val="auto"/>
                      <w:szCs w:val="21"/>
                      <w:highlight w:val="none"/>
                      <w:lang w:val="en-US" w:eastAsia="zh-CN"/>
                    </w:rPr>
                  </w:pPr>
                </w:p>
              </w:tc>
              <w:tc>
                <w:tcPr>
                  <w:tcW w:w="844"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olor w:val="auto"/>
                      <w:highlight w:val="none"/>
                    </w:rPr>
                  </w:pPr>
                  <w:r>
                    <w:rPr>
                      <w:rFonts w:hint="eastAsia"/>
                      <w:color w:val="auto"/>
                      <w:highlight w:val="none"/>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hint="default" w:cs="Times New Roman"/>
                      <w:b w:val="0"/>
                      <w:i w:val="0"/>
                      <w:caps w:val="0"/>
                      <w:color w:val="auto"/>
                      <w:spacing w:val="0"/>
                      <w:w w:val="100"/>
                      <w:sz w:val="21"/>
                      <w:szCs w:val="21"/>
                      <w:highlight w:val="none"/>
                      <w:lang w:val="en-US" w:eastAsia="zh-CN"/>
                    </w:rPr>
                  </w:pPr>
                  <w:r>
                    <w:rPr>
                      <w:rFonts w:hint="eastAsia" w:cs="Times New Roman"/>
                      <w:b w:val="0"/>
                      <w:i w:val="0"/>
                      <w:caps w:val="0"/>
                      <w:color w:val="auto"/>
                      <w:spacing w:val="0"/>
                      <w:w w:val="100"/>
                      <w:sz w:val="21"/>
                      <w:szCs w:val="21"/>
                      <w:highlight w:val="none"/>
                      <w:lang w:val="en-US" w:eastAsia="zh-CN"/>
                    </w:rPr>
                    <w:t>5</w:t>
                  </w:r>
                </w:p>
              </w:tc>
              <w:tc>
                <w:tcPr>
                  <w:tcW w:w="521" w:type="pc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ascii="Times New Roman" w:hAnsi="Times New Roman" w:eastAsiaTheme="minorEastAsia"/>
                      <w:color w:val="auto"/>
                      <w:sz w:val="21"/>
                      <w:szCs w:val="21"/>
                      <w:highlight w:val="none"/>
                    </w:rPr>
                  </w:pPr>
                  <w:r>
                    <w:rPr>
                      <w:rFonts w:hint="eastAsia"/>
                      <w:color w:val="auto"/>
                    </w:rPr>
                    <w:t>电钻、手工钻</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w:t>
                  </w:r>
                </w:p>
              </w:tc>
              <w:tc>
                <w:tcPr>
                  <w:tcW w:w="35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auto"/>
                      <w:szCs w:val="21"/>
                      <w:highlight w:val="none"/>
                      <w:lang w:val="en-US" w:eastAsia="zh-CN"/>
                    </w:rPr>
                  </w:pPr>
                  <w:r>
                    <w:rPr>
                      <w:rFonts w:hint="eastAsia"/>
                      <w:color w:val="auto"/>
                    </w:rPr>
                    <w:t>18.19</w:t>
                  </w:r>
                </w:p>
              </w:tc>
              <w:tc>
                <w:tcPr>
                  <w:tcW w:w="35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auto"/>
                      <w:szCs w:val="21"/>
                      <w:highlight w:val="none"/>
                      <w:lang w:val="en-US" w:eastAsia="zh-CN"/>
                    </w:rPr>
                  </w:pPr>
                  <w:r>
                    <w:rPr>
                      <w:rFonts w:hint="eastAsia"/>
                      <w:color w:val="auto"/>
                    </w:rPr>
                    <w:t>-10.28</w:t>
                  </w:r>
                </w:p>
              </w:tc>
              <w:tc>
                <w:tcPr>
                  <w:tcW w:w="35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auto"/>
                      <w:szCs w:val="21"/>
                      <w:highlight w:val="none"/>
                      <w:lang w:val="en-US" w:eastAsia="zh-CN"/>
                    </w:rPr>
                  </w:pPr>
                  <w:r>
                    <w:rPr>
                      <w:rFonts w:hint="eastAsia"/>
                      <w:color w:val="auto"/>
                    </w:rPr>
                    <w:t>1</w:t>
                  </w:r>
                </w:p>
              </w:tc>
              <w:tc>
                <w:tcPr>
                  <w:tcW w:w="845"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w:t>
                  </w:r>
                </w:p>
              </w:tc>
              <w:tc>
                <w:tcPr>
                  <w:tcW w:w="489"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s="Times New Roman"/>
                      <w:color w:val="auto"/>
                      <w:kern w:val="2"/>
                      <w:sz w:val="21"/>
                      <w:szCs w:val="21"/>
                      <w:highlight w:val="none"/>
                      <w:lang w:val="en-US" w:eastAsia="zh-CN" w:bidi="ar-SA"/>
                    </w:rPr>
                  </w:pPr>
                  <w:r>
                    <w:rPr>
                      <w:rFonts w:hint="eastAsia"/>
                      <w:color w:val="auto"/>
                    </w:rPr>
                    <w:t>95</w:t>
                  </w:r>
                </w:p>
              </w:tc>
              <w:tc>
                <w:tcPr>
                  <w:tcW w:w="6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s="Times New Roman"/>
                      <w:color w:val="auto"/>
                      <w:szCs w:val="21"/>
                      <w:highlight w:val="none"/>
                      <w:lang w:val="en-US" w:eastAsia="zh-CN"/>
                    </w:rPr>
                  </w:pPr>
                </w:p>
              </w:tc>
              <w:tc>
                <w:tcPr>
                  <w:tcW w:w="844"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olor w:val="auto"/>
                      <w:highlight w:val="none"/>
                    </w:rPr>
                  </w:pPr>
                  <w:r>
                    <w:rPr>
                      <w:rFonts w:hint="eastAsia"/>
                      <w:color w:val="auto"/>
                      <w:highlight w:val="none"/>
                    </w:rPr>
                    <w:t>昼间</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（2）达标情况</w:t>
            </w:r>
            <w:r>
              <w:rPr>
                <w:rFonts w:hint="default" w:ascii="Times New Roman" w:hAnsi="Times New Roman" w:eastAsia="宋体" w:cs="Times New Roman"/>
                <w:b/>
                <w:bCs/>
                <w:color w:val="auto"/>
                <w:sz w:val="24"/>
                <w:szCs w:val="24"/>
                <w:highlight w:val="none"/>
                <w:lang w:val="en-US" w:eastAsia="zh-CN"/>
              </w:rPr>
              <w:t>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1）预测模式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本次评价采用《环境影响评价技术导则一声环境》</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HJ2.4-2021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中推荐模式进行预测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用A声级计算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具体模式见运营期噪声达标情况分析。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2）预测结果</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表4-</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b/>
                <w:bCs/>
                <w:color w:val="auto"/>
                <w:sz w:val="24"/>
                <w:szCs w:val="24"/>
                <w:highlight w:val="none"/>
                <w:lang w:val="en-US" w:eastAsia="zh-CN"/>
              </w:rPr>
              <w:t>施工期</w:t>
            </w:r>
            <w:r>
              <w:rPr>
                <w:rFonts w:hint="default" w:ascii="Times New Roman" w:hAnsi="Times New Roman" w:eastAsia="宋体" w:cs="Times New Roman"/>
                <w:b/>
                <w:bCs/>
                <w:color w:val="auto"/>
                <w:sz w:val="24"/>
                <w:szCs w:val="24"/>
                <w:highlight w:val="none"/>
              </w:rPr>
              <w:t>昼间噪声预测结果</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617"/>
              <w:gridCol w:w="1282"/>
              <w:gridCol w:w="1282"/>
              <w:gridCol w:w="1284"/>
              <w:gridCol w:w="1558"/>
              <w:gridCol w:w="7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01" w:type="pct"/>
                  <w:vMerge w:val="restar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Cs w:val="21"/>
                      <w:highlight w:val="none"/>
                    </w:rPr>
                  </w:pPr>
                  <w:r>
                    <w:rPr>
                      <w:rFonts w:hint="eastAsia" w:cs="Times New Roman"/>
                      <w:b/>
                      <w:bCs/>
                      <w:color w:val="auto"/>
                      <w:szCs w:val="21"/>
                      <w:highlight w:val="none"/>
                    </w:rPr>
                    <w:t>编号</w:t>
                  </w:r>
                </w:p>
              </w:tc>
              <w:tc>
                <w:tcPr>
                  <w:tcW w:w="959" w:type="pct"/>
                  <w:vMerge w:val="restar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Cs w:val="21"/>
                      <w:highlight w:val="none"/>
                    </w:rPr>
                  </w:pPr>
                  <w:r>
                    <w:rPr>
                      <w:rFonts w:hint="eastAsia" w:cs="Times New Roman"/>
                      <w:b/>
                      <w:bCs/>
                      <w:color w:val="auto"/>
                      <w:szCs w:val="21"/>
                      <w:highlight w:val="none"/>
                    </w:rPr>
                    <w:t>预测点位置</w:t>
                  </w:r>
                </w:p>
              </w:tc>
              <w:tc>
                <w:tcPr>
                  <w:tcW w:w="760" w:type="pc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Cs w:val="21"/>
                      <w:highlight w:val="none"/>
                    </w:rPr>
                  </w:pPr>
                  <w:r>
                    <w:rPr>
                      <w:rFonts w:hint="eastAsia" w:cs="Times New Roman"/>
                      <w:b/>
                      <w:bCs/>
                      <w:color w:val="auto"/>
                      <w:szCs w:val="21"/>
                      <w:highlight w:val="none"/>
                    </w:rPr>
                    <w:t>贡献值</w:t>
                  </w:r>
                </w:p>
                <w:p>
                  <w:pPr>
                    <w:spacing w:line="240" w:lineRule="auto"/>
                    <w:ind w:firstLine="0" w:firstLineChars="0"/>
                    <w:jc w:val="center"/>
                    <w:rPr>
                      <w:rFonts w:cs="Times New Roman"/>
                      <w:b/>
                      <w:bCs/>
                      <w:color w:val="auto"/>
                      <w:szCs w:val="21"/>
                      <w:highlight w:val="none"/>
                    </w:rPr>
                  </w:pPr>
                  <w:r>
                    <w:rPr>
                      <w:rFonts w:hint="eastAsia" w:cs="Times New Roman"/>
                      <w:b/>
                      <w:bCs/>
                      <w:color w:val="auto"/>
                      <w:szCs w:val="21"/>
                      <w:highlight w:val="none"/>
                    </w:rPr>
                    <w:t>[dB（A）]</w:t>
                  </w:r>
                </w:p>
              </w:tc>
              <w:tc>
                <w:tcPr>
                  <w:tcW w:w="760" w:type="pc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Cs w:val="21"/>
                      <w:highlight w:val="none"/>
                    </w:rPr>
                  </w:pPr>
                  <w:r>
                    <w:rPr>
                      <w:rFonts w:hint="eastAsia" w:cs="Times New Roman"/>
                      <w:b/>
                      <w:bCs/>
                      <w:color w:val="auto"/>
                      <w:szCs w:val="21"/>
                      <w:highlight w:val="none"/>
                    </w:rPr>
                    <w:t>背景值</w:t>
                  </w:r>
                </w:p>
                <w:p>
                  <w:pPr>
                    <w:spacing w:line="240" w:lineRule="auto"/>
                    <w:ind w:firstLine="0" w:firstLineChars="0"/>
                    <w:jc w:val="center"/>
                    <w:rPr>
                      <w:rFonts w:cs="Times New Roman"/>
                      <w:b/>
                      <w:bCs/>
                      <w:color w:val="auto"/>
                      <w:szCs w:val="21"/>
                      <w:highlight w:val="none"/>
                    </w:rPr>
                  </w:pPr>
                  <w:r>
                    <w:rPr>
                      <w:rFonts w:hint="eastAsia" w:cs="Times New Roman"/>
                      <w:b/>
                      <w:bCs/>
                      <w:color w:val="auto"/>
                      <w:szCs w:val="21"/>
                      <w:highlight w:val="none"/>
                    </w:rPr>
                    <w:t>[dB（A）]</w:t>
                  </w:r>
                </w:p>
              </w:tc>
              <w:tc>
                <w:tcPr>
                  <w:tcW w:w="761" w:type="pc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Cs w:val="21"/>
                      <w:highlight w:val="none"/>
                    </w:rPr>
                  </w:pPr>
                  <w:r>
                    <w:rPr>
                      <w:rFonts w:hint="eastAsia" w:cs="Times New Roman"/>
                      <w:b/>
                      <w:bCs/>
                      <w:color w:val="auto"/>
                      <w:szCs w:val="21"/>
                      <w:highlight w:val="none"/>
                    </w:rPr>
                    <w:t>预测值</w:t>
                  </w:r>
                </w:p>
                <w:p>
                  <w:pPr>
                    <w:spacing w:line="240" w:lineRule="auto"/>
                    <w:ind w:firstLine="0" w:firstLineChars="0"/>
                    <w:jc w:val="center"/>
                    <w:rPr>
                      <w:rFonts w:cs="Times New Roman"/>
                      <w:b/>
                      <w:bCs/>
                      <w:color w:val="auto"/>
                      <w:szCs w:val="21"/>
                      <w:highlight w:val="none"/>
                    </w:rPr>
                  </w:pPr>
                  <w:r>
                    <w:rPr>
                      <w:rFonts w:hint="eastAsia" w:cs="Times New Roman"/>
                      <w:b/>
                      <w:bCs/>
                      <w:color w:val="auto"/>
                      <w:szCs w:val="21"/>
                      <w:highlight w:val="none"/>
                    </w:rPr>
                    <w:t>[dB（A）]</w:t>
                  </w:r>
                </w:p>
              </w:tc>
              <w:tc>
                <w:tcPr>
                  <w:tcW w:w="924" w:type="pc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Cs w:val="21"/>
                      <w:highlight w:val="none"/>
                    </w:rPr>
                  </w:pPr>
                  <w:r>
                    <w:rPr>
                      <w:rFonts w:hint="eastAsia" w:cs="Times New Roman"/>
                      <w:b/>
                      <w:bCs/>
                      <w:color w:val="auto"/>
                      <w:szCs w:val="21"/>
                      <w:highlight w:val="none"/>
                    </w:rPr>
                    <w:t>标准值</w:t>
                  </w:r>
                </w:p>
                <w:p>
                  <w:pPr>
                    <w:spacing w:line="240" w:lineRule="auto"/>
                    <w:ind w:firstLine="0" w:firstLineChars="0"/>
                    <w:jc w:val="center"/>
                    <w:rPr>
                      <w:rFonts w:cs="Times New Roman"/>
                      <w:b/>
                      <w:bCs/>
                      <w:color w:val="auto"/>
                      <w:szCs w:val="21"/>
                      <w:highlight w:val="none"/>
                    </w:rPr>
                  </w:pPr>
                  <w:r>
                    <w:rPr>
                      <w:rFonts w:hint="eastAsia" w:eastAsia="仿宋" w:cs="Times New Roman"/>
                      <w:b/>
                      <w:bCs/>
                      <w:color w:val="auto"/>
                      <w:szCs w:val="21"/>
                      <w:highlight w:val="none"/>
                    </w:rPr>
                    <w:t>[</w:t>
                  </w:r>
                  <w:r>
                    <w:rPr>
                      <w:rFonts w:cs="Times New Roman"/>
                      <w:b/>
                      <w:bCs/>
                      <w:color w:val="auto"/>
                      <w:szCs w:val="21"/>
                      <w:highlight w:val="none"/>
                    </w:rPr>
                    <w:t>dB（A）</w:t>
                  </w:r>
                  <w:r>
                    <w:rPr>
                      <w:rFonts w:hint="eastAsia" w:eastAsia="仿宋" w:cs="Times New Roman"/>
                      <w:b/>
                      <w:bCs/>
                      <w:color w:val="auto"/>
                      <w:szCs w:val="21"/>
                      <w:highlight w:val="none"/>
                    </w:rPr>
                    <w:t>]</w:t>
                  </w:r>
                </w:p>
              </w:tc>
              <w:tc>
                <w:tcPr>
                  <w:tcW w:w="431" w:type="pct"/>
                  <w:vMerge w:val="restar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Cs w:val="21"/>
                      <w:highlight w:val="none"/>
                    </w:rPr>
                  </w:pPr>
                  <w:r>
                    <w:rPr>
                      <w:rFonts w:hint="eastAsia" w:cs="Times New Roman"/>
                      <w:b/>
                      <w:bCs/>
                      <w:color w:val="auto"/>
                      <w:szCs w:val="21"/>
                      <w:highlight w:val="none"/>
                    </w:rPr>
                    <w:t>预测</w:t>
                  </w:r>
                  <w:r>
                    <w:rPr>
                      <w:rFonts w:cs="Times New Roman"/>
                      <w:b/>
                      <w:bCs/>
                      <w:color w:val="auto"/>
                      <w:szCs w:val="21"/>
                      <w:highlight w:val="none"/>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vMerge w:val="continue"/>
                  <w:tcBorders>
                    <w:tl2br w:val="nil"/>
                    <w:tr2bl w:val="nil"/>
                  </w:tcBorders>
                  <w:vAlign w:val="center"/>
                </w:tcPr>
                <w:p>
                  <w:pPr>
                    <w:spacing w:line="240" w:lineRule="auto"/>
                    <w:ind w:firstLine="0" w:firstLineChars="0"/>
                    <w:jc w:val="center"/>
                    <w:rPr>
                      <w:rFonts w:cs="Times New Roman"/>
                      <w:color w:val="auto"/>
                      <w:szCs w:val="21"/>
                      <w:highlight w:val="none"/>
                    </w:rPr>
                  </w:pPr>
                </w:p>
              </w:tc>
              <w:tc>
                <w:tcPr>
                  <w:tcW w:w="959" w:type="pct"/>
                  <w:vMerge w:val="continue"/>
                  <w:tcBorders>
                    <w:tl2br w:val="nil"/>
                    <w:tr2bl w:val="nil"/>
                  </w:tcBorders>
                  <w:vAlign w:val="center"/>
                </w:tcPr>
                <w:p>
                  <w:pPr>
                    <w:spacing w:line="240" w:lineRule="auto"/>
                    <w:ind w:firstLine="0" w:firstLineChars="0"/>
                    <w:jc w:val="center"/>
                    <w:rPr>
                      <w:rFonts w:cs="Times New Roman"/>
                      <w:color w:val="auto"/>
                      <w:szCs w:val="21"/>
                      <w:highlight w:val="none"/>
                    </w:rPr>
                  </w:pPr>
                </w:p>
              </w:tc>
              <w:tc>
                <w:tcPr>
                  <w:tcW w:w="760" w:type="pct"/>
                  <w:tcBorders>
                    <w:tl2br w:val="nil"/>
                    <w:tr2bl w:val="nil"/>
                  </w:tcBorders>
                  <w:shd w:val="clear" w:color="000000" w:themeColor="text1" w:fill="auto"/>
                  <w:vAlign w:val="center"/>
                </w:tcPr>
                <w:p>
                  <w:pPr>
                    <w:pStyle w:val="73"/>
                    <w:snapToGrid w:val="0"/>
                    <w:spacing w:before="0" w:after="0" w:line="240" w:lineRule="auto"/>
                    <w:ind w:firstLine="0" w:firstLineChars="0"/>
                    <w:jc w:val="center"/>
                    <w:rPr>
                      <w:b/>
                      <w:bCs/>
                      <w:color w:val="auto"/>
                      <w:sz w:val="21"/>
                      <w:szCs w:val="21"/>
                      <w:highlight w:val="none"/>
                    </w:rPr>
                  </w:pPr>
                  <w:r>
                    <w:rPr>
                      <w:rFonts w:hint="eastAsia"/>
                      <w:b/>
                      <w:bCs/>
                      <w:color w:val="auto"/>
                      <w:sz w:val="21"/>
                      <w:szCs w:val="21"/>
                      <w:highlight w:val="none"/>
                    </w:rPr>
                    <w:t>昼间</w:t>
                  </w:r>
                </w:p>
              </w:tc>
              <w:tc>
                <w:tcPr>
                  <w:tcW w:w="760" w:type="pct"/>
                  <w:tcBorders>
                    <w:tl2br w:val="nil"/>
                    <w:tr2bl w:val="nil"/>
                  </w:tcBorders>
                  <w:shd w:val="clear" w:color="000000" w:themeColor="text1" w:fill="auto"/>
                  <w:vAlign w:val="center"/>
                </w:tcPr>
                <w:p>
                  <w:pPr>
                    <w:pStyle w:val="73"/>
                    <w:snapToGrid w:val="0"/>
                    <w:spacing w:before="0" w:after="0" w:line="240" w:lineRule="auto"/>
                    <w:ind w:firstLine="0" w:firstLineChars="0"/>
                    <w:jc w:val="center"/>
                    <w:rPr>
                      <w:b/>
                      <w:bCs/>
                      <w:color w:val="auto"/>
                      <w:sz w:val="21"/>
                      <w:szCs w:val="21"/>
                      <w:highlight w:val="none"/>
                    </w:rPr>
                  </w:pPr>
                  <w:r>
                    <w:rPr>
                      <w:rFonts w:hint="eastAsia"/>
                      <w:b/>
                      <w:bCs/>
                      <w:color w:val="auto"/>
                      <w:sz w:val="21"/>
                      <w:szCs w:val="21"/>
                      <w:highlight w:val="none"/>
                    </w:rPr>
                    <w:t>昼间</w:t>
                  </w:r>
                </w:p>
              </w:tc>
              <w:tc>
                <w:tcPr>
                  <w:tcW w:w="761" w:type="pct"/>
                  <w:tcBorders>
                    <w:tl2br w:val="nil"/>
                    <w:tr2bl w:val="nil"/>
                  </w:tcBorders>
                  <w:shd w:val="clear" w:color="000000" w:themeColor="text1" w:fill="auto"/>
                  <w:vAlign w:val="center"/>
                </w:tcPr>
                <w:p>
                  <w:pPr>
                    <w:pStyle w:val="73"/>
                    <w:snapToGrid w:val="0"/>
                    <w:spacing w:before="0" w:after="0" w:line="240" w:lineRule="auto"/>
                    <w:ind w:firstLine="0" w:firstLineChars="0"/>
                    <w:jc w:val="center"/>
                    <w:rPr>
                      <w:b/>
                      <w:bCs/>
                      <w:color w:val="auto"/>
                      <w:sz w:val="21"/>
                      <w:szCs w:val="21"/>
                      <w:highlight w:val="none"/>
                    </w:rPr>
                  </w:pPr>
                  <w:r>
                    <w:rPr>
                      <w:rFonts w:hint="eastAsia"/>
                      <w:b/>
                      <w:bCs/>
                      <w:color w:val="auto"/>
                      <w:sz w:val="21"/>
                      <w:szCs w:val="21"/>
                      <w:highlight w:val="none"/>
                    </w:rPr>
                    <w:t>昼间</w:t>
                  </w:r>
                </w:p>
              </w:tc>
              <w:tc>
                <w:tcPr>
                  <w:tcW w:w="924" w:type="pct"/>
                  <w:tcBorders>
                    <w:tl2br w:val="nil"/>
                    <w:tr2bl w:val="nil"/>
                  </w:tcBorders>
                  <w:shd w:val="clear" w:color="000000" w:themeColor="text1" w:fill="auto"/>
                  <w:vAlign w:val="center"/>
                </w:tcPr>
                <w:p>
                  <w:pPr>
                    <w:pStyle w:val="73"/>
                    <w:snapToGrid w:val="0"/>
                    <w:spacing w:before="0" w:after="0" w:line="240" w:lineRule="auto"/>
                    <w:ind w:firstLine="0" w:firstLineChars="0"/>
                    <w:jc w:val="center"/>
                    <w:rPr>
                      <w:b/>
                      <w:bCs/>
                      <w:color w:val="auto"/>
                      <w:sz w:val="21"/>
                      <w:szCs w:val="21"/>
                      <w:highlight w:val="none"/>
                    </w:rPr>
                  </w:pPr>
                  <w:r>
                    <w:rPr>
                      <w:rFonts w:hint="eastAsia"/>
                      <w:b/>
                      <w:bCs/>
                      <w:color w:val="auto"/>
                      <w:sz w:val="21"/>
                      <w:szCs w:val="21"/>
                      <w:highlight w:val="none"/>
                    </w:rPr>
                    <w:t>昼间</w:t>
                  </w:r>
                </w:p>
              </w:tc>
              <w:tc>
                <w:tcPr>
                  <w:tcW w:w="431" w:type="pct"/>
                  <w:vMerge w:val="continue"/>
                  <w:tcBorders>
                    <w:tl2br w:val="nil"/>
                    <w:tr2bl w:val="nil"/>
                  </w:tcBorders>
                  <w:vAlign w:val="center"/>
                </w:tcPr>
                <w:p>
                  <w:pPr>
                    <w:spacing w:line="240" w:lineRule="auto"/>
                    <w:ind w:firstLine="0" w:firstLineChars="0"/>
                    <w:jc w:val="center"/>
                    <w:rPr>
                      <w:rFonts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pPr>
                    <w:spacing w:line="240" w:lineRule="auto"/>
                    <w:ind w:firstLine="0" w:firstLineChars="0"/>
                    <w:jc w:val="center"/>
                    <w:rPr>
                      <w:rFonts w:cs="Times New Roman"/>
                      <w:color w:val="auto"/>
                      <w:szCs w:val="21"/>
                      <w:highlight w:val="none"/>
                    </w:rPr>
                  </w:pPr>
                  <w:r>
                    <w:rPr>
                      <w:rFonts w:hint="eastAsia" w:cs="Times New Roman"/>
                      <w:color w:val="auto"/>
                      <w:szCs w:val="21"/>
                      <w:highlight w:val="none"/>
                    </w:rPr>
                    <w:t>1</w:t>
                  </w:r>
                  <w:r>
                    <w:rPr>
                      <w:rFonts w:cs="Times New Roman"/>
                      <w:color w:val="auto"/>
                      <w:szCs w:val="21"/>
                      <w:highlight w:val="none"/>
                    </w:rPr>
                    <w:t>#</w:t>
                  </w:r>
                </w:p>
              </w:tc>
              <w:tc>
                <w:tcPr>
                  <w:tcW w:w="959" w:type="pct"/>
                  <w:tcBorders>
                    <w:tl2br w:val="nil"/>
                    <w:tr2bl w:val="nil"/>
                  </w:tcBorders>
                  <w:vAlign w:val="center"/>
                </w:tcPr>
                <w:p>
                  <w:pPr>
                    <w:adjustRightInd w:val="0"/>
                    <w:spacing w:line="240" w:lineRule="auto"/>
                    <w:ind w:firstLine="0" w:firstLineChars="0"/>
                    <w:jc w:val="center"/>
                    <w:rPr>
                      <w:rFonts w:cs="Times New Roman"/>
                      <w:color w:val="auto"/>
                      <w:szCs w:val="21"/>
                      <w:highlight w:val="none"/>
                    </w:rPr>
                  </w:pPr>
                  <w:r>
                    <w:rPr>
                      <w:rFonts w:cs="Times New Roman"/>
                      <w:color w:val="auto"/>
                      <w:szCs w:val="21"/>
                      <w:highlight w:val="none"/>
                    </w:rPr>
                    <w:t>项目</w:t>
                  </w:r>
                  <w:r>
                    <w:rPr>
                      <w:rFonts w:hint="eastAsia" w:cs="Times New Roman"/>
                      <w:color w:val="auto"/>
                      <w:szCs w:val="21"/>
                      <w:highlight w:val="none"/>
                    </w:rPr>
                    <w:t>北面</w:t>
                  </w:r>
                  <w:r>
                    <w:rPr>
                      <w:rFonts w:cs="Times New Roman"/>
                      <w:color w:val="auto"/>
                      <w:szCs w:val="21"/>
                      <w:highlight w:val="none"/>
                    </w:rPr>
                    <w:t>厂界</w:t>
                  </w:r>
                  <w:r>
                    <w:rPr>
                      <w:rFonts w:hint="eastAsia" w:cs="Times New Roman"/>
                      <w:color w:val="auto"/>
                      <w:szCs w:val="21"/>
                      <w:highlight w:val="none"/>
                    </w:rPr>
                    <w:t>外1m</w:t>
                  </w:r>
                </w:p>
              </w:tc>
              <w:tc>
                <w:tcPr>
                  <w:tcW w:w="760" w:type="pct"/>
                  <w:tcBorders>
                    <w:tl2br w:val="nil"/>
                    <w:tr2bl w:val="nil"/>
                  </w:tcBorders>
                  <w:vAlign w:val="center"/>
                </w:tcPr>
                <w:p>
                  <w:pPr>
                    <w:adjustRightInd w:val="0"/>
                    <w:spacing w:line="240" w:lineRule="auto"/>
                    <w:ind w:firstLine="0" w:firstLineChars="0"/>
                    <w:jc w:val="center"/>
                    <w:rPr>
                      <w:rFonts w:hint="default" w:eastAsia="宋体" w:cs="Times New Roman"/>
                      <w:color w:val="auto"/>
                      <w:szCs w:val="21"/>
                      <w:highlight w:val="none"/>
                      <w:lang w:val="en-US" w:eastAsia="zh-CN"/>
                    </w:rPr>
                  </w:pPr>
                  <w:r>
                    <w:rPr>
                      <w:rFonts w:hint="default" w:eastAsia="宋体" w:cs="Times New Roman"/>
                      <w:color w:val="auto"/>
                      <w:szCs w:val="21"/>
                      <w:highlight w:val="none"/>
                      <w:lang w:val="en-US" w:eastAsia="zh-CN"/>
                    </w:rPr>
                    <w:t>55.69</w:t>
                  </w:r>
                </w:p>
              </w:tc>
              <w:tc>
                <w:tcPr>
                  <w:tcW w:w="760" w:type="pct"/>
                  <w:tcBorders>
                    <w:tl2br w:val="nil"/>
                    <w:tr2bl w:val="nil"/>
                  </w:tcBorders>
                  <w:vAlign w:val="center"/>
                </w:tcPr>
                <w:p>
                  <w:pPr>
                    <w:pStyle w:val="73"/>
                    <w:snapToGrid w:val="0"/>
                    <w:spacing w:before="0" w:after="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761" w:type="pct"/>
                  <w:tcBorders>
                    <w:tl2br w:val="nil"/>
                    <w:tr2bl w:val="nil"/>
                  </w:tcBorders>
                  <w:vAlign w:val="center"/>
                </w:tcPr>
                <w:p>
                  <w:pPr>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Cs w:val="21"/>
                      <w:highlight w:val="none"/>
                      <w:lang w:val="en-US" w:eastAsia="zh-CN"/>
                    </w:rPr>
                    <w:t>55.69</w:t>
                  </w:r>
                </w:p>
              </w:tc>
              <w:tc>
                <w:tcPr>
                  <w:tcW w:w="924" w:type="pct"/>
                  <w:tcBorders>
                    <w:tl2br w:val="nil"/>
                    <w:tr2bl w:val="nil"/>
                  </w:tcBorders>
                  <w:vAlign w:val="center"/>
                </w:tcPr>
                <w:p>
                  <w:pPr>
                    <w:spacing w:line="240" w:lineRule="auto"/>
                    <w:ind w:firstLine="0" w:firstLineChars="0"/>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60</w:t>
                  </w:r>
                </w:p>
              </w:tc>
              <w:tc>
                <w:tcPr>
                  <w:tcW w:w="431" w:type="pct"/>
                  <w:tcBorders>
                    <w:tl2br w:val="nil"/>
                    <w:tr2bl w:val="nil"/>
                  </w:tcBorders>
                  <w:vAlign w:val="center"/>
                </w:tcPr>
                <w:p>
                  <w:pPr>
                    <w:spacing w:line="240" w:lineRule="auto"/>
                    <w:ind w:firstLine="0" w:firstLineChars="0"/>
                    <w:jc w:val="center"/>
                    <w:rPr>
                      <w:rFonts w:cs="Times New Roman"/>
                      <w:color w:val="auto"/>
                      <w:szCs w:val="21"/>
                      <w:highlight w:val="none"/>
                    </w:rPr>
                  </w:pPr>
                  <w:r>
                    <w:rPr>
                      <w:rFonts w:hint="eastAsia" w:cs="Times New Roman"/>
                      <w:color w:val="auto"/>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pPr>
                    <w:spacing w:line="240" w:lineRule="auto"/>
                    <w:ind w:firstLine="0" w:firstLineChars="0"/>
                    <w:jc w:val="center"/>
                    <w:rPr>
                      <w:rFonts w:cs="Times New Roman"/>
                      <w:color w:val="auto"/>
                      <w:szCs w:val="21"/>
                      <w:highlight w:val="none"/>
                    </w:rPr>
                  </w:pPr>
                  <w:r>
                    <w:rPr>
                      <w:rFonts w:hint="eastAsia" w:cs="Times New Roman"/>
                      <w:color w:val="auto"/>
                      <w:szCs w:val="21"/>
                      <w:highlight w:val="none"/>
                    </w:rPr>
                    <w:t>2</w:t>
                  </w:r>
                  <w:r>
                    <w:rPr>
                      <w:rFonts w:cs="Times New Roman"/>
                      <w:color w:val="auto"/>
                      <w:szCs w:val="21"/>
                      <w:highlight w:val="none"/>
                    </w:rPr>
                    <w:t>#</w:t>
                  </w:r>
                </w:p>
              </w:tc>
              <w:tc>
                <w:tcPr>
                  <w:tcW w:w="959" w:type="pct"/>
                  <w:tcBorders>
                    <w:tl2br w:val="nil"/>
                    <w:tr2bl w:val="nil"/>
                  </w:tcBorders>
                  <w:vAlign w:val="center"/>
                </w:tcPr>
                <w:p>
                  <w:pPr>
                    <w:adjustRightInd w:val="0"/>
                    <w:spacing w:line="240" w:lineRule="auto"/>
                    <w:ind w:firstLine="0" w:firstLineChars="0"/>
                    <w:jc w:val="center"/>
                    <w:rPr>
                      <w:rFonts w:cs="Times New Roman"/>
                      <w:color w:val="auto"/>
                      <w:szCs w:val="21"/>
                      <w:highlight w:val="none"/>
                    </w:rPr>
                  </w:pPr>
                  <w:r>
                    <w:rPr>
                      <w:rFonts w:cs="Times New Roman"/>
                      <w:color w:val="auto"/>
                      <w:szCs w:val="21"/>
                      <w:highlight w:val="none"/>
                    </w:rPr>
                    <w:t>项目</w:t>
                  </w:r>
                  <w:r>
                    <w:rPr>
                      <w:rFonts w:hint="eastAsia" w:cs="Times New Roman"/>
                      <w:color w:val="auto"/>
                      <w:szCs w:val="21"/>
                      <w:highlight w:val="none"/>
                    </w:rPr>
                    <w:t>东面</w:t>
                  </w:r>
                  <w:r>
                    <w:rPr>
                      <w:rFonts w:cs="Times New Roman"/>
                      <w:color w:val="auto"/>
                      <w:szCs w:val="21"/>
                      <w:highlight w:val="none"/>
                    </w:rPr>
                    <w:t>厂界</w:t>
                  </w:r>
                  <w:r>
                    <w:rPr>
                      <w:rFonts w:hint="eastAsia" w:cs="Times New Roman"/>
                      <w:color w:val="auto"/>
                      <w:szCs w:val="21"/>
                      <w:highlight w:val="none"/>
                    </w:rPr>
                    <w:t>外1m</w:t>
                  </w:r>
                </w:p>
              </w:tc>
              <w:tc>
                <w:tcPr>
                  <w:tcW w:w="760" w:type="pct"/>
                  <w:tcBorders>
                    <w:tl2br w:val="nil"/>
                    <w:tr2bl w:val="nil"/>
                  </w:tcBorders>
                  <w:vAlign w:val="center"/>
                </w:tcPr>
                <w:p>
                  <w:pPr>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56.44</w:t>
                  </w:r>
                </w:p>
              </w:tc>
              <w:tc>
                <w:tcPr>
                  <w:tcW w:w="760" w:type="pct"/>
                  <w:tcBorders>
                    <w:tl2br w:val="nil"/>
                    <w:tr2bl w:val="nil"/>
                  </w:tcBorders>
                  <w:vAlign w:val="center"/>
                </w:tcPr>
                <w:p>
                  <w:pPr>
                    <w:snapToGrid w:val="0"/>
                    <w:spacing w:before="0" w:after="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761" w:type="pct"/>
                  <w:tcBorders>
                    <w:tl2br w:val="nil"/>
                    <w:tr2bl w:val="nil"/>
                  </w:tcBorders>
                  <w:vAlign w:val="center"/>
                </w:tcPr>
                <w:p>
                  <w:pPr>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56.44</w:t>
                  </w:r>
                </w:p>
              </w:tc>
              <w:tc>
                <w:tcPr>
                  <w:tcW w:w="924" w:type="pct"/>
                  <w:tcBorders>
                    <w:tl2br w:val="nil"/>
                    <w:tr2bl w:val="nil"/>
                  </w:tcBorders>
                  <w:vAlign w:val="center"/>
                </w:tcPr>
                <w:p>
                  <w:pPr>
                    <w:spacing w:line="240" w:lineRule="auto"/>
                    <w:ind w:firstLine="0" w:firstLineChars="0"/>
                    <w:jc w:val="center"/>
                    <w:rPr>
                      <w:rFonts w:cs="Times New Roman"/>
                      <w:color w:val="auto"/>
                      <w:szCs w:val="21"/>
                      <w:highlight w:val="none"/>
                    </w:rPr>
                  </w:pPr>
                  <w:r>
                    <w:rPr>
                      <w:rFonts w:hint="eastAsia" w:cs="Times New Roman"/>
                      <w:color w:val="auto"/>
                      <w:szCs w:val="21"/>
                      <w:highlight w:val="none"/>
                      <w:lang w:val="en-US" w:eastAsia="zh-CN"/>
                    </w:rPr>
                    <w:t>60</w:t>
                  </w:r>
                </w:p>
              </w:tc>
              <w:tc>
                <w:tcPr>
                  <w:tcW w:w="431" w:type="pct"/>
                  <w:tcBorders>
                    <w:tl2br w:val="nil"/>
                    <w:tr2bl w:val="nil"/>
                  </w:tcBorders>
                  <w:vAlign w:val="center"/>
                </w:tcPr>
                <w:p>
                  <w:pPr>
                    <w:spacing w:line="240" w:lineRule="auto"/>
                    <w:ind w:firstLine="0" w:firstLineChars="0"/>
                    <w:jc w:val="center"/>
                    <w:rPr>
                      <w:rFonts w:cs="Times New Roman"/>
                      <w:color w:val="auto"/>
                      <w:szCs w:val="21"/>
                      <w:highlight w:val="none"/>
                    </w:rPr>
                  </w:pPr>
                  <w:r>
                    <w:rPr>
                      <w:rFonts w:hint="eastAsia" w:cs="Times New Roman"/>
                      <w:color w:val="auto"/>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pPr>
                    <w:spacing w:line="240" w:lineRule="auto"/>
                    <w:ind w:firstLine="0" w:firstLineChars="0"/>
                    <w:jc w:val="center"/>
                    <w:rPr>
                      <w:rFonts w:cs="Times New Roman"/>
                      <w:color w:val="auto"/>
                      <w:szCs w:val="21"/>
                      <w:highlight w:val="none"/>
                    </w:rPr>
                  </w:pPr>
                  <w:r>
                    <w:rPr>
                      <w:rFonts w:hint="eastAsia" w:cs="Times New Roman"/>
                      <w:color w:val="auto"/>
                      <w:szCs w:val="21"/>
                      <w:highlight w:val="none"/>
                    </w:rPr>
                    <w:t>3#</w:t>
                  </w:r>
                </w:p>
              </w:tc>
              <w:tc>
                <w:tcPr>
                  <w:tcW w:w="959" w:type="pct"/>
                  <w:tcBorders>
                    <w:tl2br w:val="nil"/>
                    <w:tr2bl w:val="nil"/>
                  </w:tcBorders>
                  <w:vAlign w:val="center"/>
                </w:tcPr>
                <w:p>
                  <w:pPr>
                    <w:adjustRightInd w:val="0"/>
                    <w:spacing w:line="240" w:lineRule="auto"/>
                    <w:ind w:firstLine="0" w:firstLineChars="0"/>
                    <w:jc w:val="center"/>
                    <w:rPr>
                      <w:rFonts w:cs="Times New Roman"/>
                      <w:color w:val="auto"/>
                      <w:szCs w:val="21"/>
                      <w:highlight w:val="none"/>
                    </w:rPr>
                  </w:pPr>
                  <w:r>
                    <w:rPr>
                      <w:rFonts w:cs="Times New Roman"/>
                      <w:color w:val="auto"/>
                      <w:szCs w:val="21"/>
                      <w:highlight w:val="none"/>
                    </w:rPr>
                    <w:t>项目</w:t>
                  </w:r>
                  <w:r>
                    <w:rPr>
                      <w:rFonts w:hint="eastAsia" w:cs="Times New Roman"/>
                      <w:color w:val="auto"/>
                      <w:szCs w:val="21"/>
                      <w:highlight w:val="none"/>
                    </w:rPr>
                    <w:t>南面</w:t>
                  </w:r>
                  <w:r>
                    <w:rPr>
                      <w:rFonts w:cs="Times New Roman"/>
                      <w:color w:val="auto"/>
                      <w:szCs w:val="21"/>
                      <w:highlight w:val="none"/>
                    </w:rPr>
                    <w:t>厂界</w:t>
                  </w:r>
                  <w:r>
                    <w:rPr>
                      <w:rFonts w:hint="eastAsia" w:cs="Times New Roman"/>
                      <w:color w:val="auto"/>
                      <w:szCs w:val="21"/>
                      <w:highlight w:val="none"/>
                    </w:rPr>
                    <w:t>外1m</w:t>
                  </w:r>
                </w:p>
              </w:tc>
              <w:tc>
                <w:tcPr>
                  <w:tcW w:w="760" w:type="pct"/>
                  <w:tcBorders>
                    <w:tl2br w:val="nil"/>
                    <w:tr2bl w:val="nil"/>
                  </w:tcBorders>
                  <w:vAlign w:val="center"/>
                </w:tcPr>
                <w:p>
                  <w:pPr>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59.08</w:t>
                  </w:r>
                </w:p>
              </w:tc>
              <w:tc>
                <w:tcPr>
                  <w:tcW w:w="760" w:type="pct"/>
                  <w:tcBorders>
                    <w:tl2br w:val="nil"/>
                    <w:tr2bl w:val="nil"/>
                  </w:tcBorders>
                  <w:vAlign w:val="center"/>
                </w:tcPr>
                <w:p>
                  <w:pPr>
                    <w:snapToGrid w:val="0"/>
                    <w:spacing w:before="0" w:after="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761" w:type="pct"/>
                  <w:tcBorders>
                    <w:tl2br w:val="nil"/>
                    <w:tr2bl w:val="nil"/>
                  </w:tcBorders>
                  <w:vAlign w:val="center"/>
                </w:tcPr>
                <w:p>
                  <w:pPr>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59.08</w:t>
                  </w:r>
                </w:p>
              </w:tc>
              <w:tc>
                <w:tcPr>
                  <w:tcW w:w="924" w:type="pct"/>
                  <w:tcBorders>
                    <w:tl2br w:val="nil"/>
                    <w:tr2bl w:val="nil"/>
                  </w:tcBorders>
                  <w:vAlign w:val="center"/>
                </w:tcPr>
                <w:p>
                  <w:pPr>
                    <w:spacing w:line="240" w:lineRule="auto"/>
                    <w:ind w:firstLine="0" w:firstLineChars="0"/>
                    <w:jc w:val="center"/>
                    <w:rPr>
                      <w:rFonts w:cs="Times New Roman"/>
                      <w:color w:val="auto"/>
                      <w:szCs w:val="21"/>
                      <w:highlight w:val="none"/>
                    </w:rPr>
                  </w:pPr>
                  <w:r>
                    <w:rPr>
                      <w:rFonts w:hint="eastAsia" w:cs="Times New Roman"/>
                      <w:color w:val="auto"/>
                      <w:szCs w:val="21"/>
                      <w:highlight w:val="none"/>
                      <w:lang w:val="en-US" w:eastAsia="zh-CN"/>
                    </w:rPr>
                    <w:t>60</w:t>
                  </w:r>
                </w:p>
              </w:tc>
              <w:tc>
                <w:tcPr>
                  <w:tcW w:w="431" w:type="pct"/>
                  <w:tcBorders>
                    <w:tl2br w:val="nil"/>
                    <w:tr2bl w:val="nil"/>
                  </w:tcBorders>
                  <w:vAlign w:val="center"/>
                </w:tcPr>
                <w:p>
                  <w:pPr>
                    <w:spacing w:line="240" w:lineRule="auto"/>
                    <w:ind w:firstLine="0" w:firstLineChars="0"/>
                    <w:jc w:val="center"/>
                    <w:rPr>
                      <w:rFonts w:cs="Times New Roman"/>
                      <w:color w:val="auto"/>
                      <w:szCs w:val="21"/>
                      <w:highlight w:val="none"/>
                    </w:rPr>
                  </w:pPr>
                  <w:r>
                    <w:rPr>
                      <w:rFonts w:hint="eastAsia" w:cs="Times New Roman"/>
                      <w:color w:val="auto"/>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pPr>
                    <w:spacing w:line="240" w:lineRule="auto"/>
                    <w:ind w:firstLine="0" w:firstLineChars="0"/>
                    <w:jc w:val="center"/>
                    <w:rPr>
                      <w:rFonts w:cs="Times New Roman"/>
                      <w:color w:val="auto"/>
                      <w:szCs w:val="21"/>
                      <w:highlight w:val="none"/>
                    </w:rPr>
                  </w:pPr>
                  <w:r>
                    <w:rPr>
                      <w:rFonts w:hint="eastAsia" w:cs="Times New Roman"/>
                      <w:color w:val="auto"/>
                      <w:szCs w:val="21"/>
                      <w:highlight w:val="none"/>
                    </w:rPr>
                    <w:t>4</w:t>
                  </w:r>
                  <w:r>
                    <w:rPr>
                      <w:rFonts w:cs="Times New Roman"/>
                      <w:color w:val="auto"/>
                      <w:szCs w:val="21"/>
                      <w:highlight w:val="none"/>
                    </w:rPr>
                    <w:t>#</w:t>
                  </w:r>
                </w:p>
              </w:tc>
              <w:tc>
                <w:tcPr>
                  <w:tcW w:w="959" w:type="pct"/>
                  <w:tcBorders>
                    <w:tl2br w:val="nil"/>
                    <w:tr2bl w:val="nil"/>
                  </w:tcBorders>
                  <w:vAlign w:val="center"/>
                </w:tcPr>
                <w:p>
                  <w:pPr>
                    <w:adjustRightInd w:val="0"/>
                    <w:spacing w:line="240" w:lineRule="auto"/>
                    <w:ind w:firstLine="0" w:firstLineChars="0"/>
                    <w:jc w:val="center"/>
                    <w:rPr>
                      <w:rFonts w:cs="Times New Roman"/>
                      <w:color w:val="auto"/>
                      <w:szCs w:val="21"/>
                      <w:highlight w:val="none"/>
                    </w:rPr>
                  </w:pPr>
                  <w:r>
                    <w:rPr>
                      <w:rFonts w:cs="Times New Roman"/>
                      <w:color w:val="auto"/>
                      <w:szCs w:val="21"/>
                      <w:highlight w:val="none"/>
                    </w:rPr>
                    <w:t>项目</w:t>
                  </w:r>
                  <w:r>
                    <w:rPr>
                      <w:rFonts w:hint="eastAsia" w:cs="Times New Roman"/>
                      <w:color w:val="auto"/>
                      <w:szCs w:val="21"/>
                      <w:highlight w:val="none"/>
                    </w:rPr>
                    <w:t>西面</w:t>
                  </w:r>
                  <w:r>
                    <w:rPr>
                      <w:rFonts w:cs="Times New Roman"/>
                      <w:color w:val="auto"/>
                      <w:szCs w:val="21"/>
                      <w:highlight w:val="none"/>
                    </w:rPr>
                    <w:t>厂界</w:t>
                  </w:r>
                  <w:r>
                    <w:rPr>
                      <w:rFonts w:hint="eastAsia" w:cs="Times New Roman"/>
                      <w:color w:val="auto"/>
                      <w:szCs w:val="21"/>
                      <w:highlight w:val="none"/>
                    </w:rPr>
                    <w:t>外1m</w:t>
                  </w:r>
                </w:p>
              </w:tc>
              <w:tc>
                <w:tcPr>
                  <w:tcW w:w="760" w:type="pct"/>
                  <w:tcBorders>
                    <w:tl2br w:val="nil"/>
                    <w:tr2bl w:val="nil"/>
                  </w:tcBorders>
                  <w:vAlign w:val="center"/>
                </w:tcPr>
                <w:p>
                  <w:pPr>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50.35</w:t>
                  </w:r>
                </w:p>
              </w:tc>
              <w:tc>
                <w:tcPr>
                  <w:tcW w:w="760" w:type="pct"/>
                  <w:tcBorders>
                    <w:tl2br w:val="nil"/>
                    <w:tr2bl w:val="nil"/>
                  </w:tcBorders>
                  <w:vAlign w:val="center"/>
                </w:tcPr>
                <w:p>
                  <w:pPr>
                    <w:snapToGrid w:val="0"/>
                    <w:spacing w:before="0" w:after="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761" w:type="pct"/>
                  <w:tcBorders>
                    <w:tl2br w:val="nil"/>
                    <w:tr2bl w:val="nil"/>
                  </w:tcBorders>
                  <w:vAlign w:val="center"/>
                </w:tcPr>
                <w:p>
                  <w:pPr>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50.35</w:t>
                  </w:r>
                </w:p>
              </w:tc>
              <w:tc>
                <w:tcPr>
                  <w:tcW w:w="924" w:type="pct"/>
                  <w:tcBorders>
                    <w:tl2br w:val="nil"/>
                    <w:tr2bl w:val="nil"/>
                  </w:tcBorders>
                  <w:vAlign w:val="center"/>
                </w:tcPr>
                <w:p>
                  <w:pPr>
                    <w:spacing w:line="240" w:lineRule="auto"/>
                    <w:ind w:firstLine="0" w:firstLineChars="0"/>
                    <w:jc w:val="center"/>
                    <w:rPr>
                      <w:rFonts w:cs="Times New Roman"/>
                      <w:color w:val="auto"/>
                      <w:szCs w:val="21"/>
                      <w:highlight w:val="none"/>
                    </w:rPr>
                  </w:pPr>
                  <w:r>
                    <w:rPr>
                      <w:rFonts w:hint="eastAsia" w:cs="Times New Roman"/>
                      <w:color w:val="auto"/>
                      <w:szCs w:val="21"/>
                      <w:highlight w:val="none"/>
                      <w:lang w:val="en-US" w:eastAsia="zh-CN"/>
                    </w:rPr>
                    <w:t>60</w:t>
                  </w:r>
                </w:p>
              </w:tc>
              <w:tc>
                <w:tcPr>
                  <w:tcW w:w="431" w:type="pct"/>
                  <w:tcBorders>
                    <w:tl2br w:val="nil"/>
                    <w:tr2bl w:val="nil"/>
                  </w:tcBorders>
                  <w:vAlign w:val="center"/>
                </w:tcPr>
                <w:p>
                  <w:pPr>
                    <w:spacing w:line="240" w:lineRule="auto"/>
                    <w:ind w:firstLine="0" w:firstLineChars="0"/>
                    <w:jc w:val="center"/>
                    <w:rPr>
                      <w:rFonts w:cs="Times New Roman"/>
                      <w:color w:val="auto"/>
                      <w:szCs w:val="21"/>
                      <w:highlight w:val="none"/>
                    </w:rPr>
                  </w:pPr>
                  <w:r>
                    <w:rPr>
                      <w:rFonts w:hint="eastAsia" w:cs="Times New Roman"/>
                      <w:color w:val="auto"/>
                      <w:szCs w:val="21"/>
                      <w:highlight w:val="none"/>
                    </w:rPr>
                    <w:t>达标</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表4-3 施工期声环境保护目标噪声预测结果</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617"/>
              <w:gridCol w:w="1282"/>
              <w:gridCol w:w="1282"/>
              <w:gridCol w:w="1284"/>
              <w:gridCol w:w="1558"/>
              <w:gridCol w:w="7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01" w:type="pct"/>
                  <w:vMerge w:val="restar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Cs w:val="21"/>
                      <w:highlight w:val="none"/>
                    </w:rPr>
                  </w:pPr>
                  <w:r>
                    <w:rPr>
                      <w:rFonts w:hint="eastAsia" w:cs="Times New Roman"/>
                      <w:b/>
                      <w:bCs/>
                      <w:color w:val="auto"/>
                      <w:szCs w:val="21"/>
                      <w:highlight w:val="none"/>
                    </w:rPr>
                    <w:t>编号</w:t>
                  </w:r>
                </w:p>
              </w:tc>
              <w:tc>
                <w:tcPr>
                  <w:tcW w:w="959" w:type="pct"/>
                  <w:vMerge w:val="restar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Cs w:val="21"/>
                      <w:highlight w:val="none"/>
                    </w:rPr>
                  </w:pPr>
                  <w:r>
                    <w:rPr>
                      <w:rFonts w:hint="eastAsia" w:cs="Times New Roman"/>
                      <w:b/>
                      <w:bCs/>
                      <w:color w:val="auto"/>
                      <w:szCs w:val="21"/>
                      <w:highlight w:val="none"/>
                    </w:rPr>
                    <w:t>预测点位置</w:t>
                  </w:r>
                </w:p>
              </w:tc>
              <w:tc>
                <w:tcPr>
                  <w:tcW w:w="760" w:type="pc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Cs w:val="21"/>
                      <w:highlight w:val="none"/>
                    </w:rPr>
                  </w:pPr>
                  <w:r>
                    <w:rPr>
                      <w:rFonts w:hint="eastAsia" w:cs="Times New Roman"/>
                      <w:b/>
                      <w:bCs/>
                      <w:color w:val="auto"/>
                      <w:szCs w:val="21"/>
                      <w:highlight w:val="none"/>
                    </w:rPr>
                    <w:t>贡献值</w:t>
                  </w:r>
                </w:p>
                <w:p>
                  <w:pPr>
                    <w:spacing w:line="240" w:lineRule="auto"/>
                    <w:ind w:firstLine="0" w:firstLineChars="0"/>
                    <w:jc w:val="center"/>
                    <w:rPr>
                      <w:rFonts w:cs="Times New Roman"/>
                      <w:b/>
                      <w:bCs/>
                      <w:color w:val="auto"/>
                      <w:szCs w:val="21"/>
                      <w:highlight w:val="none"/>
                    </w:rPr>
                  </w:pPr>
                  <w:r>
                    <w:rPr>
                      <w:rFonts w:hint="eastAsia" w:cs="Times New Roman"/>
                      <w:b/>
                      <w:bCs/>
                      <w:color w:val="auto"/>
                      <w:szCs w:val="21"/>
                      <w:highlight w:val="none"/>
                    </w:rPr>
                    <w:t>[dB（A）]</w:t>
                  </w:r>
                </w:p>
              </w:tc>
              <w:tc>
                <w:tcPr>
                  <w:tcW w:w="760" w:type="pc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Cs w:val="21"/>
                      <w:highlight w:val="none"/>
                    </w:rPr>
                  </w:pPr>
                  <w:r>
                    <w:rPr>
                      <w:rFonts w:hint="eastAsia" w:cs="Times New Roman"/>
                      <w:b/>
                      <w:bCs/>
                      <w:color w:val="auto"/>
                      <w:szCs w:val="21"/>
                      <w:highlight w:val="none"/>
                    </w:rPr>
                    <w:t>背景值</w:t>
                  </w:r>
                </w:p>
                <w:p>
                  <w:pPr>
                    <w:spacing w:line="240" w:lineRule="auto"/>
                    <w:ind w:firstLine="0" w:firstLineChars="0"/>
                    <w:jc w:val="center"/>
                    <w:rPr>
                      <w:rFonts w:cs="Times New Roman"/>
                      <w:b/>
                      <w:bCs/>
                      <w:color w:val="auto"/>
                      <w:szCs w:val="21"/>
                      <w:highlight w:val="none"/>
                    </w:rPr>
                  </w:pPr>
                  <w:r>
                    <w:rPr>
                      <w:rFonts w:hint="eastAsia" w:cs="Times New Roman"/>
                      <w:b/>
                      <w:bCs/>
                      <w:color w:val="auto"/>
                      <w:szCs w:val="21"/>
                      <w:highlight w:val="none"/>
                    </w:rPr>
                    <w:t>[dB（A）]</w:t>
                  </w:r>
                </w:p>
              </w:tc>
              <w:tc>
                <w:tcPr>
                  <w:tcW w:w="761" w:type="pc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Cs w:val="21"/>
                      <w:highlight w:val="none"/>
                    </w:rPr>
                  </w:pPr>
                  <w:r>
                    <w:rPr>
                      <w:rFonts w:hint="eastAsia" w:cs="Times New Roman"/>
                      <w:b/>
                      <w:bCs/>
                      <w:color w:val="auto"/>
                      <w:szCs w:val="21"/>
                      <w:highlight w:val="none"/>
                    </w:rPr>
                    <w:t>预测值</w:t>
                  </w:r>
                </w:p>
                <w:p>
                  <w:pPr>
                    <w:spacing w:line="240" w:lineRule="auto"/>
                    <w:ind w:firstLine="0" w:firstLineChars="0"/>
                    <w:jc w:val="center"/>
                    <w:rPr>
                      <w:rFonts w:cs="Times New Roman"/>
                      <w:b/>
                      <w:bCs/>
                      <w:color w:val="auto"/>
                      <w:szCs w:val="21"/>
                      <w:highlight w:val="none"/>
                    </w:rPr>
                  </w:pPr>
                  <w:r>
                    <w:rPr>
                      <w:rFonts w:hint="eastAsia" w:cs="Times New Roman"/>
                      <w:b/>
                      <w:bCs/>
                      <w:color w:val="auto"/>
                      <w:szCs w:val="21"/>
                      <w:highlight w:val="none"/>
                    </w:rPr>
                    <w:t>[dB（A）]</w:t>
                  </w:r>
                </w:p>
              </w:tc>
              <w:tc>
                <w:tcPr>
                  <w:tcW w:w="924" w:type="pc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Cs w:val="21"/>
                      <w:highlight w:val="none"/>
                    </w:rPr>
                  </w:pPr>
                  <w:r>
                    <w:rPr>
                      <w:rFonts w:hint="eastAsia" w:cs="Times New Roman"/>
                      <w:b/>
                      <w:bCs/>
                      <w:color w:val="auto"/>
                      <w:szCs w:val="21"/>
                      <w:highlight w:val="none"/>
                    </w:rPr>
                    <w:t>标准值</w:t>
                  </w:r>
                </w:p>
                <w:p>
                  <w:pPr>
                    <w:spacing w:line="240" w:lineRule="auto"/>
                    <w:ind w:firstLine="0" w:firstLineChars="0"/>
                    <w:jc w:val="center"/>
                    <w:rPr>
                      <w:rFonts w:cs="Times New Roman"/>
                      <w:b/>
                      <w:bCs/>
                      <w:color w:val="auto"/>
                      <w:szCs w:val="21"/>
                      <w:highlight w:val="none"/>
                    </w:rPr>
                  </w:pPr>
                  <w:r>
                    <w:rPr>
                      <w:rFonts w:hint="eastAsia" w:eastAsia="仿宋" w:cs="Times New Roman"/>
                      <w:b/>
                      <w:bCs/>
                      <w:color w:val="auto"/>
                      <w:szCs w:val="21"/>
                      <w:highlight w:val="none"/>
                    </w:rPr>
                    <w:t>[</w:t>
                  </w:r>
                  <w:r>
                    <w:rPr>
                      <w:rFonts w:cs="Times New Roman"/>
                      <w:b/>
                      <w:bCs/>
                      <w:color w:val="auto"/>
                      <w:szCs w:val="21"/>
                      <w:highlight w:val="none"/>
                    </w:rPr>
                    <w:t>dB（A）</w:t>
                  </w:r>
                  <w:r>
                    <w:rPr>
                      <w:rFonts w:hint="eastAsia" w:eastAsia="仿宋" w:cs="Times New Roman"/>
                      <w:b/>
                      <w:bCs/>
                      <w:color w:val="auto"/>
                      <w:szCs w:val="21"/>
                      <w:highlight w:val="none"/>
                    </w:rPr>
                    <w:t>]</w:t>
                  </w:r>
                </w:p>
              </w:tc>
              <w:tc>
                <w:tcPr>
                  <w:tcW w:w="431" w:type="pct"/>
                  <w:vMerge w:val="restar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Cs w:val="21"/>
                      <w:highlight w:val="none"/>
                    </w:rPr>
                  </w:pPr>
                  <w:r>
                    <w:rPr>
                      <w:rFonts w:hint="eastAsia" w:cs="Times New Roman"/>
                      <w:b/>
                      <w:bCs/>
                      <w:color w:val="auto"/>
                      <w:szCs w:val="21"/>
                      <w:highlight w:val="none"/>
                    </w:rPr>
                    <w:t>预测</w:t>
                  </w:r>
                  <w:r>
                    <w:rPr>
                      <w:rFonts w:cs="Times New Roman"/>
                      <w:b/>
                      <w:bCs/>
                      <w:color w:val="auto"/>
                      <w:szCs w:val="21"/>
                      <w:highlight w:val="none"/>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vMerge w:val="continue"/>
                  <w:tcBorders>
                    <w:tl2br w:val="nil"/>
                    <w:tr2bl w:val="nil"/>
                  </w:tcBorders>
                  <w:vAlign w:val="center"/>
                </w:tcPr>
                <w:p>
                  <w:pPr>
                    <w:spacing w:line="240" w:lineRule="auto"/>
                    <w:ind w:firstLine="0" w:firstLineChars="0"/>
                    <w:jc w:val="center"/>
                    <w:rPr>
                      <w:rFonts w:cs="Times New Roman"/>
                      <w:color w:val="auto"/>
                      <w:szCs w:val="21"/>
                      <w:highlight w:val="none"/>
                    </w:rPr>
                  </w:pPr>
                </w:p>
              </w:tc>
              <w:tc>
                <w:tcPr>
                  <w:tcW w:w="959" w:type="pct"/>
                  <w:vMerge w:val="continue"/>
                  <w:tcBorders>
                    <w:tl2br w:val="nil"/>
                    <w:tr2bl w:val="nil"/>
                  </w:tcBorders>
                  <w:vAlign w:val="center"/>
                </w:tcPr>
                <w:p>
                  <w:pPr>
                    <w:spacing w:line="240" w:lineRule="auto"/>
                    <w:ind w:firstLine="0" w:firstLineChars="0"/>
                    <w:jc w:val="center"/>
                    <w:rPr>
                      <w:rFonts w:cs="Times New Roman"/>
                      <w:color w:val="auto"/>
                      <w:szCs w:val="21"/>
                      <w:highlight w:val="none"/>
                    </w:rPr>
                  </w:pPr>
                </w:p>
              </w:tc>
              <w:tc>
                <w:tcPr>
                  <w:tcW w:w="760" w:type="pct"/>
                  <w:tcBorders>
                    <w:tl2br w:val="nil"/>
                    <w:tr2bl w:val="nil"/>
                  </w:tcBorders>
                  <w:shd w:val="clear" w:color="000000" w:themeColor="text1" w:fill="auto"/>
                  <w:vAlign w:val="center"/>
                </w:tcPr>
                <w:p>
                  <w:pPr>
                    <w:pStyle w:val="73"/>
                    <w:snapToGrid w:val="0"/>
                    <w:spacing w:before="0" w:after="0" w:line="240" w:lineRule="auto"/>
                    <w:ind w:firstLine="0" w:firstLineChars="0"/>
                    <w:rPr>
                      <w:b/>
                      <w:bCs/>
                      <w:color w:val="auto"/>
                      <w:sz w:val="21"/>
                      <w:szCs w:val="21"/>
                      <w:highlight w:val="none"/>
                    </w:rPr>
                  </w:pPr>
                  <w:r>
                    <w:rPr>
                      <w:rFonts w:hint="eastAsia"/>
                      <w:b/>
                      <w:bCs/>
                      <w:color w:val="auto"/>
                      <w:sz w:val="21"/>
                      <w:szCs w:val="21"/>
                      <w:highlight w:val="none"/>
                    </w:rPr>
                    <w:t>昼间</w:t>
                  </w:r>
                </w:p>
              </w:tc>
              <w:tc>
                <w:tcPr>
                  <w:tcW w:w="760" w:type="pct"/>
                  <w:tcBorders>
                    <w:tl2br w:val="nil"/>
                    <w:tr2bl w:val="nil"/>
                  </w:tcBorders>
                  <w:shd w:val="clear" w:color="000000" w:themeColor="text1" w:fill="auto"/>
                  <w:vAlign w:val="center"/>
                </w:tcPr>
                <w:p>
                  <w:pPr>
                    <w:pStyle w:val="73"/>
                    <w:snapToGrid w:val="0"/>
                    <w:spacing w:before="0" w:after="0" w:line="240" w:lineRule="auto"/>
                    <w:ind w:firstLine="0" w:firstLineChars="0"/>
                    <w:rPr>
                      <w:b/>
                      <w:bCs/>
                      <w:color w:val="auto"/>
                      <w:sz w:val="21"/>
                      <w:szCs w:val="21"/>
                      <w:highlight w:val="none"/>
                    </w:rPr>
                  </w:pPr>
                  <w:r>
                    <w:rPr>
                      <w:rFonts w:hint="eastAsia"/>
                      <w:b/>
                      <w:bCs/>
                      <w:color w:val="auto"/>
                      <w:sz w:val="21"/>
                      <w:szCs w:val="21"/>
                      <w:highlight w:val="none"/>
                    </w:rPr>
                    <w:t>昼间</w:t>
                  </w:r>
                </w:p>
              </w:tc>
              <w:tc>
                <w:tcPr>
                  <w:tcW w:w="761" w:type="pct"/>
                  <w:tcBorders>
                    <w:tl2br w:val="nil"/>
                    <w:tr2bl w:val="nil"/>
                  </w:tcBorders>
                  <w:shd w:val="clear" w:color="000000" w:themeColor="text1" w:fill="auto"/>
                  <w:vAlign w:val="center"/>
                </w:tcPr>
                <w:p>
                  <w:pPr>
                    <w:pStyle w:val="73"/>
                    <w:snapToGrid w:val="0"/>
                    <w:spacing w:before="0" w:after="0" w:line="240" w:lineRule="auto"/>
                    <w:ind w:firstLine="0" w:firstLineChars="0"/>
                    <w:rPr>
                      <w:b/>
                      <w:bCs/>
                      <w:color w:val="auto"/>
                      <w:sz w:val="21"/>
                      <w:szCs w:val="21"/>
                      <w:highlight w:val="none"/>
                    </w:rPr>
                  </w:pPr>
                  <w:r>
                    <w:rPr>
                      <w:rFonts w:hint="eastAsia"/>
                      <w:b/>
                      <w:bCs/>
                      <w:color w:val="auto"/>
                      <w:sz w:val="21"/>
                      <w:szCs w:val="21"/>
                      <w:highlight w:val="none"/>
                    </w:rPr>
                    <w:t>昼间</w:t>
                  </w:r>
                </w:p>
              </w:tc>
              <w:tc>
                <w:tcPr>
                  <w:tcW w:w="924" w:type="pct"/>
                  <w:tcBorders>
                    <w:tl2br w:val="nil"/>
                    <w:tr2bl w:val="nil"/>
                  </w:tcBorders>
                  <w:shd w:val="clear" w:color="000000" w:themeColor="text1" w:fill="auto"/>
                  <w:vAlign w:val="center"/>
                </w:tcPr>
                <w:p>
                  <w:pPr>
                    <w:pStyle w:val="73"/>
                    <w:snapToGrid w:val="0"/>
                    <w:spacing w:before="0" w:after="0" w:line="240" w:lineRule="auto"/>
                    <w:ind w:firstLine="0" w:firstLineChars="0"/>
                    <w:rPr>
                      <w:b/>
                      <w:bCs/>
                      <w:color w:val="auto"/>
                      <w:sz w:val="21"/>
                      <w:szCs w:val="21"/>
                      <w:highlight w:val="none"/>
                    </w:rPr>
                  </w:pPr>
                  <w:r>
                    <w:rPr>
                      <w:rFonts w:hint="eastAsia"/>
                      <w:b/>
                      <w:bCs/>
                      <w:color w:val="auto"/>
                      <w:sz w:val="21"/>
                      <w:szCs w:val="21"/>
                      <w:highlight w:val="none"/>
                    </w:rPr>
                    <w:t>昼间</w:t>
                  </w:r>
                </w:p>
              </w:tc>
              <w:tc>
                <w:tcPr>
                  <w:tcW w:w="431" w:type="pct"/>
                  <w:vMerge w:val="continue"/>
                  <w:tcBorders>
                    <w:tl2br w:val="nil"/>
                    <w:tr2bl w:val="nil"/>
                  </w:tcBorders>
                  <w:vAlign w:val="center"/>
                </w:tcPr>
                <w:p>
                  <w:pPr>
                    <w:spacing w:line="240" w:lineRule="auto"/>
                    <w:ind w:firstLine="0" w:firstLineChars="0"/>
                    <w:jc w:val="center"/>
                    <w:rPr>
                      <w:rFonts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pPr>
                    <w:spacing w:line="240" w:lineRule="auto"/>
                    <w:ind w:firstLine="0" w:firstLineChars="0"/>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5#</w:t>
                  </w:r>
                </w:p>
              </w:tc>
              <w:tc>
                <w:tcPr>
                  <w:tcW w:w="959" w:type="pct"/>
                  <w:tcBorders>
                    <w:tl2br w:val="nil"/>
                    <w:tr2bl w:val="nil"/>
                  </w:tcBorders>
                  <w:vAlign w:val="center"/>
                </w:tcPr>
                <w:p>
                  <w:pPr>
                    <w:adjustRightInd w:val="0"/>
                    <w:spacing w:line="240" w:lineRule="auto"/>
                    <w:ind w:firstLine="0" w:firstLineChars="0"/>
                    <w:jc w:val="center"/>
                    <w:rPr>
                      <w:rFonts w:cs="Times New Roman"/>
                      <w:color w:val="auto"/>
                      <w:szCs w:val="21"/>
                      <w:highlight w:val="none"/>
                    </w:rPr>
                  </w:pPr>
                  <w:r>
                    <w:rPr>
                      <w:rFonts w:hint="eastAsia"/>
                      <w:color w:val="auto"/>
                      <w:szCs w:val="21"/>
                      <w:highlight w:val="none"/>
                    </w:rPr>
                    <w:t>项目南侧</w:t>
                  </w:r>
                  <w:r>
                    <w:rPr>
                      <w:rFonts w:hint="eastAsia"/>
                      <w:color w:val="0000FF"/>
                      <w:szCs w:val="21"/>
                      <w:highlight w:val="none"/>
                    </w:rPr>
                    <w:t>约</w:t>
                  </w:r>
                  <w:r>
                    <w:rPr>
                      <w:rFonts w:hint="eastAsia"/>
                      <w:color w:val="0000FF"/>
                      <w:szCs w:val="21"/>
                      <w:highlight w:val="none"/>
                      <w:lang w:val="en-US" w:eastAsia="zh-CN"/>
                    </w:rPr>
                    <w:t>30</w:t>
                  </w:r>
                  <w:r>
                    <w:rPr>
                      <w:rFonts w:hint="eastAsia"/>
                      <w:color w:val="0000FF"/>
                      <w:szCs w:val="21"/>
                      <w:highlight w:val="none"/>
                    </w:rPr>
                    <w:t>m</w:t>
                  </w:r>
                  <w:r>
                    <w:rPr>
                      <w:rFonts w:hint="eastAsia"/>
                      <w:color w:val="auto"/>
                      <w:szCs w:val="21"/>
                      <w:highlight w:val="none"/>
                    </w:rPr>
                    <w:t>居民处</w:t>
                  </w:r>
                </w:p>
              </w:tc>
              <w:tc>
                <w:tcPr>
                  <w:tcW w:w="760" w:type="pct"/>
                  <w:tcBorders>
                    <w:tl2br w:val="nil"/>
                    <w:tr2bl w:val="nil"/>
                  </w:tcBorders>
                  <w:vAlign w:val="center"/>
                </w:tcPr>
                <w:p>
                  <w:pPr>
                    <w:adjustRightInd w:val="0"/>
                    <w:spacing w:line="240" w:lineRule="auto"/>
                    <w:ind w:firstLine="0" w:firstLineChars="0"/>
                    <w:jc w:val="center"/>
                    <w:rPr>
                      <w:rFonts w:hint="default" w:cs="Times New Roman"/>
                      <w:color w:val="auto"/>
                      <w:szCs w:val="21"/>
                      <w:highlight w:val="none"/>
                      <w:lang w:val="en-US" w:eastAsia="zh-CN"/>
                    </w:rPr>
                  </w:pPr>
                  <w:r>
                    <w:rPr>
                      <w:rFonts w:hint="default" w:cs="Times New Roman"/>
                      <w:color w:val="auto"/>
                      <w:szCs w:val="21"/>
                      <w:highlight w:val="none"/>
                      <w:lang w:val="en-US" w:eastAsia="zh-CN"/>
                    </w:rPr>
                    <w:t>50.87</w:t>
                  </w:r>
                </w:p>
              </w:tc>
              <w:tc>
                <w:tcPr>
                  <w:tcW w:w="760" w:type="pct"/>
                  <w:tcBorders>
                    <w:tl2br w:val="nil"/>
                    <w:tr2bl w:val="nil"/>
                  </w:tcBorders>
                  <w:vAlign w:val="center"/>
                </w:tcPr>
                <w:p>
                  <w:pPr>
                    <w:pStyle w:val="73"/>
                    <w:snapToGrid w:val="0"/>
                    <w:spacing w:before="0" w:after="0"/>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color w:val="auto"/>
                      <w:szCs w:val="21"/>
                      <w:highlight w:val="none"/>
                      <w:lang w:val="en-US" w:eastAsia="zh-CN"/>
                    </w:rPr>
                    <w:t>52</w:t>
                  </w:r>
                </w:p>
              </w:tc>
              <w:tc>
                <w:tcPr>
                  <w:tcW w:w="761" w:type="pct"/>
                  <w:tcBorders>
                    <w:tl2br w:val="nil"/>
                    <w:tr2bl w:val="nil"/>
                  </w:tcBorders>
                  <w:vAlign w:val="center"/>
                </w:tcPr>
                <w:p>
                  <w:pPr>
                    <w:adjustRightInd w:val="0"/>
                    <w:spacing w:line="240" w:lineRule="auto"/>
                    <w:ind w:firstLine="0" w:firstLineChars="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54.48</w:t>
                  </w:r>
                </w:p>
              </w:tc>
              <w:tc>
                <w:tcPr>
                  <w:tcW w:w="924"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60</w:t>
                  </w:r>
                </w:p>
              </w:tc>
              <w:tc>
                <w:tcPr>
                  <w:tcW w:w="431"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rPr>
                    <w:t>达标</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预测结果可知，施工期昼间厂界四周预测点噪声排放值均满足《工业企业厂界环境噪声排放标准》（GB12348-2008）2类标准，可实现达标排放；敏感点噪声满足《环境空气质量标准》（GB3095-2012）二级标准限值。因此，本项目噪声不会对区域声环境造成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4、固体废物</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61" w:firstLineChars="15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w:t>
            </w:r>
            <w:r>
              <w:rPr>
                <w:rFonts w:hint="eastAsia"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rPr>
              <w:t>）建筑废物</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施工期建筑废物主要包括建筑垃圾和装修垃圾，预计产生量约</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t，环评要求：施工现场应设置建筑垃圾临时堆场并</w:t>
            </w:r>
            <w:r>
              <w:rPr>
                <w:rFonts w:hint="eastAsia" w:cs="Times New Roman"/>
                <w:color w:val="auto"/>
                <w:sz w:val="24"/>
                <w:szCs w:val="24"/>
                <w:highlight w:val="none"/>
                <w:lang w:eastAsia="zh-CN"/>
              </w:rPr>
              <w:t>竖立</w:t>
            </w:r>
            <w:r>
              <w:rPr>
                <w:rFonts w:hint="default" w:ascii="Times New Roman" w:hAnsi="Times New Roman" w:eastAsia="宋体" w:cs="Times New Roman"/>
                <w:color w:val="auto"/>
                <w:sz w:val="24"/>
                <w:szCs w:val="24"/>
                <w:highlight w:val="none"/>
              </w:rPr>
              <w:t>标示牌，采取进行防雨、防泄漏处理。对于施工期间产生的可回收利用的废料（如钢筋、钢板、木材等</w:t>
            </w:r>
            <w:r>
              <w:rPr>
                <w:rFonts w:hint="eastAsia" w:cs="Times New Roman"/>
                <w:color w:val="auto"/>
                <w:sz w:val="24"/>
                <w:szCs w:val="24"/>
                <w:highlight w:val="none"/>
                <w:lang w:eastAsia="zh-CN"/>
              </w:rPr>
              <w:t>下脚料</w:t>
            </w:r>
            <w:r>
              <w:rPr>
                <w:rFonts w:hint="default" w:ascii="Times New Roman" w:hAnsi="Times New Roman" w:eastAsia="宋体" w:cs="Times New Roman"/>
                <w:color w:val="auto"/>
                <w:sz w:val="24"/>
                <w:szCs w:val="24"/>
                <w:highlight w:val="none"/>
              </w:rPr>
              <w:t>）通过分类收集后交废物收购站处理；对不能回收的建筑废物不能随意倾倒，而应用编织袋包装后清运到建筑垃圾处置场。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61" w:firstLineChars="15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w:t>
            </w:r>
            <w:r>
              <w:rPr>
                <w:rFonts w:hint="eastAsia"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）生活垃圾</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项目施工人员约</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0人，生活垃圾产生量按0.</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kg/人·d计，预计产生量为</w:t>
            </w:r>
            <w:r>
              <w:rPr>
                <w:rFonts w:hint="eastAsia"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kg/d，生活垃圾经袋装收集后，由环卫部门统一运送到垃圾处理场集中处理。</w:t>
            </w:r>
          </w:p>
          <w:p>
            <w:pPr>
              <w:spacing w:line="360" w:lineRule="auto"/>
              <w:ind w:firstLine="482" w:firstLineChars="200"/>
              <w:rPr>
                <w:rFonts w:hint="default" w:ascii="Times New Roman" w:hAnsi="Times New Roman" w:cs="Times New Roman"/>
                <w:b/>
                <w:color w:val="auto"/>
                <w:sz w:val="24"/>
              </w:rPr>
            </w:pPr>
            <w:r>
              <w:rPr>
                <w:rFonts w:hint="eastAsia" w:ascii="Times New Roman" w:hAnsi="Times New Roman" w:cs="Times New Roman"/>
                <w:b/>
                <w:color w:val="auto"/>
                <w:sz w:val="24"/>
                <w:lang w:val="en-US" w:eastAsia="zh-CN"/>
              </w:rPr>
              <w:t>5、</w:t>
            </w:r>
            <w:r>
              <w:rPr>
                <w:rFonts w:hint="default" w:ascii="Times New Roman" w:hAnsi="Times New Roman" w:cs="Times New Roman"/>
                <w:b/>
                <w:color w:val="auto"/>
                <w:sz w:val="24"/>
              </w:rPr>
              <w:t>生态环境</w:t>
            </w: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0"/>
                <w:sz w:val="24"/>
                <w:szCs w:val="24"/>
              </w:rPr>
              <w:t>根据现场勘察和调查，项目所在位置地势平坦，</w:t>
            </w:r>
            <w:r>
              <w:rPr>
                <w:rFonts w:hint="eastAsia" w:ascii="Times New Roman" w:hAnsi="Times New Roman" w:eastAsia="宋体" w:cs="Times New Roman"/>
                <w:color w:val="auto"/>
                <w:kern w:val="0"/>
                <w:sz w:val="24"/>
                <w:szCs w:val="24"/>
                <w:lang w:val="en-US" w:eastAsia="zh-CN"/>
              </w:rPr>
              <w:t>原为驾校，</w:t>
            </w:r>
            <w:r>
              <w:rPr>
                <w:rFonts w:hint="default" w:ascii="Times New Roman" w:hAnsi="Times New Roman" w:eastAsia="宋体" w:cs="Times New Roman"/>
                <w:color w:val="auto"/>
                <w:kern w:val="0"/>
                <w:sz w:val="24"/>
                <w:szCs w:val="24"/>
              </w:rPr>
              <w:t>项目建设对场地</w:t>
            </w:r>
            <w:r>
              <w:rPr>
                <w:rFonts w:hint="eastAsia" w:ascii="Times New Roman" w:hAnsi="Times New Roman" w:eastAsia="宋体" w:cs="Times New Roman"/>
                <w:color w:val="auto"/>
                <w:kern w:val="0"/>
                <w:sz w:val="24"/>
                <w:szCs w:val="24"/>
                <w:lang w:val="en-US" w:eastAsia="zh-CN"/>
              </w:rPr>
              <w:t>影响</w:t>
            </w:r>
            <w:r>
              <w:rPr>
                <w:rFonts w:hint="default" w:ascii="Times New Roman" w:hAnsi="Times New Roman" w:eastAsia="宋体" w:cs="Times New Roman"/>
                <w:color w:val="auto"/>
                <w:kern w:val="0"/>
                <w:sz w:val="24"/>
                <w:szCs w:val="24"/>
              </w:rPr>
              <w:t>较小，对场地原有植被剥离较小，造成的水土流失很小。因此，项目建设对生态环境影响较小。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pPr>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运营</w:t>
            </w:r>
          </w:p>
          <w:p>
            <w:pPr>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期环</w:t>
            </w:r>
          </w:p>
          <w:p>
            <w:pPr>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境影</w:t>
            </w:r>
          </w:p>
          <w:p>
            <w:pPr>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响和</w:t>
            </w:r>
          </w:p>
          <w:p>
            <w:pPr>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保护</w:t>
            </w:r>
          </w:p>
          <w:p>
            <w:pPr>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措施</w:t>
            </w:r>
          </w:p>
        </w:tc>
        <w:tc>
          <w:tcPr>
            <w:tcW w:w="864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1、废气</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val="0"/>
                <w:color w:val="auto"/>
                <w:sz w:val="24"/>
                <w:szCs w:val="24"/>
                <w:highlight w:val="none"/>
              </w:rPr>
            </w:pPr>
            <w:r>
              <w:rPr>
                <w:rFonts w:hint="default" w:ascii="Times New Roman" w:hAnsi="Times New Roman" w:cs="Times New Roman"/>
                <w:b/>
                <w:bCs w:val="0"/>
                <w:color w:val="auto"/>
                <w:sz w:val="24"/>
                <w:szCs w:val="24"/>
                <w:highlight w:val="none"/>
              </w:rPr>
              <w:t>（1）产排污环节、污染物种类、产生量核算</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①</w:t>
            </w:r>
            <w:r>
              <w:rPr>
                <w:rFonts w:hint="eastAsia" w:cs="Times New Roman"/>
                <w:b/>
                <w:bCs w:val="0"/>
                <w:color w:val="auto"/>
                <w:sz w:val="24"/>
                <w:szCs w:val="24"/>
                <w:highlight w:val="none"/>
                <w:lang w:val="en-US" w:eastAsia="zh-CN"/>
              </w:rPr>
              <w:t>石料</w:t>
            </w:r>
            <w:r>
              <w:rPr>
                <w:rFonts w:hint="default" w:ascii="Times New Roman" w:hAnsi="Times New Roman" w:eastAsia="宋体" w:cs="Times New Roman"/>
                <w:b/>
                <w:bCs w:val="0"/>
                <w:color w:val="auto"/>
                <w:sz w:val="24"/>
                <w:szCs w:val="24"/>
                <w:highlight w:val="none"/>
                <w:lang w:val="en-US" w:eastAsia="zh-CN"/>
              </w:rPr>
              <w:t>加工粉尘</w:t>
            </w:r>
            <w:r>
              <w:rPr>
                <w:rFonts w:hint="eastAsia" w:cs="Times New Roman"/>
                <w:b/>
                <w:bCs w:val="0"/>
                <w:color w:val="auto"/>
                <w:sz w:val="24"/>
                <w:szCs w:val="24"/>
                <w:highlight w:val="none"/>
                <w:lang w:val="en-US" w:eastAsia="zh-CN"/>
              </w:rPr>
              <w:t>（切割、切边、雕刻工序）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color w:val="auto"/>
                <w:sz w:val="24"/>
                <w:szCs w:val="24"/>
                <w:highlight w:val="none"/>
                <w:lang w:eastAsia="zh-CN"/>
              </w:rPr>
            </w:pPr>
            <w:r>
              <w:rPr>
                <w:rFonts w:hint="eastAsia" w:cs="Times New Roman"/>
                <w:b w:val="0"/>
                <w:bCs/>
                <w:color w:val="auto"/>
                <w:sz w:val="24"/>
                <w:szCs w:val="24"/>
                <w:highlight w:val="none"/>
                <w:lang w:val="en-US" w:eastAsia="zh-CN"/>
              </w:rPr>
              <w:t>本项目主要产品为石碑、</w:t>
            </w:r>
            <w:r>
              <w:rPr>
                <w:rFonts w:hint="eastAsia" w:ascii="Times New Roman" w:hAnsi="Times New Roman" w:cs="Times New Roman"/>
                <w:color w:val="auto"/>
                <w:sz w:val="24"/>
                <w:szCs w:val="24"/>
                <w:lang w:val="en-US" w:eastAsia="zh-CN"/>
              </w:rPr>
              <w:t>地砖</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栏杆</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路沿石</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铺路石</w:t>
            </w:r>
            <w:r>
              <w:rPr>
                <w:rFonts w:hint="eastAsia" w:cs="Times New Roman"/>
                <w:color w:val="auto"/>
                <w:sz w:val="24"/>
                <w:szCs w:val="24"/>
                <w:lang w:val="en-US" w:eastAsia="zh-CN"/>
              </w:rPr>
              <w:t>等，外购石料在厂区进行加工，对外购的石料进行切割、切边、雕刻等工序时会产生粉尘。</w:t>
            </w:r>
            <w:r>
              <w:rPr>
                <w:rFonts w:cs="Times New Roman"/>
                <w:bCs/>
                <w:color w:val="auto"/>
                <w:sz w:val="24"/>
                <w:szCs w:val="24"/>
                <w:highlight w:val="none"/>
              </w:rPr>
              <w:t>根据《排放源统计调查产排污核算方法和系数手册》</w:t>
            </w:r>
            <w:r>
              <w:rPr>
                <w:rFonts w:hint="eastAsia" w:cs="Times New Roman"/>
                <w:bCs/>
                <w:color w:val="auto"/>
                <w:sz w:val="24"/>
                <w:szCs w:val="24"/>
                <w:highlight w:val="none"/>
              </w:rPr>
              <w:t>3032建筑用石加工行业</w:t>
            </w:r>
            <w:r>
              <w:rPr>
                <w:rFonts w:hint="eastAsia" w:cs="Times New Roman"/>
                <w:bCs/>
                <w:color w:val="auto"/>
                <w:sz w:val="24"/>
                <w:szCs w:val="24"/>
                <w:highlight w:val="none"/>
                <w:lang w:val="en-US" w:eastAsia="zh-CN"/>
              </w:rPr>
              <w:t>中</w:t>
            </w:r>
            <w:r>
              <w:rPr>
                <w:rFonts w:hint="eastAsia" w:cs="Times New Roman"/>
                <w:bCs/>
                <w:color w:val="auto"/>
                <w:sz w:val="24"/>
                <w:szCs w:val="24"/>
                <w:highlight w:val="none"/>
              </w:rPr>
              <w:t>异形石材产品（含墓碑石）</w:t>
            </w:r>
            <w:r>
              <w:rPr>
                <w:rFonts w:hint="default" w:ascii="Times New Roman" w:hAnsi="Times New Roman" w:cs="Times New Roman"/>
                <w:b w:val="0"/>
                <w:bCs/>
                <w:color w:val="auto"/>
                <w:sz w:val="24"/>
                <w:szCs w:val="24"/>
                <w:highlight w:val="none"/>
              </w:rPr>
              <w:t>锯解、磨抛、裁切</w:t>
            </w:r>
            <w:r>
              <w:rPr>
                <w:rFonts w:hint="eastAsia" w:cs="Times New Roman"/>
                <w:bCs/>
                <w:color w:val="auto"/>
                <w:sz w:val="24"/>
                <w:szCs w:val="24"/>
                <w:highlight w:val="none"/>
                <w:lang w:val="en-US" w:eastAsia="zh-CN"/>
              </w:rPr>
              <w:t>颗粒物</w:t>
            </w:r>
            <w:r>
              <w:rPr>
                <w:rFonts w:hint="default" w:ascii="Times New Roman" w:hAnsi="Times New Roman" w:cs="Times New Roman"/>
                <w:bCs/>
                <w:color w:val="auto"/>
                <w:sz w:val="24"/>
                <w:szCs w:val="24"/>
                <w:highlight w:val="none"/>
              </w:rPr>
              <w:t>产污系数为</w:t>
            </w:r>
            <w:r>
              <w:rPr>
                <w:rFonts w:hint="eastAsia" w:ascii="Times New Roman" w:hAnsi="Times New Roman" w:cs="Times New Roman"/>
                <w:bCs/>
                <w:color w:val="auto"/>
                <w:sz w:val="24"/>
                <w:szCs w:val="24"/>
                <w:highlight w:val="none"/>
                <w:lang w:val="en-US" w:eastAsia="zh-CN"/>
              </w:rPr>
              <w:t>2.08</w:t>
            </w:r>
            <w:r>
              <w:rPr>
                <w:rFonts w:hint="default" w:ascii="Times New Roman" w:hAnsi="Times New Roman" w:cs="Times New Roman"/>
                <w:bCs/>
                <w:color w:val="auto"/>
                <w:sz w:val="24"/>
                <w:szCs w:val="24"/>
                <w:highlight w:val="none"/>
              </w:rPr>
              <w:t>kg/</w:t>
            </w:r>
            <w:r>
              <w:rPr>
                <w:rFonts w:hint="eastAsia" w:ascii="Times New Roman" w:hAnsi="Times New Roman" w:cs="Times New Roman"/>
                <w:bCs/>
                <w:color w:val="auto"/>
                <w:sz w:val="24"/>
                <w:szCs w:val="24"/>
                <w:highlight w:val="none"/>
                <w:lang w:val="en-US" w:eastAsia="zh-CN"/>
              </w:rPr>
              <w:t>立方米产品，由于产品的规格会因顾客的需求不同，难以计算项目成品体积，故计算时，以项目原料用量计算，本项目年用石材量为</w:t>
            </w:r>
            <w:r>
              <w:rPr>
                <w:rFonts w:hint="eastAsia"/>
                <w:color w:val="auto"/>
                <w:sz w:val="24"/>
                <w:szCs w:val="24"/>
                <w:highlight w:val="none"/>
                <w:lang w:val="en-US" w:eastAsia="zh-CN"/>
              </w:rPr>
              <w:t>3000m</w:t>
            </w:r>
            <w:r>
              <w:rPr>
                <w:rFonts w:hint="eastAsia"/>
                <w:color w:val="auto"/>
                <w:sz w:val="24"/>
                <w:szCs w:val="24"/>
                <w:highlight w:val="none"/>
                <w:vertAlign w:val="superscript"/>
                <w:lang w:val="en-US" w:eastAsia="zh-CN"/>
              </w:rPr>
              <w:t>3</w:t>
            </w:r>
            <w:r>
              <w:rPr>
                <w:rFonts w:hint="eastAsia" w:ascii="Times New Roman" w:hAnsi="Times New Roman" w:cs="Times New Roman"/>
                <w:bCs/>
                <w:color w:val="auto"/>
                <w:sz w:val="24"/>
                <w:szCs w:val="24"/>
                <w:highlight w:val="none"/>
                <w:lang w:val="en-US" w:eastAsia="zh-CN"/>
              </w:rPr>
              <w:t>，则石料加工</w:t>
            </w:r>
            <w:r>
              <w:rPr>
                <w:rFonts w:hint="eastAsia" w:cs="Times New Roman"/>
                <w:b w:val="0"/>
                <w:bCs/>
                <w:color w:val="auto"/>
                <w:sz w:val="24"/>
                <w:szCs w:val="24"/>
                <w:highlight w:val="none"/>
                <w:lang w:val="en-US" w:eastAsia="zh-CN"/>
              </w:rPr>
              <w:t>粉尘产生量为6.240</w:t>
            </w:r>
            <w:r>
              <w:rPr>
                <w:rFonts w:hint="eastAsia" w:ascii="Times New Roman" w:hAnsi="Times New Roman" w:cs="Times New Roman"/>
                <w:bCs/>
                <w:color w:val="auto"/>
                <w:sz w:val="24"/>
                <w:szCs w:val="24"/>
                <w:highlight w:val="none"/>
                <w:lang w:val="en-US" w:eastAsia="zh-CN"/>
              </w:rPr>
              <w:t>t/a，</w:t>
            </w:r>
            <w:r>
              <w:rPr>
                <w:rFonts w:hint="eastAsia" w:cs="Times New Roman"/>
                <w:b w:val="0"/>
                <w:bCs/>
                <w:color w:val="auto"/>
                <w:sz w:val="24"/>
                <w:szCs w:val="24"/>
                <w:highlight w:val="none"/>
                <w:lang w:val="en-US" w:eastAsia="zh-CN"/>
              </w:rPr>
              <w:t>产生速率为2.600</w:t>
            </w:r>
            <w:r>
              <w:rPr>
                <w:rFonts w:hint="default" w:ascii="Times New Roman" w:hAnsi="Times New Roman" w:cs="Times New Roman"/>
                <w:b w:val="0"/>
                <w:bCs/>
                <w:color w:val="auto"/>
                <w:sz w:val="24"/>
                <w:szCs w:val="24"/>
                <w:highlight w:val="none"/>
              </w:rPr>
              <w:t>kg/h（工作时间300d，8h）</w:t>
            </w:r>
            <w:r>
              <w:rPr>
                <w:rFonts w:hint="eastAsia" w:ascii="Times New Roman" w:hAnsi="Times New Roman" w:cs="Times New Roman"/>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②运输扬尘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自卸式载重汽车在</w:t>
            </w:r>
            <w:r>
              <w:rPr>
                <w:rFonts w:hint="eastAsia" w:cs="Times New Roman"/>
                <w:color w:val="auto"/>
                <w:sz w:val="24"/>
                <w:szCs w:val="24"/>
                <w:highlight w:val="none"/>
                <w:lang w:val="en-US" w:eastAsia="zh-CN"/>
              </w:rPr>
              <w:t>运输原料和成品</w:t>
            </w:r>
            <w:r>
              <w:rPr>
                <w:rFonts w:hint="default" w:ascii="Times New Roman" w:hAnsi="Times New Roman" w:eastAsia="宋体" w:cs="Times New Roman"/>
                <w:color w:val="auto"/>
                <w:sz w:val="24"/>
                <w:szCs w:val="24"/>
                <w:highlight w:val="none"/>
              </w:rPr>
              <w:t>过程中会产生扬尘，其产尘强度与路面种类、季节干湿以及汽车运行速度等因素有关，汽车运输扬尘产生量采用上海港环境保护中心和武汉水运工程学院经验公式进行估算：</w:t>
            </w:r>
          </w:p>
          <w:p>
            <w:pPr>
              <w:spacing w:line="360" w:lineRule="auto"/>
              <w:ind w:firstLine="480"/>
              <w:jc w:val="center"/>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position w:val="-24"/>
                <w:sz w:val="24"/>
                <w:szCs w:val="24"/>
                <w:highlight w:val="none"/>
                <w:lang w:val="en-US" w:eastAsia="zh-CN"/>
              </w:rPr>
              <w:object>
                <v:shape id="_x0000_i1028" o:spt="75" type="#_x0000_t75" style="height:31pt;width:150.95pt;" o:ole="t" filled="f" o:preferrelative="t" stroked="f" coordsize="21600,21600">
                  <v:path/>
                  <v:fill on="f" focussize="0,0"/>
                  <v:stroke on="f"/>
                  <v:imagedata r:id="rId17" o:title=""/>
                  <o:lock v:ext="edit" aspectratio="t"/>
                  <w10:wrap type="none"/>
                  <w10:anchorlock/>
                </v:shape>
                <o:OLEObject Type="Embed" ProgID="Equation.KSEE3" ShapeID="_x0000_i1028" DrawAspect="Content" ObjectID="_1468075728" r:id="rId16">
                  <o:LockedField>false</o:LockedField>
                </o:OLEObject>
              </w:object>
            </w:r>
          </w:p>
          <w:p>
            <w:pPr>
              <w:spacing w:line="360" w:lineRule="auto"/>
              <w:ind w:firstLine="480"/>
              <w:jc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position w:val="-24"/>
                <w:sz w:val="24"/>
                <w:szCs w:val="24"/>
                <w:highlight w:val="none"/>
                <w:lang w:val="en-US" w:eastAsia="zh-CN"/>
              </w:rPr>
              <w:object>
                <v:shape id="_x0000_i1029" o:spt="75" type="#_x0000_t75" style="height:31pt;width:78.95pt;" o:ole="t" filled="f" o:preferrelative="t" stroked="f" coordsize="21600,21600">
                  <v:path/>
                  <v:fill on="f" focussize="0,0"/>
                  <v:stroke on="f"/>
                  <v:imagedata r:id="rId19" o:title=""/>
                  <o:lock v:ext="edit" aspectratio="t"/>
                  <w10:wrap type="none"/>
                  <w10:anchorlock/>
                </v:shape>
                <o:OLEObject Type="Embed" ProgID="Equation.KSEE3" ShapeID="_x0000_i1029" DrawAspect="Content" ObjectID="_1468075729" r:id="rId18">
                  <o:LockedField>false</o:LockedField>
                </o:OLEObject>
              </w:object>
            </w:r>
          </w:p>
          <w:p>
            <w:pPr>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式中，Qp——运输扬尘量，kg/km·辆；</w:t>
            </w:r>
          </w:p>
          <w:p>
            <w:pPr>
              <w:spacing w:line="360" w:lineRule="auto"/>
              <w:ind w:firstLine="1262" w:firstLineChars="526"/>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Q'p——厂区总扬尘量，kg/a</w:t>
            </w:r>
            <w:r>
              <w:rPr>
                <w:rFonts w:hint="eastAsia" w:cs="Times New Roman"/>
                <w:color w:val="auto"/>
                <w:sz w:val="24"/>
                <w:szCs w:val="24"/>
                <w:highlight w:val="none"/>
                <w:lang w:eastAsia="zh-CN"/>
              </w:rPr>
              <w:t>；</w:t>
            </w:r>
          </w:p>
          <w:p>
            <w:pPr>
              <w:spacing w:line="360" w:lineRule="auto"/>
              <w:ind w:firstLine="1262" w:firstLineChars="526"/>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v——汽车行驶速度，km/h，空车20km/h，载重后10km/h；</w:t>
            </w:r>
          </w:p>
          <w:p>
            <w:pPr>
              <w:spacing w:line="360" w:lineRule="auto"/>
              <w:ind w:firstLine="1262" w:firstLineChars="526"/>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M——汽车载重量，t，空车自重10t，载重后总重30t；</w:t>
            </w:r>
          </w:p>
          <w:p>
            <w:pPr>
              <w:spacing w:line="360" w:lineRule="auto"/>
              <w:ind w:firstLine="1262" w:firstLineChars="526"/>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P——道路表面粉尘量，kg/m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，本次环评取0.1kg/m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p>
            <w:pPr>
              <w:spacing w:line="360" w:lineRule="auto"/>
              <w:ind w:firstLine="1262" w:firstLineChars="526"/>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L——运输距离，km，本项目取</w:t>
            </w:r>
            <w:r>
              <w:rPr>
                <w:rFonts w:hint="eastAsia" w:cs="Times New Roman"/>
                <w:color w:val="auto"/>
                <w:sz w:val="24"/>
                <w:szCs w:val="24"/>
                <w:highlight w:val="none"/>
                <w:lang w:val="en-US" w:eastAsia="zh-CN"/>
              </w:rPr>
              <w:t>0.2k</w:t>
            </w:r>
            <w:r>
              <w:rPr>
                <w:rFonts w:hint="default" w:ascii="Times New Roman" w:hAnsi="Times New Roman" w:cs="Times New Roman"/>
                <w:color w:val="auto"/>
                <w:sz w:val="24"/>
                <w:szCs w:val="24"/>
                <w:highlight w:val="none"/>
              </w:rPr>
              <w:t>m；</w:t>
            </w:r>
          </w:p>
          <w:p>
            <w:pPr>
              <w:spacing w:line="360" w:lineRule="auto"/>
              <w:ind w:firstLine="1262" w:firstLineChars="526"/>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Q——运输量，t/a。</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项目每年产品运输量</w:t>
            </w:r>
            <w:r>
              <w:rPr>
                <w:rFonts w:hint="eastAsia" w:ascii="Times New Roman" w:hAnsi="Times New Roman" w:cs="Times New Roman"/>
                <w:color w:val="auto"/>
                <w:sz w:val="24"/>
                <w:szCs w:val="24"/>
                <w:highlight w:val="none"/>
                <w:lang w:val="en-US" w:eastAsia="zh-CN"/>
              </w:rPr>
              <w:t>按原料总量</w:t>
            </w:r>
            <w:r>
              <w:rPr>
                <w:rFonts w:hint="eastAsia" w:cs="Times New Roman"/>
                <w:color w:val="auto"/>
                <w:sz w:val="24"/>
                <w:szCs w:val="24"/>
                <w:highlight w:val="none"/>
                <w:lang w:val="en-US" w:eastAsia="zh-CN"/>
              </w:rPr>
              <w:t>7500</w:t>
            </w:r>
            <w:r>
              <w:rPr>
                <w:rFonts w:hint="default" w:ascii="Times New Roman" w:hAnsi="Times New Roman" w:eastAsia="宋体" w:cs="Times New Roman"/>
                <w:color w:val="auto"/>
                <w:sz w:val="24"/>
                <w:szCs w:val="24"/>
                <w:highlight w:val="none"/>
              </w:rPr>
              <w:t>吨</w:t>
            </w:r>
            <w:r>
              <w:rPr>
                <w:rFonts w:hint="eastAsia" w:ascii="Times New Roman" w:hAnsi="Times New Roman" w:cs="Times New Roman"/>
                <w:color w:val="auto"/>
                <w:sz w:val="24"/>
                <w:szCs w:val="24"/>
                <w:highlight w:val="none"/>
                <w:lang w:val="en-US" w:eastAsia="zh-CN"/>
              </w:rPr>
              <w:t>计算</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原料运输量</w:t>
            </w:r>
            <w:r>
              <w:rPr>
                <w:rFonts w:hint="eastAsia" w:cs="Times New Roman"/>
                <w:color w:val="auto"/>
                <w:sz w:val="24"/>
                <w:szCs w:val="24"/>
                <w:highlight w:val="none"/>
                <w:lang w:val="en-US" w:eastAsia="zh-CN"/>
              </w:rPr>
              <w:t>约</w:t>
            </w:r>
            <w:r>
              <w:rPr>
                <w:rFonts w:hint="default" w:ascii="Times New Roman" w:hAnsi="Times New Roman" w:eastAsia="宋体" w:cs="Times New Roman"/>
                <w:color w:val="auto"/>
                <w:sz w:val="24"/>
                <w:szCs w:val="24"/>
                <w:highlight w:val="none"/>
              </w:rPr>
              <w:t>为</w:t>
            </w:r>
            <w:r>
              <w:rPr>
                <w:rFonts w:hint="eastAsia" w:cs="Times New Roman"/>
                <w:color w:val="auto"/>
                <w:sz w:val="24"/>
                <w:szCs w:val="24"/>
                <w:highlight w:val="none"/>
                <w:lang w:val="en-US" w:eastAsia="zh-CN"/>
              </w:rPr>
              <w:t>7500</w:t>
            </w:r>
            <w:r>
              <w:rPr>
                <w:rFonts w:hint="default" w:ascii="Times New Roman" w:hAnsi="Times New Roman" w:eastAsia="宋体" w:cs="Times New Roman"/>
                <w:color w:val="auto"/>
                <w:sz w:val="24"/>
                <w:szCs w:val="24"/>
                <w:highlight w:val="none"/>
              </w:rPr>
              <w:t>吨，</w:t>
            </w:r>
            <w:r>
              <w:rPr>
                <w:rFonts w:hint="eastAsia" w:cs="Times New Roman"/>
                <w:color w:val="auto"/>
                <w:sz w:val="24"/>
                <w:szCs w:val="24"/>
                <w:highlight w:val="none"/>
                <w:lang w:val="en-US" w:eastAsia="zh-CN"/>
              </w:rPr>
              <w:t>共1.5万吨</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运输道路长约</w:t>
            </w:r>
            <w:r>
              <w:rPr>
                <w:rFonts w:hint="eastAsia"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m，考虑汽车往返，经计算，本项目运输扬尘的产生量为</w:t>
            </w:r>
            <w:r>
              <w:rPr>
                <w:rFonts w:hint="eastAsia" w:cs="Times New Roman"/>
                <w:color w:val="auto"/>
                <w:sz w:val="24"/>
                <w:szCs w:val="24"/>
                <w:highlight w:val="none"/>
                <w:lang w:val="en-US" w:eastAsia="zh-CN"/>
              </w:rPr>
              <w:t>0.092</w:t>
            </w:r>
            <w:r>
              <w:rPr>
                <w:rFonts w:hint="default" w:ascii="Times New Roman" w:hAnsi="Times New Roman" w:eastAsia="宋体" w:cs="Times New Roman"/>
                <w:color w:val="auto"/>
                <w:sz w:val="24"/>
                <w:szCs w:val="24"/>
                <w:highlight w:val="none"/>
              </w:rPr>
              <w:t>t/a</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0.038</w:t>
            </w:r>
            <w:r>
              <w:rPr>
                <w:rFonts w:hint="default" w:ascii="Times New Roman" w:hAnsi="Times New Roman" w:eastAsia="宋体" w:cs="Times New Roman"/>
                <w:color w:val="auto"/>
                <w:sz w:val="24"/>
                <w:szCs w:val="24"/>
                <w:highlight w:val="none"/>
              </w:rPr>
              <w:t>kg/h</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工作时间300d，8h</w:t>
            </w:r>
            <w:r>
              <w:rPr>
                <w:rFonts w:hint="default" w:ascii="Times New Roman" w:hAnsi="Times New Roman"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③食堂油烟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bCs/>
                <w:color w:val="auto"/>
                <w:sz w:val="24"/>
                <w:szCs w:val="24"/>
                <w:highlight w:val="none"/>
                <w:lang w:val="en-US" w:eastAsia="zh-CN"/>
              </w:rPr>
              <w:t>项目提供员工食堂供工作人员就餐，项目食堂就餐人数为</w:t>
            </w:r>
            <w:r>
              <w:rPr>
                <w:rFonts w:hint="eastAsia" w:cs="Times New Roman"/>
                <w:bCs/>
                <w:color w:val="auto"/>
                <w:sz w:val="24"/>
                <w:szCs w:val="24"/>
                <w:highlight w:val="none"/>
                <w:lang w:val="en-US" w:eastAsia="zh-CN"/>
              </w:rPr>
              <w:t>6</w:t>
            </w:r>
            <w:r>
              <w:rPr>
                <w:rFonts w:hint="default" w:ascii="Times New Roman" w:hAnsi="Times New Roman" w:cs="Times New Roman"/>
                <w:bCs/>
                <w:color w:val="auto"/>
                <w:sz w:val="24"/>
                <w:szCs w:val="24"/>
                <w:highlight w:val="none"/>
              </w:rPr>
              <w:t>人，食物在烹饪、加工过程中将挥发出油脂、有机质及热分解或裂解产物，从而产生油烟废气。油烟废气成分复杂，包括有醛、酮、烃、脂肪酸、醇、芳香化合物、脂、内脂和杂环化合物等300多种化学物质，对人体危害较大。人均食用油日用量约30g/人·d，一般油烟挥发量占总耗油量的</w:t>
            </w:r>
            <w:r>
              <w:rPr>
                <w:rFonts w:hint="eastAsia" w:cs="Times New Roman"/>
                <w:bCs/>
                <w:color w:val="auto"/>
                <w:sz w:val="24"/>
                <w:szCs w:val="24"/>
                <w:highlight w:val="none"/>
                <w:lang w:eastAsia="zh-CN"/>
              </w:rPr>
              <w:t>2%~4%</w:t>
            </w:r>
            <w:r>
              <w:rPr>
                <w:rFonts w:hint="default" w:ascii="Times New Roman" w:hAnsi="Times New Roman" w:cs="Times New Roman"/>
                <w:bCs/>
                <w:color w:val="auto"/>
                <w:sz w:val="24"/>
                <w:szCs w:val="24"/>
                <w:highlight w:val="none"/>
              </w:rPr>
              <w:t>，平均为2.83%，则本项目食堂油烟产生量为</w:t>
            </w:r>
            <w:r>
              <w:rPr>
                <w:rFonts w:hint="eastAsia" w:cs="Times New Roman"/>
                <w:bCs/>
                <w:color w:val="auto"/>
                <w:sz w:val="24"/>
                <w:szCs w:val="24"/>
                <w:highlight w:val="none"/>
                <w:lang w:val="en-US" w:eastAsia="zh-CN"/>
              </w:rPr>
              <w:t>0.005</w:t>
            </w:r>
            <w:r>
              <w:rPr>
                <w:rFonts w:hint="default" w:ascii="Times New Roman" w:hAnsi="Times New Roman" w:cs="Times New Roman"/>
                <w:bCs/>
                <w:color w:val="auto"/>
                <w:sz w:val="24"/>
                <w:szCs w:val="24"/>
                <w:highlight w:val="none"/>
                <w:lang w:val="en-US" w:eastAsia="zh-CN"/>
              </w:rPr>
              <w:t>kg/d，</w:t>
            </w:r>
            <w:r>
              <w:rPr>
                <w:rFonts w:hint="eastAsia" w:cs="Times New Roman"/>
                <w:bCs/>
                <w:color w:val="auto"/>
                <w:sz w:val="24"/>
                <w:szCs w:val="24"/>
                <w:highlight w:val="none"/>
                <w:lang w:val="en-US" w:eastAsia="zh-CN"/>
              </w:rPr>
              <w:t>0.002</w:t>
            </w:r>
            <w:r>
              <w:rPr>
                <w:rFonts w:hint="default" w:ascii="Times New Roman" w:hAnsi="Times New Roman" w:cs="Times New Roman"/>
                <w:bCs/>
                <w:color w:val="auto"/>
                <w:sz w:val="24"/>
                <w:szCs w:val="24"/>
                <w:highlight w:val="none"/>
              </w:rPr>
              <w:t>t/a。</w:t>
            </w:r>
            <w:r>
              <w:rPr>
                <w:rFonts w:hint="eastAsia" w:cs="Times New Roman"/>
                <w:bCs/>
                <w:color w:val="auto"/>
                <w:sz w:val="24"/>
                <w:szCs w:val="24"/>
                <w:highlight w:val="none"/>
                <w:lang w:eastAsia="zh-CN"/>
              </w:rPr>
              <w:t>（</w:t>
            </w:r>
            <w:r>
              <w:rPr>
                <w:rFonts w:hint="eastAsia" w:cs="Times New Roman"/>
                <w:bCs/>
                <w:color w:val="auto"/>
                <w:sz w:val="24"/>
                <w:szCs w:val="24"/>
                <w:highlight w:val="none"/>
                <w:lang w:val="en-US" w:eastAsia="zh-CN"/>
              </w:rPr>
              <w:t>以300d计</w:t>
            </w:r>
            <w:r>
              <w:rPr>
                <w:rFonts w:hint="eastAsia" w:cs="Times New Roman"/>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val="0"/>
                <w:color w:val="auto"/>
                <w:sz w:val="24"/>
                <w:szCs w:val="24"/>
                <w:highlight w:val="none"/>
              </w:rPr>
            </w:pPr>
            <w:r>
              <w:rPr>
                <w:rFonts w:hint="default" w:ascii="Times New Roman" w:hAnsi="Times New Roman" w:cs="Times New Roman"/>
                <w:b/>
                <w:bCs w:val="0"/>
                <w:color w:val="auto"/>
                <w:sz w:val="24"/>
                <w:szCs w:val="24"/>
                <w:highlight w:val="none"/>
              </w:rPr>
              <w:t>（</w:t>
            </w:r>
            <w:r>
              <w:rPr>
                <w:rFonts w:hint="default" w:ascii="Times New Roman" w:hAnsi="Times New Roman" w:eastAsia="宋体" w:cs="Times New Roman"/>
                <w:b/>
                <w:bCs w:val="0"/>
                <w:color w:val="auto"/>
                <w:sz w:val="24"/>
                <w:szCs w:val="24"/>
                <w:highlight w:val="none"/>
              </w:rPr>
              <w:t>2）治理设施、排放形式、排放口基本信息</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①</w:t>
            </w:r>
            <w:r>
              <w:rPr>
                <w:rFonts w:hint="eastAsia" w:cs="Times New Roman"/>
                <w:b/>
                <w:bCs w:val="0"/>
                <w:color w:val="auto"/>
                <w:sz w:val="24"/>
                <w:szCs w:val="24"/>
                <w:highlight w:val="none"/>
                <w:lang w:val="en-US" w:eastAsia="zh-CN"/>
              </w:rPr>
              <w:t>石料</w:t>
            </w:r>
            <w:r>
              <w:rPr>
                <w:rFonts w:hint="default" w:ascii="Times New Roman" w:hAnsi="Times New Roman" w:eastAsia="宋体" w:cs="Times New Roman"/>
                <w:b/>
                <w:bCs w:val="0"/>
                <w:color w:val="auto"/>
                <w:sz w:val="24"/>
                <w:szCs w:val="24"/>
                <w:highlight w:val="none"/>
              </w:rPr>
              <w:t>加工粉尘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bCs/>
                <w:color w:val="auto"/>
                <w:sz w:val="24"/>
                <w:szCs w:val="24"/>
                <w:highlight w:val="none"/>
                <w:lang w:eastAsia="zh-CN"/>
              </w:rPr>
            </w:pPr>
            <w:r>
              <w:rPr>
                <w:rFonts w:hint="eastAsia" w:cs="Times New Roman"/>
                <w:bCs/>
                <w:color w:val="auto"/>
                <w:sz w:val="24"/>
                <w:szCs w:val="24"/>
                <w:highlight w:val="none"/>
                <w:lang w:val="en-US" w:eastAsia="zh-CN"/>
              </w:rPr>
              <w:t>本项目</w:t>
            </w:r>
            <w:r>
              <w:rPr>
                <w:rFonts w:hint="eastAsia" w:cs="Times New Roman"/>
                <w:bCs/>
                <w:color w:val="0000FF"/>
                <w:sz w:val="24"/>
                <w:szCs w:val="24"/>
                <w:highlight w:val="none"/>
                <w:lang w:val="en-US" w:eastAsia="zh-CN"/>
              </w:rPr>
              <w:t>石料加工在加工区内进行，加工区为三面围挡+顶部加盖，石料加工（切割、切边、雕刻等）采用湿法作业（加工时喷水，</w:t>
            </w:r>
            <w:r>
              <w:rPr>
                <w:rFonts w:hint="eastAsia" w:cs="Times New Roman"/>
                <w:bCs/>
                <w:color w:val="auto"/>
                <w:sz w:val="24"/>
                <w:szCs w:val="24"/>
                <w:highlight w:val="none"/>
                <w:lang w:val="en-US" w:eastAsia="zh-CN"/>
              </w:rPr>
              <w:t>产生的粉尘最终被水带入三级沉淀池变为固体废物（砂及石粉），根据</w:t>
            </w:r>
            <w:r>
              <w:rPr>
                <w:rFonts w:cs="Times New Roman"/>
                <w:bCs/>
                <w:color w:val="auto"/>
                <w:sz w:val="24"/>
                <w:szCs w:val="24"/>
                <w:highlight w:val="none"/>
              </w:rPr>
              <w:t>《排放源统计调查产排污核算方法和系数手册》</w:t>
            </w:r>
            <w:r>
              <w:rPr>
                <w:rFonts w:hint="eastAsia" w:cs="Times New Roman"/>
                <w:bCs/>
                <w:color w:val="auto"/>
                <w:sz w:val="24"/>
                <w:szCs w:val="24"/>
                <w:highlight w:val="none"/>
              </w:rPr>
              <w:t>3032建筑用石加工行业</w:t>
            </w:r>
            <w:r>
              <w:rPr>
                <w:rFonts w:hint="eastAsia" w:cs="Times New Roman"/>
                <w:bCs/>
                <w:color w:val="auto"/>
                <w:sz w:val="24"/>
                <w:szCs w:val="24"/>
                <w:highlight w:val="none"/>
                <w:lang w:val="en-US" w:eastAsia="zh-CN"/>
              </w:rPr>
              <w:t>中</w:t>
            </w:r>
            <w:r>
              <w:rPr>
                <w:rFonts w:hint="eastAsia" w:cs="Times New Roman"/>
                <w:bCs/>
                <w:color w:val="auto"/>
                <w:sz w:val="24"/>
                <w:szCs w:val="24"/>
                <w:highlight w:val="none"/>
              </w:rPr>
              <w:t>异形石材产品（含墓碑石）</w:t>
            </w:r>
            <w:r>
              <w:rPr>
                <w:rFonts w:hint="eastAsia" w:cs="Times New Roman"/>
                <w:bCs/>
                <w:color w:val="auto"/>
                <w:sz w:val="24"/>
                <w:szCs w:val="24"/>
                <w:highlight w:val="none"/>
                <w:lang w:val="en-US" w:eastAsia="zh-CN"/>
              </w:rPr>
              <w:t>-湿法作业去除颗粒物效率为90%。故采取湿法作业措施后，石料加工粉尘</w:t>
            </w:r>
            <w:r>
              <w:rPr>
                <w:rFonts w:hint="eastAsia" w:cs="Times New Roman"/>
                <w:bCs/>
                <w:color w:val="auto"/>
                <w:sz w:val="24"/>
                <w:szCs w:val="24"/>
                <w:highlight w:val="none"/>
                <w:lang w:eastAsia="zh-CN"/>
              </w:rPr>
              <w:t>无组织排放量为</w:t>
            </w:r>
            <w:r>
              <w:rPr>
                <w:rFonts w:hint="eastAsia" w:cs="Times New Roman"/>
                <w:bCs/>
                <w:color w:val="auto"/>
                <w:sz w:val="24"/>
                <w:szCs w:val="24"/>
                <w:highlight w:val="none"/>
                <w:lang w:val="en-US" w:eastAsia="zh-CN"/>
              </w:rPr>
              <w:t>0.624</w:t>
            </w:r>
            <w:r>
              <w:rPr>
                <w:rFonts w:hint="eastAsia" w:cs="Times New Roman"/>
                <w:bCs/>
                <w:color w:val="auto"/>
                <w:sz w:val="24"/>
                <w:szCs w:val="24"/>
                <w:highlight w:val="none"/>
                <w:lang w:eastAsia="zh-CN"/>
              </w:rPr>
              <w:t>t/a，</w:t>
            </w:r>
            <w:r>
              <w:rPr>
                <w:rFonts w:hint="eastAsia" w:cs="Times New Roman"/>
                <w:bCs/>
                <w:color w:val="auto"/>
                <w:sz w:val="24"/>
                <w:szCs w:val="24"/>
                <w:highlight w:val="none"/>
                <w:lang w:val="en-US" w:eastAsia="zh-CN"/>
              </w:rPr>
              <w:t>0.260</w:t>
            </w:r>
            <w:r>
              <w:rPr>
                <w:rFonts w:hint="eastAsia" w:cs="Times New Roman"/>
                <w:bCs/>
                <w:color w:val="auto"/>
                <w:sz w:val="24"/>
                <w:szCs w:val="24"/>
                <w:highlight w:val="none"/>
                <w:lang w:eastAsia="zh-CN"/>
              </w:rPr>
              <w:t>kg/h。</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②</w:t>
            </w:r>
            <w:r>
              <w:rPr>
                <w:rFonts w:hint="eastAsia" w:cs="Times New Roman"/>
                <w:b/>
                <w:bCs w:val="0"/>
                <w:color w:val="auto"/>
                <w:sz w:val="24"/>
                <w:szCs w:val="24"/>
                <w:highlight w:val="none"/>
                <w:lang w:val="en-US" w:eastAsia="zh-CN"/>
              </w:rPr>
              <w:t>运输扬尘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厂区地面采用水泥硬化，运输车辆使用防尘布覆盖，禁止超载、超速行驶；厂区道路定期洒水降尘，治理效率可达到</w:t>
            </w:r>
            <w:r>
              <w:rPr>
                <w:rFonts w:hint="eastAsia" w:cs="Times New Roman"/>
                <w:color w:val="auto"/>
                <w:sz w:val="24"/>
                <w:szCs w:val="24"/>
                <w:highlight w:val="none"/>
                <w:lang w:val="en-US" w:eastAsia="zh-CN"/>
              </w:rPr>
              <w:t>80</w:t>
            </w:r>
            <w:r>
              <w:rPr>
                <w:rFonts w:hint="default" w:ascii="Times New Roman" w:hAnsi="Times New Roman" w:eastAsia="宋体" w:cs="Times New Roman"/>
                <w:color w:val="auto"/>
                <w:sz w:val="24"/>
                <w:szCs w:val="24"/>
                <w:highlight w:val="none"/>
              </w:rPr>
              <w:t>%。运输扬尘采取上述治理措施后，运输扬尘无组织排放量为</w:t>
            </w:r>
            <w:r>
              <w:rPr>
                <w:rFonts w:hint="eastAsia" w:cs="Times New Roman"/>
                <w:color w:val="auto"/>
                <w:sz w:val="24"/>
                <w:szCs w:val="24"/>
                <w:highlight w:val="none"/>
                <w:lang w:val="en-US" w:eastAsia="zh-CN"/>
              </w:rPr>
              <w:t>0.018</w:t>
            </w:r>
            <w:r>
              <w:rPr>
                <w:rFonts w:hint="default" w:ascii="Times New Roman" w:hAnsi="Times New Roman" w:eastAsia="宋体" w:cs="Times New Roman"/>
                <w:color w:val="auto"/>
                <w:sz w:val="24"/>
                <w:szCs w:val="24"/>
                <w:highlight w:val="none"/>
              </w:rPr>
              <w:t>t/a，排放速率为</w:t>
            </w:r>
            <w:r>
              <w:rPr>
                <w:rFonts w:hint="eastAsia" w:cs="Times New Roman"/>
                <w:color w:val="auto"/>
                <w:sz w:val="24"/>
                <w:szCs w:val="24"/>
                <w:highlight w:val="none"/>
                <w:lang w:val="en-US" w:eastAsia="zh-CN"/>
              </w:rPr>
              <w:t>0.008</w:t>
            </w:r>
            <w:r>
              <w:rPr>
                <w:rFonts w:hint="default" w:ascii="Times New Roman" w:hAnsi="Times New Roman" w:eastAsia="宋体" w:cs="Times New Roman"/>
                <w:color w:val="auto"/>
                <w:sz w:val="24"/>
                <w:szCs w:val="24"/>
                <w:highlight w:val="none"/>
              </w:rPr>
              <w:t>kg/h。</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color w:val="auto"/>
                <w:sz w:val="24"/>
                <w:szCs w:val="24"/>
                <w:highlight w:val="none"/>
                <w:lang w:val="en-US"/>
              </w:rPr>
            </w:pPr>
            <w:r>
              <w:rPr>
                <w:rFonts w:hint="eastAsia" w:cs="Times New Roman"/>
                <w:b/>
                <w:bCs/>
                <w:color w:val="auto"/>
                <w:sz w:val="24"/>
                <w:szCs w:val="24"/>
                <w:highlight w:val="none"/>
                <w:lang w:val="en-US" w:eastAsia="zh-CN"/>
              </w:rPr>
              <w:t>③</w:t>
            </w:r>
            <w:r>
              <w:rPr>
                <w:rFonts w:hint="default" w:ascii="Times New Roman" w:hAnsi="Times New Roman" w:cs="Times New Roman"/>
                <w:b/>
                <w:bCs/>
                <w:color w:val="auto"/>
                <w:sz w:val="24"/>
                <w:szCs w:val="24"/>
                <w:highlight w:val="none"/>
                <w:lang w:val="en-US" w:eastAsia="zh-CN"/>
              </w:rPr>
              <w:t>食堂油烟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b w:val="0"/>
                <w:bCs/>
                <w:color w:val="auto"/>
                <w:sz w:val="24"/>
                <w:szCs w:val="24"/>
                <w:highlight w:val="none"/>
                <w:lang w:val="en-US" w:eastAsia="zh-CN"/>
              </w:rPr>
              <w:t>环评要求</w:t>
            </w:r>
            <w:r>
              <w:rPr>
                <w:rFonts w:hint="default" w:ascii="Times New Roman" w:hAnsi="Times New Roman" w:cs="Times New Roman"/>
                <w:b w:val="0"/>
                <w:bCs/>
                <w:color w:val="auto"/>
                <w:sz w:val="24"/>
                <w:szCs w:val="24"/>
                <w:highlight w:val="none"/>
              </w:rPr>
              <w:t>食堂安装1台</w:t>
            </w:r>
            <w:r>
              <w:rPr>
                <w:rFonts w:hint="default" w:ascii="Times New Roman" w:hAnsi="Times New Roman" w:cs="Times New Roman"/>
                <w:color w:val="auto"/>
                <w:sz w:val="24"/>
                <w:szCs w:val="24"/>
                <w:highlight w:val="none"/>
                <w:lang w:bidi="ar"/>
              </w:rPr>
              <w:t>自带油烟净化功能的</w:t>
            </w:r>
            <w:r>
              <w:rPr>
                <w:rFonts w:hint="eastAsia" w:cs="Times New Roman"/>
                <w:b w:val="0"/>
                <w:bCs/>
                <w:color w:val="auto"/>
                <w:sz w:val="24"/>
                <w:szCs w:val="24"/>
                <w:highlight w:val="none"/>
                <w:lang w:val="en-US" w:eastAsia="zh-CN"/>
              </w:rPr>
              <w:t>抽油烟机</w:t>
            </w:r>
            <w:r>
              <w:rPr>
                <w:rFonts w:hint="default" w:ascii="Times New Roman" w:hAnsi="Times New Roman" w:cs="Times New Roman"/>
                <w:b w:val="0"/>
                <w:bCs/>
                <w:color w:val="auto"/>
                <w:sz w:val="24"/>
                <w:szCs w:val="24"/>
                <w:highlight w:val="none"/>
              </w:rPr>
              <w:t>（风量为</w:t>
            </w:r>
            <w:r>
              <w:rPr>
                <w:rFonts w:hint="eastAsia" w:cs="Times New Roman"/>
                <w:b w:val="0"/>
                <w:bCs/>
                <w:color w:val="auto"/>
                <w:sz w:val="24"/>
                <w:szCs w:val="24"/>
                <w:highlight w:val="none"/>
                <w:lang w:val="en-US" w:eastAsia="zh-CN"/>
              </w:rPr>
              <w:t>15</w:t>
            </w:r>
            <w:r>
              <w:rPr>
                <w:rFonts w:hint="default" w:ascii="Times New Roman" w:hAnsi="Times New Roman" w:cs="Times New Roman"/>
                <w:b w:val="0"/>
                <w:bCs/>
                <w:color w:val="auto"/>
                <w:sz w:val="24"/>
                <w:szCs w:val="24"/>
                <w:highlight w:val="none"/>
              </w:rPr>
              <w:t>00m</w:t>
            </w:r>
            <w:r>
              <w:rPr>
                <w:rFonts w:hint="default" w:ascii="Times New Roman" w:hAnsi="Times New Roman" w:cs="Times New Roman"/>
                <w:b w:val="0"/>
                <w:bCs/>
                <w:color w:val="auto"/>
                <w:sz w:val="24"/>
                <w:szCs w:val="24"/>
                <w:highlight w:val="none"/>
                <w:vertAlign w:val="superscript"/>
              </w:rPr>
              <w:t>3</w:t>
            </w:r>
            <w:r>
              <w:rPr>
                <w:rFonts w:hint="default" w:ascii="Times New Roman" w:hAnsi="Times New Roman" w:cs="Times New Roman"/>
                <w:b w:val="0"/>
                <w:bCs/>
                <w:color w:val="auto"/>
                <w:sz w:val="24"/>
                <w:szCs w:val="24"/>
                <w:highlight w:val="none"/>
              </w:rPr>
              <w:t>/h），食堂油烟经处理后通过油烟管道</w:t>
            </w:r>
            <w:r>
              <w:rPr>
                <w:rFonts w:hint="eastAsia" w:cs="Times New Roman"/>
                <w:b w:val="0"/>
                <w:bCs/>
                <w:color w:val="auto"/>
                <w:sz w:val="24"/>
                <w:szCs w:val="24"/>
                <w:highlight w:val="none"/>
                <w:lang w:val="en-US" w:eastAsia="zh-CN"/>
              </w:rPr>
              <w:t>外排</w:t>
            </w:r>
            <w:r>
              <w:rPr>
                <w:rFonts w:hint="default" w:ascii="Times New Roman" w:hAnsi="Times New Roman" w:cs="Times New Roman"/>
                <w:b w:val="0"/>
                <w:bCs/>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食堂油烟经上述治理措施后，食堂油烟排放量为</w:t>
            </w:r>
            <w:r>
              <w:rPr>
                <w:rFonts w:hint="eastAsia" w:cs="Times New Roman"/>
                <w:color w:val="auto"/>
                <w:sz w:val="24"/>
                <w:szCs w:val="24"/>
                <w:highlight w:val="none"/>
                <w:lang w:val="en-US" w:eastAsia="zh-CN"/>
              </w:rPr>
              <w:t>0.001</w:t>
            </w:r>
            <w:r>
              <w:rPr>
                <w:rFonts w:hint="default" w:ascii="Times New Roman" w:hAnsi="Times New Roman" w:cs="Times New Roman"/>
                <w:color w:val="auto"/>
                <w:sz w:val="24"/>
                <w:szCs w:val="24"/>
                <w:highlight w:val="none"/>
                <w:lang w:val="en-US" w:eastAsia="zh-CN"/>
              </w:rPr>
              <w:t>t/a，排放速率为</w:t>
            </w:r>
            <w:r>
              <w:rPr>
                <w:rFonts w:hint="eastAsia" w:cs="Times New Roman"/>
                <w:color w:val="auto"/>
                <w:sz w:val="24"/>
                <w:szCs w:val="24"/>
                <w:highlight w:val="none"/>
                <w:lang w:val="en-US" w:eastAsia="zh-CN"/>
              </w:rPr>
              <w:t>0.001</w:t>
            </w:r>
            <w:r>
              <w:rPr>
                <w:rFonts w:hint="default" w:ascii="Times New Roman" w:hAnsi="Times New Roman" w:cs="Times New Roman"/>
                <w:color w:val="auto"/>
                <w:sz w:val="24"/>
                <w:szCs w:val="24"/>
                <w:highlight w:val="none"/>
                <w:lang w:val="en-US" w:eastAsia="zh-CN"/>
              </w:rPr>
              <w:t>kg/h（</w:t>
            </w:r>
            <w:r>
              <w:rPr>
                <w:rFonts w:hint="eastAsia" w:cs="Times New Roman"/>
                <w:color w:val="auto"/>
                <w:sz w:val="24"/>
                <w:szCs w:val="24"/>
                <w:highlight w:val="none"/>
                <w:lang w:val="en-US" w:eastAsia="zh-CN"/>
              </w:rPr>
              <w:t>300</w:t>
            </w:r>
            <w:r>
              <w:rPr>
                <w:rFonts w:hint="default" w:ascii="Times New Roman" w:hAnsi="Times New Roman" w:cs="Times New Roman"/>
                <w:color w:val="auto"/>
                <w:sz w:val="24"/>
                <w:szCs w:val="24"/>
                <w:highlight w:val="none"/>
                <w:lang w:val="en-US" w:eastAsia="zh-CN"/>
              </w:rPr>
              <w:t>d，</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h），排放浓度为</w:t>
            </w:r>
            <w:r>
              <w:rPr>
                <w:rFonts w:hint="eastAsia" w:cs="Times New Roman"/>
                <w:color w:val="auto"/>
                <w:sz w:val="24"/>
                <w:szCs w:val="24"/>
                <w:highlight w:val="none"/>
                <w:lang w:val="en-US" w:eastAsia="zh-CN"/>
              </w:rPr>
              <w:t>0.34</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。因此，</w:t>
            </w:r>
            <w:r>
              <w:rPr>
                <w:rFonts w:hint="default" w:ascii="Times New Roman" w:hAnsi="Times New Roman" w:cs="Times New Roman"/>
                <w:bCs/>
                <w:color w:val="auto"/>
                <w:sz w:val="24"/>
                <w:szCs w:val="24"/>
                <w:highlight w:val="none"/>
              </w:rPr>
              <w:t>本项目</w:t>
            </w:r>
            <w:r>
              <w:rPr>
                <w:rFonts w:hint="default" w:ascii="Times New Roman" w:hAnsi="Times New Roman" w:cs="Times New Roman"/>
                <w:color w:val="auto"/>
                <w:sz w:val="24"/>
                <w:szCs w:val="24"/>
                <w:highlight w:val="none"/>
              </w:rPr>
              <w:t>食堂油烟经处理后排放浓度能满足《饮食业油烟排放标准（试行）》（GB18483-2001）中相关标准（2.0mg/m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），可以实现达标排放。</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综上所述，项目治理设施、排放形式表4-</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w:t>
            </w:r>
          </w:p>
          <w:p>
            <w:pPr>
              <w:spacing w:line="360" w:lineRule="auto"/>
              <w:jc w:val="center"/>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表4-</w:t>
            </w:r>
            <w:r>
              <w:rPr>
                <w:rFonts w:hint="eastAsia" w:cs="Times New Roman"/>
                <w:b/>
                <w:bCs w:val="0"/>
                <w:color w:val="auto"/>
                <w:sz w:val="24"/>
                <w:szCs w:val="24"/>
                <w:highlight w:val="none"/>
                <w:lang w:val="en-US" w:eastAsia="zh-CN"/>
              </w:rPr>
              <w:t>4</w:t>
            </w:r>
            <w:r>
              <w:rPr>
                <w:rFonts w:hint="default" w:ascii="Times New Roman" w:hAnsi="Times New Roman" w:eastAsia="宋体" w:cs="Times New Roman"/>
                <w:b/>
                <w:bCs w:val="0"/>
                <w:color w:val="auto"/>
                <w:sz w:val="24"/>
                <w:szCs w:val="24"/>
                <w:highlight w:val="none"/>
              </w:rPr>
              <w:t xml:space="preserve"> </w:t>
            </w:r>
            <w:r>
              <w:rPr>
                <w:rFonts w:hint="eastAsia" w:cs="Times New Roman"/>
                <w:b/>
                <w:bCs w:val="0"/>
                <w:color w:val="auto"/>
                <w:sz w:val="24"/>
                <w:szCs w:val="24"/>
                <w:highlight w:val="none"/>
                <w:lang w:val="en-US" w:eastAsia="zh-CN"/>
              </w:rPr>
              <w:t>项目</w:t>
            </w:r>
            <w:r>
              <w:rPr>
                <w:rFonts w:hint="default" w:ascii="Times New Roman" w:hAnsi="Times New Roman" w:eastAsia="宋体" w:cs="Times New Roman"/>
                <w:b/>
                <w:bCs w:val="0"/>
                <w:color w:val="auto"/>
                <w:sz w:val="24"/>
                <w:szCs w:val="24"/>
                <w:highlight w:val="none"/>
              </w:rPr>
              <w:t>废气治理设施、排放形式一览表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13"/>
              <w:gridCol w:w="919"/>
              <w:gridCol w:w="993"/>
              <w:gridCol w:w="2696"/>
              <w:gridCol w:w="994"/>
              <w:gridCol w:w="851"/>
              <w:gridCol w:w="11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废气类型</w:t>
                  </w:r>
                </w:p>
              </w:tc>
              <w:tc>
                <w:tcPr>
                  <w:tcW w:w="54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污染物种类</w:t>
                  </w:r>
                </w:p>
              </w:tc>
              <w:tc>
                <w:tcPr>
                  <w:tcW w:w="58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排放形式</w:t>
                  </w:r>
                </w:p>
              </w:tc>
              <w:tc>
                <w:tcPr>
                  <w:tcW w:w="3383"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污染物治理设施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p>
              </w:tc>
              <w:tc>
                <w:tcPr>
                  <w:tcW w:w="5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p>
              </w:tc>
              <w:tc>
                <w:tcPr>
                  <w:tcW w:w="5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p>
              </w:tc>
              <w:tc>
                <w:tcPr>
                  <w:tcW w:w="15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治理设施名称及工艺</w:t>
                  </w:r>
                </w:p>
              </w:tc>
              <w:tc>
                <w:tcPr>
                  <w:tcW w:w="5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收集效率(%)</w:t>
                  </w:r>
                </w:p>
              </w:tc>
              <w:tc>
                <w:tcPr>
                  <w:tcW w:w="5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去除率(%)</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是否为可行性技术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石料</w:t>
                  </w:r>
                  <w:r>
                    <w:rPr>
                      <w:rFonts w:hint="default" w:ascii="Times New Roman" w:hAnsi="Times New Roman" w:eastAsia="宋体" w:cs="Times New Roman"/>
                      <w:color w:val="auto"/>
                      <w:sz w:val="21"/>
                      <w:szCs w:val="21"/>
                      <w:highlight w:val="none"/>
                      <w:lang w:val="en-US" w:eastAsia="zh-CN"/>
                    </w:rPr>
                    <w:t>加工粉尘</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5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5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kern w:val="2"/>
                      <w:sz w:val="21"/>
                      <w:szCs w:val="21"/>
                      <w:highlight w:val="none"/>
                      <w:lang w:val="en-US" w:eastAsia="zh-CN" w:bidi="ar-SA"/>
                    </w:rPr>
                    <w:t>湿法作业</w:t>
                  </w:r>
                  <w:r>
                    <w:rPr>
                      <w:rFonts w:hint="default" w:ascii="Times New Roman" w:hAnsi="Times New Roman" w:eastAsia="宋体" w:cs="Times New Roman"/>
                      <w:color w:val="auto"/>
                      <w:kern w:val="2"/>
                      <w:sz w:val="21"/>
                      <w:szCs w:val="21"/>
                      <w:highlight w:val="none"/>
                      <w:lang w:val="en-US" w:eastAsia="zh-CN" w:bidi="ar-SA"/>
                    </w:rPr>
                    <w:t>+厂房阻隔</w:t>
                  </w:r>
                </w:p>
              </w:tc>
              <w:tc>
                <w:tcPr>
                  <w:tcW w:w="5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运输扬尘</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颗粒物</w:t>
                  </w:r>
                </w:p>
              </w:tc>
              <w:tc>
                <w:tcPr>
                  <w:tcW w:w="5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无组织</w:t>
                  </w:r>
                </w:p>
              </w:tc>
              <w:tc>
                <w:tcPr>
                  <w:tcW w:w="15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道路硬化、</w:t>
                  </w:r>
                  <w:r>
                    <w:rPr>
                      <w:rFonts w:hint="default" w:ascii="Times New Roman" w:hAnsi="Times New Roman" w:eastAsia="宋体" w:cs="Times New Roman"/>
                      <w:color w:val="auto"/>
                      <w:sz w:val="21"/>
                      <w:szCs w:val="21"/>
                      <w:highlight w:val="none"/>
                    </w:rPr>
                    <w:t>禁止超速、超载，洒水降尘等</w:t>
                  </w:r>
                </w:p>
              </w:tc>
              <w:tc>
                <w:tcPr>
                  <w:tcW w:w="5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5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80</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食堂油烟</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油烟</w:t>
                  </w:r>
                </w:p>
              </w:tc>
              <w:tc>
                <w:tcPr>
                  <w:tcW w:w="5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有组织</w:t>
                  </w:r>
                </w:p>
              </w:tc>
              <w:tc>
                <w:tcPr>
                  <w:tcW w:w="15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抽油烟机</w:t>
                  </w:r>
                </w:p>
              </w:tc>
              <w:tc>
                <w:tcPr>
                  <w:tcW w:w="5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bl>
          <w:p>
            <w:pPr>
              <w:spacing w:line="360" w:lineRule="auto"/>
              <w:jc w:val="center"/>
              <w:rPr>
                <w:rFonts w:hint="eastAsia" w:cs="Times New Roman"/>
                <w:b/>
                <w:bCs w:val="0"/>
                <w:color w:val="auto"/>
                <w:sz w:val="24"/>
                <w:szCs w:val="24"/>
                <w:highlight w:val="none"/>
              </w:rPr>
            </w:pPr>
          </w:p>
          <w:p>
            <w:pPr>
              <w:spacing w:line="360" w:lineRule="auto"/>
              <w:ind w:firstLine="480" w:firstLineChars="200"/>
              <w:rPr>
                <w:rFonts w:hint="eastAsia" w:cs="Times New Roman"/>
                <w:color w:val="auto"/>
                <w:sz w:val="24"/>
                <w:szCs w:val="24"/>
                <w:highlight w:val="none"/>
                <w:lang w:eastAsia="zh-CN"/>
              </w:rPr>
            </w:pPr>
          </w:p>
          <w:p>
            <w:pPr>
              <w:spacing w:line="360" w:lineRule="auto"/>
              <w:ind w:firstLine="480" w:firstLineChars="200"/>
              <w:rPr>
                <w:rFonts w:hint="eastAsia" w:cs="Times New Roman"/>
                <w:color w:val="auto"/>
                <w:sz w:val="24"/>
                <w:szCs w:val="24"/>
                <w:highlight w:val="none"/>
                <w:lang w:eastAsia="zh-CN"/>
              </w:rPr>
            </w:pPr>
          </w:p>
          <w:p>
            <w:pPr>
              <w:spacing w:line="360" w:lineRule="auto"/>
              <w:ind w:firstLine="480" w:firstLineChars="200"/>
              <w:rPr>
                <w:rFonts w:hint="eastAsia" w:cs="Times New Roman"/>
                <w:color w:val="auto"/>
                <w:sz w:val="24"/>
                <w:szCs w:val="24"/>
                <w:highlight w:val="none"/>
                <w:lang w:eastAsia="zh-CN"/>
              </w:rPr>
            </w:pPr>
          </w:p>
          <w:p>
            <w:pPr>
              <w:spacing w:line="360" w:lineRule="auto"/>
              <w:ind w:firstLine="480" w:firstLineChars="200"/>
              <w:rPr>
                <w:rFonts w:hint="eastAsia" w:cs="Times New Roman"/>
                <w:color w:val="auto"/>
                <w:sz w:val="24"/>
                <w:szCs w:val="24"/>
                <w:highlight w:val="none"/>
                <w:lang w:eastAsia="zh-CN"/>
              </w:rPr>
            </w:pPr>
          </w:p>
          <w:p>
            <w:pPr>
              <w:spacing w:line="360" w:lineRule="auto"/>
              <w:ind w:firstLine="480" w:firstLineChars="200"/>
              <w:rPr>
                <w:rFonts w:hint="eastAsia" w:cs="Times New Roman"/>
                <w:color w:val="auto"/>
                <w:sz w:val="24"/>
                <w:szCs w:val="24"/>
                <w:highlight w:val="none"/>
                <w:lang w:eastAsia="zh-CN"/>
              </w:rPr>
            </w:pPr>
          </w:p>
          <w:p>
            <w:pPr>
              <w:spacing w:line="360" w:lineRule="auto"/>
              <w:ind w:firstLine="480" w:firstLineChars="200"/>
              <w:rPr>
                <w:rFonts w:hint="eastAsia" w:cs="Times New Roman"/>
                <w:color w:val="auto"/>
                <w:sz w:val="24"/>
                <w:szCs w:val="24"/>
                <w:highlight w:val="none"/>
                <w:lang w:eastAsia="zh-CN"/>
              </w:rPr>
            </w:pPr>
          </w:p>
          <w:p>
            <w:pPr>
              <w:spacing w:line="360" w:lineRule="auto"/>
              <w:ind w:firstLine="480" w:firstLineChars="200"/>
              <w:rPr>
                <w:rFonts w:hint="eastAsia" w:ascii="Times New Roman" w:hAnsi="Times New Roman" w:eastAsia="宋体" w:cs="Times New Roman"/>
                <w:color w:val="auto"/>
                <w:sz w:val="24"/>
                <w:szCs w:val="24"/>
                <w:highlight w:val="none"/>
                <w:lang w:eastAsia="zh-CN"/>
              </w:rPr>
            </w:pPr>
          </w:p>
        </w:tc>
      </w:tr>
    </w:tbl>
    <w:p>
      <w:pPr>
        <w:spacing w:line="360" w:lineRule="auto"/>
        <w:rPr>
          <w:rFonts w:ascii="宋体" w:hAnsi="宋体"/>
          <w:b/>
          <w:color w:val="auto"/>
          <w:sz w:val="28"/>
          <w:szCs w:val="28"/>
          <w:highlight w:val="none"/>
        </w:rPr>
        <w:sectPr>
          <w:pgSz w:w="11906" w:h="16838"/>
          <w:pgMar w:top="1134" w:right="1134" w:bottom="1134" w:left="1418" w:header="851" w:footer="992" w:gutter="0"/>
          <w:pgBorders>
            <w:top w:val="none" w:sz="0" w:space="0"/>
            <w:left w:val="none" w:sz="0" w:space="0"/>
            <w:bottom w:val="none" w:sz="0" w:space="0"/>
            <w:right w:val="none" w:sz="0" w:space="0"/>
          </w:pgBorders>
          <w:cols w:space="720" w:num="1"/>
          <w:docGrid w:type="lines"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0" w:type="dxa"/>
          </w:tcPr>
          <w:p>
            <w:pPr>
              <w:spacing w:line="360" w:lineRule="auto"/>
              <w:ind w:firstLine="361" w:firstLineChars="15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（3）污染物排放信息</w:t>
            </w:r>
          </w:p>
          <w:p>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本项目废气污染物排放信息见下表</w:t>
            </w:r>
            <w:r>
              <w:rPr>
                <w:rFonts w:hint="eastAsia" w:cs="Times New Roman"/>
                <w:color w:val="auto"/>
                <w:sz w:val="24"/>
                <w:szCs w:val="24"/>
                <w:highlight w:val="none"/>
                <w:lang w:eastAsia="zh-CN"/>
              </w:rPr>
              <w:t>：</w:t>
            </w:r>
          </w:p>
          <w:p>
            <w:pPr>
              <w:spacing w:line="360" w:lineRule="auto"/>
              <w:jc w:val="center"/>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表4</w:t>
            </w:r>
            <w:r>
              <w:rPr>
                <w:rFonts w:hint="eastAsia" w:ascii="Times New Roman" w:hAnsi="Times New Roman" w:eastAsia="宋体" w:cs="Times New Roman"/>
                <w:b/>
                <w:bCs w:val="0"/>
                <w:color w:val="auto"/>
                <w:sz w:val="24"/>
                <w:szCs w:val="24"/>
                <w:highlight w:val="none"/>
              </w:rPr>
              <w:t>-</w:t>
            </w:r>
            <w:r>
              <w:rPr>
                <w:rFonts w:hint="eastAsia" w:cs="Times New Roman"/>
                <w:b/>
                <w:bCs w:val="0"/>
                <w:color w:val="auto"/>
                <w:sz w:val="24"/>
                <w:szCs w:val="24"/>
                <w:highlight w:val="none"/>
                <w:lang w:val="en-US" w:eastAsia="zh-CN"/>
              </w:rPr>
              <w:t>5</w:t>
            </w:r>
            <w:r>
              <w:rPr>
                <w:rFonts w:hint="default" w:ascii="Times New Roman" w:hAnsi="Times New Roman" w:eastAsia="宋体" w:cs="Times New Roman"/>
                <w:b/>
                <w:bCs w:val="0"/>
                <w:color w:val="auto"/>
                <w:sz w:val="24"/>
                <w:szCs w:val="24"/>
                <w:highlight w:val="none"/>
              </w:rPr>
              <w:t xml:space="preserve">  </w:t>
            </w:r>
            <w:r>
              <w:rPr>
                <w:rFonts w:hint="eastAsia" w:ascii="Times New Roman" w:hAnsi="Times New Roman" w:eastAsia="宋体" w:cs="Times New Roman"/>
                <w:b/>
                <w:bCs w:val="0"/>
                <w:color w:val="auto"/>
                <w:sz w:val="24"/>
                <w:szCs w:val="24"/>
                <w:highlight w:val="none"/>
              </w:rPr>
              <w:t>废气污染物排放信息表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02"/>
              <w:gridCol w:w="763"/>
              <w:gridCol w:w="880"/>
              <w:gridCol w:w="630"/>
              <w:gridCol w:w="1171"/>
              <w:gridCol w:w="645"/>
              <w:gridCol w:w="841"/>
              <w:gridCol w:w="916"/>
              <w:gridCol w:w="675"/>
              <w:gridCol w:w="738"/>
              <w:gridCol w:w="778"/>
              <w:gridCol w:w="781"/>
              <w:gridCol w:w="766"/>
              <w:gridCol w:w="811"/>
              <w:gridCol w:w="991"/>
              <w:gridCol w:w="615"/>
              <w:gridCol w:w="781"/>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0" w:hRule="atLeast"/>
                <w:tblHeader/>
                <w:jc w:val="center"/>
              </w:trPr>
              <w:tc>
                <w:tcPr>
                  <w:tcW w:w="24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污染源</w:t>
                  </w:r>
                </w:p>
              </w:tc>
              <w:tc>
                <w:tcPr>
                  <w:tcW w:w="26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污染物</w:t>
                  </w:r>
                </w:p>
              </w:tc>
              <w:tc>
                <w:tcPr>
                  <w:tcW w:w="30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污染物产生量(t/a)</w:t>
                  </w:r>
                </w:p>
              </w:tc>
              <w:tc>
                <w:tcPr>
                  <w:tcW w:w="852"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治理措施</w:t>
                  </w:r>
                </w:p>
              </w:tc>
              <w:tc>
                <w:tcPr>
                  <w:tcW w:w="3330" w:type="pct"/>
                  <w:gridSpan w:val="1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污染物排放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4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p>
              </w:tc>
              <w:tc>
                <w:tcPr>
                  <w:tcW w:w="26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p>
              </w:tc>
              <w:tc>
                <w:tcPr>
                  <w:tcW w:w="30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p>
              </w:tc>
              <w:tc>
                <w:tcPr>
                  <w:tcW w:w="21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收集效率(%)</w:t>
                  </w:r>
                </w:p>
              </w:tc>
              <w:tc>
                <w:tcPr>
                  <w:tcW w:w="408"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治理工艺</w:t>
                  </w:r>
                </w:p>
              </w:tc>
              <w:tc>
                <w:tcPr>
                  <w:tcW w:w="22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去除效率(%)</w:t>
                  </w:r>
                </w:p>
              </w:tc>
              <w:tc>
                <w:tcPr>
                  <w:tcW w:w="1104" w:type="pct"/>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有组织</w:t>
                  </w:r>
                </w:p>
              </w:tc>
              <w:tc>
                <w:tcPr>
                  <w:tcW w:w="543"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无组织</w:t>
                  </w:r>
                </w:p>
              </w:tc>
              <w:tc>
                <w:tcPr>
                  <w:tcW w:w="26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排放时间</w:t>
                  </w:r>
                </w:p>
              </w:tc>
              <w:tc>
                <w:tcPr>
                  <w:tcW w:w="28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排气筒编号</w:t>
                  </w:r>
                </w:p>
              </w:tc>
              <w:tc>
                <w:tcPr>
                  <w:tcW w:w="34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排放口类型</w:t>
                  </w:r>
                </w:p>
              </w:tc>
              <w:tc>
                <w:tcPr>
                  <w:tcW w:w="786"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34" w:hRule="atLeast"/>
                <w:tblHeader/>
                <w:jc w:val="center"/>
              </w:trPr>
              <w:tc>
                <w:tcPr>
                  <w:tcW w:w="24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p>
              </w:tc>
              <w:tc>
                <w:tcPr>
                  <w:tcW w:w="26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p>
              </w:tc>
              <w:tc>
                <w:tcPr>
                  <w:tcW w:w="30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p>
              </w:tc>
              <w:tc>
                <w:tcPr>
                  <w:tcW w:w="2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p>
              </w:tc>
              <w:tc>
                <w:tcPr>
                  <w:tcW w:w="40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p>
              </w:tc>
              <w:tc>
                <w:tcPr>
                  <w:tcW w:w="22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p>
              </w:tc>
              <w:tc>
                <w:tcPr>
                  <w:tcW w:w="29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废气量(m</w:t>
                  </w:r>
                  <w:r>
                    <w:rPr>
                      <w:rFonts w:hint="default" w:ascii="Times New Roman" w:hAnsi="Times New Roman" w:cs="Times New Roman"/>
                      <w:b/>
                      <w:bCs/>
                      <w:color w:val="auto"/>
                      <w:sz w:val="18"/>
                      <w:szCs w:val="18"/>
                      <w:highlight w:val="none"/>
                      <w:vertAlign w:val="superscript"/>
                    </w:rPr>
                    <w:t>3</w:t>
                  </w:r>
                  <w:r>
                    <w:rPr>
                      <w:rFonts w:hint="default" w:ascii="Times New Roman" w:hAnsi="Times New Roman" w:cs="Times New Roman"/>
                      <w:b/>
                      <w:bCs/>
                      <w:color w:val="auto"/>
                      <w:sz w:val="18"/>
                      <w:szCs w:val="18"/>
                      <w:highlight w:val="none"/>
                    </w:rPr>
                    <w:t>/h)</w:t>
                  </w:r>
                </w:p>
              </w:tc>
              <w:tc>
                <w:tcPr>
                  <w:tcW w:w="31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浓度(mg/m</w:t>
                  </w:r>
                  <w:r>
                    <w:rPr>
                      <w:rFonts w:hint="default" w:ascii="Times New Roman" w:hAnsi="Times New Roman" w:cs="Times New Roman"/>
                      <w:b/>
                      <w:bCs/>
                      <w:color w:val="auto"/>
                      <w:sz w:val="18"/>
                      <w:szCs w:val="18"/>
                      <w:highlight w:val="none"/>
                      <w:vertAlign w:val="superscript"/>
                    </w:rPr>
                    <w:t>3</w:t>
                  </w:r>
                  <w:r>
                    <w:rPr>
                      <w:rFonts w:hint="default" w:ascii="Times New Roman" w:hAnsi="Times New Roman" w:cs="Times New Roman"/>
                      <w:b/>
                      <w:bCs/>
                      <w:color w:val="auto"/>
                      <w:sz w:val="18"/>
                      <w:szCs w:val="18"/>
                      <w:highlight w:val="none"/>
                    </w:rPr>
                    <w:t>)</w:t>
                  </w:r>
                </w:p>
              </w:tc>
              <w:tc>
                <w:tcPr>
                  <w:tcW w:w="492"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排放量</w:t>
                  </w:r>
                </w:p>
              </w:tc>
              <w:tc>
                <w:tcPr>
                  <w:tcW w:w="543"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排放量</w:t>
                  </w:r>
                </w:p>
              </w:tc>
              <w:tc>
                <w:tcPr>
                  <w:tcW w:w="26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p>
              </w:tc>
              <w:tc>
                <w:tcPr>
                  <w:tcW w:w="2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p>
              </w:tc>
              <w:tc>
                <w:tcPr>
                  <w:tcW w:w="34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p>
              </w:tc>
              <w:tc>
                <w:tcPr>
                  <w:tcW w:w="486"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有组织</w:t>
                  </w:r>
                </w:p>
              </w:tc>
              <w:tc>
                <w:tcPr>
                  <w:tcW w:w="30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7" w:hRule="atLeast"/>
                <w:tblHeader/>
                <w:jc w:val="center"/>
              </w:trPr>
              <w:tc>
                <w:tcPr>
                  <w:tcW w:w="24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p>
              </w:tc>
              <w:tc>
                <w:tcPr>
                  <w:tcW w:w="26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p>
              </w:tc>
              <w:tc>
                <w:tcPr>
                  <w:tcW w:w="30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p>
              </w:tc>
              <w:tc>
                <w:tcPr>
                  <w:tcW w:w="2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p>
              </w:tc>
              <w:tc>
                <w:tcPr>
                  <w:tcW w:w="40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p>
              </w:tc>
              <w:tc>
                <w:tcPr>
                  <w:tcW w:w="22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p>
              </w:tc>
              <w:tc>
                <w:tcPr>
                  <w:tcW w:w="29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p>
              </w:tc>
              <w:tc>
                <w:tcPr>
                  <w:tcW w:w="3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p>
              </w:tc>
              <w:tc>
                <w:tcPr>
                  <w:tcW w:w="23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kg/h</w:t>
                  </w:r>
                </w:p>
              </w:tc>
              <w:tc>
                <w:tcPr>
                  <w:tcW w:w="2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t/a</w:t>
                  </w:r>
                </w:p>
              </w:tc>
              <w:tc>
                <w:tcPr>
                  <w:tcW w:w="2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kg/h</w:t>
                  </w:r>
                </w:p>
              </w:tc>
              <w:tc>
                <w:tcPr>
                  <w:tcW w:w="27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t/a</w:t>
                  </w:r>
                </w:p>
              </w:tc>
              <w:tc>
                <w:tcPr>
                  <w:tcW w:w="26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h</w:t>
                  </w:r>
                </w:p>
              </w:tc>
              <w:tc>
                <w:tcPr>
                  <w:tcW w:w="2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p>
              </w:tc>
              <w:tc>
                <w:tcPr>
                  <w:tcW w:w="34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p>
              </w:tc>
              <w:tc>
                <w:tcPr>
                  <w:tcW w:w="21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kg/h</w:t>
                  </w:r>
                </w:p>
              </w:tc>
              <w:tc>
                <w:tcPr>
                  <w:tcW w:w="27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mg/m</w:t>
                  </w:r>
                  <w:r>
                    <w:rPr>
                      <w:rFonts w:hint="default" w:ascii="Times New Roman" w:hAnsi="Times New Roman" w:cs="Times New Roman"/>
                      <w:b/>
                      <w:bCs/>
                      <w:color w:val="auto"/>
                      <w:sz w:val="18"/>
                      <w:szCs w:val="18"/>
                      <w:highlight w:val="none"/>
                      <w:vertAlign w:val="superscript"/>
                    </w:rPr>
                    <w:t>3</w:t>
                  </w:r>
                </w:p>
              </w:tc>
              <w:tc>
                <w:tcPr>
                  <w:tcW w:w="30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mg/m</w:t>
                  </w:r>
                  <w:r>
                    <w:rPr>
                      <w:rFonts w:hint="default" w:ascii="Times New Roman" w:hAnsi="Times New Roman" w:cs="Times New Roman"/>
                      <w:b/>
                      <w:bCs/>
                      <w:color w:val="auto"/>
                      <w:sz w:val="18"/>
                      <w:szCs w:val="18"/>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64" w:hRule="atLeast"/>
                <w:jc w:val="center"/>
              </w:trPr>
              <w:tc>
                <w:tcPr>
                  <w:tcW w:w="2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石料加工粉尘</w:t>
                  </w:r>
                </w:p>
              </w:tc>
              <w:tc>
                <w:tcPr>
                  <w:tcW w:w="26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306"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b w:val="0"/>
                      <w:bCs/>
                      <w:color w:val="auto"/>
                      <w:sz w:val="18"/>
                      <w:szCs w:val="18"/>
                      <w:highlight w:val="none"/>
                      <w:lang w:val="en-US" w:eastAsia="zh-CN"/>
                    </w:rPr>
                    <w:t>6.240</w:t>
                  </w:r>
                </w:p>
              </w:tc>
              <w:tc>
                <w:tcPr>
                  <w:tcW w:w="2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p>
              </w:tc>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湿法作业</w:t>
                  </w:r>
                  <w:r>
                    <w:rPr>
                      <w:rFonts w:hint="default" w:ascii="Times New Roman" w:hAnsi="Times New Roman" w:eastAsia="宋体" w:cs="Times New Roman"/>
                      <w:color w:val="auto"/>
                      <w:kern w:val="2"/>
                      <w:sz w:val="18"/>
                      <w:szCs w:val="18"/>
                      <w:highlight w:val="none"/>
                      <w:lang w:val="en-US" w:eastAsia="zh-CN" w:bidi="ar-SA"/>
                    </w:rPr>
                    <w:t>+厂房阻隔</w:t>
                  </w:r>
                </w:p>
              </w:tc>
              <w:tc>
                <w:tcPr>
                  <w:tcW w:w="2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90</w:t>
                  </w:r>
                </w:p>
              </w:tc>
              <w:tc>
                <w:tcPr>
                  <w:tcW w:w="29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3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23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2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2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bCs/>
                      <w:color w:val="auto"/>
                      <w:sz w:val="18"/>
                      <w:szCs w:val="18"/>
                      <w:highlight w:val="none"/>
                      <w:lang w:val="en-US" w:eastAsia="zh-CN"/>
                    </w:rPr>
                    <w:t>0.260</w:t>
                  </w:r>
                </w:p>
              </w:tc>
              <w:tc>
                <w:tcPr>
                  <w:tcW w:w="27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bCs/>
                      <w:color w:val="auto"/>
                      <w:sz w:val="18"/>
                      <w:szCs w:val="18"/>
                      <w:highlight w:val="none"/>
                      <w:lang w:val="en-US" w:eastAsia="zh-CN"/>
                    </w:rPr>
                    <w:t>0.624</w:t>
                  </w:r>
                </w:p>
              </w:tc>
              <w:tc>
                <w:tcPr>
                  <w:tcW w:w="26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2400</w:t>
                  </w:r>
                </w:p>
              </w:tc>
              <w:tc>
                <w:tcPr>
                  <w:tcW w:w="2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34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21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27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30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64" w:hRule="atLeast"/>
                <w:jc w:val="center"/>
              </w:trPr>
              <w:tc>
                <w:tcPr>
                  <w:tcW w:w="2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运输扬尘</w:t>
                  </w:r>
                </w:p>
              </w:tc>
              <w:tc>
                <w:tcPr>
                  <w:tcW w:w="26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3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0.092</w:t>
                  </w:r>
                </w:p>
              </w:tc>
              <w:tc>
                <w:tcPr>
                  <w:tcW w:w="2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道路硬化、禁止超速、超载，洒水降尘等</w:t>
                  </w:r>
                </w:p>
              </w:tc>
              <w:tc>
                <w:tcPr>
                  <w:tcW w:w="2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80</w:t>
                  </w:r>
                </w:p>
              </w:tc>
              <w:tc>
                <w:tcPr>
                  <w:tcW w:w="29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w:t>
                  </w:r>
                </w:p>
              </w:tc>
              <w:tc>
                <w:tcPr>
                  <w:tcW w:w="3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23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2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2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0.008</w:t>
                  </w:r>
                </w:p>
              </w:tc>
              <w:tc>
                <w:tcPr>
                  <w:tcW w:w="27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0.018</w:t>
                  </w:r>
                </w:p>
              </w:tc>
              <w:tc>
                <w:tcPr>
                  <w:tcW w:w="26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2400</w:t>
                  </w:r>
                </w:p>
              </w:tc>
              <w:tc>
                <w:tcPr>
                  <w:tcW w:w="2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p>
              </w:tc>
              <w:tc>
                <w:tcPr>
                  <w:tcW w:w="34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p>
              </w:tc>
              <w:tc>
                <w:tcPr>
                  <w:tcW w:w="21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p>
              </w:tc>
              <w:tc>
                <w:tcPr>
                  <w:tcW w:w="27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p>
              </w:tc>
              <w:tc>
                <w:tcPr>
                  <w:tcW w:w="30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64" w:hRule="atLeast"/>
                <w:jc w:val="center"/>
              </w:trPr>
              <w:tc>
                <w:tcPr>
                  <w:tcW w:w="2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食堂油烟</w:t>
                  </w:r>
                </w:p>
              </w:tc>
              <w:tc>
                <w:tcPr>
                  <w:tcW w:w="26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油烟废气</w:t>
                  </w:r>
                </w:p>
              </w:tc>
              <w:tc>
                <w:tcPr>
                  <w:tcW w:w="3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bCs/>
                      <w:color w:val="auto"/>
                      <w:sz w:val="18"/>
                      <w:szCs w:val="18"/>
                      <w:highlight w:val="none"/>
                      <w:lang w:val="en-US" w:eastAsia="zh-CN"/>
                    </w:rPr>
                    <w:t>0.002</w:t>
                  </w:r>
                </w:p>
              </w:tc>
              <w:tc>
                <w:tcPr>
                  <w:tcW w:w="2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w:t>
                  </w:r>
                </w:p>
              </w:tc>
              <w:tc>
                <w:tcPr>
                  <w:tcW w:w="40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抽油烟机</w:t>
                  </w:r>
                </w:p>
              </w:tc>
              <w:tc>
                <w:tcPr>
                  <w:tcW w:w="22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60</w:t>
                  </w:r>
                </w:p>
              </w:tc>
              <w:tc>
                <w:tcPr>
                  <w:tcW w:w="29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1500</w:t>
                  </w:r>
                </w:p>
              </w:tc>
              <w:tc>
                <w:tcPr>
                  <w:tcW w:w="3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0.34</w:t>
                  </w:r>
                </w:p>
              </w:tc>
              <w:tc>
                <w:tcPr>
                  <w:tcW w:w="23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0.001</w:t>
                  </w:r>
                </w:p>
              </w:tc>
              <w:tc>
                <w:tcPr>
                  <w:tcW w:w="2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0.001</w:t>
                  </w:r>
                </w:p>
              </w:tc>
              <w:tc>
                <w:tcPr>
                  <w:tcW w:w="2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27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26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1200</w:t>
                  </w:r>
                </w:p>
              </w:tc>
              <w:tc>
                <w:tcPr>
                  <w:tcW w:w="2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p>
              </w:tc>
              <w:tc>
                <w:tcPr>
                  <w:tcW w:w="34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p>
              </w:tc>
              <w:tc>
                <w:tcPr>
                  <w:tcW w:w="21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27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w:t>
                  </w:r>
                </w:p>
              </w:tc>
              <w:tc>
                <w:tcPr>
                  <w:tcW w:w="30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w:t>
                  </w:r>
                </w:p>
              </w:tc>
            </w:tr>
          </w:tbl>
          <w:p>
            <w:pPr>
              <w:tabs>
                <w:tab w:val="left" w:pos="1005"/>
              </w:tabs>
              <w:spacing w:line="276" w:lineRule="auto"/>
              <w:ind w:firstLine="420" w:firstLineChars="200"/>
              <w:rPr>
                <w:rFonts w:hint="eastAsia" w:cs="Times New Roman"/>
                <w:color w:val="auto"/>
                <w:szCs w:val="21"/>
                <w:highlight w:val="none"/>
              </w:rPr>
            </w:pPr>
          </w:p>
          <w:p>
            <w:pPr>
              <w:tabs>
                <w:tab w:val="left" w:pos="1005"/>
              </w:tabs>
              <w:spacing w:line="276" w:lineRule="auto"/>
              <w:ind w:firstLine="420" w:firstLineChars="200"/>
              <w:rPr>
                <w:rFonts w:hint="eastAsia" w:cs="Times New Roman"/>
                <w:color w:val="auto"/>
                <w:szCs w:val="21"/>
                <w:highlight w:val="none"/>
              </w:rPr>
            </w:pPr>
          </w:p>
          <w:p>
            <w:pPr>
              <w:tabs>
                <w:tab w:val="left" w:pos="2973"/>
              </w:tabs>
              <w:spacing w:line="276" w:lineRule="auto"/>
              <w:ind w:firstLine="420" w:firstLineChars="200"/>
              <w:rPr>
                <w:rFonts w:hint="eastAsia" w:cs="Times New Roman"/>
                <w:color w:val="auto"/>
                <w:szCs w:val="21"/>
                <w:highlight w:val="none"/>
                <w:lang w:eastAsia="zh-CN"/>
              </w:rPr>
            </w:pPr>
          </w:p>
          <w:p>
            <w:pPr>
              <w:tabs>
                <w:tab w:val="left" w:pos="2973"/>
              </w:tabs>
              <w:spacing w:line="276" w:lineRule="auto"/>
              <w:ind w:firstLine="420" w:firstLineChars="200"/>
              <w:rPr>
                <w:rFonts w:hint="eastAsia" w:cs="Times New Roman"/>
                <w:color w:val="auto"/>
                <w:szCs w:val="21"/>
                <w:highlight w:val="none"/>
                <w:lang w:eastAsia="zh-CN"/>
              </w:rPr>
            </w:pPr>
          </w:p>
          <w:p>
            <w:pPr>
              <w:tabs>
                <w:tab w:val="left" w:pos="2973"/>
              </w:tabs>
              <w:spacing w:line="276" w:lineRule="auto"/>
              <w:ind w:firstLine="420" w:firstLineChars="200"/>
              <w:rPr>
                <w:rFonts w:hint="eastAsia" w:cs="Times New Roman"/>
                <w:color w:val="auto"/>
                <w:szCs w:val="21"/>
                <w:highlight w:val="none"/>
                <w:lang w:eastAsia="zh-CN"/>
              </w:rPr>
            </w:pPr>
          </w:p>
          <w:p>
            <w:pPr>
              <w:tabs>
                <w:tab w:val="left" w:pos="2973"/>
              </w:tabs>
              <w:spacing w:line="276" w:lineRule="auto"/>
              <w:ind w:firstLine="420" w:firstLineChars="200"/>
              <w:rPr>
                <w:rFonts w:hint="eastAsia" w:cs="Times New Roman"/>
                <w:color w:val="auto"/>
                <w:szCs w:val="21"/>
                <w:highlight w:val="none"/>
                <w:lang w:eastAsia="zh-CN"/>
              </w:rPr>
            </w:pPr>
          </w:p>
          <w:p>
            <w:pPr>
              <w:tabs>
                <w:tab w:val="left" w:pos="2973"/>
              </w:tabs>
              <w:spacing w:line="276" w:lineRule="auto"/>
              <w:ind w:firstLine="420" w:firstLineChars="200"/>
              <w:rPr>
                <w:rFonts w:hint="eastAsia" w:cs="Times New Roman"/>
                <w:color w:val="auto"/>
                <w:szCs w:val="21"/>
                <w:highlight w:val="none"/>
                <w:lang w:eastAsia="zh-CN"/>
              </w:rPr>
            </w:pPr>
          </w:p>
          <w:p>
            <w:pPr>
              <w:tabs>
                <w:tab w:val="left" w:pos="2973"/>
              </w:tabs>
              <w:spacing w:line="276" w:lineRule="auto"/>
              <w:ind w:firstLine="420" w:firstLineChars="200"/>
              <w:rPr>
                <w:rFonts w:hint="eastAsia" w:cs="Times New Roman"/>
                <w:color w:val="auto"/>
                <w:szCs w:val="21"/>
                <w:highlight w:val="none"/>
                <w:lang w:eastAsia="zh-CN"/>
              </w:rPr>
            </w:pPr>
          </w:p>
          <w:p>
            <w:pPr>
              <w:tabs>
                <w:tab w:val="left" w:pos="2973"/>
              </w:tabs>
              <w:spacing w:line="276" w:lineRule="auto"/>
              <w:ind w:firstLine="420" w:firstLineChars="200"/>
              <w:rPr>
                <w:rFonts w:hint="eastAsia" w:cs="Times New Roman"/>
                <w:color w:val="auto"/>
                <w:szCs w:val="21"/>
                <w:highlight w:val="none"/>
                <w:lang w:eastAsia="zh-CN"/>
              </w:rPr>
            </w:pPr>
          </w:p>
          <w:p>
            <w:pPr>
              <w:tabs>
                <w:tab w:val="left" w:pos="2973"/>
              </w:tabs>
              <w:spacing w:line="276" w:lineRule="auto"/>
              <w:ind w:firstLine="420" w:firstLineChars="200"/>
              <w:rPr>
                <w:rFonts w:hint="eastAsia" w:eastAsia="宋体" w:cs="Times New Roman"/>
                <w:color w:val="auto"/>
                <w:szCs w:val="21"/>
                <w:highlight w:val="none"/>
                <w:lang w:eastAsia="zh-CN"/>
              </w:rPr>
            </w:pPr>
          </w:p>
        </w:tc>
      </w:tr>
    </w:tbl>
    <w:p>
      <w:pPr>
        <w:tabs>
          <w:tab w:val="left" w:pos="1005"/>
        </w:tabs>
        <w:rPr>
          <w:rFonts w:ascii="宋体" w:hAnsi="宋体"/>
          <w:color w:val="auto"/>
          <w:sz w:val="28"/>
          <w:szCs w:val="28"/>
          <w:highlight w:val="none"/>
        </w:rPr>
        <w:sectPr>
          <w:pgSz w:w="16838" w:h="11906" w:orient="landscape"/>
          <w:pgMar w:top="1418" w:right="1134" w:bottom="1134" w:left="1134" w:header="851" w:footer="992" w:gutter="0"/>
          <w:pgBorders>
            <w:top w:val="none" w:sz="0" w:space="0"/>
            <w:left w:val="none" w:sz="0" w:space="0"/>
            <w:bottom w:val="none" w:sz="0" w:space="0"/>
            <w:right w:val="none" w:sz="0" w:space="0"/>
          </w:pgBorders>
          <w:cols w:space="720" w:num="1"/>
          <w:docGrid w:type="lines"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8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Align w:val="center"/>
          </w:tcPr>
          <w:p>
            <w:pPr>
              <w:spacing w:line="360" w:lineRule="auto"/>
              <w:jc w:val="center"/>
              <w:rPr>
                <w:rFonts w:cs="Times New Roman"/>
                <w:color w:val="auto"/>
                <w:sz w:val="24"/>
                <w:szCs w:val="24"/>
                <w:highlight w:val="none"/>
              </w:rPr>
            </w:pPr>
            <w:r>
              <w:rPr>
                <w:rFonts w:hint="eastAsia" w:cs="Times New Roman"/>
                <w:color w:val="auto"/>
                <w:sz w:val="24"/>
                <w:szCs w:val="24"/>
                <w:highlight w:val="none"/>
              </w:rPr>
              <w:t>运营</w:t>
            </w:r>
          </w:p>
          <w:p>
            <w:pPr>
              <w:spacing w:line="360" w:lineRule="auto"/>
              <w:jc w:val="center"/>
              <w:rPr>
                <w:rFonts w:cs="Times New Roman"/>
                <w:color w:val="auto"/>
                <w:sz w:val="24"/>
                <w:szCs w:val="24"/>
                <w:highlight w:val="none"/>
              </w:rPr>
            </w:pPr>
            <w:r>
              <w:rPr>
                <w:rFonts w:hint="eastAsia" w:cs="Times New Roman"/>
                <w:color w:val="auto"/>
                <w:sz w:val="24"/>
                <w:szCs w:val="24"/>
                <w:highlight w:val="none"/>
              </w:rPr>
              <w:t>期环</w:t>
            </w:r>
          </w:p>
          <w:p>
            <w:pPr>
              <w:spacing w:line="360" w:lineRule="auto"/>
              <w:jc w:val="center"/>
              <w:rPr>
                <w:rFonts w:cs="Times New Roman"/>
                <w:color w:val="auto"/>
                <w:sz w:val="24"/>
                <w:szCs w:val="24"/>
                <w:highlight w:val="none"/>
              </w:rPr>
            </w:pPr>
            <w:r>
              <w:rPr>
                <w:rFonts w:hint="eastAsia" w:cs="Times New Roman"/>
                <w:color w:val="auto"/>
                <w:sz w:val="24"/>
                <w:szCs w:val="24"/>
                <w:highlight w:val="none"/>
              </w:rPr>
              <w:t>境影</w:t>
            </w:r>
          </w:p>
          <w:p>
            <w:pPr>
              <w:spacing w:line="360" w:lineRule="auto"/>
              <w:jc w:val="center"/>
              <w:rPr>
                <w:rFonts w:cs="Times New Roman"/>
                <w:color w:val="auto"/>
                <w:sz w:val="24"/>
                <w:szCs w:val="24"/>
                <w:highlight w:val="none"/>
              </w:rPr>
            </w:pPr>
            <w:r>
              <w:rPr>
                <w:rFonts w:hint="eastAsia" w:cs="Times New Roman"/>
                <w:color w:val="auto"/>
                <w:sz w:val="24"/>
                <w:szCs w:val="24"/>
                <w:highlight w:val="none"/>
              </w:rPr>
              <w:t>响和</w:t>
            </w:r>
          </w:p>
          <w:p>
            <w:pPr>
              <w:spacing w:line="360" w:lineRule="auto"/>
              <w:jc w:val="center"/>
              <w:rPr>
                <w:rFonts w:cs="Times New Roman"/>
                <w:color w:val="auto"/>
                <w:sz w:val="24"/>
                <w:szCs w:val="24"/>
                <w:highlight w:val="none"/>
              </w:rPr>
            </w:pPr>
            <w:r>
              <w:rPr>
                <w:rFonts w:hint="eastAsia" w:cs="Times New Roman"/>
                <w:color w:val="auto"/>
                <w:sz w:val="24"/>
                <w:szCs w:val="24"/>
                <w:highlight w:val="none"/>
              </w:rPr>
              <w:t>保护</w:t>
            </w:r>
          </w:p>
          <w:p>
            <w:pPr>
              <w:tabs>
                <w:tab w:val="left" w:pos="1005"/>
              </w:tabs>
              <w:spacing w:line="360" w:lineRule="auto"/>
              <w:jc w:val="center"/>
              <w:rPr>
                <w:rFonts w:cs="Times New Roman"/>
                <w:color w:val="auto"/>
                <w:sz w:val="24"/>
                <w:szCs w:val="24"/>
                <w:highlight w:val="none"/>
              </w:rPr>
            </w:pPr>
            <w:r>
              <w:rPr>
                <w:rFonts w:hint="eastAsia" w:cs="Times New Roman"/>
                <w:color w:val="auto"/>
                <w:sz w:val="24"/>
                <w:szCs w:val="24"/>
                <w:highlight w:val="none"/>
              </w:rPr>
              <w:t>措施</w:t>
            </w:r>
          </w:p>
        </w:tc>
        <w:tc>
          <w:tcPr>
            <w:tcW w:w="8869" w:type="dxa"/>
            <w:vAlign w:val="center"/>
          </w:tcPr>
          <w:p>
            <w:pPr>
              <w:spacing w:line="360" w:lineRule="auto"/>
              <w:ind w:firstLine="480" w:firstLineChars="200"/>
              <w:rPr>
                <w:color w:val="auto"/>
                <w:sz w:val="24"/>
                <w:szCs w:val="24"/>
                <w:highlight w:val="none"/>
              </w:rPr>
            </w:pPr>
            <w:r>
              <w:rPr>
                <w:rFonts w:hint="eastAsia"/>
                <w:color w:val="auto"/>
                <w:sz w:val="24"/>
                <w:szCs w:val="24"/>
                <w:highlight w:val="none"/>
              </w:rPr>
              <w:t>本项目废气污染物排放统计表如下：</w:t>
            </w:r>
          </w:p>
          <w:p>
            <w:pPr>
              <w:spacing w:line="360" w:lineRule="auto"/>
              <w:jc w:val="center"/>
              <w:rPr>
                <w:rFonts w:hint="eastAsia" w:ascii="Times New Roman" w:hAnsi="Times New Roman" w:eastAsia="宋体" w:cs="Times New Roman"/>
                <w:b/>
                <w:bCs w:val="0"/>
                <w:color w:val="auto"/>
                <w:sz w:val="24"/>
                <w:szCs w:val="24"/>
                <w:highlight w:val="none"/>
              </w:rPr>
            </w:pPr>
            <w:r>
              <w:rPr>
                <w:rFonts w:hint="eastAsia" w:ascii="Times New Roman" w:hAnsi="Times New Roman" w:eastAsia="宋体" w:cs="Times New Roman"/>
                <w:b/>
                <w:bCs w:val="0"/>
                <w:color w:val="auto"/>
                <w:sz w:val="24"/>
                <w:szCs w:val="24"/>
                <w:highlight w:val="none"/>
              </w:rPr>
              <w:t>表4-</w:t>
            </w:r>
            <w:r>
              <w:rPr>
                <w:rFonts w:hint="eastAsia" w:cs="Times New Roman"/>
                <w:b/>
                <w:bCs w:val="0"/>
                <w:color w:val="auto"/>
                <w:sz w:val="24"/>
                <w:szCs w:val="24"/>
                <w:highlight w:val="none"/>
                <w:lang w:val="en-US" w:eastAsia="zh-CN"/>
              </w:rPr>
              <w:t>6</w:t>
            </w:r>
            <w:r>
              <w:rPr>
                <w:rFonts w:hint="eastAsia" w:ascii="Times New Roman" w:hAnsi="Times New Roman" w:eastAsia="宋体" w:cs="Times New Roman"/>
                <w:b/>
                <w:bCs w:val="0"/>
                <w:color w:val="auto"/>
                <w:sz w:val="24"/>
                <w:szCs w:val="24"/>
                <w:highlight w:val="none"/>
              </w:rPr>
              <w:t xml:space="preserve">  运营期废气污染物排放统计表</w:t>
            </w:r>
          </w:p>
          <w:tbl>
            <w:tblPr>
              <w:tblStyle w:val="24"/>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2440"/>
              <w:gridCol w:w="2440"/>
              <w:gridCol w:w="19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4" w:type="pct"/>
                  <w:tcBorders>
                    <w:tl2br w:val="nil"/>
                    <w:tr2bl w:val="nil"/>
                  </w:tcBorders>
                  <w:vAlign w:val="center"/>
                </w:tcPr>
                <w:p>
                  <w:pPr>
                    <w:spacing w:line="240" w:lineRule="auto"/>
                    <w:jc w:val="center"/>
                    <w:rPr>
                      <w:rFonts w:hint="eastAsia" w:eastAsia="宋体"/>
                      <w:b/>
                      <w:bCs/>
                      <w:color w:val="auto"/>
                      <w:sz w:val="21"/>
                      <w:szCs w:val="21"/>
                      <w:highlight w:val="none"/>
                      <w:lang w:eastAsia="zh-CN"/>
                    </w:rPr>
                  </w:pPr>
                  <w:r>
                    <w:rPr>
                      <w:rFonts w:hint="eastAsia" w:cs="Times New Roman"/>
                      <w:b/>
                      <w:bCs/>
                      <w:color w:val="auto"/>
                      <w:sz w:val="21"/>
                      <w:szCs w:val="21"/>
                      <w:highlight w:val="none"/>
                      <w:lang w:val="en-US" w:eastAsia="zh-CN"/>
                    </w:rPr>
                    <w:t>污染物</w:t>
                  </w:r>
                </w:p>
              </w:tc>
              <w:tc>
                <w:tcPr>
                  <w:tcW w:w="1410" w:type="pct"/>
                  <w:tcBorders>
                    <w:tl2br w:val="nil"/>
                    <w:tr2bl w:val="nil"/>
                  </w:tcBorders>
                  <w:vAlign w:val="center"/>
                </w:tcPr>
                <w:p>
                  <w:pPr>
                    <w:spacing w:line="240" w:lineRule="auto"/>
                    <w:jc w:val="center"/>
                    <w:rPr>
                      <w:rFonts w:hint="default"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有组织</w:t>
                  </w:r>
                </w:p>
              </w:tc>
              <w:tc>
                <w:tcPr>
                  <w:tcW w:w="1410" w:type="pct"/>
                  <w:tcBorders>
                    <w:tl2br w:val="nil"/>
                    <w:tr2bl w:val="nil"/>
                  </w:tcBorders>
                  <w:vAlign w:val="center"/>
                </w:tcPr>
                <w:p>
                  <w:pPr>
                    <w:spacing w:line="240" w:lineRule="auto"/>
                    <w:jc w:val="center"/>
                    <w:rPr>
                      <w:rFonts w:hint="default"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无组织</w:t>
                  </w:r>
                </w:p>
              </w:tc>
              <w:tc>
                <w:tcPr>
                  <w:tcW w:w="1114" w:type="pct"/>
                  <w:tcBorders>
                    <w:tl2br w:val="nil"/>
                    <w:tr2bl w:val="nil"/>
                  </w:tcBorders>
                  <w:vAlign w:val="center"/>
                </w:tcPr>
                <w:p>
                  <w:pPr>
                    <w:spacing w:line="240" w:lineRule="auto"/>
                    <w:jc w:val="center"/>
                    <w:rPr>
                      <w:rFonts w:hint="eastAsia"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合计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4" w:type="pct"/>
                  <w:tcBorders>
                    <w:tl2br w:val="nil"/>
                    <w:tr2bl w:val="nil"/>
                  </w:tcBorders>
                  <w:vAlign w:val="center"/>
                </w:tcPr>
                <w:p>
                  <w:pPr>
                    <w:spacing w:line="240" w:lineRule="auto"/>
                    <w:jc w:val="center"/>
                    <w:rPr>
                      <w:rFonts w:ascii="Times New Roman" w:hAnsi="Times New Roman" w:eastAsia="宋体"/>
                      <w:b w:val="0"/>
                      <w:bCs w:val="0"/>
                      <w:color w:val="auto"/>
                      <w:sz w:val="21"/>
                      <w:szCs w:val="21"/>
                      <w:highlight w:val="none"/>
                    </w:rPr>
                  </w:pPr>
                  <w:r>
                    <w:rPr>
                      <w:rFonts w:hint="eastAsia"/>
                      <w:b w:val="0"/>
                      <w:bCs w:val="0"/>
                      <w:color w:val="auto"/>
                      <w:sz w:val="21"/>
                      <w:szCs w:val="21"/>
                      <w:highlight w:val="none"/>
                      <w:lang w:val="en-US" w:eastAsia="zh-CN"/>
                    </w:rPr>
                    <w:t>颗粒物</w:t>
                  </w:r>
                </w:p>
              </w:tc>
              <w:tc>
                <w:tcPr>
                  <w:tcW w:w="1410" w:type="pct"/>
                  <w:tcBorders>
                    <w:tl2br w:val="nil"/>
                    <w:tr2bl w:val="nil"/>
                  </w:tcBorders>
                  <w:vAlign w:val="center"/>
                </w:tcPr>
                <w:p>
                  <w:pPr>
                    <w:spacing w:line="240" w:lineRule="auto"/>
                    <w:jc w:val="center"/>
                    <w:rPr>
                      <w:rFonts w:hint="default" w:ascii="Times New Roman" w:hAnsi="Times New Roman"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w:t>
                  </w:r>
                </w:p>
              </w:tc>
              <w:tc>
                <w:tcPr>
                  <w:tcW w:w="1410" w:type="pct"/>
                  <w:tcBorders>
                    <w:tl2br w:val="nil"/>
                    <w:tr2bl w:val="nil"/>
                  </w:tcBorders>
                  <w:vAlign w:val="center"/>
                </w:tcPr>
                <w:p>
                  <w:pPr>
                    <w:spacing w:line="240" w:lineRule="auto"/>
                    <w:jc w:val="center"/>
                    <w:rPr>
                      <w:rFonts w:hint="default" w:ascii="Times New Roman" w:hAnsi="Times New Roman"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0.642</w:t>
                  </w:r>
                </w:p>
              </w:tc>
              <w:tc>
                <w:tcPr>
                  <w:tcW w:w="1114" w:type="pct"/>
                  <w:tcBorders>
                    <w:tl2br w:val="nil"/>
                    <w:tr2bl w:val="nil"/>
                  </w:tcBorders>
                  <w:vAlign w:val="center"/>
                </w:tcPr>
                <w:p>
                  <w:pPr>
                    <w:spacing w:line="240" w:lineRule="auto"/>
                    <w:jc w:val="center"/>
                    <w:rPr>
                      <w:rFonts w:hint="default" w:ascii="Times New Roman" w:hAnsi="Times New Roman"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0.642</w:t>
                  </w:r>
                </w:p>
              </w:tc>
            </w:tr>
          </w:tbl>
          <w:p>
            <w:pPr>
              <w:spacing w:line="360" w:lineRule="auto"/>
              <w:ind w:firstLine="361" w:firstLineChars="150"/>
              <w:rPr>
                <w:b/>
                <w:color w:val="auto"/>
                <w:sz w:val="24"/>
                <w:szCs w:val="24"/>
                <w:highlight w:val="none"/>
              </w:rPr>
            </w:pPr>
            <w:r>
              <w:rPr>
                <w:rFonts w:hint="eastAsia"/>
                <w:b/>
                <w:color w:val="auto"/>
                <w:sz w:val="24"/>
                <w:szCs w:val="24"/>
                <w:highlight w:val="none"/>
              </w:rPr>
              <w:t>（</w:t>
            </w:r>
            <w:r>
              <w:rPr>
                <w:b/>
                <w:color w:val="auto"/>
                <w:sz w:val="24"/>
                <w:szCs w:val="24"/>
                <w:highlight w:val="none"/>
              </w:rPr>
              <w:t>4</w:t>
            </w:r>
            <w:r>
              <w:rPr>
                <w:rFonts w:hint="eastAsia"/>
                <w:b/>
                <w:color w:val="auto"/>
                <w:sz w:val="24"/>
                <w:szCs w:val="24"/>
                <w:highlight w:val="none"/>
              </w:rPr>
              <w:t>）监测要求</w:t>
            </w:r>
          </w:p>
          <w:p>
            <w:pPr>
              <w:spacing w:line="360" w:lineRule="auto"/>
              <w:ind w:firstLine="480" w:firstLineChars="200"/>
              <w:rPr>
                <w:color w:val="auto"/>
                <w:sz w:val="24"/>
                <w:szCs w:val="24"/>
                <w:highlight w:val="none"/>
              </w:rPr>
            </w:pPr>
            <w:r>
              <w:rPr>
                <w:rFonts w:hint="eastAsia"/>
                <w:color w:val="auto"/>
                <w:sz w:val="24"/>
                <w:szCs w:val="24"/>
                <w:highlight w:val="none"/>
              </w:rPr>
              <w:t>本次环评根据《排污单位自行监测技术指南 总则》（HJ819-2017）提出项目生产运行阶段的污染源监测计划，详见下表：</w:t>
            </w:r>
          </w:p>
          <w:p>
            <w:pPr>
              <w:spacing w:line="360" w:lineRule="auto"/>
              <w:jc w:val="center"/>
              <w:rPr>
                <w:rFonts w:hint="eastAsia" w:ascii="Times New Roman" w:hAnsi="Times New Roman" w:eastAsia="宋体" w:cs="Times New Roman"/>
                <w:b/>
                <w:bCs w:val="0"/>
                <w:color w:val="auto"/>
                <w:sz w:val="24"/>
                <w:szCs w:val="24"/>
                <w:highlight w:val="none"/>
              </w:rPr>
            </w:pPr>
            <w:r>
              <w:rPr>
                <w:rFonts w:hint="eastAsia" w:ascii="Times New Roman" w:hAnsi="Times New Roman" w:eastAsia="宋体" w:cs="Times New Roman"/>
                <w:b/>
                <w:bCs w:val="0"/>
                <w:color w:val="auto"/>
                <w:sz w:val="24"/>
                <w:szCs w:val="24"/>
                <w:highlight w:val="none"/>
              </w:rPr>
              <w:t>表4-</w:t>
            </w:r>
            <w:r>
              <w:rPr>
                <w:rFonts w:hint="eastAsia" w:cs="Times New Roman"/>
                <w:b/>
                <w:bCs w:val="0"/>
                <w:color w:val="auto"/>
                <w:sz w:val="24"/>
                <w:szCs w:val="24"/>
                <w:highlight w:val="none"/>
                <w:lang w:val="en-US" w:eastAsia="zh-CN"/>
              </w:rPr>
              <w:t>7</w:t>
            </w:r>
            <w:r>
              <w:rPr>
                <w:rFonts w:hint="eastAsia" w:ascii="Times New Roman" w:hAnsi="Times New Roman" w:eastAsia="宋体" w:cs="Times New Roman"/>
                <w:b/>
                <w:bCs w:val="0"/>
                <w:color w:val="auto"/>
                <w:sz w:val="24"/>
                <w:szCs w:val="24"/>
                <w:highlight w:val="none"/>
              </w:rPr>
              <w:t xml:space="preserve">  无组织废气监测方案</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09"/>
              <w:gridCol w:w="1075"/>
              <w:gridCol w:w="1031"/>
              <w:gridCol w:w="35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8" w:type="pct"/>
                  <w:tcBorders>
                    <w:tl2br w:val="nil"/>
                    <w:tr2bl w:val="nil"/>
                  </w:tcBorders>
                  <w:shd w:val="clear" w:color="auto" w:fill="auto"/>
                  <w:vAlign w:val="center"/>
                </w:tcPr>
                <w:p>
                  <w:pPr>
                    <w:spacing w:line="240" w:lineRule="auto"/>
                    <w:jc w:val="center"/>
                    <w:rPr>
                      <w:b/>
                      <w:bCs/>
                      <w:color w:val="auto"/>
                      <w:sz w:val="21"/>
                      <w:szCs w:val="21"/>
                      <w:highlight w:val="none"/>
                    </w:rPr>
                  </w:pPr>
                  <w:r>
                    <w:rPr>
                      <w:b/>
                      <w:bCs/>
                      <w:color w:val="auto"/>
                      <w:sz w:val="21"/>
                      <w:szCs w:val="21"/>
                      <w:highlight w:val="none"/>
                    </w:rPr>
                    <w:t>监测点位</w:t>
                  </w:r>
                </w:p>
              </w:tc>
              <w:tc>
                <w:tcPr>
                  <w:tcW w:w="621" w:type="pct"/>
                  <w:tcBorders>
                    <w:tl2br w:val="nil"/>
                    <w:tr2bl w:val="nil"/>
                  </w:tcBorders>
                  <w:shd w:val="clear" w:color="auto" w:fill="auto"/>
                  <w:vAlign w:val="center"/>
                </w:tcPr>
                <w:p>
                  <w:pPr>
                    <w:spacing w:line="240" w:lineRule="auto"/>
                    <w:jc w:val="center"/>
                    <w:rPr>
                      <w:b/>
                      <w:bCs/>
                      <w:color w:val="auto"/>
                      <w:sz w:val="21"/>
                      <w:szCs w:val="21"/>
                      <w:highlight w:val="none"/>
                    </w:rPr>
                  </w:pPr>
                  <w:r>
                    <w:rPr>
                      <w:b/>
                      <w:bCs/>
                      <w:color w:val="auto"/>
                      <w:sz w:val="21"/>
                      <w:szCs w:val="21"/>
                      <w:highlight w:val="none"/>
                    </w:rPr>
                    <w:t>监测指标</w:t>
                  </w:r>
                </w:p>
              </w:tc>
              <w:tc>
                <w:tcPr>
                  <w:tcW w:w="596" w:type="pct"/>
                  <w:tcBorders>
                    <w:tl2br w:val="nil"/>
                    <w:tr2bl w:val="nil"/>
                  </w:tcBorders>
                  <w:shd w:val="clear" w:color="auto" w:fill="auto"/>
                  <w:vAlign w:val="center"/>
                </w:tcPr>
                <w:p>
                  <w:pPr>
                    <w:spacing w:line="240" w:lineRule="auto"/>
                    <w:jc w:val="center"/>
                    <w:rPr>
                      <w:b/>
                      <w:bCs/>
                      <w:color w:val="auto"/>
                      <w:sz w:val="21"/>
                      <w:szCs w:val="21"/>
                      <w:highlight w:val="none"/>
                    </w:rPr>
                  </w:pPr>
                  <w:r>
                    <w:rPr>
                      <w:b/>
                      <w:bCs/>
                      <w:color w:val="auto"/>
                      <w:sz w:val="21"/>
                      <w:szCs w:val="21"/>
                      <w:highlight w:val="none"/>
                    </w:rPr>
                    <w:t>监测频次</w:t>
                  </w:r>
                </w:p>
              </w:tc>
              <w:tc>
                <w:tcPr>
                  <w:tcW w:w="2043" w:type="pct"/>
                  <w:tcBorders>
                    <w:tl2br w:val="nil"/>
                    <w:tr2bl w:val="nil"/>
                  </w:tcBorders>
                  <w:vAlign w:val="center"/>
                </w:tcPr>
                <w:p>
                  <w:pPr>
                    <w:spacing w:line="240" w:lineRule="auto"/>
                    <w:jc w:val="center"/>
                    <w:rPr>
                      <w:b/>
                      <w:bCs/>
                      <w:color w:val="auto"/>
                      <w:sz w:val="21"/>
                      <w:szCs w:val="21"/>
                      <w:highlight w:val="none"/>
                    </w:rPr>
                  </w:pPr>
                  <w:r>
                    <w:rPr>
                      <w:b/>
                      <w:bCs/>
                      <w:color w:val="auto"/>
                      <w:sz w:val="21"/>
                      <w:szCs w:val="21"/>
                      <w:highlight w:val="none"/>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8" w:type="pct"/>
                  <w:tcBorders>
                    <w:tl2br w:val="nil"/>
                    <w:tr2bl w:val="nil"/>
                  </w:tcBorders>
                  <w:shd w:val="clear" w:color="auto" w:fill="auto"/>
                  <w:vAlign w:val="center"/>
                </w:tcPr>
                <w:p>
                  <w:pPr>
                    <w:spacing w:line="240" w:lineRule="auto"/>
                    <w:jc w:val="center"/>
                    <w:rPr>
                      <w:color w:val="auto"/>
                      <w:sz w:val="21"/>
                      <w:szCs w:val="21"/>
                      <w:highlight w:val="none"/>
                    </w:rPr>
                  </w:pPr>
                  <w:r>
                    <w:rPr>
                      <w:rFonts w:hint="eastAsia" w:eastAsia="宋体"/>
                      <w:color w:val="auto"/>
                      <w:sz w:val="21"/>
                      <w:szCs w:val="21"/>
                      <w:highlight w:val="none"/>
                      <w:lang w:eastAsia="zh-CN"/>
                    </w:rPr>
                    <w:t>厂界上风向（2-50m范围内）设置1个，下风向（2-50m范围内浓度最高点）设置3个</w:t>
                  </w:r>
                </w:p>
              </w:tc>
              <w:tc>
                <w:tcPr>
                  <w:tcW w:w="621" w:type="pct"/>
                  <w:tcBorders>
                    <w:tl2br w:val="nil"/>
                    <w:tr2bl w:val="nil"/>
                  </w:tcBorders>
                  <w:shd w:val="clear" w:color="auto" w:fill="auto"/>
                  <w:vAlign w:val="center"/>
                </w:tcPr>
                <w:p>
                  <w:pPr>
                    <w:spacing w:line="240" w:lineRule="auto"/>
                    <w:jc w:val="center"/>
                    <w:rPr>
                      <w:color w:val="auto"/>
                      <w:sz w:val="21"/>
                      <w:szCs w:val="21"/>
                      <w:highlight w:val="none"/>
                    </w:rPr>
                  </w:pPr>
                  <w:r>
                    <w:rPr>
                      <w:rFonts w:hint="eastAsia"/>
                      <w:color w:val="auto"/>
                      <w:sz w:val="21"/>
                      <w:szCs w:val="21"/>
                      <w:highlight w:val="none"/>
                    </w:rPr>
                    <w:t>颗粒物</w:t>
                  </w:r>
                </w:p>
              </w:tc>
              <w:tc>
                <w:tcPr>
                  <w:tcW w:w="596" w:type="pct"/>
                  <w:tcBorders>
                    <w:tl2br w:val="nil"/>
                    <w:tr2bl w:val="nil"/>
                  </w:tcBorders>
                  <w:shd w:val="clear" w:color="auto" w:fill="auto"/>
                  <w:vAlign w:val="center"/>
                </w:tcPr>
                <w:p>
                  <w:pPr>
                    <w:spacing w:line="240" w:lineRule="auto"/>
                    <w:jc w:val="center"/>
                    <w:rPr>
                      <w:color w:val="auto"/>
                      <w:sz w:val="21"/>
                      <w:szCs w:val="21"/>
                      <w:highlight w:val="none"/>
                    </w:rPr>
                  </w:pPr>
                  <w:r>
                    <w:rPr>
                      <w:rFonts w:hint="eastAsia"/>
                      <w:color w:val="auto"/>
                      <w:sz w:val="21"/>
                      <w:szCs w:val="21"/>
                      <w:highlight w:val="none"/>
                      <w:lang w:val="en-US" w:eastAsia="zh-CN"/>
                    </w:rPr>
                    <w:t>1</w:t>
                  </w:r>
                  <w:r>
                    <w:rPr>
                      <w:rFonts w:hint="eastAsia"/>
                      <w:color w:val="auto"/>
                      <w:sz w:val="21"/>
                      <w:szCs w:val="21"/>
                      <w:highlight w:val="none"/>
                    </w:rPr>
                    <w:t>年/次</w:t>
                  </w:r>
                </w:p>
              </w:tc>
              <w:tc>
                <w:tcPr>
                  <w:tcW w:w="2043" w:type="pct"/>
                  <w:tcBorders>
                    <w:tl2br w:val="nil"/>
                    <w:tr2bl w:val="nil"/>
                  </w:tcBorders>
                  <w:vAlign w:val="center"/>
                </w:tcPr>
                <w:p>
                  <w:pPr>
                    <w:spacing w:line="240" w:lineRule="auto"/>
                    <w:jc w:val="center"/>
                    <w:rPr>
                      <w:color w:val="auto"/>
                      <w:sz w:val="21"/>
                      <w:szCs w:val="21"/>
                      <w:highlight w:val="none"/>
                    </w:rPr>
                  </w:pPr>
                  <w:r>
                    <w:rPr>
                      <w:rFonts w:hint="default" w:ascii="Times New Roman" w:hAnsi="Times New Roman" w:cs="Times New Roman" w:eastAsiaTheme="minorEastAsia"/>
                      <w:color w:val="auto"/>
                      <w:sz w:val="21"/>
                      <w:szCs w:val="21"/>
                      <w:highlight w:val="none"/>
                    </w:rPr>
                    <w:t>《大气污染物综合排放标准》</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GB16297-1996</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表2中二级标准</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sz w:val="24"/>
                <w:szCs w:val="24"/>
                <w:highlight w:val="none"/>
              </w:rPr>
            </w:pPr>
            <w:r>
              <w:rPr>
                <w:rFonts w:hint="eastAsia"/>
                <w:b/>
                <w:color w:val="auto"/>
                <w:sz w:val="24"/>
                <w:szCs w:val="24"/>
                <w:highlight w:val="none"/>
              </w:rPr>
              <w:t>（</w:t>
            </w:r>
            <w:r>
              <w:rPr>
                <w:rFonts w:hint="eastAsia"/>
                <w:b/>
                <w:color w:val="auto"/>
                <w:sz w:val="24"/>
                <w:szCs w:val="24"/>
                <w:highlight w:val="none"/>
                <w:lang w:val="en-US" w:eastAsia="zh-CN"/>
              </w:rPr>
              <w:t>5</w:t>
            </w:r>
            <w:r>
              <w:rPr>
                <w:rFonts w:hint="eastAsia"/>
                <w:b/>
                <w:color w:val="auto"/>
                <w:sz w:val="24"/>
                <w:szCs w:val="24"/>
                <w:highlight w:val="none"/>
              </w:rPr>
              <w:t>）环境影响结论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4"/>
                <w:highlight w:val="none"/>
                <w:lang w:eastAsia="zh-CN"/>
              </w:rPr>
            </w:pPr>
            <w:r>
              <w:rPr>
                <w:rFonts w:hint="eastAsia"/>
                <w:color w:val="auto"/>
                <w:sz w:val="24"/>
                <w:szCs w:val="24"/>
                <w:highlight w:val="none"/>
              </w:rPr>
              <w:t>本项目区域为空气</w:t>
            </w:r>
            <w:r>
              <w:rPr>
                <w:rFonts w:hint="eastAsia" w:ascii="Times New Roman" w:hAnsi="Times New Roman" w:cs="Times New Roman"/>
                <w:color w:val="auto"/>
                <w:sz w:val="24"/>
                <w:szCs w:val="24"/>
                <w:highlight w:val="none"/>
                <w:lang w:eastAsia="zh-CN"/>
              </w:rPr>
              <w:t>质量达标区，项目周边500m范围内环境保护目标分布在厂界</w:t>
            </w:r>
            <w:r>
              <w:rPr>
                <w:rFonts w:hint="eastAsia" w:ascii="Times New Roman" w:hAnsi="Times New Roman" w:cs="Times New Roman"/>
                <w:color w:val="auto"/>
                <w:sz w:val="24"/>
                <w:szCs w:val="24"/>
                <w:highlight w:val="none"/>
                <w:lang w:val="en-US" w:eastAsia="zh-CN"/>
              </w:rPr>
              <w:t>西侧、西北侧、南侧</w:t>
            </w:r>
            <w:r>
              <w:rPr>
                <w:rFonts w:hint="eastAsia" w:ascii="Times New Roman" w:hAnsi="Times New Roman" w:cs="Times New Roman"/>
                <w:color w:val="auto"/>
                <w:sz w:val="24"/>
                <w:szCs w:val="24"/>
                <w:highlight w:val="none"/>
                <w:lang w:eastAsia="zh-CN"/>
              </w:rPr>
              <w:t>；运营期外排废气以颗粒物为主，环评要求</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eastAsia="zh-CN"/>
              </w:rPr>
              <w:t>项目</w:t>
            </w:r>
            <w:r>
              <w:rPr>
                <w:rFonts w:hint="eastAsia" w:ascii="Times New Roman" w:hAnsi="Times New Roman" w:cs="Times New Roman"/>
                <w:color w:val="auto"/>
                <w:sz w:val="24"/>
                <w:szCs w:val="24"/>
                <w:highlight w:val="none"/>
                <w:lang w:val="en-US" w:eastAsia="zh-CN"/>
              </w:rPr>
              <w:t>石料</w:t>
            </w:r>
            <w:r>
              <w:rPr>
                <w:rFonts w:hint="eastAsia" w:ascii="Times New Roman" w:hAnsi="Times New Roman" w:cs="Times New Roman"/>
                <w:color w:val="auto"/>
                <w:sz w:val="24"/>
                <w:szCs w:val="24"/>
                <w:highlight w:val="none"/>
                <w:lang w:eastAsia="zh-CN"/>
              </w:rPr>
              <w:t>加工粉尘经厂房阻隔和</w:t>
            </w:r>
            <w:r>
              <w:rPr>
                <w:rFonts w:hint="eastAsia" w:ascii="Times New Roman" w:hAnsi="Times New Roman" w:cs="Times New Roman"/>
                <w:color w:val="auto"/>
                <w:sz w:val="24"/>
                <w:szCs w:val="24"/>
                <w:highlight w:val="none"/>
                <w:lang w:val="en-US" w:eastAsia="zh-CN"/>
              </w:rPr>
              <w:t>湿法作业</w:t>
            </w:r>
            <w:r>
              <w:rPr>
                <w:rFonts w:hint="eastAsia" w:ascii="Times New Roman" w:hAnsi="Times New Roman" w:cs="Times New Roman"/>
                <w:color w:val="auto"/>
                <w:sz w:val="24"/>
                <w:szCs w:val="24"/>
                <w:highlight w:val="none"/>
                <w:lang w:eastAsia="zh-CN"/>
              </w:rPr>
              <w:t>后无组织排放；</w:t>
            </w:r>
            <w:r>
              <w:rPr>
                <w:rFonts w:hint="eastAsia" w:ascii="Times New Roman" w:hAnsi="Times New Roman" w:cs="Times New Roman"/>
                <w:color w:val="auto"/>
                <w:sz w:val="24"/>
                <w:szCs w:val="24"/>
                <w:highlight w:val="none"/>
                <w:lang w:val="en-US" w:eastAsia="zh-CN"/>
              </w:rPr>
              <w:t>运输扬尘经洒水降尘后无组织排放；食堂油烟经</w:t>
            </w:r>
            <w:r>
              <w:rPr>
                <w:rFonts w:hint="default" w:ascii="Times New Roman" w:hAnsi="Times New Roman" w:cs="Times New Roman"/>
                <w:color w:val="auto"/>
                <w:sz w:val="24"/>
                <w:szCs w:val="24"/>
                <w:highlight w:val="none"/>
                <w:lang w:eastAsia="zh-CN"/>
              </w:rPr>
              <w:t>自带油烟净化功能的</w:t>
            </w:r>
            <w:r>
              <w:rPr>
                <w:rFonts w:hint="eastAsia" w:ascii="Times New Roman" w:hAnsi="Times New Roman" w:cs="Times New Roman"/>
                <w:color w:val="auto"/>
                <w:sz w:val="24"/>
                <w:szCs w:val="24"/>
                <w:highlight w:val="none"/>
                <w:lang w:val="en-US" w:eastAsia="zh-CN"/>
              </w:rPr>
              <w:t>抽油烟机处理后外</w:t>
            </w:r>
            <w:r>
              <w:rPr>
                <w:rFonts w:hint="eastAsia" w:cs="Times New Roman"/>
                <w:color w:val="auto"/>
                <w:sz w:val="24"/>
                <w:szCs w:val="24"/>
                <w:highlight w:val="none"/>
                <w:lang w:val="en-US" w:eastAsia="zh-CN"/>
              </w:rPr>
              <w:t>排。</w:t>
            </w:r>
            <w:r>
              <w:rPr>
                <w:rFonts w:hint="eastAsia"/>
                <w:color w:val="auto"/>
                <w:sz w:val="24"/>
                <w:szCs w:val="24"/>
                <w:highlight w:val="none"/>
              </w:rPr>
              <w:t>采取上述治理措施后，运营期废气可实现达标排放，不会对区域大气环境造成不利影响</w:t>
            </w:r>
            <w:r>
              <w:rPr>
                <w:rFonts w:hint="eastAsia"/>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sz w:val="24"/>
                <w:szCs w:val="24"/>
                <w:highlight w:val="none"/>
              </w:rPr>
            </w:pPr>
            <w:r>
              <w:rPr>
                <w:b/>
                <w:color w:val="auto"/>
                <w:sz w:val="24"/>
                <w:szCs w:val="24"/>
                <w:highlight w:val="none"/>
              </w:rPr>
              <w:t>2</w:t>
            </w:r>
            <w:r>
              <w:rPr>
                <w:rFonts w:hint="eastAsia"/>
                <w:b/>
                <w:color w:val="auto"/>
                <w:sz w:val="24"/>
                <w:szCs w:val="24"/>
                <w:highlight w:val="none"/>
              </w:rPr>
              <w:t>、废水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sz w:val="24"/>
                <w:szCs w:val="24"/>
                <w:highlight w:val="none"/>
              </w:rPr>
            </w:pPr>
            <w:r>
              <w:rPr>
                <w:rFonts w:hint="eastAsia"/>
                <w:b/>
                <w:color w:val="auto"/>
                <w:sz w:val="24"/>
                <w:szCs w:val="24"/>
                <w:highlight w:val="none"/>
              </w:rPr>
              <w:t>（1）产排污环节、类别、污染物种类、产生量核算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color w:val="auto"/>
                <w:sz w:val="24"/>
                <w:szCs w:val="24"/>
                <w:highlight w:val="none"/>
                <w:lang w:eastAsia="zh-CN"/>
              </w:rPr>
            </w:pPr>
            <w:r>
              <w:rPr>
                <w:rFonts w:hint="eastAsia"/>
                <w:b w:val="0"/>
                <w:bCs/>
                <w:color w:val="auto"/>
                <w:sz w:val="24"/>
                <w:szCs w:val="24"/>
                <w:highlight w:val="none"/>
                <w:lang w:eastAsia="zh-CN"/>
              </w:rPr>
              <w:t>根据水量平衡分析，运营期厂区路面洒水降尘用水经蒸发损耗，废水主要为</w:t>
            </w:r>
            <w:r>
              <w:rPr>
                <w:rFonts w:hint="eastAsia"/>
                <w:b w:val="0"/>
                <w:bCs w:val="0"/>
                <w:color w:val="auto"/>
                <w:sz w:val="24"/>
                <w:szCs w:val="24"/>
                <w:highlight w:val="none"/>
                <w:lang w:val="en-US" w:eastAsia="zh-CN"/>
              </w:rPr>
              <w:t>生产降尘废水</w:t>
            </w:r>
            <w:r>
              <w:rPr>
                <w:rFonts w:hint="eastAsia"/>
                <w:b w:val="0"/>
                <w:bCs/>
                <w:color w:val="auto"/>
                <w:sz w:val="24"/>
                <w:szCs w:val="24"/>
                <w:highlight w:val="none"/>
                <w:lang w:eastAsia="zh-CN"/>
              </w:rPr>
              <w:t>和生活污水、</w:t>
            </w:r>
            <w:r>
              <w:rPr>
                <w:rFonts w:hint="eastAsia"/>
                <w:b w:val="0"/>
                <w:bCs/>
                <w:color w:val="auto"/>
                <w:sz w:val="24"/>
                <w:szCs w:val="24"/>
                <w:highlight w:val="none"/>
                <w:lang w:val="en-US" w:eastAsia="zh-CN"/>
              </w:rPr>
              <w:t>食堂用水</w:t>
            </w:r>
            <w:r>
              <w:rPr>
                <w:rFonts w:hint="eastAsia"/>
                <w:b w:val="0"/>
                <w:bCs/>
                <w:color w:val="auto"/>
                <w:sz w:val="24"/>
                <w:szCs w:val="24"/>
                <w:highlight w:val="none"/>
                <w:lang w:eastAsia="zh-CN"/>
              </w:rPr>
              <w:t>，其中：</w:t>
            </w:r>
            <w:r>
              <w:rPr>
                <w:rFonts w:hint="eastAsia"/>
                <w:b w:val="0"/>
                <w:bCs w:val="0"/>
                <w:color w:val="auto"/>
                <w:sz w:val="24"/>
                <w:szCs w:val="24"/>
                <w:highlight w:val="none"/>
                <w:lang w:val="en-US" w:eastAsia="zh-CN"/>
              </w:rPr>
              <w:t>生产降尘废水</w:t>
            </w:r>
            <w:r>
              <w:rPr>
                <w:rFonts w:hint="eastAsia"/>
                <w:b w:val="0"/>
                <w:bCs/>
                <w:color w:val="auto"/>
                <w:sz w:val="24"/>
                <w:szCs w:val="24"/>
                <w:highlight w:val="none"/>
                <w:lang w:eastAsia="zh-CN"/>
              </w:rPr>
              <w:t>主要为</w:t>
            </w:r>
            <w:r>
              <w:rPr>
                <w:rFonts w:hint="eastAsia"/>
                <w:b w:val="0"/>
                <w:bCs/>
                <w:color w:val="auto"/>
                <w:sz w:val="24"/>
                <w:szCs w:val="24"/>
                <w:highlight w:val="none"/>
                <w:lang w:val="en-US" w:eastAsia="zh-CN"/>
              </w:rPr>
              <w:t>降温和除尘</w:t>
            </w:r>
            <w:r>
              <w:rPr>
                <w:rFonts w:hint="eastAsia"/>
                <w:b w:val="0"/>
                <w:bCs/>
                <w:color w:val="auto"/>
                <w:sz w:val="24"/>
                <w:szCs w:val="24"/>
                <w:highlight w:val="none"/>
                <w:lang w:eastAsia="zh-CN"/>
              </w:rPr>
              <w:t>过程中排放的含</w:t>
            </w:r>
            <w:r>
              <w:rPr>
                <w:rFonts w:hint="eastAsia"/>
                <w:b w:val="0"/>
                <w:bCs/>
                <w:color w:val="auto"/>
                <w:sz w:val="24"/>
                <w:szCs w:val="24"/>
                <w:highlight w:val="none"/>
                <w:lang w:val="en-US" w:eastAsia="zh-CN"/>
              </w:rPr>
              <w:t>石料</w:t>
            </w:r>
            <w:r>
              <w:rPr>
                <w:rFonts w:hint="eastAsia"/>
                <w:b w:val="0"/>
                <w:bCs/>
                <w:color w:val="auto"/>
                <w:sz w:val="24"/>
                <w:szCs w:val="24"/>
                <w:highlight w:val="none"/>
                <w:lang w:eastAsia="zh-CN"/>
              </w:rPr>
              <w:t>污水，产生量约</w:t>
            </w:r>
            <w:r>
              <w:rPr>
                <w:rFonts w:hint="eastAsia" w:cs="Times New Roman"/>
                <w:i w:val="0"/>
                <w:iCs w:val="0"/>
                <w:color w:val="auto"/>
                <w:kern w:val="0"/>
                <w:sz w:val="24"/>
                <w:szCs w:val="24"/>
                <w:highlight w:val="none"/>
                <w:u w:val="none"/>
                <w:lang w:val="en-US" w:eastAsia="zh-CN" w:bidi="ar"/>
              </w:rPr>
              <w:t>8.5</w:t>
            </w:r>
            <w:r>
              <w:rPr>
                <w:rFonts w:hint="eastAsia"/>
                <w:b w:val="0"/>
                <w:bCs/>
                <w:color w:val="auto"/>
                <w:sz w:val="24"/>
                <w:szCs w:val="24"/>
                <w:highlight w:val="none"/>
                <w:lang w:eastAsia="zh-CN"/>
              </w:rPr>
              <w:t>m</w:t>
            </w:r>
            <w:r>
              <w:rPr>
                <w:rFonts w:hint="eastAsia"/>
                <w:b w:val="0"/>
                <w:bCs/>
                <w:color w:val="auto"/>
                <w:sz w:val="24"/>
                <w:szCs w:val="24"/>
                <w:highlight w:val="none"/>
                <w:vertAlign w:val="superscript"/>
                <w:lang w:eastAsia="zh-CN"/>
              </w:rPr>
              <w:t>3</w:t>
            </w:r>
            <w:r>
              <w:rPr>
                <w:rFonts w:hint="eastAsia"/>
                <w:b w:val="0"/>
                <w:bCs/>
                <w:color w:val="auto"/>
                <w:sz w:val="24"/>
                <w:szCs w:val="24"/>
                <w:highlight w:val="none"/>
                <w:lang w:eastAsia="zh-CN"/>
              </w:rPr>
              <w:t>/d，主要污染物浓度SS：3000mg/L；员工办公生活过程中生活污水</w:t>
            </w:r>
            <w:r>
              <w:rPr>
                <w:rFonts w:hint="eastAsia"/>
                <w:b w:val="0"/>
                <w:bCs/>
                <w:color w:val="auto"/>
                <w:sz w:val="24"/>
                <w:szCs w:val="24"/>
                <w:highlight w:val="none"/>
                <w:lang w:val="en-US" w:eastAsia="zh-CN"/>
              </w:rPr>
              <w:t>和食堂废水</w:t>
            </w:r>
            <w:r>
              <w:rPr>
                <w:rFonts w:hint="eastAsia"/>
                <w:b w:val="0"/>
                <w:bCs/>
                <w:color w:val="auto"/>
                <w:sz w:val="24"/>
                <w:szCs w:val="24"/>
                <w:highlight w:val="none"/>
                <w:lang w:eastAsia="zh-CN"/>
              </w:rPr>
              <w:t>产生量约</w:t>
            </w:r>
            <w:r>
              <w:rPr>
                <w:rFonts w:hint="eastAsia" w:cs="Times New Roman" w:eastAsiaTheme="minorEastAsia"/>
                <w:color w:val="auto"/>
                <w:sz w:val="24"/>
                <w:szCs w:val="24"/>
                <w:highlight w:val="none"/>
                <w:lang w:val="en-US" w:eastAsia="zh-CN"/>
              </w:rPr>
              <w:t>0.612</w:t>
            </w:r>
            <w:r>
              <w:rPr>
                <w:rFonts w:hint="eastAsia"/>
                <w:b w:val="0"/>
                <w:bCs/>
                <w:color w:val="auto"/>
                <w:sz w:val="24"/>
                <w:szCs w:val="24"/>
                <w:highlight w:val="none"/>
                <w:lang w:eastAsia="zh-CN"/>
              </w:rPr>
              <w:t>m</w:t>
            </w:r>
            <w:r>
              <w:rPr>
                <w:rFonts w:hint="eastAsia"/>
                <w:b w:val="0"/>
                <w:bCs/>
                <w:color w:val="auto"/>
                <w:sz w:val="24"/>
                <w:szCs w:val="24"/>
                <w:highlight w:val="none"/>
                <w:vertAlign w:val="superscript"/>
                <w:lang w:eastAsia="zh-CN"/>
              </w:rPr>
              <w:t>3</w:t>
            </w:r>
            <w:r>
              <w:rPr>
                <w:rFonts w:hint="eastAsia"/>
                <w:b w:val="0"/>
                <w:bCs/>
                <w:color w:val="auto"/>
                <w:sz w:val="24"/>
                <w:szCs w:val="24"/>
                <w:highlight w:val="none"/>
                <w:lang w:eastAsia="zh-CN"/>
              </w:rPr>
              <w:t>/d，主要污染物浓度COD：360mg/L、BOD</w:t>
            </w:r>
            <w:r>
              <w:rPr>
                <w:rFonts w:hint="eastAsia"/>
                <w:b w:val="0"/>
                <w:bCs/>
                <w:color w:val="auto"/>
                <w:sz w:val="24"/>
                <w:szCs w:val="24"/>
                <w:highlight w:val="none"/>
                <w:vertAlign w:val="subscript"/>
                <w:lang w:eastAsia="zh-CN"/>
              </w:rPr>
              <w:t>5</w:t>
            </w:r>
            <w:r>
              <w:rPr>
                <w:rFonts w:hint="eastAsia"/>
                <w:b w:val="0"/>
                <w:bCs/>
                <w:color w:val="auto"/>
                <w:sz w:val="24"/>
                <w:szCs w:val="24"/>
                <w:highlight w:val="none"/>
                <w:lang w:eastAsia="zh-CN"/>
              </w:rPr>
              <w:t>：157mg/L、SS：200mg/L、NH</w:t>
            </w:r>
            <w:r>
              <w:rPr>
                <w:rFonts w:hint="eastAsia"/>
                <w:b w:val="0"/>
                <w:bCs/>
                <w:color w:val="auto"/>
                <w:sz w:val="24"/>
                <w:szCs w:val="24"/>
                <w:highlight w:val="none"/>
                <w:vertAlign w:val="subscript"/>
                <w:lang w:eastAsia="zh-CN"/>
              </w:rPr>
              <w:t>3</w:t>
            </w:r>
            <w:r>
              <w:rPr>
                <w:rFonts w:hint="eastAsia"/>
                <w:b w:val="0"/>
                <w:bCs/>
                <w:color w:val="auto"/>
                <w:sz w:val="24"/>
                <w:szCs w:val="24"/>
                <w:highlight w:val="none"/>
                <w:lang w:eastAsia="zh-CN"/>
              </w:rPr>
              <w:t>-N：36.2mg/L、TP：4.64mg/L。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color w:val="auto"/>
                <w:sz w:val="24"/>
                <w:szCs w:val="24"/>
                <w:highlight w:val="none"/>
                <w:lang w:eastAsia="zh-CN"/>
              </w:rPr>
            </w:pPr>
            <w:r>
              <w:rPr>
                <w:rFonts w:hint="eastAsia"/>
                <w:b w:val="0"/>
                <w:bCs/>
                <w:color w:val="auto"/>
                <w:sz w:val="24"/>
                <w:szCs w:val="24"/>
                <w:highlight w:val="none"/>
                <w:lang w:eastAsia="zh-CN"/>
              </w:rPr>
              <w:t>综上所述，项目废水产排污环节、类别、污染物种类、产生量见下表：</w:t>
            </w:r>
          </w:p>
          <w:p>
            <w:pPr>
              <w:spacing w:line="360" w:lineRule="auto"/>
              <w:jc w:val="center"/>
              <w:rPr>
                <w:rFonts w:hint="eastAsia"/>
                <w:b/>
                <w:bCs w:val="0"/>
                <w:color w:val="auto"/>
                <w:sz w:val="24"/>
                <w:szCs w:val="24"/>
                <w:highlight w:val="none"/>
              </w:rPr>
            </w:pPr>
            <w:r>
              <w:rPr>
                <w:rFonts w:hint="eastAsia"/>
                <w:b/>
                <w:bCs w:val="0"/>
                <w:color w:val="auto"/>
                <w:sz w:val="24"/>
                <w:szCs w:val="24"/>
                <w:highlight w:val="none"/>
              </w:rPr>
              <w:t>表4-</w:t>
            </w:r>
            <w:r>
              <w:rPr>
                <w:rFonts w:hint="eastAsia"/>
                <w:b/>
                <w:bCs w:val="0"/>
                <w:color w:val="auto"/>
                <w:sz w:val="24"/>
                <w:szCs w:val="24"/>
                <w:highlight w:val="none"/>
                <w:lang w:val="en-US" w:eastAsia="zh-CN"/>
              </w:rPr>
              <w:t>8</w:t>
            </w:r>
            <w:r>
              <w:rPr>
                <w:rFonts w:hint="eastAsia"/>
                <w:b/>
                <w:bCs w:val="0"/>
                <w:color w:val="auto"/>
                <w:sz w:val="24"/>
                <w:szCs w:val="24"/>
                <w:highlight w:val="none"/>
              </w:rPr>
              <w:t xml:space="preserve"> 废水产排污环节、类别、污染物种类、产生量表</w:t>
            </w:r>
          </w:p>
          <w:tbl>
            <w:tblPr>
              <w:tblStyle w:val="24"/>
              <w:tblW w:w="4999"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747"/>
              <w:gridCol w:w="1165"/>
              <w:gridCol w:w="1312"/>
              <w:gridCol w:w="1613"/>
              <w:gridCol w:w="16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废水产污环节</w:t>
                  </w:r>
                </w:p>
              </w:tc>
              <w:tc>
                <w:tcPr>
                  <w:tcW w:w="1009" w:type="pct"/>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废水类别</w:t>
                  </w:r>
                </w:p>
              </w:tc>
              <w:tc>
                <w:tcPr>
                  <w:tcW w:w="673" w:type="pct"/>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eastAsiaTheme="minorEastAsia"/>
                      <w:b/>
                      <w:bCs/>
                      <w:color w:val="auto"/>
                      <w:sz w:val="21"/>
                      <w:szCs w:val="21"/>
                      <w:highlight w:val="none"/>
                    </w:rPr>
                    <w:t>废水量</w:t>
                  </w:r>
                  <w:r>
                    <w:rPr>
                      <w:rFonts w:hint="default" w:ascii="Times New Roman" w:hAnsi="Times New Roman" w:cs="Times New Roman" w:eastAsiaTheme="minorEastAsia"/>
                      <w:b/>
                      <w:bCs/>
                      <w:color w:val="auto"/>
                      <w:sz w:val="21"/>
                      <w:szCs w:val="21"/>
                      <w:highlight w:val="none"/>
                      <w:lang w:eastAsia="zh-CN"/>
                    </w:rPr>
                    <w:t>（</w:t>
                  </w:r>
                  <w:r>
                    <w:rPr>
                      <w:rFonts w:hint="default" w:ascii="Times New Roman" w:hAnsi="Times New Roman" w:cs="Times New Roman" w:eastAsiaTheme="minorEastAsia"/>
                      <w:b/>
                      <w:bCs/>
                      <w:color w:val="auto"/>
                      <w:sz w:val="21"/>
                      <w:szCs w:val="21"/>
                      <w:highlight w:val="none"/>
                    </w:rPr>
                    <w:t>m</w:t>
                  </w:r>
                  <w:r>
                    <w:rPr>
                      <w:rFonts w:hint="default" w:ascii="Times New Roman" w:hAnsi="Times New Roman" w:cs="Times New Roman" w:eastAsiaTheme="minorEastAsia"/>
                      <w:b/>
                      <w:bCs/>
                      <w:color w:val="auto"/>
                      <w:sz w:val="21"/>
                      <w:szCs w:val="21"/>
                      <w:highlight w:val="none"/>
                      <w:vertAlign w:val="superscript"/>
                    </w:rPr>
                    <w:t>3</w:t>
                  </w:r>
                  <w:r>
                    <w:rPr>
                      <w:rFonts w:hint="default" w:ascii="Times New Roman" w:hAnsi="Times New Roman" w:cs="Times New Roman" w:eastAsiaTheme="minorEastAsia"/>
                      <w:b/>
                      <w:bCs/>
                      <w:color w:val="auto"/>
                      <w:sz w:val="21"/>
                      <w:szCs w:val="21"/>
                      <w:highlight w:val="none"/>
                    </w:rPr>
                    <w:t>/d</w:t>
                  </w:r>
                  <w:r>
                    <w:rPr>
                      <w:rFonts w:hint="default" w:ascii="Times New Roman" w:hAnsi="Times New Roman" w:cs="Times New Roman" w:eastAsiaTheme="minorEastAsia"/>
                      <w:b/>
                      <w:bCs/>
                      <w:color w:val="auto"/>
                      <w:sz w:val="21"/>
                      <w:szCs w:val="21"/>
                      <w:highlight w:val="none"/>
                      <w:lang w:eastAsia="zh-CN"/>
                    </w:rPr>
                    <w:t>）</w:t>
                  </w:r>
                </w:p>
              </w:tc>
              <w:tc>
                <w:tcPr>
                  <w:tcW w:w="758" w:type="pct"/>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污染物种类</w:t>
                  </w:r>
                </w:p>
              </w:tc>
              <w:tc>
                <w:tcPr>
                  <w:tcW w:w="1867" w:type="pct"/>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污染物产生量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b/>
                      <w:bCs/>
                      <w:color w:val="auto"/>
                      <w:sz w:val="21"/>
                      <w:szCs w:val="21"/>
                      <w:highlight w:val="none"/>
                    </w:rPr>
                  </w:pPr>
                </w:p>
              </w:tc>
              <w:tc>
                <w:tcPr>
                  <w:tcW w:w="1009"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b/>
                      <w:bCs/>
                      <w:color w:val="auto"/>
                      <w:sz w:val="21"/>
                      <w:szCs w:val="21"/>
                      <w:highlight w:val="none"/>
                    </w:rPr>
                  </w:pPr>
                </w:p>
              </w:tc>
              <w:tc>
                <w:tcPr>
                  <w:tcW w:w="673"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b/>
                      <w:bCs/>
                      <w:color w:val="auto"/>
                      <w:sz w:val="21"/>
                      <w:szCs w:val="21"/>
                      <w:highlight w:val="none"/>
                    </w:rPr>
                  </w:pPr>
                </w:p>
              </w:tc>
              <w:tc>
                <w:tcPr>
                  <w:tcW w:w="758"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b/>
                      <w:bCs/>
                      <w:color w:val="auto"/>
                      <w:sz w:val="21"/>
                      <w:szCs w:val="21"/>
                      <w:highlight w:val="none"/>
                    </w:rPr>
                  </w:pPr>
                </w:p>
              </w:tc>
              <w:tc>
                <w:tcPr>
                  <w:tcW w:w="932" w:type="pc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eastAsiaTheme="minorEastAsia"/>
                      <w:b/>
                      <w:bCs/>
                      <w:color w:val="auto"/>
                      <w:sz w:val="21"/>
                      <w:szCs w:val="21"/>
                      <w:highlight w:val="none"/>
                    </w:rPr>
                    <w:t>浓度</w:t>
                  </w:r>
                  <w:r>
                    <w:rPr>
                      <w:rFonts w:hint="default" w:ascii="Times New Roman" w:hAnsi="Times New Roman" w:cs="Times New Roman" w:eastAsiaTheme="minorEastAsia"/>
                      <w:b/>
                      <w:bCs/>
                      <w:color w:val="auto"/>
                      <w:sz w:val="21"/>
                      <w:szCs w:val="21"/>
                      <w:highlight w:val="none"/>
                      <w:lang w:eastAsia="zh-CN"/>
                    </w:rPr>
                    <w:t>（</w:t>
                  </w:r>
                  <w:r>
                    <w:rPr>
                      <w:rFonts w:hint="default" w:ascii="Times New Roman" w:hAnsi="Times New Roman" w:cs="Times New Roman" w:eastAsiaTheme="minorEastAsia"/>
                      <w:b/>
                      <w:bCs/>
                      <w:color w:val="auto"/>
                      <w:sz w:val="21"/>
                      <w:szCs w:val="21"/>
                      <w:highlight w:val="none"/>
                    </w:rPr>
                    <w:t>mg/L</w:t>
                  </w:r>
                  <w:r>
                    <w:rPr>
                      <w:rFonts w:hint="default" w:ascii="Times New Roman" w:hAnsi="Times New Roman" w:cs="Times New Roman" w:eastAsiaTheme="minorEastAsia"/>
                      <w:b/>
                      <w:bCs/>
                      <w:color w:val="auto"/>
                      <w:sz w:val="21"/>
                      <w:szCs w:val="21"/>
                      <w:highlight w:val="none"/>
                      <w:lang w:eastAsia="zh-CN"/>
                    </w:rPr>
                    <w:t>）</w:t>
                  </w:r>
                </w:p>
              </w:tc>
              <w:tc>
                <w:tcPr>
                  <w:tcW w:w="935" w:type="pc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eastAsiaTheme="minorEastAsia"/>
                      <w:b/>
                      <w:bCs/>
                      <w:color w:val="auto"/>
                      <w:sz w:val="21"/>
                      <w:szCs w:val="21"/>
                      <w:highlight w:val="none"/>
                    </w:rPr>
                    <w:t>产生量</w:t>
                  </w:r>
                  <w:r>
                    <w:rPr>
                      <w:rFonts w:hint="default" w:ascii="Times New Roman" w:hAnsi="Times New Roman" w:cs="Times New Roman" w:eastAsiaTheme="minorEastAsia"/>
                      <w:b/>
                      <w:bCs/>
                      <w:color w:val="auto"/>
                      <w:sz w:val="21"/>
                      <w:szCs w:val="21"/>
                      <w:highlight w:val="none"/>
                      <w:lang w:eastAsia="zh-CN"/>
                    </w:rPr>
                    <w:t>（</w:t>
                  </w:r>
                  <w:r>
                    <w:rPr>
                      <w:rFonts w:hint="default" w:ascii="Times New Roman" w:hAnsi="Times New Roman" w:cs="Times New Roman" w:eastAsiaTheme="minorEastAsia"/>
                      <w:b/>
                      <w:bCs/>
                      <w:color w:val="auto"/>
                      <w:sz w:val="21"/>
                      <w:szCs w:val="21"/>
                      <w:highlight w:val="none"/>
                    </w:rPr>
                    <w:t>t/a</w:t>
                  </w:r>
                  <w:r>
                    <w:rPr>
                      <w:rFonts w:hint="default" w:ascii="Times New Roman" w:hAnsi="Times New Roman" w:cs="Times New Roman" w:eastAsiaTheme="minorEastAsia"/>
                      <w:b/>
                      <w:bCs/>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olor w:val="auto"/>
                      <w:sz w:val="21"/>
                      <w:szCs w:val="21"/>
                      <w:highlight w:val="none"/>
                      <w:lang w:val="en-US" w:eastAsia="zh-CN"/>
                    </w:rPr>
                    <w:t>石料加工</w:t>
                  </w:r>
                </w:p>
              </w:tc>
              <w:tc>
                <w:tcPr>
                  <w:tcW w:w="1009" w:type="pc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生产降尘废水</w:t>
                  </w:r>
                </w:p>
              </w:tc>
              <w:tc>
                <w:tcPr>
                  <w:tcW w:w="67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8.5</w:t>
                  </w:r>
                </w:p>
              </w:tc>
              <w:tc>
                <w:tcPr>
                  <w:tcW w:w="758" w:type="pc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SS</w:t>
                  </w:r>
                </w:p>
              </w:tc>
              <w:tc>
                <w:tcPr>
                  <w:tcW w:w="932" w:type="pc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3000</w:t>
                  </w:r>
                </w:p>
              </w:tc>
              <w:tc>
                <w:tcPr>
                  <w:tcW w:w="1619"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7.650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厂区员工</w:t>
                  </w:r>
                </w:p>
              </w:tc>
              <w:tc>
                <w:tcPr>
                  <w:tcW w:w="1009" w:type="pct"/>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生活污水</w:t>
                  </w:r>
                  <w:r>
                    <w:rPr>
                      <w:rFonts w:hint="eastAsia" w:cs="Times New Roman" w:eastAsiaTheme="minorEastAsia"/>
                      <w:color w:val="auto"/>
                      <w:sz w:val="21"/>
                      <w:szCs w:val="21"/>
                      <w:highlight w:val="none"/>
                      <w:lang w:eastAsia="zh-CN"/>
                    </w:rPr>
                    <w:t>、</w:t>
                  </w:r>
                  <w:r>
                    <w:rPr>
                      <w:rFonts w:hint="eastAsia" w:cs="Times New Roman" w:eastAsiaTheme="minorEastAsia"/>
                      <w:color w:val="auto"/>
                      <w:sz w:val="21"/>
                      <w:szCs w:val="21"/>
                      <w:highlight w:val="none"/>
                      <w:lang w:val="en-US" w:eastAsia="zh-CN"/>
                    </w:rPr>
                    <w:t>食堂废水</w:t>
                  </w:r>
                </w:p>
              </w:tc>
              <w:tc>
                <w:tcPr>
                  <w:tcW w:w="673"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0.612</w:t>
                  </w:r>
                </w:p>
              </w:tc>
              <w:tc>
                <w:tcPr>
                  <w:tcW w:w="758" w:type="pc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COD</w:t>
                  </w:r>
                </w:p>
              </w:tc>
              <w:tc>
                <w:tcPr>
                  <w:tcW w:w="932" w:type="pct"/>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sz w:val="21"/>
                      <w:szCs w:val="21"/>
                      <w:highlight w:val="none"/>
                    </w:rPr>
                    <w:t>360</w:t>
                  </w:r>
                </w:p>
              </w:tc>
              <w:tc>
                <w:tcPr>
                  <w:tcW w:w="1619"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0.066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p>
              </w:tc>
              <w:tc>
                <w:tcPr>
                  <w:tcW w:w="1009"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p>
              </w:tc>
              <w:tc>
                <w:tcPr>
                  <w:tcW w:w="673"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p>
              </w:tc>
              <w:tc>
                <w:tcPr>
                  <w:tcW w:w="758" w:type="pc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BOD</w:t>
                  </w:r>
                  <w:r>
                    <w:rPr>
                      <w:rFonts w:hint="default" w:ascii="Times New Roman" w:hAnsi="Times New Roman" w:cs="Times New Roman" w:eastAsiaTheme="minorEastAsia"/>
                      <w:color w:val="auto"/>
                      <w:sz w:val="21"/>
                      <w:szCs w:val="21"/>
                      <w:highlight w:val="none"/>
                      <w:vertAlign w:val="subscript"/>
                    </w:rPr>
                    <w:t>5</w:t>
                  </w:r>
                </w:p>
              </w:tc>
              <w:tc>
                <w:tcPr>
                  <w:tcW w:w="932" w:type="pc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157</w:t>
                  </w:r>
                </w:p>
              </w:tc>
              <w:tc>
                <w:tcPr>
                  <w:tcW w:w="1619"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0.029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p>
              </w:tc>
              <w:tc>
                <w:tcPr>
                  <w:tcW w:w="1009"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p>
              </w:tc>
              <w:tc>
                <w:tcPr>
                  <w:tcW w:w="673"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p>
              </w:tc>
              <w:tc>
                <w:tcPr>
                  <w:tcW w:w="758" w:type="pc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SS</w:t>
                  </w:r>
                </w:p>
              </w:tc>
              <w:tc>
                <w:tcPr>
                  <w:tcW w:w="932" w:type="pc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200</w:t>
                  </w:r>
                </w:p>
              </w:tc>
              <w:tc>
                <w:tcPr>
                  <w:tcW w:w="1619"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0.037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p>
              </w:tc>
              <w:tc>
                <w:tcPr>
                  <w:tcW w:w="1009"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p>
              </w:tc>
              <w:tc>
                <w:tcPr>
                  <w:tcW w:w="673"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p>
              </w:tc>
              <w:tc>
                <w:tcPr>
                  <w:tcW w:w="758" w:type="pc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NH</w:t>
                  </w:r>
                  <w:r>
                    <w:rPr>
                      <w:rFonts w:hint="default" w:ascii="Times New Roman" w:hAnsi="Times New Roman" w:cs="Times New Roman" w:eastAsiaTheme="minorEastAsia"/>
                      <w:color w:val="auto"/>
                      <w:sz w:val="21"/>
                      <w:szCs w:val="21"/>
                      <w:highlight w:val="none"/>
                      <w:vertAlign w:val="subscript"/>
                    </w:rPr>
                    <w:t>3</w:t>
                  </w:r>
                  <w:r>
                    <w:rPr>
                      <w:rFonts w:hint="default" w:ascii="Times New Roman" w:hAnsi="Times New Roman" w:cs="Times New Roman" w:eastAsiaTheme="minorEastAsia"/>
                      <w:color w:val="auto"/>
                      <w:sz w:val="21"/>
                      <w:szCs w:val="21"/>
                      <w:highlight w:val="none"/>
                    </w:rPr>
                    <w:t>-N</w:t>
                  </w:r>
                </w:p>
              </w:tc>
              <w:tc>
                <w:tcPr>
                  <w:tcW w:w="932" w:type="pc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36.2</w:t>
                  </w:r>
                </w:p>
              </w:tc>
              <w:tc>
                <w:tcPr>
                  <w:tcW w:w="1619"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0.007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p>
              </w:tc>
              <w:tc>
                <w:tcPr>
                  <w:tcW w:w="1009"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p>
              </w:tc>
              <w:tc>
                <w:tcPr>
                  <w:tcW w:w="673"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p>
              </w:tc>
              <w:tc>
                <w:tcPr>
                  <w:tcW w:w="758" w:type="pc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TP</w:t>
                  </w:r>
                </w:p>
              </w:tc>
              <w:tc>
                <w:tcPr>
                  <w:tcW w:w="932" w:type="pc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4.64</w:t>
                  </w:r>
                </w:p>
              </w:tc>
              <w:tc>
                <w:tcPr>
                  <w:tcW w:w="1619"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val="0"/>
                <w:color w:val="auto"/>
                <w:sz w:val="24"/>
                <w:szCs w:val="24"/>
                <w:highlight w:val="none"/>
              </w:rPr>
            </w:pPr>
            <w:r>
              <w:rPr>
                <w:rFonts w:hint="eastAsia"/>
                <w:b/>
                <w:bCs w:val="0"/>
                <w:color w:val="auto"/>
                <w:sz w:val="24"/>
                <w:szCs w:val="24"/>
                <w:highlight w:val="none"/>
              </w:rPr>
              <w:t>（2）治理设施、排放方式、排放口基本信息</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eastAsia="宋体"/>
                <w:color w:val="auto"/>
                <w:sz w:val="24"/>
                <w:szCs w:val="24"/>
                <w:highlight w:val="none"/>
                <w:lang w:val="en-US" w:eastAsia="zh-CN"/>
              </w:rPr>
            </w:pPr>
            <w:r>
              <w:rPr>
                <w:rFonts w:hint="eastAsia"/>
                <w:b/>
                <w:color w:val="auto"/>
                <w:sz w:val="24"/>
                <w:szCs w:val="24"/>
                <w:highlight w:val="none"/>
              </w:rPr>
              <w:t>①治理措施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highlight w:val="none"/>
                <w:lang w:val="en-US" w:eastAsia="zh-CN"/>
              </w:rPr>
            </w:pPr>
            <w:r>
              <w:rPr>
                <w:rFonts w:hint="eastAsia"/>
                <w:color w:val="auto"/>
                <w:sz w:val="24"/>
                <w:szCs w:val="24"/>
                <w:highlight w:val="none"/>
              </w:rPr>
              <w:t>本项目排水采用雨、污分流制，</w:t>
            </w:r>
            <w:r>
              <w:rPr>
                <w:rFonts w:hint="eastAsia"/>
                <w:color w:val="0000FF"/>
                <w:sz w:val="24"/>
                <w:szCs w:val="24"/>
                <w:highlight w:val="none"/>
                <w:lang w:val="en-US" w:eastAsia="zh-CN"/>
              </w:rPr>
              <w:t>初期雨水进入三级沉淀池中，用于生产用水</w:t>
            </w:r>
            <w:r>
              <w:rPr>
                <w:rFonts w:hint="eastAsia" w:ascii="Times New Roman" w:hAnsi="Times New Roman" w:eastAsia="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eastAsia="宋体"/>
                <w:color w:val="auto"/>
                <w:sz w:val="24"/>
                <w:szCs w:val="24"/>
                <w:highlight w:val="none"/>
                <w:lang w:val="en-US" w:eastAsia="zh-CN"/>
              </w:rPr>
            </w:pPr>
            <w:r>
              <w:rPr>
                <w:rFonts w:hint="eastAsia"/>
                <w:b/>
                <w:color w:val="auto"/>
                <w:sz w:val="24"/>
                <w:szCs w:val="24"/>
                <w:highlight w:val="none"/>
              </w:rPr>
              <w:t>生活污水：</w:t>
            </w:r>
            <w:r>
              <w:rPr>
                <w:rFonts w:hint="eastAsia"/>
                <w:b w:val="0"/>
                <w:bCs/>
                <w:color w:val="auto"/>
                <w:sz w:val="24"/>
                <w:szCs w:val="24"/>
                <w:highlight w:val="none"/>
                <w:lang w:val="en-US" w:eastAsia="zh-CN"/>
              </w:rPr>
              <w:t>全厂</w:t>
            </w:r>
            <w:r>
              <w:rPr>
                <w:rFonts w:hint="eastAsia"/>
                <w:bCs/>
                <w:color w:val="auto"/>
                <w:sz w:val="24"/>
                <w:szCs w:val="24"/>
                <w:highlight w:val="none"/>
              </w:rPr>
              <w:t>生活污水量为</w:t>
            </w:r>
            <w:r>
              <w:rPr>
                <w:rFonts w:hint="default" w:ascii="Times New Roman" w:hAnsi="Times New Roman" w:eastAsia="宋体" w:cs="Times New Roman"/>
                <w:i w:val="0"/>
                <w:iCs w:val="0"/>
                <w:color w:val="auto"/>
                <w:kern w:val="0"/>
                <w:sz w:val="24"/>
                <w:szCs w:val="24"/>
                <w:u w:val="none"/>
                <w:lang w:val="en-US" w:eastAsia="zh-CN" w:bidi="ar"/>
              </w:rPr>
              <w:t xml:space="preserve">0.510 </w:t>
            </w:r>
            <w:r>
              <w:rPr>
                <w:rFonts w:hint="eastAsia"/>
                <w:color w:val="auto"/>
                <w:kern w:val="24"/>
                <w:sz w:val="24"/>
                <w:szCs w:val="24"/>
                <w:highlight w:val="none"/>
              </w:rPr>
              <w:t>m</w:t>
            </w:r>
            <w:r>
              <w:rPr>
                <w:rFonts w:hint="eastAsia"/>
                <w:color w:val="auto"/>
                <w:kern w:val="24"/>
                <w:sz w:val="24"/>
                <w:szCs w:val="24"/>
                <w:highlight w:val="none"/>
                <w:vertAlign w:val="superscript"/>
              </w:rPr>
              <w:t>3</w:t>
            </w:r>
            <w:r>
              <w:rPr>
                <w:rFonts w:hint="eastAsia"/>
                <w:color w:val="auto"/>
                <w:kern w:val="24"/>
                <w:sz w:val="24"/>
                <w:szCs w:val="24"/>
                <w:highlight w:val="none"/>
              </w:rPr>
              <w:t>/d，食堂废水量为</w:t>
            </w:r>
            <w:r>
              <w:rPr>
                <w:rFonts w:hint="default" w:ascii="Times New Roman" w:hAnsi="Times New Roman" w:eastAsia="宋体" w:cs="Times New Roman"/>
                <w:i w:val="0"/>
                <w:iCs w:val="0"/>
                <w:color w:val="auto"/>
                <w:kern w:val="0"/>
                <w:sz w:val="24"/>
                <w:szCs w:val="24"/>
                <w:u w:val="none"/>
                <w:lang w:val="en-US" w:eastAsia="zh-CN" w:bidi="ar"/>
              </w:rPr>
              <w:t xml:space="preserve">0.102 </w:t>
            </w:r>
            <w:r>
              <w:rPr>
                <w:rFonts w:hint="eastAsia"/>
                <w:color w:val="auto"/>
                <w:kern w:val="24"/>
                <w:sz w:val="24"/>
                <w:szCs w:val="24"/>
                <w:highlight w:val="none"/>
              </w:rPr>
              <w:t>m</w:t>
            </w:r>
            <w:r>
              <w:rPr>
                <w:rFonts w:hint="eastAsia"/>
                <w:color w:val="auto"/>
                <w:kern w:val="24"/>
                <w:sz w:val="24"/>
                <w:szCs w:val="24"/>
                <w:highlight w:val="none"/>
                <w:vertAlign w:val="superscript"/>
              </w:rPr>
              <w:t>3</w:t>
            </w:r>
            <w:r>
              <w:rPr>
                <w:rFonts w:hint="eastAsia"/>
                <w:color w:val="auto"/>
                <w:kern w:val="24"/>
                <w:sz w:val="24"/>
                <w:szCs w:val="24"/>
                <w:highlight w:val="none"/>
              </w:rPr>
              <w:t>/d。主要污染物为COD、BOD</w:t>
            </w:r>
            <w:r>
              <w:rPr>
                <w:rFonts w:hint="eastAsia"/>
                <w:color w:val="auto"/>
                <w:kern w:val="24"/>
                <w:sz w:val="24"/>
                <w:szCs w:val="24"/>
                <w:highlight w:val="none"/>
                <w:vertAlign w:val="subscript"/>
              </w:rPr>
              <w:t>5</w:t>
            </w:r>
            <w:r>
              <w:rPr>
                <w:rFonts w:hint="eastAsia"/>
                <w:color w:val="auto"/>
                <w:kern w:val="24"/>
                <w:sz w:val="24"/>
                <w:szCs w:val="24"/>
                <w:highlight w:val="none"/>
              </w:rPr>
              <w:t>、SS、NH</w:t>
            </w:r>
            <w:r>
              <w:rPr>
                <w:rFonts w:hint="eastAsia"/>
                <w:color w:val="auto"/>
                <w:kern w:val="24"/>
                <w:sz w:val="24"/>
                <w:szCs w:val="24"/>
                <w:highlight w:val="none"/>
                <w:vertAlign w:val="subscript"/>
              </w:rPr>
              <w:t>3</w:t>
            </w:r>
            <w:r>
              <w:rPr>
                <w:rFonts w:hint="eastAsia"/>
                <w:color w:val="auto"/>
                <w:kern w:val="24"/>
                <w:sz w:val="24"/>
                <w:szCs w:val="24"/>
                <w:highlight w:val="none"/>
              </w:rPr>
              <w:t>-N、动植物油，项目食堂废水经隔油池处理后同生活污水一起排入</w:t>
            </w:r>
            <w:r>
              <w:rPr>
                <w:rFonts w:hint="eastAsia"/>
                <w:color w:val="auto"/>
                <w:kern w:val="24"/>
                <w:sz w:val="24"/>
                <w:szCs w:val="24"/>
                <w:highlight w:val="none"/>
                <w:lang w:val="en-US" w:eastAsia="zh-CN"/>
              </w:rPr>
              <w:t>旱厕</w:t>
            </w:r>
            <w:r>
              <w:rPr>
                <w:rFonts w:hint="eastAsia"/>
                <w:color w:val="auto"/>
                <w:kern w:val="24"/>
                <w:sz w:val="24"/>
                <w:szCs w:val="24"/>
                <w:highlight w:val="none"/>
              </w:rPr>
              <w:t>（</w:t>
            </w:r>
            <w:r>
              <w:rPr>
                <w:rFonts w:hint="eastAsia"/>
                <w:color w:val="auto"/>
                <w:kern w:val="24"/>
                <w:sz w:val="24"/>
                <w:szCs w:val="24"/>
                <w:highlight w:val="none"/>
                <w:lang w:val="en-US" w:eastAsia="zh-CN"/>
              </w:rPr>
              <w:t>4</w:t>
            </w:r>
            <w:r>
              <w:rPr>
                <w:rFonts w:hint="eastAsia"/>
                <w:color w:val="auto"/>
                <w:kern w:val="24"/>
                <w:sz w:val="24"/>
                <w:szCs w:val="24"/>
                <w:highlight w:val="none"/>
              </w:rPr>
              <w:t>m</w:t>
            </w:r>
            <w:r>
              <w:rPr>
                <w:rFonts w:hint="eastAsia"/>
                <w:color w:val="auto"/>
                <w:kern w:val="24"/>
                <w:sz w:val="24"/>
                <w:szCs w:val="24"/>
                <w:highlight w:val="none"/>
                <w:vertAlign w:val="superscript"/>
              </w:rPr>
              <w:t>3</w:t>
            </w:r>
            <w:r>
              <w:rPr>
                <w:rFonts w:hint="eastAsia"/>
                <w:color w:val="auto"/>
                <w:kern w:val="24"/>
                <w:sz w:val="24"/>
                <w:szCs w:val="24"/>
                <w:highlight w:val="none"/>
              </w:rPr>
              <w:t>）处理</w:t>
            </w:r>
            <w:r>
              <w:rPr>
                <w:rFonts w:hint="eastAsia"/>
                <w:color w:val="auto"/>
                <w:kern w:val="24"/>
                <w:sz w:val="24"/>
                <w:szCs w:val="24"/>
                <w:highlight w:val="none"/>
                <w:lang w:eastAsia="zh-CN"/>
              </w:rPr>
              <w:t>。</w:t>
            </w:r>
            <w:r>
              <w:rPr>
                <w:rFonts w:hint="eastAsia"/>
                <w:color w:val="auto"/>
                <w:kern w:val="24"/>
                <w:sz w:val="24"/>
                <w:szCs w:val="24"/>
                <w:highlight w:val="none"/>
                <w:lang w:val="en-US" w:eastAsia="zh-CN"/>
              </w:rPr>
              <w:t>处理后交由周边农户农田施肥</w:t>
            </w:r>
            <w:r>
              <w:rPr>
                <w:rFonts w:hint="eastAsia"/>
                <w:color w:val="auto"/>
                <w:kern w:val="24"/>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eastAsiaTheme="minorEastAsia"/>
                <w:color w:val="0000FF"/>
                <w:sz w:val="24"/>
                <w:szCs w:val="24"/>
                <w:highlight w:val="none"/>
                <w:lang w:val="en-US" w:eastAsia="zh-CN"/>
              </w:rPr>
            </w:pPr>
            <w:r>
              <w:rPr>
                <w:rFonts w:hint="eastAsia"/>
                <w:b/>
                <w:bCs/>
                <w:color w:val="0000FF"/>
                <w:sz w:val="24"/>
                <w:szCs w:val="24"/>
                <w:highlight w:val="none"/>
                <w:lang w:val="en-US" w:eastAsia="zh-CN"/>
              </w:rPr>
              <w:t>生产废水：</w:t>
            </w:r>
            <w:r>
              <w:rPr>
                <w:rFonts w:hint="default" w:ascii="Times New Roman" w:hAnsi="Times New Roman" w:eastAsia="宋体" w:cs="Times New Roman"/>
                <w:color w:val="0000FF"/>
                <w:sz w:val="24"/>
                <w:szCs w:val="24"/>
                <w:highlight w:val="none"/>
                <w:lang w:val="zh-CN" w:eastAsia="zh-CN"/>
              </w:rPr>
              <w:t>项目生产废水</w:t>
            </w:r>
            <w:r>
              <w:rPr>
                <w:rFonts w:hint="eastAsia" w:cs="Times New Roman"/>
                <w:color w:val="0000FF"/>
                <w:sz w:val="24"/>
                <w:szCs w:val="24"/>
                <w:highlight w:val="none"/>
                <w:lang w:val="en-US" w:eastAsia="zh-CN"/>
              </w:rPr>
              <w:t>通过加工区内的排水沟收集，进入螺旋绞砂机（</w:t>
            </w:r>
            <w:r>
              <w:rPr>
                <w:rFonts w:hint="eastAsia" w:ascii="Times New Roman" w:hAnsi="Times New Roman" w:cs="Times New Roman"/>
                <w:color w:val="0000FF"/>
                <w:sz w:val="24"/>
                <w:szCs w:val="24"/>
                <w:vertAlign w:val="baseline"/>
                <w:lang w:val="en-US" w:eastAsia="zh-CN"/>
              </w:rPr>
              <w:t>大切工序废水（含粗砂废水）去除粗颗粒</w:t>
            </w:r>
            <w:r>
              <w:rPr>
                <w:rFonts w:hint="eastAsia" w:cs="Times New Roman"/>
                <w:color w:val="0000FF"/>
                <w:sz w:val="24"/>
                <w:szCs w:val="24"/>
                <w:highlight w:val="none"/>
                <w:lang w:val="en-US" w:eastAsia="zh-CN"/>
              </w:rPr>
              <w:t>）处理后，进入三级沉淀池处理，剩余污泥经板框压滤机压成泥饼，废水处理后全部循环使用，不外排</w:t>
            </w:r>
            <w:r>
              <w:rPr>
                <w:rFonts w:hint="eastAsia" w:ascii="Times New Roman" w:hAnsi="Times New Roman" w:cs="Times New Roman" w:eastAsiaTheme="minorEastAsia"/>
                <w:color w:val="0000FF"/>
                <w:sz w:val="24"/>
                <w:szCs w:val="24"/>
                <w:highlight w:val="none"/>
                <w:lang w:val="en-US" w:eastAsia="zh-CN"/>
              </w:rPr>
              <w:t>。</w:t>
            </w:r>
          </w:p>
          <w:p>
            <w:pPr>
              <w:spacing w:line="360" w:lineRule="auto"/>
              <w:ind w:firstLine="482" w:firstLineChars="200"/>
              <w:rPr>
                <w:color w:val="auto"/>
                <w:sz w:val="24"/>
                <w:szCs w:val="24"/>
                <w:highlight w:val="none"/>
              </w:rPr>
            </w:pPr>
            <w:r>
              <w:rPr>
                <w:rFonts w:hint="eastAsia"/>
                <w:b/>
                <w:color w:val="auto"/>
                <w:sz w:val="24"/>
                <w:szCs w:val="24"/>
                <w:highlight w:val="none"/>
                <w:lang w:val="en-US" w:eastAsia="zh-CN"/>
              </w:rPr>
              <w:t>②</w:t>
            </w:r>
            <w:r>
              <w:rPr>
                <w:rFonts w:hint="eastAsia"/>
                <w:b/>
                <w:color w:val="auto"/>
                <w:sz w:val="24"/>
                <w:szCs w:val="24"/>
                <w:highlight w:val="none"/>
              </w:rPr>
              <w:t>废水治理设施、排放口基本信息表</w:t>
            </w:r>
          </w:p>
          <w:p>
            <w:pPr>
              <w:spacing w:line="360" w:lineRule="auto"/>
              <w:ind w:firstLine="480" w:firstLineChars="200"/>
              <w:rPr>
                <w:color w:val="auto"/>
                <w:sz w:val="24"/>
                <w:szCs w:val="24"/>
                <w:highlight w:val="none"/>
              </w:rPr>
            </w:pPr>
            <w:r>
              <w:rPr>
                <w:color w:val="auto"/>
                <w:sz w:val="24"/>
                <w:szCs w:val="24"/>
                <w:highlight w:val="none"/>
              </w:rPr>
              <w:t>本项目</w:t>
            </w:r>
            <w:r>
              <w:rPr>
                <w:rFonts w:hint="eastAsia"/>
                <w:color w:val="auto"/>
                <w:sz w:val="24"/>
                <w:szCs w:val="24"/>
                <w:highlight w:val="none"/>
              </w:rPr>
              <w:t>废水治理设施、排放口基本信息见下表：</w:t>
            </w:r>
          </w:p>
          <w:p>
            <w:pPr>
              <w:spacing w:line="360" w:lineRule="auto"/>
              <w:jc w:val="center"/>
              <w:rPr>
                <w:rFonts w:cs="Times New Roman"/>
                <w:b/>
                <w:color w:val="auto"/>
                <w:sz w:val="24"/>
                <w:szCs w:val="24"/>
                <w:highlight w:val="none"/>
              </w:rPr>
            </w:pPr>
            <w:r>
              <w:rPr>
                <w:rFonts w:hint="eastAsia" w:cs="Times New Roman"/>
                <w:b/>
                <w:color w:val="auto"/>
                <w:sz w:val="24"/>
                <w:szCs w:val="24"/>
                <w:highlight w:val="none"/>
              </w:rPr>
              <w:t>表4-</w:t>
            </w:r>
            <w:r>
              <w:rPr>
                <w:rFonts w:hint="eastAsia" w:cs="Times New Roman"/>
                <w:b/>
                <w:color w:val="auto"/>
                <w:sz w:val="24"/>
                <w:szCs w:val="24"/>
                <w:highlight w:val="none"/>
                <w:lang w:val="en-US" w:eastAsia="zh-CN"/>
              </w:rPr>
              <w:t>9</w:t>
            </w:r>
            <w:r>
              <w:rPr>
                <w:rFonts w:hint="eastAsia" w:cs="Times New Roman"/>
                <w:b/>
                <w:color w:val="auto"/>
                <w:sz w:val="24"/>
                <w:szCs w:val="24"/>
                <w:highlight w:val="none"/>
              </w:rPr>
              <w:t xml:space="preserve"> 废水治理设施信息表</w:t>
            </w:r>
          </w:p>
          <w:tbl>
            <w:tblPr>
              <w:tblStyle w:val="23"/>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134"/>
              <w:gridCol w:w="1367"/>
              <w:gridCol w:w="1075"/>
              <w:gridCol w:w="1075"/>
              <w:gridCol w:w="1075"/>
              <w:gridCol w:w="1077"/>
              <w:gridCol w:w="975"/>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56" w:type="pct"/>
                  <w:vMerge w:val="restart"/>
                  <w:tcBorders>
                    <w:tl2br w:val="nil"/>
                    <w:tr2bl w:val="nil"/>
                  </w:tcBorders>
                  <w:shd w:val="clear" w:color="000000" w:fill="auto"/>
                  <w:noWrap w:val="0"/>
                  <w:vAlign w:val="center"/>
                </w:tcPr>
                <w:p>
                  <w:pPr>
                    <w:spacing w:line="240" w:lineRule="auto"/>
                    <w:jc w:val="center"/>
                    <w:rPr>
                      <w:b/>
                      <w:bCs/>
                      <w:color w:val="auto"/>
                      <w:sz w:val="21"/>
                      <w:szCs w:val="21"/>
                      <w:highlight w:val="none"/>
                    </w:rPr>
                  </w:pPr>
                  <w:r>
                    <w:rPr>
                      <w:b/>
                      <w:bCs/>
                      <w:color w:val="auto"/>
                      <w:sz w:val="21"/>
                      <w:szCs w:val="21"/>
                      <w:highlight w:val="none"/>
                    </w:rPr>
                    <w:t>废水类别</w:t>
                  </w:r>
                </w:p>
              </w:tc>
              <w:tc>
                <w:tcPr>
                  <w:tcW w:w="791" w:type="pct"/>
                  <w:vMerge w:val="restart"/>
                  <w:tcBorders>
                    <w:tl2br w:val="nil"/>
                    <w:tr2bl w:val="nil"/>
                  </w:tcBorders>
                  <w:shd w:val="clear" w:color="000000" w:fill="auto"/>
                  <w:noWrap w:val="0"/>
                  <w:vAlign w:val="center"/>
                </w:tcPr>
                <w:p>
                  <w:pPr>
                    <w:spacing w:line="240" w:lineRule="auto"/>
                    <w:jc w:val="center"/>
                    <w:rPr>
                      <w:b/>
                      <w:bCs/>
                      <w:color w:val="auto"/>
                      <w:sz w:val="21"/>
                      <w:szCs w:val="21"/>
                      <w:highlight w:val="none"/>
                    </w:rPr>
                  </w:pPr>
                  <w:r>
                    <w:rPr>
                      <w:b/>
                      <w:bCs/>
                      <w:color w:val="auto"/>
                      <w:sz w:val="21"/>
                      <w:szCs w:val="21"/>
                      <w:highlight w:val="none"/>
                    </w:rPr>
                    <w:t>污染物种类</w:t>
                  </w:r>
                </w:p>
              </w:tc>
              <w:tc>
                <w:tcPr>
                  <w:tcW w:w="2489" w:type="pct"/>
                  <w:gridSpan w:val="4"/>
                  <w:tcBorders>
                    <w:tl2br w:val="nil"/>
                    <w:tr2bl w:val="nil"/>
                  </w:tcBorders>
                  <w:shd w:val="clear" w:color="000000" w:fill="auto"/>
                  <w:noWrap w:val="0"/>
                  <w:vAlign w:val="center"/>
                </w:tcPr>
                <w:p>
                  <w:pPr>
                    <w:spacing w:line="240" w:lineRule="auto"/>
                    <w:jc w:val="center"/>
                    <w:rPr>
                      <w:b/>
                      <w:bCs/>
                      <w:color w:val="auto"/>
                      <w:sz w:val="21"/>
                      <w:szCs w:val="21"/>
                      <w:highlight w:val="none"/>
                    </w:rPr>
                  </w:pPr>
                  <w:r>
                    <w:rPr>
                      <w:b/>
                      <w:bCs/>
                      <w:color w:val="auto"/>
                      <w:sz w:val="21"/>
                      <w:szCs w:val="21"/>
                      <w:highlight w:val="none"/>
                    </w:rPr>
                    <w:t>污染治理设施</w:t>
                  </w:r>
                </w:p>
              </w:tc>
              <w:tc>
                <w:tcPr>
                  <w:tcW w:w="564" w:type="pct"/>
                  <w:vMerge w:val="restart"/>
                  <w:tcBorders>
                    <w:tl2br w:val="nil"/>
                    <w:tr2bl w:val="nil"/>
                  </w:tcBorders>
                  <w:shd w:val="clear" w:color="000000" w:fill="auto"/>
                  <w:noWrap w:val="0"/>
                  <w:vAlign w:val="center"/>
                </w:tcPr>
                <w:p>
                  <w:pPr>
                    <w:spacing w:line="240" w:lineRule="auto"/>
                    <w:jc w:val="center"/>
                    <w:rPr>
                      <w:b/>
                      <w:bCs/>
                      <w:color w:val="auto"/>
                      <w:sz w:val="21"/>
                      <w:szCs w:val="21"/>
                      <w:highlight w:val="none"/>
                    </w:rPr>
                  </w:pPr>
                  <w:r>
                    <w:rPr>
                      <w:b/>
                      <w:bCs/>
                      <w:color w:val="auto"/>
                      <w:sz w:val="21"/>
                      <w:szCs w:val="21"/>
                      <w:highlight w:val="none"/>
                    </w:rPr>
                    <w:t>排放</w:t>
                  </w:r>
                </w:p>
                <w:p>
                  <w:pPr>
                    <w:spacing w:line="240" w:lineRule="auto"/>
                    <w:jc w:val="center"/>
                    <w:rPr>
                      <w:b/>
                      <w:bCs/>
                      <w:color w:val="auto"/>
                      <w:sz w:val="21"/>
                      <w:szCs w:val="21"/>
                      <w:highlight w:val="none"/>
                    </w:rPr>
                  </w:pPr>
                  <w:r>
                    <w:rPr>
                      <w:b/>
                      <w:bCs/>
                      <w:color w:val="auto"/>
                      <w:sz w:val="21"/>
                      <w:szCs w:val="21"/>
                      <w:highlight w:val="none"/>
                    </w:rPr>
                    <w:t>方式</w:t>
                  </w:r>
                </w:p>
              </w:tc>
              <w:tc>
                <w:tcPr>
                  <w:tcW w:w="498" w:type="pct"/>
                  <w:vMerge w:val="restart"/>
                  <w:tcBorders>
                    <w:tl2br w:val="nil"/>
                    <w:tr2bl w:val="nil"/>
                  </w:tcBorders>
                  <w:shd w:val="clear" w:color="000000" w:fill="auto"/>
                  <w:noWrap w:val="0"/>
                  <w:vAlign w:val="center"/>
                </w:tcPr>
                <w:p>
                  <w:pPr>
                    <w:spacing w:line="240" w:lineRule="auto"/>
                    <w:jc w:val="center"/>
                    <w:rPr>
                      <w:b/>
                      <w:bCs/>
                      <w:color w:val="auto"/>
                      <w:sz w:val="21"/>
                      <w:szCs w:val="21"/>
                      <w:highlight w:val="none"/>
                    </w:rPr>
                  </w:pPr>
                  <w:r>
                    <w:rPr>
                      <w:b/>
                      <w:bCs/>
                      <w:color w:val="auto"/>
                      <w:sz w:val="21"/>
                      <w:szCs w:val="21"/>
                      <w:highlight w:val="none"/>
                    </w:rPr>
                    <w:t>排放</w:t>
                  </w:r>
                </w:p>
                <w:p>
                  <w:pPr>
                    <w:spacing w:line="240" w:lineRule="auto"/>
                    <w:jc w:val="center"/>
                    <w:rPr>
                      <w:b/>
                      <w:bCs/>
                      <w:color w:val="auto"/>
                      <w:sz w:val="21"/>
                      <w:szCs w:val="21"/>
                      <w:highlight w:val="none"/>
                    </w:rPr>
                  </w:pPr>
                  <w:r>
                    <w:rPr>
                      <w:b/>
                      <w:bCs/>
                      <w:color w:val="auto"/>
                      <w:sz w:val="21"/>
                      <w:szCs w:val="21"/>
                      <w:highlight w:val="none"/>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56" w:type="pct"/>
                  <w:vMerge w:val="continue"/>
                  <w:tcBorders>
                    <w:tl2br w:val="nil"/>
                    <w:tr2bl w:val="nil"/>
                  </w:tcBorders>
                  <w:shd w:val="clear" w:color="auto" w:fill="auto"/>
                  <w:noWrap w:val="0"/>
                  <w:vAlign w:val="center"/>
                </w:tcPr>
                <w:p>
                  <w:pPr>
                    <w:spacing w:line="240" w:lineRule="auto"/>
                    <w:jc w:val="center"/>
                    <w:rPr>
                      <w:color w:val="auto"/>
                      <w:sz w:val="21"/>
                      <w:szCs w:val="21"/>
                      <w:highlight w:val="none"/>
                    </w:rPr>
                  </w:pPr>
                </w:p>
              </w:tc>
              <w:tc>
                <w:tcPr>
                  <w:tcW w:w="791" w:type="pct"/>
                  <w:vMerge w:val="continue"/>
                  <w:tcBorders>
                    <w:tl2br w:val="nil"/>
                    <w:tr2bl w:val="nil"/>
                  </w:tcBorders>
                  <w:shd w:val="clear" w:color="auto" w:fill="auto"/>
                  <w:noWrap w:val="0"/>
                  <w:vAlign w:val="center"/>
                </w:tcPr>
                <w:p>
                  <w:pPr>
                    <w:spacing w:line="240" w:lineRule="auto"/>
                    <w:jc w:val="center"/>
                    <w:rPr>
                      <w:color w:val="auto"/>
                      <w:sz w:val="21"/>
                      <w:szCs w:val="21"/>
                      <w:highlight w:val="none"/>
                    </w:rPr>
                  </w:pPr>
                </w:p>
              </w:tc>
              <w:tc>
                <w:tcPr>
                  <w:tcW w:w="622" w:type="pct"/>
                  <w:tcBorders>
                    <w:tl2br w:val="nil"/>
                    <w:tr2bl w:val="nil"/>
                  </w:tcBorders>
                  <w:shd w:val="clear" w:color="000000" w:fill="auto"/>
                  <w:noWrap w:val="0"/>
                  <w:vAlign w:val="center"/>
                </w:tcPr>
                <w:p>
                  <w:pPr>
                    <w:spacing w:line="240" w:lineRule="auto"/>
                    <w:jc w:val="center"/>
                    <w:rPr>
                      <w:b/>
                      <w:bCs/>
                      <w:color w:val="auto"/>
                      <w:sz w:val="21"/>
                      <w:szCs w:val="21"/>
                      <w:highlight w:val="none"/>
                    </w:rPr>
                  </w:pPr>
                  <w:r>
                    <w:rPr>
                      <w:b/>
                      <w:bCs/>
                      <w:color w:val="auto"/>
                      <w:sz w:val="21"/>
                      <w:szCs w:val="21"/>
                      <w:highlight w:val="none"/>
                    </w:rPr>
                    <w:t>名称</w:t>
                  </w:r>
                </w:p>
              </w:tc>
              <w:tc>
                <w:tcPr>
                  <w:tcW w:w="622" w:type="pct"/>
                  <w:tcBorders>
                    <w:tl2br w:val="nil"/>
                    <w:tr2bl w:val="nil"/>
                  </w:tcBorders>
                  <w:shd w:val="clear" w:color="000000" w:fill="auto"/>
                  <w:noWrap w:val="0"/>
                  <w:vAlign w:val="center"/>
                </w:tcPr>
                <w:p>
                  <w:pPr>
                    <w:spacing w:line="240" w:lineRule="auto"/>
                    <w:jc w:val="center"/>
                    <w:rPr>
                      <w:b/>
                      <w:bCs/>
                      <w:color w:val="auto"/>
                      <w:sz w:val="21"/>
                      <w:szCs w:val="21"/>
                      <w:highlight w:val="none"/>
                    </w:rPr>
                  </w:pPr>
                  <w:r>
                    <w:rPr>
                      <w:b/>
                      <w:bCs/>
                      <w:color w:val="auto"/>
                      <w:sz w:val="21"/>
                      <w:szCs w:val="21"/>
                      <w:highlight w:val="none"/>
                    </w:rPr>
                    <w:t>处理能力</w:t>
                  </w:r>
                  <w:r>
                    <w:rPr>
                      <w:rFonts w:hint="eastAsia"/>
                      <w:b/>
                      <w:bCs/>
                      <w:color w:val="auto"/>
                      <w:sz w:val="21"/>
                      <w:szCs w:val="21"/>
                      <w:highlight w:val="none"/>
                    </w:rPr>
                    <w:t>(</w:t>
                  </w:r>
                  <w:r>
                    <w:rPr>
                      <w:b/>
                      <w:bCs/>
                      <w:color w:val="auto"/>
                      <w:sz w:val="21"/>
                      <w:szCs w:val="21"/>
                      <w:highlight w:val="none"/>
                    </w:rPr>
                    <w:t>t/d</w:t>
                  </w:r>
                  <w:r>
                    <w:rPr>
                      <w:rFonts w:hint="eastAsia"/>
                      <w:b/>
                      <w:bCs/>
                      <w:color w:val="auto"/>
                      <w:sz w:val="21"/>
                      <w:szCs w:val="21"/>
                      <w:highlight w:val="none"/>
                    </w:rPr>
                    <w:t>)</w:t>
                  </w:r>
                </w:p>
              </w:tc>
              <w:tc>
                <w:tcPr>
                  <w:tcW w:w="622" w:type="pct"/>
                  <w:tcBorders>
                    <w:tl2br w:val="nil"/>
                    <w:tr2bl w:val="nil"/>
                  </w:tcBorders>
                  <w:shd w:val="clear" w:color="000000" w:fill="auto"/>
                  <w:noWrap w:val="0"/>
                  <w:vAlign w:val="center"/>
                </w:tcPr>
                <w:p>
                  <w:pPr>
                    <w:spacing w:line="240" w:lineRule="auto"/>
                    <w:jc w:val="center"/>
                    <w:rPr>
                      <w:b/>
                      <w:bCs/>
                      <w:color w:val="auto"/>
                      <w:sz w:val="21"/>
                      <w:szCs w:val="21"/>
                      <w:highlight w:val="none"/>
                    </w:rPr>
                  </w:pPr>
                  <w:r>
                    <w:rPr>
                      <w:b/>
                      <w:bCs/>
                      <w:color w:val="auto"/>
                      <w:sz w:val="21"/>
                      <w:szCs w:val="21"/>
                      <w:highlight w:val="none"/>
                    </w:rPr>
                    <w:t>治理</w:t>
                  </w:r>
                </w:p>
                <w:p>
                  <w:pPr>
                    <w:spacing w:line="240" w:lineRule="auto"/>
                    <w:jc w:val="center"/>
                    <w:rPr>
                      <w:b/>
                      <w:bCs/>
                      <w:color w:val="auto"/>
                      <w:sz w:val="21"/>
                      <w:szCs w:val="21"/>
                      <w:highlight w:val="none"/>
                    </w:rPr>
                  </w:pPr>
                  <w:r>
                    <w:rPr>
                      <w:b/>
                      <w:bCs/>
                      <w:color w:val="auto"/>
                      <w:sz w:val="21"/>
                      <w:szCs w:val="21"/>
                      <w:highlight w:val="none"/>
                    </w:rPr>
                    <w:t>工艺</w:t>
                  </w:r>
                </w:p>
              </w:tc>
              <w:tc>
                <w:tcPr>
                  <w:tcW w:w="623" w:type="pct"/>
                  <w:tcBorders>
                    <w:tl2br w:val="nil"/>
                    <w:tr2bl w:val="nil"/>
                  </w:tcBorders>
                  <w:shd w:val="clear" w:color="000000" w:fill="auto"/>
                  <w:noWrap w:val="0"/>
                  <w:vAlign w:val="center"/>
                </w:tcPr>
                <w:p>
                  <w:pPr>
                    <w:spacing w:line="240" w:lineRule="auto"/>
                    <w:jc w:val="center"/>
                    <w:rPr>
                      <w:b/>
                      <w:bCs/>
                      <w:color w:val="auto"/>
                      <w:sz w:val="21"/>
                      <w:szCs w:val="21"/>
                      <w:highlight w:val="none"/>
                    </w:rPr>
                  </w:pPr>
                  <w:r>
                    <w:rPr>
                      <w:b/>
                      <w:bCs/>
                      <w:color w:val="auto"/>
                      <w:sz w:val="21"/>
                      <w:szCs w:val="21"/>
                      <w:highlight w:val="none"/>
                    </w:rPr>
                    <w:t>是否为可行性技术</w:t>
                  </w:r>
                </w:p>
              </w:tc>
              <w:tc>
                <w:tcPr>
                  <w:tcW w:w="564" w:type="pct"/>
                  <w:vMerge w:val="continue"/>
                  <w:tcBorders>
                    <w:tl2br w:val="nil"/>
                    <w:tr2bl w:val="nil"/>
                  </w:tcBorders>
                  <w:noWrap w:val="0"/>
                  <w:vAlign w:val="center"/>
                </w:tcPr>
                <w:p>
                  <w:pPr>
                    <w:spacing w:line="240" w:lineRule="auto"/>
                    <w:jc w:val="center"/>
                    <w:rPr>
                      <w:color w:val="auto"/>
                      <w:sz w:val="21"/>
                      <w:szCs w:val="21"/>
                      <w:highlight w:val="none"/>
                    </w:rPr>
                  </w:pPr>
                </w:p>
              </w:tc>
              <w:tc>
                <w:tcPr>
                  <w:tcW w:w="498" w:type="pct"/>
                  <w:vMerge w:val="continue"/>
                  <w:tcBorders>
                    <w:tl2br w:val="nil"/>
                    <w:tr2bl w:val="nil"/>
                  </w:tcBorders>
                  <w:noWrap w:val="0"/>
                  <w:vAlign w:val="center"/>
                </w:tcPr>
                <w:p>
                  <w:pPr>
                    <w:spacing w:line="240" w:lineRule="auto"/>
                    <w:jc w:val="center"/>
                    <w:rPr>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56" w:type="pct"/>
                  <w:tcBorders>
                    <w:tl2br w:val="nil"/>
                    <w:tr2bl w:val="nil"/>
                  </w:tcBorders>
                  <w:noWrap w:val="0"/>
                  <w:vAlign w:val="center"/>
                </w:tcPr>
                <w:p>
                  <w:pPr>
                    <w:spacing w:line="240" w:lineRule="auto"/>
                    <w:jc w:val="center"/>
                    <w:rPr>
                      <w:color w:val="auto"/>
                      <w:sz w:val="21"/>
                      <w:szCs w:val="21"/>
                      <w:highlight w:val="none"/>
                    </w:rPr>
                  </w:pPr>
                  <w:r>
                    <w:rPr>
                      <w:color w:val="auto"/>
                      <w:sz w:val="21"/>
                      <w:szCs w:val="21"/>
                      <w:highlight w:val="none"/>
                    </w:rPr>
                    <w:t>生活污水</w:t>
                  </w:r>
                </w:p>
              </w:tc>
              <w:tc>
                <w:tcPr>
                  <w:tcW w:w="791" w:type="pct"/>
                  <w:vMerge w:val="restart"/>
                  <w:tcBorders>
                    <w:tl2br w:val="nil"/>
                    <w:tr2bl w:val="nil"/>
                  </w:tcBorders>
                  <w:noWrap w:val="0"/>
                  <w:vAlign w:val="center"/>
                </w:tcPr>
                <w:p>
                  <w:pPr>
                    <w:spacing w:line="240" w:lineRule="auto"/>
                    <w:jc w:val="center"/>
                    <w:rPr>
                      <w:color w:val="auto"/>
                      <w:sz w:val="21"/>
                      <w:szCs w:val="21"/>
                      <w:highlight w:val="none"/>
                    </w:rPr>
                  </w:pPr>
                  <w:r>
                    <w:rPr>
                      <w:rFonts w:hint="eastAsia"/>
                      <w:color w:val="auto"/>
                      <w:sz w:val="21"/>
                      <w:szCs w:val="21"/>
                      <w:highlight w:val="none"/>
                    </w:rPr>
                    <w:t>pH、COD、BOD</w:t>
                  </w:r>
                  <w:r>
                    <w:rPr>
                      <w:rFonts w:hint="eastAsia"/>
                      <w:color w:val="auto"/>
                      <w:sz w:val="21"/>
                      <w:szCs w:val="21"/>
                      <w:highlight w:val="none"/>
                      <w:vertAlign w:val="subscript"/>
                    </w:rPr>
                    <w:t>5</w:t>
                  </w:r>
                  <w:r>
                    <w:rPr>
                      <w:rFonts w:hint="eastAsia"/>
                      <w:color w:val="auto"/>
                      <w:sz w:val="21"/>
                      <w:szCs w:val="21"/>
                      <w:highlight w:val="none"/>
                    </w:rPr>
                    <w:t>、SS、NH</w:t>
                  </w:r>
                  <w:r>
                    <w:rPr>
                      <w:rFonts w:hint="eastAsia"/>
                      <w:color w:val="auto"/>
                      <w:sz w:val="21"/>
                      <w:szCs w:val="21"/>
                      <w:highlight w:val="none"/>
                      <w:vertAlign w:val="subscript"/>
                    </w:rPr>
                    <w:t>3</w:t>
                  </w:r>
                  <w:r>
                    <w:rPr>
                      <w:rFonts w:hint="eastAsia"/>
                      <w:color w:val="auto"/>
                      <w:sz w:val="21"/>
                      <w:szCs w:val="21"/>
                      <w:highlight w:val="none"/>
                    </w:rPr>
                    <w:t>-N、TP、动植物油</w:t>
                  </w:r>
                </w:p>
              </w:tc>
              <w:tc>
                <w:tcPr>
                  <w:tcW w:w="622" w:type="pct"/>
                  <w:tcBorders>
                    <w:tl2br w:val="nil"/>
                    <w:tr2bl w:val="nil"/>
                  </w:tcBorders>
                  <w:noWrap w:val="0"/>
                  <w:vAlign w:val="center"/>
                </w:tcPr>
                <w:p>
                  <w:pPr>
                    <w:spacing w:line="240" w:lineRule="auto"/>
                    <w:jc w:val="center"/>
                    <w:rPr>
                      <w:rFonts w:hint="eastAsia" w:eastAsia="宋体"/>
                      <w:color w:val="auto"/>
                      <w:sz w:val="21"/>
                      <w:szCs w:val="21"/>
                      <w:highlight w:val="none"/>
                      <w:lang w:eastAsia="zh-CN"/>
                    </w:rPr>
                  </w:pPr>
                  <w:r>
                    <w:rPr>
                      <w:rFonts w:hint="eastAsia"/>
                      <w:color w:val="auto"/>
                      <w:sz w:val="21"/>
                      <w:szCs w:val="21"/>
                      <w:highlight w:val="none"/>
                      <w:lang w:val="en-US" w:eastAsia="zh-CN"/>
                    </w:rPr>
                    <w:t>旱厕</w:t>
                  </w:r>
                </w:p>
              </w:tc>
              <w:tc>
                <w:tcPr>
                  <w:tcW w:w="622" w:type="pct"/>
                  <w:tcBorders>
                    <w:tl2br w:val="nil"/>
                    <w:tr2bl w:val="nil"/>
                  </w:tcBorders>
                  <w:noWrap w:val="0"/>
                  <w:vAlign w:val="center"/>
                </w:tcPr>
                <w:p>
                  <w:pPr>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w:t>
                  </w:r>
                </w:p>
              </w:tc>
              <w:tc>
                <w:tcPr>
                  <w:tcW w:w="622" w:type="pct"/>
                  <w:tcBorders>
                    <w:tl2br w:val="nil"/>
                    <w:tr2bl w:val="nil"/>
                  </w:tcBorders>
                  <w:noWrap w:val="0"/>
                  <w:vAlign w:val="center"/>
                </w:tcPr>
                <w:p>
                  <w:pPr>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厌氧</w:t>
                  </w:r>
                </w:p>
              </w:tc>
              <w:tc>
                <w:tcPr>
                  <w:tcW w:w="623" w:type="pct"/>
                  <w:tcBorders>
                    <w:tl2br w:val="nil"/>
                    <w:tr2bl w:val="nil"/>
                  </w:tcBorders>
                  <w:noWrap w:val="0"/>
                  <w:vAlign w:val="center"/>
                </w:tcPr>
                <w:p>
                  <w:pPr>
                    <w:spacing w:line="240" w:lineRule="auto"/>
                    <w:jc w:val="center"/>
                    <w:rPr>
                      <w:color w:val="auto"/>
                      <w:sz w:val="21"/>
                      <w:szCs w:val="21"/>
                      <w:highlight w:val="none"/>
                    </w:rPr>
                  </w:pPr>
                  <w:r>
                    <w:rPr>
                      <w:color w:val="auto"/>
                      <w:sz w:val="21"/>
                      <w:szCs w:val="21"/>
                      <w:highlight w:val="none"/>
                    </w:rPr>
                    <w:t>是</w:t>
                  </w:r>
                </w:p>
              </w:tc>
              <w:tc>
                <w:tcPr>
                  <w:tcW w:w="564" w:type="pct"/>
                  <w:tcBorders>
                    <w:tl2br w:val="nil"/>
                    <w:tr2bl w:val="nil"/>
                  </w:tcBorders>
                  <w:noWrap w:val="0"/>
                  <w:vAlign w:val="center"/>
                </w:tcPr>
                <w:p>
                  <w:pPr>
                    <w:spacing w:line="240" w:lineRule="auto"/>
                    <w:jc w:val="center"/>
                    <w:rPr>
                      <w:color w:val="auto"/>
                      <w:sz w:val="21"/>
                      <w:szCs w:val="21"/>
                      <w:highlight w:val="none"/>
                    </w:rPr>
                  </w:pPr>
                  <w:r>
                    <w:rPr>
                      <w:rFonts w:hint="default" w:ascii="Times New Roman" w:hAnsi="Times New Roman" w:eastAsia="宋体" w:cs="Times New Roman"/>
                      <w:color w:val="auto"/>
                      <w:sz w:val="21"/>
                      <w:szCs w:val="21"/>
                      <w:highlight w:val="none"/>
                      <w:lang w:val="en-US" w:eastAsia="zh-CN"/>
                    </w:rPr>
                    <w:t>不外排</w:t>
                  </w:r>
                </w:p>
              </w:tc>
              <w:tc>
                <w:tcPr>
                  <w:tcW w:w="498" w:type="pct"/>
                  <w:vMerge w:val="restart"/>
                  <w:tcBorders>
                    <w:tl2br w:val="nil"/>
                    <w:tr2bl w:val="nil"/>
                  </w:tcBorders>
                  <w:noWrap w:val="0"/>
                  <w:vAlign w:val="center"/>
                </w:tcPr>
                <w:p>
                  <w:pPr>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农肥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56" w:type="pct"/>
                  <w:tcBorders>
                    <w:tl2br w:val="nil"/>
                    <w:tr2bl w:val="nil"/>
                  </w:tcBorders>
                  <w:noWrap w:val="0"/>
                  <w:vAlign w:val="center"/>
                </w:tcPr>
                <w:p>
                  <w:pPr>
                    <w:spacing w:line="240" w:lineRule="auto"/>
                    <w:jc w:val="center"/>
                    <w:rPr>
                      <w:color w:val="auto"/>
                      <w:sz w:val="21"/>
                      <w:szCs w:val="21"/>
                      <w:highlight w:val="none"/>
                    </w:rPr>
                  </w:pPr>
                  <w:r>
                    <w:rPr>
                      <w:rFonts w:hint="eastAsia"/>
                      <w:color w:val="auto"/>
                      <w:sz w:val="21"/>
                      <w:szCs w:val="21"/>
                      <w:highlight w:val="none"/>
                    </w:rPr>
                    <w:t>食堂废水</w:t>
                  </w:r>
                </w:p>
              </w:tc>
              <w:tc>
                <w:tcPr>
                  <w:tcW w:w="791" w:type="pct"/>
                  <w:vMerge w:val="continue"/>
                  <w:tcBorders>
                    <w:tl2br w:val="nil"/>
                    <w:tr2bl w:val="nil"/>
                  </w:tcBorders>
                  <w:noWrap w:val="0"/>
                  <w:vAlign w:val="center"/>
                </w:tcPr>
                <w:p>
                  <w:pPr>
                    <w:spacing w:line="240" w:lineRule="auto"/>
                    <w:jc w:val="center"/>
                    <w:rPr>
                      <w:color w:val="auto"/>
                      <w:sz w:val="21"/>
                      <w:szCs w:val="21"/>
                      <w:highlight w:val="none"/>
                    </w:rPr>
                  </w:pPr>
                </w:p>
              </w:tc>
              <w:tc>
                <w:tcPr>
                  <w:tcW w:w="622" w:type="pct"/>
                  <w:tcBorders>
                    <w:tl2br w:val="nil"/>
                    <w:tr2bl w:val="nil"/>
                  </w:tcBorders>
                  <w:noWrap w:val="0"/>
                  <w:vAlign w:val="center"/>
                </w:tcPr>
                <w:p>
                  <w:pPr>
                    <w:spacing w:line="240" w:lineRule="auto"/>
                    <w:jc w:val="center"/>
                    <w:rPr>
                      <w:color w:val="auto"/>
                      <w:sz w:val="21"/>
                      <w:szCs w:val="21"/>
                      <w:highlight w:val="none"/>
                    </w:rPr>
                  </w:pPr>
                  <w:r>
                    <w:rPr>
                      <w:rFonts w:hint="eastAsia" w:cs="Times New Roman"/>
                      <w:color w:val="auto"/>
                      <w:sz w:val="21"/>
                      <w:szCs w:val="21"/>
                      <w:highlight w:val="none"/>
                      <w:lang w:val="en-US" w:eastAsia="zh-CN"/>
                    </w:rPr>
                    <w:t>隔油池</w:t>
                  </w:r>
                </w:p>
              </w:tc>
              <w:tc>
                <w:tcPr>
                  <w:tcW w:w="622" w:type="pct"/>
                  <w:tcBorders>
                    <w:tl2br w:val="nil"/>
                    <w:tr2bl w:val="nil"/>
                  </w:tcBorders>
                  <w:noWrap w:val="0"/>
                  <w:vAlign w:val="center"/>
                </w:tcPr>
                <w:p>
                  <w:pPr>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622" w:type="pct"/>
                  <w:tcBorders>
                    <w:tl2br w:val="nil"/>
                    <w:tr2bl w:val="nil"/>
                  </w:tcBorders>
                  <w:noWrap w:val="0"/>
                  <w:vAlign w:val="center"/>
                </w:tcPr>
                <w:p>
                  <w:pPr>
                    <w:spacing w:line="240" w:lineRule="auto"/>
                    <w:jc w:val="center"/>
                    <w:rPr>
                      <w:color w:val="auto"/>
                      <w:sz w:val="21"/>
                      <w:szCs w:val="21"/>
                      <w:highlight w:val="none"/>
                    </w:rPr>
                  </w:pPr>
                  <w:r>
                    <w:rPr>
                      <w:rFonts w:hint="eastAsia"/>
                      <w:color w:val="auto"/>
                      <w:kern w:val="24"/>
                      <w:sz w:val="21"/>
                      <w:szCs w:val="21"/>
                      <w:highlight w:val="none"/>
                      <w:lang w:val="en-US" w:eastAsia="zh-CN"/>
                    </w:rPr>
                    <w:t>隔油</w:t>
                  </w:r>
                </w:p>
              </w:tc>
              <w:tc>
                <w:tcPr>
                  <w:tcW w:w="623" w:type="pct"/>
                  <w:tcBorders>
                    <w:tl2br w:val="nil"/>
                    <w:tr2bl w:val="nil"/>
                  </w:tcBorders>
                  <w:noWrap w:val="0"/>
                  <w:vAlign w:val="center"/>
                </w:tcPr>
                <w:p>
                  <w:pPr>
                    <w:spacing w:line="240" w:lineRule="auto"/>
                    <w:jc w:val="center"/>
                    <w:rPr>
                      <w:color w:val="auto"/>
                      <w:sz w:val="21"/>
                      <w:szCs w:val="21"/>
                      <w:highlight w:val="none"/>
                    </w:rPr>
                  </w:pPr>
                  <w:r>
                    <w:rPr>
                      <w:color w:val="auto"/>
                      <w:sz w:val="21"/>
                      <w:szCs w:val="21"/>
                      <w:highlight w:val="none"/>
                    </w:rPr>
                    <w:t>是</w:t>
                  </w:r>
                </w:p>
              </w:tc>
              <w:tc>
                <w:tcPr>
                  <w:tcW w:w="564" w:type="pct"/>
                  <w:tcBorders>
                    <w:tl2br w:val="nil"/>
                    <w:tr2bl w:val="nil"/>
                  </w:tcBorders>
                  <w:noWrap w:val="0"/>
                  <w:vAlign w:val="center"/>
                </w:tcPr>
                <w:p>
                  <w:pPr>
                    <w:spacing w:line="240" w:lineRule="auto"/>
                    <w:jc w:val="center"/>
                    <w:rPr>
                      <w:color w:val="auto"/>
                      <w:sz w:val="21"/>
                      <w:szCs w:val="21"/>
                      <w:highlight w:val="none"/>
                    </w:rPr>
                  </w:pPr>
                  <w:r>
                    <w:rPr>
                      <w:rFonts w:hint="default" w:ascii="Times New Roman" w:hAnsi="Times New Roman" w:eastAsia="宋体" w:cs="Times New Roman"/>
                      <w:color w:val="auto"/>
                      <w:sz w:val="21"/>
                      <w:szCs w:val="21"/>
                      <w:highlight w:val="none"/>
                      <w:lang w:val="en-US" w:eastAsia="zh-CN"/>
                    </w:rPr>
                    <w:t>不外排</w:t>
                  </w:r>
                </w:p>
              </w:tc>
              <w:tc>
                <w:tcPr>
                  <w:tcW w:w="498" w:type="pct"/>
                  <w:vMerge w:val="continue"/>
                  <w:tcBorders>
                    <w:tl2br w:val="nil"/>
                    <w:tr2bl w:val="nil"/>
                  </w:tcBorders>
                  <w:noWrap w:val="0"/>
                  <w:vAlign w:val="center"/>
                </w:tcPr>
                <w:p>
                  <w:pPr>
                    <w:spacing w:line="240" w:lineRule="auto"/>
                    <w:jc w:val="center"/>
                    <w:rPr>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56" w:type="pct"/>
                  <w:tcBorders>
                    <w:tl2br w:val="nil"/>
                    <w:tr2bl w:val="nil"/>
                  </w:tcBorders>
                  <w:noWrap w:val="0"/>
                  <w:vAlign w:val="center"/>
                </w:tcPr>
                <w:p>
                  <w:pPr>
                    <w:spacing w:line="240" w:lineRule="auto"/>
                    <w:jc w:val="center"/>
                    <w:rPr>
                      <w:rFonts w:hint="default" w:eastAsia="宋体"/>
                      <w:color w:val="auto"/>
                      <w:sz w:val="21"/>
                      <w:szCs w:val="21"/>
                      <w:highlight w:val="none"/>
                      <w:lang w:val="en-US" w:eastAsia="zh-CN"/>
                    </w:rPr>
                  </w:pPr>
                  <w:r>
                    <w:rPr>
                      <w:rFonts w:hint="eastAsia"/>
                      <w:color w:val="auto"/>
                    </w:rPr>
                    <w:t>生产降尘废水</w:t>
                  </w:r>
                </w:p>
              </w:tc>
              <w:tc>
                <w:tcPr>
                  <w:tcW w:w="791" w:type="pct"/>
                  <w:tcBorders>
                    <w:tl2br w:val="nil"/>
                    <w:tr2bl w:val="nil"/>
                  </w:tcBorders>
                  <w:noWrap w:val="0"/>
                  <w:vAlign w:val="center"/>
                </w:tcPr>
                <w:p>
                  <w:pPr>
                    <w:spacing w:line="240" w:lineRule="auto"/>
                    <w:jc w:val="center"/>
                    <w:rPr>
                      <w:color w:val="auto"/>
                      <w:sz w:val="21"/>
                      <w:szCs w:val="21"/>
                      <w:highlight w:val="none"/>
                    </w:rPr>
                  </w:pPr>
                  <w:r>
                    <w:rPr>
                      <w:rFonts w:hint="eastAsia"/>
                      <w:color w:val="auto"/>
                      <w:sz w:val="21"/>
                      <w:szCs w:val="21"/>
                      <w:highlight w:val="none"/>
                    </w:rPr>
                    <w:t>SS</w:t>
                  </w:r>
                </w:p>
              </w:tc>
              <w:tc>
                <w:tcPr>
                  <w:tcW w:w="622" w:type="pct"/>
                  <w:tcBorders>
                    <w:tl2br w:val="nil"/>
                    <w:tr2bl w:val="nil"/>
                  </w:tcBorders>
                  <w:noWrap w:val="0"/>
                  <w:vAlign w:val="center"/>
                </w:tcPr>
                <w:p>
                  <w:pPr>
                    <w:spacing w:line="240" w:lineRule="auto"/>
                    <w:jc w:val="center"/>
                    <w:rPr>
                      <w:rFonts w:hint="default" w:eastAsia="宋体"/>
                      <w:color w:val="auto"/>
                      <w:sz w:val="21"/>
                      <w:szCs w:val="21"/>
                      <w:highlight w:val="none"/>
                      <w:lang w:val="en-US" w:eastAsia="zh-CN"/>
                    </w:rPr>
                  </w:pPr>
                  <w:r>
                    <w:rPr>
                      <w:rFonts w:hint="eastAsia"/>
                      <w:color w:val="0000FF"/>
                      <w:sz w:val="21"/>
                      <w:szCs w:val="21"/>
                      <w:highlight w:val="none"/>
                      <w:lang w:val="en-US" w:eastAsia="zh-CN"/>
                    </w:rPr>
                    <w:t>螺旋制砂机+三级沉淀池+板框压滤机</w:t>
                  </w:r>
                </w:p>
              </w:tc>
              <w:tc>
                <w:tcPr>
                  <w:tcW w:w="622" w:type="pct"/>
                  <w:tcBorders>
                    <w:tl2br w:val="nil"/>
                    <w:tr2bl w:val="nil"/>
                  </w:tcBorders>
                  <w:noWrap w:val="0"/>
                  <w:vAlign w:val="center"/>
                </w:tcPr>
                <w:p>
                  <w:pP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784</w:t>
                  </w:r>
                </w:p>
              </w:tc>
              <w:tc>
                <w:tcPr>
                  <w:tcW w:w="622" w:type="pct"/>
                  <w:tcBorders>
                    <w:tl2br w:val="nil"/>
                    <w:tr2bl w:val="nil"/>
                  </w:tcBorders>
                  <w:noWrap w:val="0"/>
                  <w:vAlign w:val="center"/>
                </w:tcPr>
                <w:p>
                  <w:pPr>
                    <w:spacing w:line="240" w:lineRule="auto"/>
                    <w:jc w:val="center"/>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沉淀</w:t>
                  </w:r>
                </w:p>
              </w:tc>
              <w:tc>
                <w:tcPr>
                  <w:tcW w:w="62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是</w:t>
                  </w:r>
                </w:p>
              </w:tc>
              <w:tc>
                <w:tcPr>
                  <w:tcW w:w="56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不外排</w:t>
                  </w:r>
                </w:p>
              </w:tc>
              <w:tc>
                <w:tcPr>
                  <w:tcW w:w="49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回用</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（3）废水治理措施可行性分析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①废水零排放可行性分析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根据项目水量平衡分析，项目每天生产用水量（包括石料加工用水</w:t>
            </w:r>
            <w:r>
              <w:rPr>
                <w:rFonts w:hint="default" w:ascii="Times New Roman" w:hAnsi="Times New Roman" w:eastAsia="宋体" w:cs="Times New Roman"/>
                <w:b w:val="0"/>
                <w:bCs/>
                <w:color w:val="auto"/>
                <w:sz w:val="24"/>
                <w:szCs w:val="24"/>
                <w:highlight w:val="none"/>
                <w:lang w:val="en-US" w:eastAsia="zh-CN"/>
              </w:rPr>
              <w:t>、厂区</w:t>
            </w:r>
            <w:r>
              <w:rPr>
                <w:rFonts w:hint="eastAsia"/>
                <w:color w:val="auto"/>
                <w:sz w:val="24"/>
                <w:szCs w:val="24"/>
                <w:highlight w:val="none"/>
                <w:lang w:val="en-US" w:eastAsia="zh-CN"/>
              </w:rPr>
              <w:t>道路</w:t>
            </w:r>
            <w:r>
              <w:rPr>
                <w:rFonts w:hint="default" w:ascii="Times New Roman" w:hAnsi="Times New Roman" w:eastAsia="宋体" w:cs="Times New Roman"/>
                <w:b w:val="0"/>
                <w:bCs/>
                <w:color w:val="auto"/>
                <w:sz w:val="24"/>
                <w:szCs w:val="24"/>
                <w:highlight w:val="none"/>
                <w:lang w:val="en-US" w:eastAsia="zh-CN"/>
              </w:rPr>
              <w:t>降尘洒水</w:t>
            </w:r>
            <w:r>
              <w:rPr>
                <w:rFonts w:hint="eastAsia"/>
                <w:color w:val="auto"/>
                <w:sz w:val="24"/>
                <w:szCs w:val="24"/>
                <w:highlight w:val="none"/>
                <w:lang w:val="en-US" w:eastAsia="zh-CN"/>
              </w:rPr>
              <w:t>）约11.5m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/d，生产废水产生量约8.5m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/d，项目废水水质简单，经沉淀处理后可作为循环用水。根据计算，运营期扣除循环水后每天还需3.0m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/d的补水量。因此，从废水水质、废水排放量及用水量分析上来看，运营期生产废水能够实现零排放。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val="0"/>
                <w:color w:val="auto"/>
                <w:sz w:val="24"/>
                <w:szCs w:val="24"/>
                <w:highlight w:val="none"/>
                <w:lang w:eastAsia="zh-CN"/>
              </w:rPr>
            </w:pPr>
            <w:r>
              <w:rPr>
                <w:rFonts w:hint="eastAsia"/>
                <w:b/>
                <w:bCs w:val="0"/>
                <w:color w:val="auto"/>
                <w:sz w:val="24"/>
                <w:szCs w:val="24"/>
                <w:highlight w:val="none"/>
                <w:lang w:val="en-US" w:eastAsia="zh-CN"/>
              </w:rPr>
              <w:t>②旱厕</w:t>
            </w:r>
            <w:r>
              <w:rPr>
                <w:rFonts w:hint="eastAsia"/>
                <w:b/>
                <w:bCs w:val="0"/>
                <w:color w:val="auto"/>
                <w:sz w:val="24"/>
                <w:szCs w:val="24"/>
                <w:highlight w:val="none"/>
                <w:lang w:eastAsia="zh-CN"/>
              </w:rPr>
              <w:t>的环境可行性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color w:val="auto"/>
                <w:sz w:val="24"/>
                <w:szCs w:val="24"/>
                <w:highlight w:val="none"/>
                <w:lang w:eastAsia="zh-CN"/>
              </w:rPr>
            </w:pPr>
            <w:r>
              <w:rPr>
                <w:rFonts w:hint="eastAsia"/>
                <w:b w:val="0"/>
                <w:bCs/>
                <w:color w:val="auto"/>
                <w:sz w:val="24"/>
                <w:szCs w:val="24"/>
                <w:highlight w:val="none"/>
                <w:lang w:eastAsia="zh-CN"/>
              </w:rPr>
              <w:t>项目</w:t>
            </w:r>
            <w:r>
              <w:rPr>
                <w:rFonts w:hint="eastAsia"/>
                <w:b w:val="0"/>
                <w:bCs/>
                <w:color w:val="auto"/>
                <w:sz w:val="24"/>
                <w:szCs w:val="24"/>
                <w:highlight w:val="none"/>
                <w:lang w:val="en-US" w:eastAsia="zh-CN"/>
              </w:rPr>
              <w:t>拟建设</w:t>
            </w:r>
            <w:r>
              <w:rPr>
                <w:rFonts w:hint="eastAsia"/>
                <w:b w:val="0"/>
                <w:bCs/>
                <w:color w:val="auto"/>
                <w:sz w:val="24"/>
                <w:szCs w:val="24"/>
                <w:highlight w:val="none"/>
                <w:lang w:eastAsia="zh-CN"/>
              </w:rPr>
              <w:t>1个容积为</w:t>
            </w:r>
            <w:r>
              <w:rPr>
                <w:rFonts w:hint="eastAsia"/>
                <w:b w:val="0"/>
                <w:bCs/>
                <w:color w:val="auto"/>
                <w:sz w:val="24"/>
                <w:szCs w:val="24"/>
                <w:highlight w:val="none"/>
                <w:lang w:val="en-US" w:eastAsia="zh-CN"/>
              </w:rPr>
              <w:t>4</w:t>
            </w:r>
            <w:r>
              <w:rPr>
                <w:rFonts w:hint="eastAsia"/>
                <w:b w:val="0"/>
                <w:bCs/>
                <w:color w:val="auto"/>
                <w:sz w:val="24"/>
                <w:szCs w:val="24"/>
                <w:highlight w:val="none"/>
                <w:lang w:eastAsia="zh-CN"/>
              </w:rPr>
              <w:t>m</w:t>
            </w:r>
            <w:r>
              <w:rPr>
                <w:rFonts w:hint="eastAsia"/>
                <w:b w:val="0"/>
                <w:bCs/>
                <w:color w:val="auto"/>
                <w:sz w:val="24"/>
                <w:szCs w:val="24"/>
                <w:highlight w:val="none"/>
                <w:vertAlign w:val="superscript"/>
                <w:lang w:eastAsia="zh-CN"/>
              </w:rPr>
              <w:t>3</w:t>
            </w:r>
            <w:r>
              <w:rPr>
                <w:rFonts w:hint="eastAsia"/>
                <w:b w:val="0"/>
                <w:bCs/>
                <w:color w:val="auto"/>
                <w:sz w:val="24"/>
                <w:szCs w:val="24"/>
                <w:highlight w:val="none"/>
                <w:lang w:eastAsia="zh-CN"/>
              </w:rPr>
              <w:t>的</w:t>
            </w:r>
            <w:r>
              <w:rPr>
                <w:rFonts w:hint="eastAsia"/>
                <w:b w:val="0"/>
                <w:bCs/>
                <w:color w:val="auto"/>
                <w:sz w:val="24"/>
                <w:szCs w:val="24"/>
                <w:highlight w:val="none"/>
                <w:lang w:val="en-US" w:eastAsia="zh-CN"/>
              </w:rPr>
              <w:t>旱厕</w:t>
            </w:r>
            <w:r>
              <w:rPr>
                <w:rFonts w:hint="eastAsia"/>
                <w:b w:val="0"/>
                <w:bCs/>
                <w:color w:val="auto"/>
                <w:sz w:val="24"/>
                <w:szCs w:val="24"/>
                <w:highlight w:val="none"/>
                <w:lang w:eastAsia="zh-CN"/>
              </w:rPr>
              <w:t>，用于处理</w:t>
            </w:r>
            <w:r>
              <w:rPr>
                <w:rFonts w:hint="eastAsia"/>
                <w:b w:val="0"/>
                <w:bCs/>
                <w:color w:val="auto"/>
                <w:sz w:val="24"/>
                <w:szCs w:val="24"/>
                <w:highlight w:val="none"/>
                <w:lang w:val="en-US" w:eastAsia="zh-CN"/>
              </w:rPr>
              <w:t>厂区</w:t>
            </w:r>
            <w:r>
              <w:rPr>
                <w:rFonts w:hint="eastAsia"/>
                <w:b w:val="0"/>
                <w:bCs/>
                <w:color w:val="auto"/>
                <w:sz w:val="24"/>
                <w:szCs w:val="24"/>
                <w:highlight w:val="none"/>
                <w:lang w:eastAsia="zh-CN"/>
              </w:rPr>
              <w:t>生活污水</w:t>
            </w:r>
            <w:r>
              <w:rPr>
                <w:rFonts w:hint="eastAsia"/>
                <w:b w:val="0"/>
                <w:bCs/>
                <w:color w:val="auto"/>
                <w:sz w:val="24"/>
                <w:szCs w:val="24"/>
                <w:highlight w:val="none"/>
                <w:lang w:val="en-US" w:eastAsia="zh-CN"/>
              </w:rPr>
              <w:t>及隔油后的食堂废水</w:t>
            </w:r>
            <w:r>
              <w:rPr>
                <w:rFonts w:hint="eastAsia"/>
                <w:b w:val="0"/>
                <w:bCs/>
                <w:color w:val="auto"/>
                <w:sz w:val="24"/>
                <w:szCs w:val="24"/>
                <w:highlight w:val="none"/>
                <w:lang w:eastAsia="zh-CN"/>
              </w:rPr>
              <w:t>。废水在</w:t>
            </w:r>
            <w:r>
              <w:rPr>
                <w:rFonts w:hint="eastAsia"/>
                <w:b w:val="0"/>
                <w:bCs/>
                <w:color w:val="auto"/>
                <w:sz w:val="24"/>
                <w:szCs w:val="24"/>
                <w:highlight w:val="none"/>
                <w:lang w:val="en-US" w:eastAsia="zh-CN"/>
              </w:rPr>
              <w:t>旱厕</w:t>
            </w:r>
            <w:r>
              <w:rPr>
                <w:rFonts w:hint="eastAsia"/>
                <w:b w:val="0"/>
                <w:bCs/>
                <w:color w:val="auto"/>
                <w:sz w:val="24"/>
                <w:szCs w:val="24"/>
                <w:highlight w:val="none"/>
                <w:lang w:eastAsia="zh-CN"/>
              </w:rPr>
              <w:t>中停留时间按12h计，则</w:t>
            </w:r>
            <w:r>
              <w:rPr>
                <w:rFonts w:hint="eastAsia"/>
                <w:b w:val="0"/>
                <w:bCs/>
                <w:color w:val="auto"/>
                <w:sz w:val="24"/>
                <w:szCs w:val="24"/>
                <w:highlight w:val="none"/>
                <w:lang w:val="en-US" w:eastAsia="zh-CN"/>
              </w:rPr>
              <w:t>旱厕</w:t>
            </w:r>
            <w:r>
              <w:rPr>
                <w:rFonts w:hint="eastAsia"/>
                <w:b w:val="0"/>
                <w:bCs/>
                <w:color w:val="auto"/>
                <w:sz w:val="24"/>
                <w:szCs w:val="24"/>
                <w:highlight w:val="none"/>
                <w:lang w:eastAsia="zh-CN"/>
              </w:rPr>
              <w:t>最大接纳污水量为</w:t>
            </w:r>
            <w:r>
              <w:rPr>
                <w:rFonts w:hint="eastAsia"/>
                <w:b w:val="0"/>
                <w:bCs/>
                <w:color w:val="auto"/>
                <w:sz w:val="24"/>
                <w:szCs w:val="24"/>
                <w:highlight w:val="none"/>
                <w:lang w:val="en-US" w:eastAsia="zh-CN"/>
              </w:rPr>
              <w:t>8</w:t>
            </w:r>
            <w:r>
              <w:rPr>
                <w:rFonts w:hint="eastAsia"/>
                <w:b w:val="0"/>
                <w:bCs/>
                <w:color w:val="auto"/>
                <w:sz w:val="24"/>
                <w:szCs w:val="24"/>
                <w:highlight w:val="none"/>
                <w:lang w:eastAsia="zh-CN"/>
              </w:rPr>
              <w:t>m</w:t>
            </w:r>
            <w:r>
              <w:rPr>
                <w:rFonts w:hint="eastAsia"/>
                <w:b w:val="0"/>
                <w:bCs/>
                <w:color w:val="auto"/>
                <w:sz w:val="24"/>
                <w:szCs w:val="24"/>
                <w:highlight w:val="none"/>
                <w:vertAlign w:val="superscript"/>
                <w:lang w:eastAsia="zh-CN"/>
              </w:rPr>
              <w:t>3</w:t>
            </w:r>
            <w:r>
              <w:rPr>
                <w:rFonts w:hint="eastAsia"/>
                <w:b w:val="0"/>
                <w:bCs/>
                <w:color w:val="auto"/>
                <w:sz w:val="24"/>
                <w:szCs w:val="24"/>
                <w:highlight w:val="none"/>
                <w:lang w:eastAsia="zh-CN"/>
              </w:rPr>
              <w:t>/d。根据工程分析，</w:t>
            </w:r>
            <w:r>
              <w:rPr>
                <w:rFonts w:hint="eastAsia"/>
                <w:b w:val="0"/>
                <w:bCs/>
                <w:color w:val="auto"/>
                <w:sz w:val="24"/>
                <w:szCs w:val="24"/>
                <w:highlight w:val="none"/>
                <w:lang w:val="en-US" w:eastAsia="zh-CN"/>
              </w:rPr>
              <w:t>厂区生活污水（含食堂废水）</w:t>
            </w:r>
            <w:r>
              <w:rPr>
                <w:rFonts w:hint="eastAsia"/>
                <w:b w:val="0"/>
                <w:bCs/>
                <w:color w:val="auto"/>
                <w:sz w:val="24"/>
                <w:szCs w:val="24"/>
                <w:highlight w:val="none"/>
                <w:lang w:eastAsia="zh-CN"/>
              </w:rPr>
              <w:t>产生量为</w:t>
            </w:r>
            <w:r>
              <w:rPr>
                <w:rFonts w:hint="eastAsia" w:cs="Times New Roman" w:eastAsiaTheme="minorEastAsia"/>
                <w:color w:val="auto"/>
                <w:sz w:val="24"/>
                <w:szCs w:val="24"/>
                <w:highlight w:val="none"/>
                <w:lang w:val="en-US" w:eastAsia="zh-CN"/>
              </w:rPr>
              <w:t>0.612</w:t>
            </w:r>
            <w:r>
              <w:rPr>
                <w:rFonts w:hint="eastAsia"/>
                <w:b w:val="0"/>
                <w:bCs/>
                <w:color w:val="auto"/>
                <w:sz w:val="24"/>
                <w:szCs w:val="24"/>
                <w:highlight w:val="none"/>
                <w:lang w:eastAsia="zh-CN"/>
              </w:rPr>
              <w:t>m</w:t>
            </w:r>
            <w:r>
              <w:rPr>
                <w:rFonts w:hint="eastAsia"/>
                <w:b w:val="0"/>
                <w:bCs/>
                <w:color w:val="auto"/>
                <w:sz w:val="24"/>
                <w:szCs w:val="24"/>
                <w:highlight w:val="none"/>
                <w:vertAlign w:val="superscript"/>
                <w:lang w:eastAsia="zh-CN"/>
              </w:rPr>
              <w:t>3</w:t>
            </w:r>
            <w:r>
              <w:rPr>
                <w:rFonts w:hint="eastAsia"/>
                <w:b w:val="0"/>
                <w:bCs/>
                <w:color w:val="auto"/>
                <w:sz w:val="24"/>
                <w:szCs w:val="24"/>
                <w:highlight w:val="none"/>
                <w:lang w:eastAsia="zh-CN"/>
              </w:rPr>
              <w:t>/d，低于该</w:t>
            </w:r>
            <w:r>
              <w:rPr>
                <w:rFonts w:hint="eastAsia"/>
                <w:b w:val="0"/>
                <w:bCs/>
                <w:color w:val="auto"/>
                <w:sz w:val="24"/>
                <w:szCs w:val="24"/>
                <w:highlight w:val="none"/>
                <w:lang w:val="en-US" w:eastAsia="zh-CN"/>
              </w:rPr>
              <w:t>旱厕</w:t>
            </w:r>
            <w:r>
              <w:rPr>
                <w:rFonts w:hint="eastAsia"/>
                <w:b w:val="0"/>
                <w:bCs/>
                <w:color w:val="auto"/>
                <w:sz w:val="24"/>
                <w:szCs w:val="24"/>
                <w:highlight w:val="none"/>
                <w:lang w:eastAsia="zh-CN"/>
              </w:rPr>
              <w:t>最大处理能力。</w:t>
            </w:r>
            <w:r>
              <w:rPr>
                <w:rFonts w:hint="eastAsia"/>
                <w:b w:val="0"/>
                <w:bCs/>
                <w:color w:val="auto"/>
                <w:sz w:val="24"/>
                <w:szCs w:val="24"/>
                <w:highlight w:val="none"/>
                <w:lang w:val="en-US" w:eastAsia="zh-CN"/>
              </w:rPr>
              <w:t>废水经旱厕处理后，用于周边农田农肥，</w:t>
            </w:r>
            <w:r>
              <w:rPr>
                <w:rFonts w:hint="eastAsia"/>
                <w:b w:val="0"/>
                <w:bCs/>
                <w:color w:val="auto"/>
                <w:sz w:val="24"/>
                <w:szCs w:val="24"/>
                <w:highlight w:val="none"/>
                <w:lang w:eastAsia="zh-CN"/>
              </w:rPr>
              <w:t>可满足环境可行性要求。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val="0"/>
                <w:color w:val="auto"/>
                <w:sz w:val="24"/>
                <w:szCs w:val="24"/>
                <w:highlight w:val="none"/>
                <w:lang w:eastAsia="zh-CN"/>
              </w:rPr>
            </w:pPr>
            <w:r>
              <w:rPr>
                <w:rFonts w:hint="eastAsia"/>
                <w:b/>
                <w:bCs w:val="0"/>
                <w:color w:val="auto"/>
                <w:sz w:val="24"/>
                <w:szCs w:val="24"/>
                <w:highlight w:val="none"/>
                <w:lang w:val="en-US" w:eastAsia="zh-CN"/>
              </w:rPr>
              <w:t>③</w:t>
            </w:r>
            <w:r>
              <w:rPr>
                <w:rFonts w:hint="eastAsia"/>
                <w:b/>
                <w:bCs w:val="0"/>
                <w:color w:val="auto"/>
                <w:sz w:val="24"/>
                <w:szCs w:val="24"/>
                <w:highlight w:val="none"/>
                <w:lang w:eastAsia="zh-CN"/>
              </w:rPr>
              <w:t>废水消纳可行性分析</w:t>
            </w:r>
          </w:p>
          <w:p>
            <w:pPr>
              <w:spacing w:line="360" w:lineRule="auto"/>
              <w:ind w:firstLine="480" w:firstLineChars="200"/>
              <w:rPr>
                <w:rFonts w:hint="default" w:ascii="Times New Roman" w:hAnsi="Times New Roman"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根据</w:t>
            </w:r>
            <w:r>
              <w:rPr>
                <w:rFonts w:hint="default" w:ascii="Times New Roman" w:hAnsi="Times New Roman" w:cs="Times New Roman"/>
                <w:b w:val="0"/>
                <w:bCs/>
                <w:color w:val="auto"/>
                <w:sz w:val="24"/>
                <w:szCs w:val="24"/>
                <w:highlight w:val="none"/>
                <w:lang w:val="en-US" w:eastAsia="zh-CN"/>
              </w:rPr>
              <w:t>现场调查，本项目周边有耕地和农田，项目周边交通便利，且日产生废水量较小，按每</w:t>
            </w:r>
            <w:r>
              <w:rPr>
                <w:rFonts w:hint="eastAsia" w:ascii="Times New Roman" w:hAnsi="Times New Roman" w:cs="Times New Roman"/>
                <w:b w:val="0"/>
                <w:bCs/>
                <w:color w:val="auto"/>
                <w:sz w:val="24"/>
                <w:szCs w:val="24"/>
                <w:highlight w:val="none"/>
                <w:lang w:val="en-US" w:eastAsia="zh-CN"/>
              </w:rPr>
              <w:t>6</w:t>
            </w:r>
            <w:r>
              <w:rPr>
                <w:rFonts w:hint="default" w:ascii="Times New Roman" w:hAnsi="Times New Roman" w:cs="Times New Roman"/>
                <w:b w:val="0"/>
                <w:bCs/>
                <w:color w:val="auto"/>
                <w:sz w:val="24"/>
                <w:szCs w:val="24"/>
                <w:highlight w:val="none"/>
                <w:lang w:val="en-US" w:eastAsia="zh-CN"/>
              </w:rPr>
              <w:t>天清理一次计算，生活污水</w:t>
            </w:r>
            <w:r>
              <w:rPr>
                <w:rFonts w:hint="eastAsia"/>
                <w:b w:val="0"/>
                <w:bCs/>
                <w:color w:val="auto"/>
                <w:sz w:val="24"/>
                <w:szCs w:val="24"/>
                <w:highlight w:val="none"/>
                <w:lang w:val="en-US" w:eastAsia="zh-CN"/>
              </w:rPr>
              <w:t>旱厕</w:t>
            </w:r>
            <w:r>
              <w:rPr>
                <w:rFonts w:hint="default" w:ascii="Times New Roman" w:hAnsi="Times New Roman" w:cs="Times New Roman"/>
                <w:b w:val="0"/>
                <w:bCs/>
                <w:color w:val="auto"/>
                <w:sz w:val="24"/>
                <w:szCs w:val="24"/>
                <w:highlight w:val="none"/>
                <w:lang w:val="en-US" w:eastAsia="zh-CN"/>
              </w:rPr>
              <w:t>能够满足施肥间隙的贮存要求。</w:t>
            </w:r>
            <w:r>
              <w:rPr>
                <w:rFonts w:hint="eastAsia" w:ascii="Times New Roman" w:hAnsi="Times New Roman" w:cs="Times New Roman"/>
                <w:b w:val="0"/>
                <w:bCs/>
                <w:color w:val="auto"/>
                <w:sz w:val="24"/>
                <w:szCs w:val="24"/>
                <w:highlight w:val="none"/>
                <w:lang w:val="en-US" w:eastAsia="zh-CN"/>
              </w:rPr>
              <w:t>环评要求：</w:t>
            </w:r>
            <w:r>
              <w:rPr>
                <w:rFonts w:hint="default" w:ascii="Times New Roman" w:hAnsi="Times New Roman" w:cs="Times New Roman"/>
                <w:b w:val="0"/>
                <w:bCs/>
                <w:color w:val="auto"/>
                <w:sz w:val="24"/>
                <w:szCs w:val="24"/>
                <w:highlight w:val="none"/>
                <w:lang w:val="en-US" w:eastAsia="zh-CN"/>
              </w:rPr>
              <w:t>建设单位</w:t>
            </w:r>
            <w:r>
              <w:rPr>
                <w:rFonts w:hint="eastAsia" w:ascii="Times New Roman" w:hAnsi="Times New Roman" w:cs="Times New Roman"/>
                <w:b w:val="0"/>
                <w:bCs/>
                <w:color w:val="auto"/>
                <w:sz w:val="24"/>
                <w:szCs w:val="24"/>
                <w:highlight w:val="none"/>
                <w:lang w:val="en-US" w:eastAsia="zh-CN"/>
              </w:rPr>
              <w:t>后续与农民</w:t>
            </w:r>
            <w:r>
              <w:rPr>
                <w:rFonts w:hint="default" w:ascii="Times New Roman" w:hAnsi="Times New Roman" w:cs="Times New Roman"/>
                <w:b w:val="0"/>
                <w:bCs/>
                <w:color w:val="auto"/>
                <w:sz w:val="24"/>
                <w:szCs w:val="24"/>
                <w:highlight w:val="none"/>
                <w:lang w:val="en-US" w:eastAsia="zh-CN"/>
              </w:rPr>
              <w:t>签订《粪水使用协议》，</w:t>
            </w:r>
            <w:r>
              <w:rPr>
                <w:rFonts w:hint="eastAsia" w:ascii="Times New Roman" w:hAnsi="Times New Roman" w:cs="Times New Roman"/>
                <w:b w:val="0"/>
                <w:bCs/>
                <w:color w:val="auto"/>
                <w:sz w:val="24"/>
                <w:szCs w:val="24"/>
                <w:highlight w:val="none"/>
                <w:lang w:val="en-US" w:eastAsia="zh-CN"/>
              </w:rPr>
              <w:t>确保</w:t>
            </w:r>
            <w:r>
              <w:rPr>
                <w:rFonts w:hint="default" w:ascii="Times New Roman" w:hAnsi="Times New Roman" w:cs="Times New Roman"/>
                <w:b w:val="0"/>
                <w:bCs/>
                <w:color w:val="auto"/>
                <w:sz w:val="24"/>
                <w:szCs w:val="24"/>
                <w:highlight w:val="none"/>
                <w:lang w:val="en-US" w:eastAsia="zh-CN"/>
              </w:rPr>
              <w:t>能够消纳本项目的废水。</w:t>
            </w:r>
          </w:p>
          <w:p>
            <w:pPr>
              <w:spacing w:line="360" w:lineRule="auto"/>
              <w:ind w:firstLine="480" w:firstLineChars="200"/>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本项目周边多为</w:t>
            </w:r>
            <w:r>
              <w:rPr>
                <w:rFonts w:hint="eastAsia" w:ascii="Times New Roman" w:hAnsi="Times New Roman" w:cs="Times New Roman"/>
                <w:b w:val="0"/>
                <w:bCs/>
                <w:color w:val="auto"/>
                <w:sz w:val="24"/>
                <w:szCs w:val="24"/>
                <w:highlight w:val="none"/>
                <w:lang w:val="en-US" w:eastAsia="zh-CN"/>
              </w:rPr>
              <w:t>菜地、</w:t>
            </w:r>
            <w:r>
              <w:rPr>
                <w:rFonts w:hint="default" w:ascii="Times New Roman" w:hAnsi="Times New Roman" w:cs="Times New Roman"/>
                <w:b w:val="0"/>
                <w:bCs/>
                <w:color w:val="auto"/>
                <w:sz w:val="24"/>
                <w:szCs w:val="24"/>
                <w:highlight w:val="none"/>
                <w:lang w:val="en-US" w:eastAsia="zh-CN"/>
              </w:rPr>
              <w:t>耕地和农田等，周边农户主要种植</w:t>
            </w:r>
            <w:r>
              <w:rPr>
                <w:rFonts w:hint="default" w:ascii="Times New Roman" w:hAnsi="Times New Roman" w:eastAsia="宋体" w:cs="Times New Roman"/>
                <w:color w:val="auto"/>
                <w:kern w:val="0"/>
                <w:sz w:val="24"/>
                <w:szCs w:val="24"/>
                <w:highlight w:val="none"/>
              </w:rPr>
              <w:t>玉米、青菜</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小麦</w:t>
            </w:r>
            <w:r>
              <w:rPr>
                <w:rFonts w:hint="default" w:ascii="Times New Roman" w:hAnsi="Times New Roman" w:eastAsia="宋体" w:cs="Times New Roman"/>
                <w:color w:val="auto"/>
                <w:kern w:val="0"/>
                <w:sz w:val="24"/>
                <w:szCs w:val="24"/>
                <w:highlight w:val="none"/>
              </w:rPr>
              <w:t>等农作物</w:t>
            </w:r>
            <w:r>
              <w:rPr>
                <w:rFonts w:hint="default" w:ascii="Times New Roman" w:hAnsi="Times New Roman" w:cs="Times New Roman"/>
                <w:b w:val="0"/>
                <w:bCs/>
                <w:color w:val="auto"/>
                <w:sz w:val="24"/>
                <w:szCs w:val="24"/>
                <w:highlight w:val="none"/>
                <w:lang w:val="en-US" w:eastAsia="zh-CN"/>
              </w:rPr>
              <w:t>，产生的生活污水进入</w:t>
            </w:r>
            <w:r>
              <w:rPr>
                <w:rFonts w:hint="eastAsia"/>
                <w:b w:val="0"/>
                <w:bCs/>
                <w:color w:val="auto"/>
                <w:sz w:val="24"/>
                <w:szCs w:val="24"/>
                <w:highlight w:val="none"/>
                <w:lang w:val="en-US" w:eastAsia="zh-CN"/>
              </w:rPr>
              <w:t>旱厕</w:t>
            </w:r>
            <w:r>
              <w:rPr>
                <w:rFonts w:hint="default" w:ascii="Times New Roman" w:hAnsi="Times New Roman" w:cs="Times New Roman"/>
                <w:b w:val="0"/>
                <w:bCs/>
                <w:color w:val="auto"/>
                <w:sz w:val="24"/>
                <w:szCs w:val="24"/>
                <w:highlight w:val="none"/>
                <w:lang w:val="en-US" w:eastAsia="zh-CN"/>
              </w:rPr>
              <w:t>处理后，用于周边农作物施肥，是农作物有利的肥料，同时对周边环境不造成影响，充分利用污染物不外排的原则。本项目产生的污水量为</w:t>
            </w:r>
            <w:r>
              <w:rPr>
                <w:rFonts w:hint="eastAsia" w:ascii="Times New Roman" w:hAnsi="Times New Roman" w:cs="Times New Roman"/>
                <w:b w:val="0"/>
                <w:bCs/>
                <w:color w:val="auto"/>
                <w:sz w:val="24"/>
                <w:szCs w:val="24"/>
                <w:highlight w:val="none"/>
                <w:lang w:val="en-US" w:eastAsia="zh-CN"/>
              </w:rPr>
              <w:t>183.6</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，NH</w:t>
            </w:r>
            <w:r>
              <w:rPr>
                <w:rFonts w:hint="default" w:ascii="Times New Roman" w:hAnsi="Times New Roman" w:cs="Times New Roman"/>
                <w:b w:val="0"/>
                <w:bCs/>
                <w:color w:val="auto"/>
                <w:sz w:val="24"/>
                <w:szCs w:val="24"/>
                <w:highlight w:val="none"/>
                <w:vertAlign w:val="subscript"/>
                <w:lang w:val="en-US" w:eastAsia="zh-CN"/>
              </w:rPr>
              <w:t>3</w:t>
            </w:r>
            <w:r>
              <w:rPr>
                <w:rFonts w:hint="default" w:ascii="Times New Roman" w:hAnsi="Times New Roman" w:cs="Times New Roman"/>
                <w:b w:val="0"/>
                <w:bCs/>
                <w:color w:val="auto"/>
                <w:sz w:val="24"/>
                <w:szCs w:val="24"/>
                <w:highlight w:val="none"/>
                <w:lang w:val="en-US" w:eastAsia="zh-CN"/>
              </w:rPr>
              <w:t>-N浓度以30mg/L计，用于施肥的氮肥（N）量</w:t>
            </w:r>
            <w:r>
              <w:rPr>
                <w:rFonts w:hint="eastAsia" w:ascii="Times New Roman" w:hAnsi="Times New Roman" w:cs="Times New Roman"/>
                <w:b w:val="0"/>
                <w:bCs/>
                <w:color w:val="auto"/>
                <w:sz w:val="24"/>
                <w:szCs w:val="24"/>
                <w:highlight w:val="none"/>
                <w:lang w:val="en-US" w:eastAsia="zh-CN"/>
              </w:rPr>
              <w:t>5.5</w:t>
            </w:r>
            <w:r>
              <w:rPr>
                <w:rFonts w:hint="default" w:ascii="Times New Roman" w:hAnsi="Times New Roman" w:cs="Times New Roman"/>
                <w:b w:val="0"/>
                <w:bCs/>
                <w:color w:val="auto"/>
                <w:sz w:val="24"/>
                <w:szCs w:val="24"/>
                <w:highlight w:val="none"/>
                <w:lang w:val="en-US" w:eastAsia="zh-CN"/>
              </w:rPr>
              <w:t>kg。周边农户主要种植蔬菜、粮食，根据《农业部发布2016年春季主要农作物科学施肥技术指导意见》可知，施肥建议氮肥（N）用量10</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12公斤/亩，经计算得出，本项目至少需要</w:t>
            </w:r>
            <w:r>
              <w:rPr>
                <w:rFonts w:hint="eastAsia" w:ascii="Times New Roman" w:hAnsi="Times New Roman" w:cs="Times New Roman"/>
                <w:b w:val="0"/>
                <w:bCs/>
                <w:color w:val="auto"/>
                <w:sz w:val="24"/>
                <w:szCs w:val="24"/>
                <w:highlight w:val="none"/>
                <w:lang w:val="en-US" w:eastAsia="zh-CN"/>
              </w:rPr>
              <w:t>1</w:t>
            </w:r>
            <w:r>
              <w:rPr>
                <w:rFonts w:hint="default" w:ascii="Times New Roman" w:hAnsi="Times New Roman" w:cs="Times New Roman"/>
                <w:b w:val="0"/>
                <w:bCs/>
                <w:color w:val="auto"/>
                <w:sz w:val="24"/>
                <w:szCs w:val="24"/>
                <w:highlight w:val="none"/>
                <w:lang w:val="en-US" w:eastAsia="zh-CN"/>
              </w:rPr>
              <w:t>亩土地完全消纳。</w:t>
            </w:r>
            <w:r>
              <w:rPr>
                <w:rFonts w:hint="eastAsia" w:ascii="Times New Roman" w:hAnsi="Times New Roman" w:cs="Times New Roman"/>
                <w:b w:val="0"/>
                <w:bCs/>
                <w:color w:val="auto"/>
                <w:sz w:val="24"/>
                <w:szCs w:val="24"/>
                <w:highlight w:val="none"/>
                <w:lang w:val="en-US" w:eastAsia="zh-CN"/>
              </w:rPr>
              <w:t>周边可农肥土地面积高于1亩，</w:t>
            </w:r>
            <w:r>
              <w:rPr>
                <w:rFonts w:hint="default" w:ascii="Times New Roman" w:hAnsi="Times New Roman" w:cs="Times New Roman"/>
                <w:b w:val="0"/>
                <w:bCs/>
                <w:color w:val="auto"/>
                <w:sz w:val="24"/>
                <w:szCs w:val="24"/>
                <w:highlight w:val="none"/>
                <w:lang w:val="en-US" w:eastAsia="zh-CN"/>
              </w:rPr>
              <w:t>厂区产生的生活污水作为</w:t>
            </w:r>
            <w:r>
              <w:rPr>
                <w:rFonts w:hint="eastAsia" w:ascii="Times New Roman" w:hAnsi="Times New Roman" w:cs="Times New Roman"/>
                <w:b w:val="0"/>
                <w:bCs/>
                <w:color w:val="auto"/>
                <w:sz w:val="24"/>
                <w:szCs w:val="24"/>
                <w:highlight w:val="none"/>
                <w:lang w:val="en-US" w:eastAsia="zh-CN"/>
              </w:rPr>
              <w:t>菜地、</w:t>
            </w:r>
            <w:r>
              <w:rPr>
                <w:rFonts w:hint="default" w:ascii="Times New Roman" w:hAnsi="Times New Roman" w:cs="Times New Roman"/>
                <w:b w:val="0"/>
                <w:bCs/>
                <w:color w:val="auto"/>
                <w:sz w:val="24"/>
                <w:szCs w:val="24"/>
                <w:highlight w:val="none"/>
                <w:lang w:val="en-US" w:eastAsia="zh-CN"/>
              </w:rPr>
              <w:t>耕地和农田的农肥使用</w:t>
            </w:r>
            <w:r>
              <w:rPr>
                <w:rFonts w:hint="eastAsia" w:ascii="Times New Roman" w:hAnsi="Times New Roman"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不外排，满足农肥要求。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highlight w:val="none"/>
                <w:lang w:eastAsia="zh-CN"/>
              </w:rPr>
            </w:pPr>
            <w:r>
              <w:rPr>
                <w:rFonts w:hint="eastAsia"/>
                <w:b/>
                <w:bCs/>
                <w:color w:val="auto"/>
                <w:sz w:val="24"/>
                <w:szCs w:val="24"/>
                <w:highlight w:val="none"/>
                <w:lang w:val="en-US" w:eastAsia="zh-CN"/>
              </w:rPr>
              <w:t>综上，</w:t>
            </w:r>
            <w:r>
              <w:rPr>
                <w:rFonts w:hint="eastAsia" w:ascii="Times New Roman" w:hAnsi="Times New Roman" w:cs="Times New Roman"/>
                <w:b/>
                <w:bCs/>
                <w:color w:val="auto"/>
                <w:sz w:val="24"/>
                <w:szCs w:val="24"/>
                <w:highlight w:val="none"/>
                <w:lang w:val="en-US" w:eastAsia="zh-CN"/>
              </w:rPr>
              <w:t>本项目</w:t>
            </w:r>
            <w:r>
              <w:rPr>
                <w:rFonts w:hint="eastAsia" w:ascii="Times New Roman" w:hAnsi="Times New Roman" w:cs="Times New Roman"/>
                <w:b/>
                <w:bCs/>
                <w:color w:val="auto"/>
                <w:sz w:val="24"/>
                <w:szCs w:val="24"/>
                <w:highlight w:val="none"/>
                <w:lang w:eastAsia="zh-CN"/>
              </w:rPr>
              <w:t>生活污水、生产废水均不外排</w:t>
            </w:r>
            <w:r>
              <w:rPr>
                <w:rFonts w:hint="eastAsia" w:ascii="Times New Roman" w:hAnsi="Times New Roman" w:cs="Times New Roman"/>
                <w:b/>
                <w:bCs/>
                <w:color w:val="auto"/>
                <w:sz w:val="24"/>
                <w:szCs w:val="24"/>
                <w:highlight w:val="none"/>
                <w:lang w:val="en-US" w:eastAsia="zh-CN"/>
              </w:rPr>
              <w:t>。</w:t>
            </w:r>
            <w:r>
              <w:rPr>
                <w:rFonts w:hint="eastAsia" w:ascii="Times New Roman" w:hAnsi="Times New Roman" w:cs="Times New Roman"/>
                <w:b/>
                <w:bCs/>
                <w:color w:val="auto"/>
                <w:sz w:val="24"/>
                <w:szCs w:val="24"/>
                <w:highlight w:val="none"/>
                <w:lang w:eastAsia="zh-CN"/>
              </w:rPr>
              <w:t>因此，项目运营期不会对周边地表水环境产生污染。</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sz w:val="24"/>
                <w:szCs w:val="24"/>
                <w:highlight w:val="none"/>
              </w:rPr>
            </w:pPr>
            <w:r>
              <w:rPr>
                <w:b/>
                <w:color w:val="auto"/>
                <w:sz w:val="24"/>
                <w:szCs w:val="24"/>
                <w:highlight w:val="none"/>
              </w:rPr>
              <w:t>3</w:t>
            </w:r>
            <w:r>
              <w:rPr>
                <w:rFonts w:hint="eastAsia"/>
                <w:b/>
                <w:color w:val="auto"/>
                <w:sz w:val="24"/>
                <w:szCs w:val="24"/>
                <w:highlight w:val="none"/>
              </w:rPr>
              <w:t>、噪声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sz w:val="24"/>
                <w:szCs w:val="24"/>
                <w:highlight w:val="none"/>
              </w:rPr>
            </w:pPr>
            <w:r>
              <w:rPr>
                <w:rFonts w:hint="eastAsia"/>
                <w:b/>
                <w:color w:val="auto"/>
                <w:sz w:val="24"/>
                <w:szCs w:val="24"/>
                <w:highlight w:val="none"/>
              </w:rPr>
              <w:t>（1）噪声源强及治理措施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sz w:val="24"/>
                <w:szCs w:val="24"/>
                <w:highlight w:val="none"/>
              </w:rPr>
            </w:pPr>
            <w:r>
              <w:rPr>
                <w:rFonts w:hint="eastAsia"/>
                <w:b/>
                <w:color w:val="auto"/>
                <w:sz w:val="24"/>
                <w:szCs w:val="24"/>
                <w:highlight w:val="none"/>
              </w:rPr>
              <w:t>1）车辆</w:t>
            </w:r>
            <w:r>
              <w:rPr>
                <w:rFonts w:hint="eastAsia"/>
                <w:b/>
                <w:color w:val="auto"/>
                <w:sz w:val="24"/>
                <w:szCs w:val="24"/>
                <w:highlight w:val="none"/>
                <w:lang w:val="en-US" w:eastAsia="zh-CN"/>
              </w:rPr>
              <w:t>运输</w:t>
            </w:r>
            <w:r>
              <w:rPr>
                <w:rFonts w:hint="eastAsia"/>
                <w:b/>
                <w:color w:val="auto"/>
                <w:sz w:val="24"/>
                <w:szCs w:val="24"/>
                <w:highlight w:val="none"/>
              </w:rPr>
              <w:t>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rFonts w:hint="eastAsia"/>
                <w:color w:val="auto"/>
                <w:sz w:val="24"/>
                <w:szCs w:val="24"/>
                <w:highlight w:val="none"/>
              </w:rPr>
              <w:t>运期车辆噪声主要来自运输车辆，机动车噪声值一般在80~85dB（A），为减轻对运输沿线的影响，环评要求：运输车辆进入厂区应严格限速、禁止鸣笛，减少怠速时间；运输车辆必须严格按照规定的路线行驶，严禁超载、超速行驶。</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sz w:val="24"/>
                <w:szCs w:val="24"/>
                <w:highlight w:val="none"/>
              </w:rPr>
            </w:pPr>
            <w:r>
              <w:rPr>
                <w:b/>
                <w:color w:val="auto"/>
                <w:sz w:val="24"/>
                <w:szCs w:val="24"/>
                <w:highlight w:val="none"/>
              </w:rPr>
              <w:t>2</w:t>
            </w:r>
            <w:r>
              <w:rPr>
                <w:rFonts w:hint="eastAsia"/>
                <w:b/>
                <w:color w:val="auto"/>
                <w:sz w:val="24"/>
                <w:szCs w:val="24"/>
                <w:highlight w:val="none"/>
              </w:rPr>
              <w:t>）设备噪声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本项目主要噪声源来自</w:t>
            </w:r>
            <w:r>
              <w:rPr>
                <w:rFonts w:hint="eastAsia"/>
                <w:color w:val="auto"/>
                <w:sz w:val="24"/>
                <w:szCs w:val="24"/>
                <w:highlight w:val="none"/>
                <w:lang w:val="en-US" w:eastAsia="zh-CN"/>
              </w:rPr>
              <w:t>大切机、中切机、雕刻机、水泵</w:t>
            </w:r>
            <w:r>
              <w:rPr>
                <w:rFonts w:hint="eastAsia"/>
                <w:color w:val="auto"/>
                <w:sz w:val="24"/>
                <w:szCs w:val="24"/>
                <w:highlight w:val="none"/>
              </w:rPr>
              <w:t>等生产设备运行时产生的噪声，各设备噪声源强值在7</w:t>
            </w:r>
            <w:r>
              <w:rPr>
                <w:rFonts w:hint="eastAsia"/>
                <w:color w:val="auto"/>
                <w:sz w:val="24"/>
                <w:szCs w:val="24"/>
                <w:highlight w:val="none"/>
                <w:lang w:val="en-US" w:eastAsia="zh-CN"/>
              </w:rPr>
              <w:t>5</w:t>
            </w:r>
            <w:r>
              <w:rPr>
                <w:rFonts w:hint="eastAsia"/>
                <w:color w:val="auto"/>
                <w:sz w:val="24"/>
                <w:szCs w:val="24"/>
                <w:highlight w:val="none"/>
              </w:rPr>
              <w:t>~</w:t>
            </w:r>
            <w:r>
              <w:rPr>
                <w:rFonts w:hint="eastAsia"/>
                <w:color w:val="auto"/>
                <w:sz w:val="24"/>
                <w:szCs w:val="24"/>
                <w:highlight w:val="none"/>
                <w:lang w:val="en-US" w:eastAsia="zh-CN"/>
              </w:rPr>
              <w:t>85</w:t>
            </w:r>
            <w:r>
              <w:rPr>
                <w:rFonts w:hint="eastAsia"/>
                <w:color w:val="auto"/>
                <w:sz w:val="24"/>
                <w:szCs w:val="24"/>
                <w:highlight w:val="none"/>
              </w:rPr>
              <w:t>B（A）间。根据声源类型及源强，结合项目实际情况，本项目拟采取的噪声治理措施如下：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①选用符合国家标准的低噪声设备，定期进行设备检修，保证设备的正常运行。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②合理布局车间平面，各生产设备均布置在</w:t>
            </w:r>
            <w:r>
              <w:rPr>
                <w:rFonts w:hint="eastAsia"/>
                <w:color w:val="auto"/>
                <w:sz w:val="24"/>
                <w:szCs w:val="24"/>
                <w:highlight w:val="none"/>
                <w:lang w:val="en-US" w:eastAsia="zh-CN"/>
              </w:rPr>
              <w:t>加工</w:t>
            </w:r>
            <w:r>
              <w:rPr>
                <w:rFonts w:hint="eastAsia"/>
                <w:color w:val="auto"/>
                <w:sz w:val="24"/>
                <w:szCs w:val="24"/>
                <w:highlight w:val="none"/>
              </w:rPr>
              <w:t>车间内，利用厂房进行隔声；合理布置厂区平面，有效利用距离衰减，实现厂界噪声达标排放。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③产噪设备底部采取基础减振，减少噪声源强值。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lang w:val="en-US" w:eastAsia="zh-CN"/>
              </w:rPr>
              <w:t>④</w:t>
            </w:r>
            <w:r>
              <w:rPr>
                <w:rFonts w:hint="eastAsia"/>
                <w:color w:val="auto"/>
                <w:sz w:val="24"/>
                <w:szCs w:val="24"/>
                <w:highlight w:val="none"/>
              </w:rPr>
              <w:t>合理安排生产时间。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本项目噪声污染源源强核算结果及相关参数见下表：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Calibri"/>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s="Calibri"/>
                <w:color w:val="auto"/>
                <w:sz w:val="24"/>
                <w:szCs w:val="24"/>
                <w:highlight w:val="none"/>
                <w:lang w:eastAsia="zh-CN"/>
              </w:rPr>
            </w:pPr>
          </w:p>
        </w:tc>
      </w:tr>
    </w:tbl>
    <w:p>
      <w:pPr>
        <w:spacing w:line="276" w:lineRule="auto"/>
        <w:ind w:firstLine="420" w:firstLineChars="200"/>
        <w:rPr>
          <w:color w:val="auto"/>
          <w:szCs w:val="21"/>
          <w:highlight w:val="none"/>
        </w:rPr>
        <w:sectPr>
          <w:pgSz w:w="11906" w:h="16838"/>
          <w:pgMar w:top="1134" w:right="1418" w:bottom="1134" w:left="1134" w:header="851" w:footer="992" w:gutter="0"/>
          <w:pgBorders>
            <w:top w:val="none" w:sz="0" w:space="0"/>
            <w:left w:val="none" w:sz="0" w:space="0"/>
            <w:bottom w:val="none" w:sz="0" w:space="0"/>
            <w:right w:val="none" w:sz="0" w:space="0"/>
          </w:pgBorders>
          <w:cols w:space="720" w:num="1"/>
          <w:docGrid w:type="lines"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4"/>
                <w:szCs w:val="24"/>
                <w:highlight w:val="none"/>
              </w:rPr>
            </w:pPr>
            <w:r>
              <w:rPr>
                <w:rFonts w:hint="eastAsia"/>
                <w:b/>
                <w:bCs/>
                <w:color w:val="auto"/>
                <w:sz w:val="24"/>
                <w:szCs w:val="24"/>
                <w:highlight w:val="none"/>
              </w:rPr>
              <w:t>表4-</w:t>
            </w:r>
            <w:r>
              <w:rPr>
                <w:rFonts w:hint="eastAsia"/>
                <w:b/>
                <w:bCs/>
                <w:color w:val="auto"/>
                <w:sz w:val="24"/>
                <w:szCs w:val="24"/>
                <w:highlight w:val="none"/>
                <w:lang w:val="en-US" w:eastAsia="zh-CN"/>
              </w:rPr>
              <w:t>10</w:t>
            </w:r>
            <w:r>
              <w:rPr>
                <w:rFonts w:hint="eastAsia"/>
                <w:b/>
                <w:bCs/>
                <w:color w:val="auto"/>
                <w:sz w:val="24"/>
                <w:szCs w:val="24"/>
                <w:highlight w:val="none"/>
              </w:rPr>
              <w:t xml:space="preserve"> 工业企业噪声源强调查清单（室外声源）</w:t>
            </w:r>
          </w:p>
          <w:tbl>
            <w:tblPr>
              <w:tblStyle w:val="23"/>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93"/>
              <w:gridCol w:w="1818"/>
              <w:gridCol w:w="1381"/>
              <w:gridCol w:w="932"/>
              <w:gridCol w:w="932"/>
              <w:gridCol w:w="932"/>
              <w:gridCol w:w="1975"/>
              <w:gridCol w:w="1424"/>
              <w:gridCol w:w="2007"/>
              <w:gridCol w:w="24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8"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序号</w:t>
                  </w:r>
                </w:p>
              </w:tc>
              <w:tc>
                <w:tcPr>
                  <w:tcW w:w="624"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声源</w:t>
                  </w:r>
                  <w:r>
                    <w:rPr>
                      <w:rFonts w:hint="eastAsia" w:cs="Times New Roman"/>
                      <w:b/>
                      <w:bCs/>
                      <w:color w:val="auto"/>
                      <w:sz w:val="21"/>
                      <w:szCs w:val="21"/>
                      <w:highlight w:val="none"/>
                      <w:lang w:val="en-US" w:eastAsia="zh-CN"/>
                    </w:rPr>
                    <w:t>名称</w:t>
                  </w:r>
                </w:p>
              </w:tc>
              <w:tc>
                <w:tcPr>
                  <w:tcW w:w="4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型号</w:t>
                  </w:r>
                </w:p>
              </w:tc>
              <w:tc>
                <w:tcPr>
                  <w:tcW w:w="960" w:type="pct"/>
                  <w:gridSpan w:val="3"/>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空间相对位置</w:t>
                  </w:r>
                </w:p>
              </w:tc>
              <w:tc>
                <w:tcPr>
                  <w:tcW w:w="1167" w:type="pct"/>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噪声源强</w:t>
                  </w:r>
                  <w:r>
                    <w:rPr>
                      <w:rFonts w:hint="eastAsia" w:cs="Times New Roman"/>
                      <w:b/>
                      <w:bCs/>
                      <w:color w:val="auto"/>
                      <w:sz w:val="21"/>
                      <w:szCs w:val="21"/>
                      <w:highlight w:val="none"/>
                      <w:lang w:eastAsia="zh-CN"/>
                    </w:rPr>
                    <w:t>（</w:t>
                  </w:r>
                  <w:r>
                    <w:rPr>
                      <w:rFonts w:hint="eastAsia" w:cs="Times New Roman"/>
                      <w:b/>
                      <w:bCs/>
                      <w:color w:val="auto"/>
                      <w:sz w:val="21"/>
                      <w:szCs w:val="21"/>
                      <w:highlight w:val="none"/>
                      <w:lang w:val="en-US" w:eastAsia="zh-CN"/>
                    </w:rPr>
                    <w:t>任选一种</w:t>
                  </w:r>
                  <w:r>
                    <w:rPr>
                      <w:rFonts w:hint="eastAsia" w:cs="Times New Roman"/>
                      <w:b/>
                      <w:bCs/>
                      <w:color w:val="auto"/>
                      <w:sz w:val="21"/>
                      <w:szCs w:val="21"/>
                      <w:highlight w:val="none"/>
                      <w:lang w:eastAsia="zh-CN"/>
                    </w:rPr>
                    <w:t>）</w:t>
                  </w:r>
                </w:p>
              </w:tc>
              <w:tc>
                <w:tcPr>
                  <w:tcW w:w="689"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声源控制措施</w:t>
                  </w:r>
                </w:p>
              </w:tc>
              <w:tc>
                <w:tcPr>
                  <w:tcW w:w="844"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62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4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sz w:val="21"/>
                      <w:szCs w:val="21"/>
                      <w:highlight w:val="none"/>
                      <w:lang w:val="en-US" w:eastAsia="zh-CN"/>
                    </w:rPr>
                    <w:t>X</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sz w:val="21"/>
                      <w:szCs w:val="21"/>
                      <w:highlight w:val="none"/>
                      <w:lang w:val="en-US" w:eastAsia="zh-CN"/>
                    </w:rPr>
                    <w:t>Y</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sz w:val="21"/>
                      <w:szCs w:val="21"/>
                      <w:highlight w:val="none"/>
                      <w:lang w:val="en-US" w:eastAsia="zh-CN"/>
                    </w:rPr>
                    <w:t>Z</w:t>
                  </w:r>
                </w:p>
              </w:tc>
              <w:tc>
                <w:tcPr>
                  <w:tcW w:w="67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（声压级/距声源距离）/（dB（A）/m）</w:t>
                  </w:r>
                </w:p>
              </w:tc>
              <w:tc>
                <w:tcPr>
                  <w:tcW w:w="48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val="en-US" w:eastAsia="zh-CN"/>
                    </w:rPr>
                    <w:t>声功率级/</w:t>
                  </w:r>
                  <w:r>
                    <w:rPr>
                      <w:rFonts w:hint="default" w:ascii="Times New Roman" w:hAnsi="Times New Roman" w:cs="Times New Roman"/>
                      <w:b/>
                      <w:bCs/>
                      <w:color w:val="auto"/>
                      <w:sz w:val="21"/>
                      <w:szCs w:val="21"/>
                      <w:highlight w:val="none"/>
                    </w:rPr>
                    <w:t>dB</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A</w:t>
                  </w:r>
                  <w:r>
                    <w:rPr>
                      <w:rFonts w:hint="default" w:ascii="Times New Roman" w:hAnsi="Times New Roman" w:cs="Times New Roman"/>
                      <w:b/>
                      <w:bCs/>
                      <w:color w:val="auto"/>
                      <w:sz w:val="21"/>
                      <w:szCs w:val="21"/>
                      <w:highlight w:val="none"/>
                      <w:lang w:eastAsia="zh-CN"/>
                    </w:rPr>
                    <w:t>）</w:t>
                  </w:r>
                </w:p>
              </w:tc>
              <w:tc>
                <w:tcPr>
                  <w:tcW w:w="6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s="Times New Roman"/>
                      <w:b/>
                      <w:bCs/>
                      <w:color w:val="auto"/>
                      <w:sz w:val="21"/>
                      <w:szCs w:val="21"/>
                      <w:highlight w:val="none"/>
                      <w:lang w:val="en-US" w:eastAsia="zh-CN"/>
                    </w:rPr>
                  </w:pPr>
                </w:p>
              </w:tc>
              <w:tc>
                <w:tcPr>
                  <w:tcW w:w="84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s="Times New Roman"/>
                      <w:b/>
                      <w:bCs/>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hint="eastAsia"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1</w:t>
                  </w:r>
                </w:p>
              </w:tc>
              <w:tc>
                <w:tcPr>
                  <w:tcW w:w="624" w:type="pc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Fonts w:hint="eastAsia"/>
                      <w:color w:val="auto"/>
                      <w:sz w:val="21"/>
                      <w:szCs w:val="21"/>
                    </w:rPr>
                    <w:t>压滤机</w:t>
                  </w:r>
                </w:p>
              </w:tc>
              <w:tc>
                <w:tcPr>
                  <w:tcW w:w="47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eastAsia"/>
                      <w:color w:val="auto"/>
                      <w:sz w:val="21"/>
                      <w:szCs w:val="21"/>
                    </w:rPr>
                    <w:t>18.53</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eastAsia"/>
                      <w:color w:val="auto"/>
                      <w:sz w:val="21"/>
                      <w:szCs w:val="21"/>
                    </w:rPr>
                    <w:t>21.29</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eastAsia"/>
                      <w:color w:val="auto"/>
                      <w:sz w:val="21"/>
                      <w:szCs w:val="21"/>
                    </w:rPr>
                    <w:t>1</w:t>
                  </w:r>
                </w:p>
              </w:tc>
              <w:tc>
                <w:tcPr>
                  <w:tcW w:w="67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48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689"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选用低噪声设备，合理布置设备，定期加强设备维护等</w:t>
                  </w:r>
                </w:p>
              </w:tc>
              <w:tc>
                <w:tcPr>
                  <w:tcW w:w="84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cs="Times New Roman"/>
                      <w:color w:val="auto"/>
                      <w:sz w:val="21"/>
                      <w:szCs w:val="21"/>
                      <w:highlight w:val="none"/>
                      <w:lang w:val="en-US" w:eastAsia="zh-CN"/>
                    </w:rPr>
                  </w:pPr>
                  <w:r>
                    <w:rPr>
                      <w:rFonts w:hint="eastAsia"/>
                      <w:color w:val="auto"/>
                      <w:sz w:val="21"/>
                      <w:szCs w:val="21"/>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hint="default"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2</w:t>
                  </w:r>
                </w:p>
              </w:tc>
              <w:tc>
                <w:tcPr>
                  <w:tcW w:w="624" w:type="pc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Fonts w:hint="eastAsia"/>
                      <w:color w:val="auto"/>
                      <w:sz w:val="21"/>
                      <w:szCs w:val="21"/>
                    </w:rPr>
                    <w:t>水泵</w:t>
                  </w:r>
                </w:p>
              </w:tc>
              <w:tc>
                <w:tcPr>
                  <w:tcW w:w="47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eastAsia"/>
                      <w:color w:val="auto"/>
                      <w:sz w:val="21"/>
                      <w:szCs w:val="21"/>
                    </w:rPr>
                    <w:t>13.14</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eastAsia"/>
                      <w:color w:val="auto"/>
                      <w:sz w:val="21"/>
                      <w:szCs w:val="21"/>
                    </w:rPr>
                    <w:t>20.86</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eastAsia"/>
                      <w:color w:val="auto"/>
                      <w:sz w:val="21"/>
                      <w:szCs w:val="21"/>
                    </w:rPr>
                    <w:t>1</w:t>
                  </w:r>
                </w:p>
              </w:tc>
              <w:tc>
                <w:tcPr>
                  <w:tcW w:w="67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48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6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s="Times New Roman"/>
                      <w:color w:val="auto"/>
                      <w:sz w:val="21"/>
                      <w:szCs w:val="21"/>
                      <w:highlight w:val="none"/>
                      <w:lang w:val="en-US" w:eastAsia="zh-CN"/>
                    </w:rPr>
                  </w:pPr>
                </w:p>
              </w:tc>
              <w:tc>
                <w:tcPr>
                  <w:tcW w:w="84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昼间</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4"/>
                <w:szCs w:val="24"/>
                <w:highlight w:val="none"/>
              </w:rPr>
            </w:pPr>
            <w:r>
              <w:rPr>
                <w:rFonts w:hint="eastAsia"/>
                <w:b/>
                <w:bCs/>
                <w:color w:val="auto"/>
                <w:sz w:val="24"/>
                <w:szCs w:val="24"/>
                <w:highlight w:val="none"/>
              </w:rPr>
              <w:t>表4-</w:t>
            </w:r>
            <w:r>
              <w:rPr>
                <w:rFonts w:hint="eastAsia"/>
                <w:b/>
                <w:bCs/>
                <w:color w:val="auto"/>
                <w:sz w:val="24"/>
                <w:szCs w:val="24"/>
                <w:highlight w:val="none"/>
                <w:lang w:val="en-US" w:eastAsia="zh-CN"/>
              </w:rPr>
              <w:t>11</w:t>
            </w:r>
            <w:r>
              <w:rPr>
                <w:rFonts w:hint="eastAsia"/>
                <w:b/>
                <w:bCs/>
                <w:color w:val="auto"/>
                <w:sz w:val="24"/>
                <w:szCs w:val="24"/>
                <w:highlight w:val="none"/>
              </w:rPr>
              <w:t xml:space="preserve"> 工业企业噪声源强调查清单（室内声源）</w:t>
            </w:r>
          </w:p>
          <w:tbl>
            <w:tblPr>
              <w:tblStyle w:val="23"/>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42"/>
              <w:gridCol w:w="1296"/>
              <w:gridCol w:w="720"/>
              <w:gridCol w:w="1299"/>
              <w:gridCol w:w="845"/>
              <w:gridCol w:w="1165"/>
              <w:gridCol w:w="1005"/>
              <w:gridCol w:w="1005"/>
              <w:gridCol w:w="1028"/>
              <w:gridCol w:w="839"/>
              <w:gridCol w:w="807"/>
              <w:gridCol w:w="702"/>
              <w:gridCol w:w="1459"/>
              <w:gridCol w:w="766"/>
              <w:gridCol w:w="7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89"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序号</w:t>
                  </w:r>
                </w:p>
              </w:tc>
              <w:tc>
                <w:tcPr>
                  <w:tcW w:w="445"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声源</w:t>
                  </w:r>
                  <w:r>
                    <w:rPr>
                      <w:rFonts w:hint="eastAsia" w:cs="Times New Roman"/>
                      <w:b/>
                      <w:bCs/>
                      <w:color w:val="auto"/>
                      <w:sz w:val="21"/>
                      <w:szCs w:val="21"/>
                      <w:highlight w:val="none"/>
                      <w:lang w:val="en-US" w:eastAsia="zh-CN"/>
                    </w:rPr>
                    <w:t>名称</w:t>
                  </w:r>
                </w:p>
              </w:tc>
              <w:tc>
                <w:tcPr>
                  <w:tcW w:w="247"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型号</w:t>
                  </w:r>
                </w:p>
              </w:tc>
              <w:tc>
                <w:tcPr>
                  <w:tcW w:w="736" w:type="pct"/>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噪声源强</w:t>
                  </w:r>
                  <w:r>
                    <w:rPr>
                      <w:rFonts w:hint="eastAsia" w:cs="Times New Roman"/>
                      <w:b/>
                      <w:bCs/>
                      <w:color w:val="auto"/>
                      <w:sz w:val="21"/>
                      <w:szCs w:val="21"/>
                      <w:highlight w:val="none"/>
                      <w:lang w:eastAsia="zh-CN"/>
                    </w:rPr>
                    <w:t>（</w:t>
                  </w:r>
                  <w:r>
                    <w:rPr>
                      <w:rFonts w:hint="eastAsia" w:cs="Times New Roman"/>
                      <w:b/>
                      <w:bCs/>
                      <w:color w:val="auto"/>
                      <w:sz w:val="21"/>
                      <w:szCs w:val="21"/>
                      <w:highlight w:val="none"/>
                      <w:lang w:val="en-US" w:eastAsia="zh-CN"/>
                    </w:rPr>
                    <w:t>任选一种</w:t>
                  </w:r>
                  <w:r>
                    <w:rPr>
                      <w:rFonts w:hint="eastAsia" w:cs="Times New Roman"/>
                      <w:b/>
                      <w:bCs/>
                      <w:color w:val="auto"/>
                      <w:sz w:val="21"/>
                      <w:szCs w:val="21"/>
                      <w:highlight w:val="none"/>
                      <w:lang w:eastAsia="zh-CN"/>
                    </w:rPr>
                    <w:t>）</w:t>
                  </w:r>
                </w:p>
              </w:tc>
              <w:tc>
                <w:tcPr>
                  <w:tcW w:w="400"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声源控制措施</w:t>
                  </w:r>
                </w:p>
              </w:tc>
              <w:tc>
                <w:tcPr>
                  <w:tcW w:w="1043" w:type="pct"/>
                  <w:gridSpan w:val="3"/>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空间相对位置</w:t>
                  </w:r>
                </w:p>
              </w:tc>
              <w:tc>
                <w:tcPr>
                  <w:tcW w:w="288"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距室内边界距离</w:t>
                  </w:r>
                </w:p>
              </w:tc>
              <w:tc>
                <w:tcPr>
                  <w:tcW w:w="277"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室内边界声级/dB(A)</w:t>
                  </w:r>
                </w:p>
              </w:tc>
              <w:tc>
                <w:tcPr>
                  <w:tcW w:w="241"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运行时段</w:t>
                  </w:r>
                </w:p>
              </w:tc>
              <w:tc>
                <w:tcPr>
                  <w:tcW w:w="501"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插入损失/dB（A）</w:t>
                  </w:r>
                </w:p>
              </w:tc>
              <w:tc>
                <w:tcPr>
                  <w:tcW w:w="529" w:type="pct"/>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44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24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44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（声压级/距声源距离）/（dB（A）/m）</w:t>
                  </w:r>
                </w:p>
              </w:tc>
              <w:tc>
                <w:tcPr>
                  <w:tcW w:w="29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val="en-US" w:eastAsia="zh-CN"/>
                    </w:rPr>
                    <w:t>声功率级/</w:t>
                  </w:r>
                  <w:r>
                    <w:rPr>
                      <w:rFonts w:hint="default" w:ascii="Times New Roman" w:hAnsi="Times New Roman" w:cs="Times New Roman"/>
                      <w:b/>
                      <w:bCs/>
                      <w:color w:val="auto"/>
                      <w:sz w:val="21"/>
                      <w:szCs w:val="21"/>
                      <w:highlight w:val="none"/>
                    </w:rPr>
                    <w:t>dB</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A</w:t>
                  </w:r>
                  <w:r>
                    <w:rPr>
                      <w:rFonts w:hint="default" w:ascii="Times New Roman" w:hAnsi="Times New Roman" w:cs="Times New Roman"/>
                      <w:b/>
                      <w:bCs/>
                      <w:color w:val="auto"/>
                      <w:sz w:val="21"/>
                      <w:szCs w:val="21"/>
                      <w:highlight w:val="none"/>
                      <w:lang w:eastAsia="zh-CN"/>
                    </w:rPr>
                    <w:t>）</w:t>
                  </w:r>
                </w:p>
              </w:tc>
              <w:tc>
                <w:tcPr>
                  <w:tcW w:w="40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auto"/>
                      <w:sz w:val="21"/>
                      <w:szCs w:val="21"/>
                      <w:highlight w:val="none"/>
                    </w:rPr>
                  </w:pPr>
                </w:p>
              </w:tc>
              <w:tc>
                <w:tcPr>
                  <w:tcW w:w="345"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X</w:t>
                  </w:r>
                </w:p>
              </w:tc>
              <w:tc>
                <w:tcPr>
                  <w:tcW w:w="345"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Y</w:t>
                  </w:r>
                </w:p>
              </w:tc>
              <w:tc>
                <w:tcPr>
                  <w:tcW w:w="35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Z</w:t>
                  </w:r>
                </w:p>
              </w:tc>
              <w:tc>
                <w:tcPr>
                  <w:tcW w:w="28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auto"/>
                      <w:sz w:val="21"/>
                      <w:szCs w:val="21"/>
                      <w:highlight w:val="none"/>
                    </w:rPr>
                  </w:pPr>
                </w:p>
              </w:tc>
              <w:tc>
                <w:tcPr>
                  <w:tcW w:w="27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auto"/>
                      <w:sz w:val="21"/>
                      <w:szCs w:val="21"/>
                      <w:highlight w:val="none"/>
                    </w:rPr>
                  </w:pPr>
                </w:p>
              </w:tc>
              <w:tc>
                <w:tcPr>
                  <w:tcW w:w="24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auto"/>
                      <w:sz w:val="21"/>
                      <w:szCs w:val="21"/>
                      <w:highlight w:val="none"/>
                    </w:rPr>
                  </w:pPr>
                </w:p>
              </w:tc>
              <w:tc>
                <w:tcPr>
                  <w:tcW w:w="50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auto"/>
                      <w:sz w:val="21"/>
                      <w:szCs w:val="21"/>
                      <w:highlight w:val="none"/>
                    </w:rPr>
                  </w:pPr>
                </w:p>
              </w:tc>
              <w:tc>
                <w:tcPr>
                  <w:tcW w:w="26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声压级</w:t>
                  </w:r>
                </w:p>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/dB(A)</w:t>
                  </w:r>
                </w:p>
              </w:tc>
              <w:tc>
                <w:tcPr>
                  <w:tcW w:w="26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建筑</w:t>
                  </w:r>
                </w:p>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物外</w:t>
                  </w:r>
                </w:p>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8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445" w:type="pc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Fonts w:hint="default" w:ascii="Times New Roman" w:hAnsi="Times New Roman" w:eastAsia="宋体" w:cs="Times New Roman"/>
                      <w:b w:val="0"/>
                      <w:i w:val="0"/>
                      <w:caps w:val="0"/>
                      <w:color w:val="auto"/>
                      <w:spacing w:val="0"/>
                      <w:w w:val="100"/>
                      <w:kern w:val="2"/>
                      <w:sz w:val="21"/>
                      <w:szCs w:val="21"/>
                      <w:highlight w:val="none"/>
                      <w:lang w:val="en-US" w:eastAsia="zh-CN" w:bidi="ar-SA"/>
                    </w:rPr>
                    <w:t>焊机</w:t>
                  </w:r>
                </w:p>
              </w:tc>
              <w:tc>
                <w:tcPr>
                  <w:tcW w:w="24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4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29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75</w:t>
                  </w:r>
                </w:p>
              </w:tc>
              <w:tc>
                <w:tcPr>
                  <w:tcW w:w="400"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厂房隔声、选用低噪声</w:t>
                  </w:r>
                </w:p>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设备、基座减震，合理</w:t>
                  </w:r>
                </w:p>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布置声源位置、加强设备维护保养</w:t>
                  </w:r>
                </w:p>
              </w:tc>
              <w:tc>
                <w:tcPr>
                  <w:tcW w:w="345"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lang w:val="en-US" w:eastAsia="zh-CN"/>
                    </w:rPr>
                  </w:pPr>
                  <w:r>
                    <w:rPr>
                      <w:rFonts w:hint="eastAsia"/>
                      <w:color w:val="auto"/>
                      <w:sz w:val="21"/>
                      <w:szCs w:val="21"/>
                    </w:rPr>
                    <w:t>38.06</w:t>
                  </w:r>
                </w:p>
              </w:tc>
              <w:tc>
                <w:tcPr>
                  <w:tcW w:w="345"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val="en-US" w:eastAsia="zh-CN"/>
                    </w:rPr>
                  </w:pPr>
                  <w:r>
                    <w:rPr>
                      <w:rFonts w:hint="eastAsia"/>
                      <w:color w:val="auto"/>
                      <w:sz w:val="21"/>
                      <w:szCs w:val="21"/>
                    </w:rPr>
                    <w:t>15.08</w:t>
                  </w:r>
                </w:p>
              </w:tc>
              <w:tc>
                <w:tcPr>
                  <w:tcW w:w="35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val="en-US" w:eastAsia="zh-CN"/>
                    </w:rPr>
                  </w:pPr>
                  <w:r>
                    <w:rPr>
                      <w:rFonts w:hint="eastAsia"/>
                      <w:color w:val="auto"/>
                      <w:sz w:val="21"/>
                      <w:szCs w:val="21"/>
                    </w:rPr>
                    <w:t>1</w:t>
                  </w:r>
                </w:p>
              </w:tc>
              <w:tc>
                <w:tcPr>
                  <w:tcW w:w="28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olor w:val="auto"/>
                      <w:sz w:val="21"/>
                      <w:szCs w:val="21"/>
                    </w:rPr>
                    <w:t>1.08</w:t>
                  </w:r>
                </w:p>
              </w:tc>
              <w:tc>
                <w:tcPr>
                  <w:tcW w:w="27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olor w:val="auto"/>
                      <w:sz w:val="21"/>
                      <w:szCs w:val="21"/>
                      <w:highlight w:val="none"/>
                    </w:rPr>
                  </w:pPr>
                  <w:r>
                    <w:rPr>
                      <w:rFonts w:hint="eastAsia"/>
                      <w:color w:val="auto"/>
                      <w:sz w:val="21"/>
                      <w:szCs w:val="21"/>
                    </w:rPr>
                    <w:t>77.97</w:t>
                  </w:r>
                </w:p>
              </w:tc>
              <w:tc>
                <w:tcPr>
                  <w:tcW w:w="241"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color w:val="auto"/>
                      <w:sz w:val="21"/>
                      <w:szCs w:val="21"/>
                      <w:lang w:val="en-US" w:eastAsia="zh-CN"/>
                    </w:rPr>
                  </w:pPr>
                  <w:r>
                    <w:rPr>
                      <w:rFonts w:hint="eastAsia"/>
                      <w:color w:val="auto"/>
                      <w:sz w:val="21"/>
                      <w:szCs w:val="21"/>
                    </w:rPr>
                    <w:t>昼间</w:t>
                  </w:r>
                </w:p>
              </w:tc>
              <w:tc>
                <w:tcPr>
                  <w:tcW w:w="50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val="en-US" w:eastAsia="zh-CN"/>
                    </w:rPr>
                  </w:pPr>
                  <w:r>
                    <w:rPr>
                      <w:rFonts w:hint="eastAsia"/>
                      <w:color w:val="auto"/>
                      <w:sz w:val="21"/>
                      <w:szCs w:val="21"/>
                    </w:rPr>
                    <w:t>20</w:t>
                  </w:r>
                </w:p>
              </w:tc>
              <w:tc>
                <w:tcPr>
                  <w:tcW w:w="26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val="en-US" w:eastAsia="zh-CN"/>
                    </w:rPr>
                  </w:pPr>
                  <w:r>
                    <w:rPr>
                      <w:rFonts w:hint="eastAsia"/>
                      <w:color w:val="auto"/>
                      <w:sz w:val="21"/>
                      <w:szCs w:val="21"/>
                    </w:rPr>
                    <w:t>51.97</w:t>
                  </w:r>
                </w:p>
              </w:tc>
              <w:tc>
                <w:tcPr>
                  <w:tcW w:w="26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lang w:val="en-US" w:eastAsia="zh-CN"/>
                    </w:rPr>
                  </w:pPr>
                  <w:r>
                    <w:rPr>
                      <w:rFonts w:hint="eastAsia"/>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8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445" w:type="pc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Fonts w:hint="default" w:ascii="Times New Roman" w:hAnsi="Times New Roman" w:eastAsia="宋体" w:cs="Times New Roman"/>
                      <w:b w:val="0"/>
                      <w:i w:val="0"/>
                      <w:caps w:val="0"/>
                      <w:color w:val="auto"/>
                      <w:spacing w:val="0"/>
                      <w:w w:val="100"/>
                      <w:kern w:val="2"/>
                      <w:sz w:val="21"/>
                      <w:szCs w:val="21"/>
                      <w:highlight w:val="none"/>
                      <w:lang w:val="en-US" w:eastAsia="zh-CN" w:bidi="ar-SA"/>
                    </w:rPr>
                    <w:t>中切机</w:t>
                  </w:r>
                </w:p>
              </w:tc>
              <w:tc>
                <w:tcPr>
                  <w:tcW w:w="24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w:t>
                  </w:r>
                </w:p>
              </w:tc>
              <w:tc>
                <w:tcPr>
                  <w:tcW w:w="44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29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88</w:t>
                  </w:r>
                </w:p>
              </w:tc>
              <w:tc>
                <w:tcPr>
                  <w:tcW w:w="40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345"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eastAsia"/>
                      <w:color w:val="auto"/>
                      <w:sz w:val="21"/>
                      <w:szCs w:val="21"/>
                    </w:rPr>
                    <w:t>16.65</w:t>
                  </w:r>
                </w:p>
              </w:tc>
              <w:tc>
                <w:tcPr>
                  <w:tcW w:w="345"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val="en-US" w:eastAsia="zh-CN"/>
                    </w:rPr>
                  </w:pPr>
                  <w:r>
                    <w:rPr>
                      <w:rFonts w:hint="eastAsia"/>
                      <w:color w:val="auto"/>
                      <w:sz w:val="21"/>
                      <w:szCs w:val="21"/>
                    </w:rPr>
                    <w:t>11.75</w:t>
                  </w:r>
                </w:p>
              </w:tc>
              <w:tc>
                <w:tcPr>
                  <w:tcW w:w="35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val="en-US" w:eastAsia="zh-CN"/>
                    </w:rPr>
                  </w:pPr>
                  <w:r>
                    <w:rPr>
                      <w:rFonts w:hint="eastAsia"/>
                      <w:color w:val="auto"/>
                      <w:sz w:val="21"/>
                      <w:szCs w:val="21"/>
                    </w:rPr>
                    <w:t>1</w:t>
                  </w:r>
                </w:p>
              </w:tc>
              <w:tc>
                <w:tcPr>
                  <w:tcW w:w="28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eastAsia"/>
                      <w:color w:val="auto"/>
                      <w:sz w:val="21"/>
                      <w:szCs w:val="21"/>
                    </w:rPr>
                    <w:t>5.07</w:t>
                  </w:r>
                </w:p>
              </w:tc>
              <w:tc>
                <w:tcPr>
                  <w:tcW w:w="27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olor w:val="auto"/>
                      <w:sz w:val="21"/>
                      <w:szCs w:val="21"/>
                      <w:highlight w:val="none"/>
                    </w:rPr>
                  </w:pPr>
                  <w:r>
                    <w:rPr>
                      <w:rFonts w:hint="eastAsia"/>
                      <w:color w:val="auto"/>
                      <w:sz w:val="21"/>
                      <w:szCs w:val="21"/>
                    </w:rPr>
                    <w:t>78.85</w:t>
                  </w:r>
                </w:p>
              </w:tc>
              <w:tc>
                <w:tcPr>
                  <w:tcW w:w="24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val="en-US" w:eastAsia="zh-CN"/>
                    </w:rPr>
                  </w:pPr>
                </w:p>
              </w:tc>
              <w:tc>
                <w:tcPr>
                  <w:tcW w:w="50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val="en-US" w:eastAsia="zh-CN"/>
                    </w:rPr>
                  </w:pPr>
                  <w:r>
                    <w:rPr>
                      <w:rFonts w:hint="eastAsia"/>
                      <w:color w:val="auto"/>
                      <w:sz w:val="21"/>
                      <w:szCs w:val="21"/>
                    </w:rPr>
                    <w:t>20</w:t>
                  </w:r>
                </w:p>
              </w:tc>
              <w:tc>
                <w:tcPr>
                  <w:tcW w:w="26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val="en-US" w:eastAsia="zh-CN"/>
                    </w:rPr>
                  </w:pPr>
                  <w:r>
                    <w:rPr>
                      <w:rFonts w:hint="eastAsia"/>
                      <w:color w:val="auto"/>
                      <w:sz w:val="21"/>
                      <w:szCs w:val="21"/>
                    </w:rPr>
                    <w:t>52.85</w:t>
                  </w:r>
                </w:p>
              </w:tc>
              <w:tc>
                <w:tcPr>
                  <w:tcW w:w="26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val="en-US" w:eastAsia="zh-CN"/>
                    </w:rPr>
                  </w:pPr>
                  <w:r>
                    <w:rPr>
                      <w:rFonts w:hint="eastAsia"/>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1" w:hRule="atLeast"/>
                <w:jc w:val="center"/>
              </w:trPr>
              <w:tc>
                <w:tcPr>
                  <w:tcW w:w="28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445" w:type="pc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Fonts w:hint="eastAsia" w:cs="Times New Roman"/>
                      <w:b w:val="0"/>
                      <w:i w:val="0"/>
                      <w:caps w:val="0"/>
                      <w:color w:val="auto"/>
                      <w:spacing w:val="0"/>
                      <w:w w:val="100"/>
                      <w:kern w:val="2"/>
                      <w:sz w:val="21"/>
                      <w:szCs w:val="21"/>
                      <w:highlight w:val="none"/>
                      <w:lang w:val="en-US" w:eastAsia="zh-CN" w:bidi="ar-SA"/>
                    </w:rPr>
                    <w:t>大切机</w:t>
                  </w:r>
                </w:p>
              </w:tc>
              <w:tc>
                <w:tcPr>
                  <w:tcW w:w="24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w:t>
                  </w:r>
                </w:p>
              </w:tc>
              <w:tc>
                <w:tcPr>
                  <w:tcW w:w="44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29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88</w:t>
                  </w:r>
                </w:p>
              </w:tc>
              <w:tc>
                <w:tcPr>
                  <w:tcW w:w="40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345"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eastAsia"/>
                      <w:color w:val="auto"/>
                      <w:sz w:val="21"/>
                      <w:szCs w:val="21"/>
                    </w:rPr>
                    <w:t>12.27</w:t>
                  </w:r>
                </w:p>
              </w:tc>
              <w:tc>
                <w:tcPr>
                  <w:tcW w:w="345"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val="en-US" w:eastAsia="zh-CN"/>
                    </w:rPr>
                  </w:pPr>
                  <w:r>
                    <w:rPr>
                      <w:rFonts w:hint="eastAsia"/>
                      <w:color w:val="auto"/>
                      <w:sz w:val="21"/>
                      <w:szCs w:val="21"/>
                    </w:rPr>
                    <w:t>8.63</w:t>
                  </w:r>
                </w:p>
              </w:tc>
              <w:tc>
                <w:tcPr>
                  <w:tcW w:w="35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val="en-US" w:eastAsia="zh-CN"/>
                    </w:rPr>
                  </w:pPr>
                  <w:r>
                    <w:rPr>
                      <w:rFonts w:hint="eastAsia"/>
                      <w:color w:val="auto"/>
                      <w:sz w:val="21"/>
                      <w:szCs w:val="21"/>
                    </w:rPr>
                    <w:t>1</w:t>
                  </w:r>
                </w:p>
              </w:tc>
              <w:tc>
                <w:tcPr>
                  <w:tcW w:w="28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eastAsia"/>
                      <w:color w:val="auto"/>
                      <w:sz w:val="21"/>
                      <w:szCs w:val="21"/>
                    </w:rPr>
                    <w:t>4.75</w:t>
                  </w:r>
                </w:p>
              </w:tc>
              <w:tc>
                <w:tcPr>
                  <w:tcW w:w="27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olor w:val="auto"/>
                      <w:sz w:val="21"/>
                      <w:szCs w:val="21"/>
                      <w:highlight w:val="none"/>
                    </w:rPr>
                  </w:pPr>
                  <w:r>
                    <w:rPr>
                      <w:rFonts w:hint="eastAsia"/>
                      <w:color w:val="auto"/>
                      <w:sz w:val="21"/>
                      <w:szCs w:val="21"/>
                    </w:rPr>
                    <w:t>78.87</w:t>
                  </w:r>
                </w:p>
              </w:tc>
              <w:tc>
                <w:tcPr>
                  <w:tcW w:w="24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val="en-US" w:eastAsia="zh-CN"/>
                    </w:rPr>
                  </w:pPr>
                </w:p>
              </w:tc>
              <w:tc>
                <w:tcPr>
                  <w:tcW w:w="50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val="en-US" w:eastAsia="zh-CN"/>
                    </w:rPr>
                  </w:pPr>
                  <w:r>
                    <w:rPr>
                      <w:rFonts w:hint="eastAsia"/>
                      <w:color w:val="auto"/>
                      <w:sz w:val="21"/>
                      <w:szCs w:val="21"/>
                    </w:rPr>
                    <w:t>20</w:t>
                  </w:r>
                </w:p>
              </w:tc>
              <w:tc>
                <w:tcPr>
                  <w:tcW w:w="26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val="en-US" w:eastAsia="zh-CN"/>
                    </w:rPr>
                  </w:pPr>
                  <w:r>
                    <w:rPr>
                      <w:rFonts w:hint="eastAsia"/>
                      <w:color w:val="auto"/>
                      <w:sz w:val="21"/>
                      <w:szCs w:val="21"/>
                    </w:rPr>
                    <w:t>52.87</w:t>
                  </w:r>
                </w:p>
              </w:tc>
              <w:tc>
                <w:tcPr>
                  <w:tcW w:w="26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val="en-US" w:eastAsia="zh-CN"/>
                    </w:rPr>
                  </w:pPr>
                  <w:r>
                    <w:rPr>
                      <w:rFonts w:hint="eastAsia"/>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8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445" w:type="pc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Fonts w:hint="default" w:ascii="Times New Roman" w:hAnsi="Times New Roman" w:eastAsia="宋体" w:cs="Times New Roman"/>
                      <w:b w:val="0"/>
                      <w:i w:val="0"/>
                      <w:caps w:val="0"/>
                      <w:color w:val="auto"/>
                      <w:spacing w:val="0"/>
                      <w:w w:val="100"/>
                      <w:kern w:val="2"/>
                      <w:sz w:val="21"/>
                      <w:szCs w:val="21"/>
                      <w:highlight w:val="none"/>
                      <w:lang w:val="en-US" w:eastAsia="zh-CN" w:bidi="ar-SA"/>
                    </w:rPr>
                    <w:t>雕刻机</w:t>
                  </w:r>
                </w:p>
              </w:tc>
              <w:tc>
                <w:tcPr>
                  <w:tcW w:w="24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w:t>
                  </w:r>
                </w:p>
              </w:tc>
              <w:tc>
                <w:tcPr>
                  <w:tcW w:w="44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29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88</w:t>
                  </w:r>
                </w:p>
              </w:tc>
              <w:tc>
                <w:tcPr>
                  <w:tcW w:w="40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345"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eastAsia"/>
                      <w:color w:val="auto"/>
                      <w:sz w:val="21"/>
                      <w:szCs w:val="21"/>
                    </w:rPr>
                    <w:t>20.25</w:t>
                  </w:r>
                </w:p>
              </w:tc>
              <w:tc>
                <w:tcPr>
                  <w:tcW w:w="345"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val="en-US" w:eastAsia="zh-CN"/>
                    </w:rPr>
                  </w:pPr>
                  <w:r>
                    <w:rPr>
                      <w:rFonts w:hint="eastAsia"/>
                      <w:color w:val="auto"/>
                      <w:sz w:val="21"/>
                      <w:szCs w:val="21"/>
                    </w:rPr>
                    <w:t>14.67</w:t>
                  </w:r>
                </w:p>
              </w:tc>
              <w:tc>
                <w:tcPr>
                  <w:tcW w:w="35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val="en-US" w:eastAsia="zh-CN"/>
                    </w:rPr>
                  </w:pPr>
                  <w:r>
                    <w:rPr>
                      <w:rFonts w:hint="eastAsia"/>
                      <w:color w:val="auto"/>
                      <w:sz w:val="21"/>
                      <w:szCs w:val="21"/>
                    </w:rPr>
                    <w:t>1</w:t>
                  </w:r>
                </w:p>
              </w:tc>
              <w:tc>
                <w:tcPr>
                  <w:tcW w:w="28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rPr>
                    <w:t>5.06</w:t>
                  </w:r>
                </w:p>
              </w:tc>
              <w:tc>
                <w:tcPr>
                  <w:tcW w:w="27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olor w:val="auto"/>
                      <w:sz w:val="21"/>
                      <w:szCs w:val="21"/>
                      <w:highlight w:val="none"/>
                    </w:rPr>
                  </w:pPr>
                  <w:r>
                    <w:rPr>
                      <w:rFonts w:hint="eastAsia"/>
                      <w:color w:val="auto"/>
                      <w:sz w:val="21"/>
                      <w:szCs w:val="21"/>
                    </w:rPr>
                    <w:t>78.85</w:t>
                  </w:r>
                </w:p>
              </w:tc>
              <w:tc>
                <w:tcPr>
                  <w:tcW w:w="24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val="en-US" w:eastAsia="zh-CN"/>
                    </w:rPr>
                  </w:pPr>
                </w:p>
              </w:tc>
              <w:tc>
                <w:tcPr>
                  <w:tcW w:w="50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val="en-US" w:eastAsia="zh-CN"/>
                    </w:rPr>
                  </w:pPr>
                  <w:r>
                    <w:rPr>
                      <w:rFonts w:hint="eastAsia"/>
                      <w:color w:val="auto"/>
                      <w:sz w:val="21"/>
                      <w:szCs w:val="21"/>
                    </w:rPr>
                    <w:t>20</w:t>
                  </w:r>
                </w:p>
              </w:tc>
              <w:tc>
                <w:tcPr>
                  <w:tcW w:w="26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val="en-US" w:eastAsia="zh-CN"/>
                    </w:rPr>
                  </w:pPr>
                  <w:r>
                    <w:rPr>
                      <w:rFonts w:hint="eastAsia"/>
                      <w:color w:val="auto"/>
                      <w:sz w:val="21"/>
                      <w:szCs w:val="21"/>
                    </w:rPr>
                    <w:t>52.85</w:t>
                  </w:r>
                </w:p>
              </w:tc>
              <w:tc>
                <w:tcPr>
                  <w:tcW w:w="26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val="en-US" w:eastAsia="zh-CN"/>
                    </w:rPr>
                  </w:pPr>
                  <w:r>
                    <w:rPr>
                      <w:rFonts w:hint="eastAsia"/>
                      <w:color w:val="auto"/>
                      <w:sz w:val="21"/>
                      <w:szCs w:val="21"/>
                    </w:rPr>
                    <w:t>1</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4"/>
                <w:highlight w:val="none"/>
                <w:vertAlign w:val="baseline"/>
                <w:lang w:eastAsia="zh-CN"/>
              </w:rPr>
            </w:pPr>
          </w:p>
        </w:tc>
      </w:tr>
    </w:tbl>
    <w:p>
      <w:pPr>
        <w:spacing w:line="276" w:lineRule="auto"/>
        <w:ind w:firstLine="420" w:firstLineChars="200"/>
        <w:rPr>
          <w:color w:val="auto"/>
          <w:szCs w:val="21"/>
          <w:highlight w:val="none"/>
        </w:rPr>
        <w:sectPr>
          <w:pgSz w:w="16838" w:h="11906" w:orient="landscape"/>
          <w:pgMar w:top="1134" w:right="1134" w:bottom="1418" w:left="1134" w:header="851" w:footer="992" w:gutter="0"/>
          <w:pgBorders>
            <w:top w:val="none" w:sz="0" w:space="0"/>
            <w:left w:val="none" w:sz="0" w:space="0"/>
            <w:bottom w:val="none" w:sz="0" w:space="0"/>
            <w:right w:val="none" w:sz="0" w:space="0"/>
          </w:pgBorders>
          <w:cols w:space="720" w:num="1"/>
          <w:docGrid w:type="lines"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8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运营</w:t>
            </w:r>
          </w:p>
          <w:p>
            <w:pPr>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期环</w:t>
            </w:r>
          </w:p>
          <w:p>
            <w:pPr>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境影</w:t>
            </w:r>
          </w:p>
          <w:p>
            <w:pPr>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响和</w:t>
            </w:r>
          </w:p>
          <w:p>
            <w:pPr>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保护</w:t>
            </w:r>
          </w:p>
          <w:p>
            <w:pPr>
              <w:spacing w:line="360" w:lineRule="auto"/>
              <w:jc w:val="center"/>
              <w:rPr>
                <w:color w:val="auto"/>
                <w:sz w:val="24"/>
                <w:szCs w:val="24"/>
                <w:highlight w:val="none"/>
                <w:vertAlign w:val="baseline"/>
              </w:rPr>
            </w:pPr>
            <w:r>
              <w:rPr>
                <w:rFonts w:hint="default" w:ascii="Times New Roman" w:hAnsi="Times New Roman" w:cs="Times New Roman"/>
                <w:color w:val="auto"/>
                <w:sz w:val="24"/>
                <w:szCs w:val="24"/>
                <w:highlight w:val="none"/>
              </w:rPr>
              <w:t>措施</w:t>
            </w:r>
          </w:p>
        </w:tc>
        <w:tc>
          <w:tcPr>
            <w:tcW w:w="8819" w:type="dxa"/>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eastAsia="宋体"/>
                <w:b/>
                <w:color w:val="auto"/>
                <w:sz w:val="24"/>
                <w:szCs w:val="24"/>
                <w:highlight w:val="none"/>
                <w:lang w:val="en-US" w:eastAsia="zh-CN"/>
              </w:rPr>
            </w:pPr>
            <w:r>
              <w:rPr>
                <w:rFonts w:hint="eastAsia"/>
                <w:b/>
                <w:color w:val="auto"/>
                <w:sz w:val="24"/>
                <w:szCs w:val="24"/>
                <w:highlight w:val="none"/>
              </w:rPr>
              <w:t>（</w:t>
            </w:r>
            <w:r>
              <w:rPr>
                <w:b/>
                <w:color w:val="auto"/>
                <w:sz w:val="24"/>
                <w:szCs w:val="24"/>
                <w:highlight w:val="none"/>
              </w:rPr>
              <w:t>2</w:t>
            </w:r>
            <w:r>
              <w:rPr>
                <w:rFonts w:hint="eastAsia"/>
                <w:b/>
                <w:color w:val="auto"/>
                <w:sz w:val="24"/>
                <w:szCs w:val="24"/>
                <w:highlight w:val="none"/>
              </w:rPr>
              <w:t>）达标情况</w:t>
            </w:r>
            <w:r>
              <w:rPr>
                <w:rFonts w:hint="eastAsia"/>
                <w:b/>
                <w:color w:val="auto"/>
                <w:sz w:val="24"/>
                <w:szCs w:val="24"/>
                <w:highlight w:val="none"/>
                <w:lang w:val="en-US" w:eastAsia="zh-CN"/>
              </w:rPr>
              <w:t>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eastAsia="宋体"/>
                <w:b/>
                <w:i w:val="0"/>
                <w:iCs w:val="0"/>
                <w:color w:val="auto"/>
                <w:sz w:val="24"/>
                <w:szCs w:val="24"/>
                <w:highlight w:val="none"/>
                <w:lang w:eastAsia="zh-CN"/>
              </w:rPr>
            </w:pPr>
            <w:r>
              <w:rPr>
                <w:rFonts w:hint="eastAsia"/>
                <w:b/>
                <w:i w:val="0"/>
                <w:iCs w:val="0"/>
                <w:color w:val="auto"/>
                <w:sz w:val="24"/>
                <w:szCs w:val="24"/>
                <w:highlight w:val="none"/>
              </w:rPr>
              <w:t>1）</w:t>
            </w:r>
            <w:r>
              <w:rPr>
                <w:rFonts w:hint="eastAsia"/>
                <w:b/>
                <w:i w:val="0"/>
                <w:iCs w:val="0"/>
                <w:color w:val="auto"/>
                <w:sz w:val="24"/>
                <w:szCs w:val="24"/>
                <w:highlight w:val="none"/>
                <w:lang w:val="en-US" w:eastAsia="zh-CN"/>
              </w:rPr>
              <w:t>预测模式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rPr>
              <w:t>本次评价采用《环境影响评价技术导则一声环境》</w:t>
            </w:r>
            <w:r>
              <w:rPr>
                <w:rFonts w:hint="eastAsia"/>
                <w:color w:val="auto"/>
                <w:sz w:val="24"/>
                <w:szCs w:val="24"/>
                <w:highlight w:val="none"/>
                <w:lang w:eastAsia="zh-CN"/>
              </w:rPr>
              <w:t>（</w:t>
            </w:r>
            <w:r>
              <w:rPr>
                <w:rFonts w:hint="eastAsia"/>
                <w:color w:val="auto"/>
                <w:sz w:val="24"/>
                <w:szCs w:val="24"/>
                <w:highlight w:val="none"/>
              </w:rPr>
              <w:t>HJ2.4-2021</w:t>
            </w:r>
            <w:r>
              <w:rPr>
                <w:rFonts w:hint="eastAsia"/>
                <w:color w:val="auto"/>
                <w:sz w:val="24"/>
                <w:szCs w:val="24"/>
                <w:highlight w:val="none"/>
                <w:lang w:eastAsia="zh-CN"/>
              </w:rPr>
              <w:t>）</w:t>
            </w:r>
            <w:r>
              <w:rPr>
                <w:rFonts w:hint="eastAsia"/>
                <w:color w:val="auto"/>
                <w:sz w:val="24"/>
                <w:szCs w:val="24"/>
                <w:highlight w:val="none"/>
              </w:rPr>
              <w:t>中推荐模式进行预测</w:t>
            </w:r>
            <w:r>
              <w:rPr>
                <w:rFonts w:hint="eastAsia"/>
                <w:color w:val="auto"/>
                <w:sz w:val="24"/>
                <w:szCs w:val="24"/>
                <w:highlight w:val="none"/>
                <w:lang w:eastAsia="zh-CN"/>
              </w:rPr>
              <w:t>，</w:t>
            </w:r>
            <w:r>
              <w:rPr>
                <w:rFonts w:hint="eastAsia"/>
                <w:color w:val="auto"/>
                <w:sz w:val="24"/>
                <w:szCs w:val="24"/>
                <w:highlight w:val="none"/>
              </w:rPr>
              <w:t>用A声级计算</w:t>
            </w:r>
            <w:r>
              <w:rPr>
                <w:rFonts w:hint="eastAsia"/>
                <w:color w:val="auto"/>
                <w:sz w:val="24"/>
                <w:szCs w:val="24"/>
                <w:highlight w:val="none"/>
                <w:lang w:eastAsia="zh-CN"/>
              </w:rPr>
              <w:t>，</w:t>
            </w:r>
            <w:r>
              <w:rPr>
                <w:rFonts w:hint="eastAsia"/>
                <w:color w:val="auto"/>
                <w:sz w:val="24"/>
                <w:szCs w:val="24"/>
                <w:highlight w:val="none"/>
              </w:rPr>
              <w:t>模式如下</w:t>
            </w:r>
            <w:r>
              <w:rPr>
                <w:rFonts w:hint="eastAsia"/>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①室外声源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rPr>
              <w:t>在预测点的声压级计算</w:t>
            </w:r>
            <w:r>
              <w:rPr>
                <w:rFonts w:hint="eastAsia"/>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color w:val="auto"/>
                <w:sz w:val="24"/>
                <w:szCs w:val="24"/>
                <w:highlight w:val="none"/>
              </w:rPr>
            </w:pPr>
            <w:r>
              <w:rPr>
                <w:rFonts w:hint="eastAsia"/>
                <w:color w:val="auto"/>
                <w:sz w:val="24"/>
                <w:szCs w:val="24"/>
                <w:highlight w:val="none"/>
              </w:rPr>
              <w:t>L</w:t>
            </w:r>
            <w:r>
              <w:rPr>
                <w:rFonts w:hint="eastAsia"/>
                <w:color w:val="auto"/>
                <w:sz w:val="24"/>
                <w:szCs w:val="24"/>
                <w:highlight w:val="none"/>
                <w:vertAlign w:val="subscript"/>
              </w:rPr>
              <w:t>p</w:t>
            </w:r>
            <w:r>
              <w:rPr>
                <w:rFonts w:hint="eastAsia"/>
                <w:color w:val="auto"/>
                <w:sz w:val="24"/>
                <w:szCs w:val="24"/>
                <w:highlight w:val="none"/>
              </w:rPr>
              <w:t>(r)＝L</w:t>
            </w:r>
            <w:r>
              <w:rPr>
                <w:rFonts w:hint="eastAsia"/>
                <w:color w:val="auto"/>
                <w:sz w:val="24"/>
                <w:szCs w:val="24"/>
                <w:highlight w:val="none"/>
                <w:vertAlign w:val="subscript"/>
              </w:rPr>
              <w:t>w</w:t>
            </w:r>
            <w:r>
              <w:rPr>
                <w:rFonts w:hint="eastAsia"/>
                <w:color w:val="auto"/>
                <w:sz w:val="24"/>
                <w:szCs w:val="24"/>
                <w:highlight w:val="none"/>
              </w:rPr>
              <w:t>+D</w:t>
            </w:r>
            <w:r>
              <w:rPr>
                <w:rFonts w:hint="eastAsia"/>
                <w:color w:val="auto"/>
                <w:sz w:val="24"/>
                <w:szCs w:val="24"/>
                <w:highlight w:val="none"/>
                <w:vertAlign w:val="subscript"/>
              </w:rPr>
              <w:t>C</w:t>
            </w:r>
            <w:r>
              <w:rPr>
                <w:rFonts w:hint="eastAsia"/>
                <w:color w:val="auto"/>
                <w:sz w:val="24"/>
                <w:szCs w:val="24"/>
                <w:highlight w:val="none"/>
                <w:lang w:val="en-US" w:eastAsia="zh-CN"/>
              </w:rPr>
              <w:t>－</w:t>
            </w:r>
            <w:r>
              <w:rPr>
                <w:rFonts w:hint="eastAsia"/>
                <w:color w:val="auto"/>
                <w:sz w:val="24"/>
                <w:szCs w:val="24"/>
                <w:highlight w:val="none"/>
              </w:rPr>
              <w:t>(A</w:t>
            </w:r>
            <w:r>
              <w:rPr>
                <w:rFonts w:hint="eastAsia"/>
                <w:color w:val="auto"/>
                <w:sz w:val="24"/>
                <w:szCs w:val="24"/>
                <w:highlight w:val="none"/>
                <w:vertAlign w:val="subscript"/>
              </w:rPr>
              <w:t>div</w:t>
            </w:r>
            <w:r>
              <w:rPr>
                <w:rFonts w:hint="eastAsia"/>
                <w:color w:val="auto"/>
                <w:sz w:val="24"/>
                <w:szCs w:val="24"/>
                <w:highlight w:val="none"/>
              </w:rPr>
              <w:t>＋A</w:t>
            </w:r>
            <w:r>
              <w:rPr>
                <w:rFonts w:hint="eastAsia"/>
                <w:color w:val="auto"/>
                <w:sz w:val="24"/>
                <w:szCs w:val="24"/>
                <w:highlight w:val="none"/>
                <w:vertAlign w:val="subscript"/>
              </w:rPr>
              <w:t>atm</w:t>
            </w:r>
            <w:r>
              <w:rPr>
                <w:rFonts w:hint="eastAsia"/>
                <w:color w:val="auto"/>
                <w:sz w:val="24"/>
                <w:szCs w:val="24"/>
                <w:highlight w:val="none"/>
              </w:rPr>
              <w:t>＋A</w:t>
            </w:r>
            <w:r>
              <w:rPr>
                <w:rFonts w:hint="eastAsia"/>
                <w:color w:val="auto"/>
                <w:sz w:val="24"/>
                <w:szCs w:val="24"/>
                <w:highlight w:val="none"/>
                <w:vertAlign w:val="subscript"/>
              </w:rPr>
              <w:t>gr</w:t>
            </w:r>
            <w:r>
              <w:rPr>
                <w:rFonts w:hint="eastAsia"/>
                <w:color w:val="auto"/>
                <w:sz w:val="24"/>
                <w:szCs w:val="24"/>
                <w:highlight w:val="none"/>
              </w:rPr>
              <w:t>＋A</w:t>
            </w:r>
            <w:r>
              <w:rPr>
                <w:rFonts w:hint="eastAsia"/>
                <w:color w:val="auto"/>
                <w:sz w:val="24"/>
                <w:szCs w:val="24"/>
                <w:highlight w:val="none"/>
                <w:vertAlign w:val="subscript"/>
              </w:rPr>
              <w:t>bar</w:t>
            </w:r>
            <w:r>
              <w:rPr>
                <w:rFonts w:hint="eastAsia"/>
                <w:color w:val="auto"/>
                <w:sz w:val="24"/>
                <w:szCs w:val="24"/>
                <w:highlight w:val="none"/>
              </w:rPr>
              <w:t>＋A</w:t>
            </w:r>
            <w:r>
              <w:rPr>
                <w:rFonts w:hint="eastAsia"/>
                <w:color w:val="auto"/>
                <w:sz w:val="24"/>
                <w:szCs w:val="24"/>
                <w:highlight w:val="none"/>
                <w:vertAlign w:val="subscript"/>
              </w:rPr>
              <w:t>misc</w:t>
            </w:r>
            <w:r>
              <w:rPr>
                <w:rFonts w:hint="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式中</w:t>
            </w:r>
            <w:r>
              <w:rPr>
                <w:rFonts w:hint="eastAsia"/>
                <w:color w:val="auto"/>
                <w:sz w:val="24"/>
                <w:szCs w:val="24"/>
                <w:highlight w:val="none"/>
                <w:lang w:eastAsia="zh-CN"/>
              </w:rPr>
              <w:t>：</w:t>
            </w:r>
            <w:r>
              <w:rPr>
                <w:rFonts w:hint="eastAsia"/>
                <w:color w:val="auto"/>
                <w:sz w:val="24"/>
                <w:szCs w:val="24"/>
                <w:highlight w:val="none"/>
              </w:rPr>
              <w:t>L</w:t>
            </w:r>
            <w:r>
              <w:rPr>
                <w:rFonts w:hint="eastAsia"/>
                <w:color w:val="auto"/>
                <w:sz w:val="24"/>
                <w:szCs w:val="24"/>
                <w:highlight w:val="none"/>
                <w:vertAlign w:val="subscript"/>
              </w:rPr>
              <w:t>p</w:t>
            </w:r>
            <w:r>
              <w:rPr>
                <w:rFonts w:hint="eastAsia"/>
                <w:color w:val="auto"/>
                <w:sz w:val="24"/>
                <w:szCs w:val="24"/>
                <w:highlight w:val="none"/>
              </w:rPr>
              <w:t>(r)——预测点处声压级，dB；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L</w:t>
            </w:r>
            <w:r>
              <w:rPr>
                <w:rFonts w:hint="eastAsia"/>
                <w:color w:val="auto"/>
                <w:sz w:val="24"/>
                <w:szCs w:val="24"/>
                <w:highlight w:val="none"/>
                <w:vertAlign w:val="subscript"/>
              </w:rPr>
              <w:t>w</w:t>
            </w:r>
            <w:r>
              <w:rPr>
                <w:rFonts w:hint="eastAsia"/>
                <w:color w:val="auto"/>
                <w:sz w:val="24"/>
                <w:szCs w:val="24"/>
                <w:highlight w:val="none"/>
              </w:rPr>
              <w:t>——由点声源产生的声功率级（A计权或倍频带），dB；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D</w:t>
            </w:r>
            <w:r>
              <w:rPr>
                <w:rFonts w:hint="eastAsia"/>
                <w:color w:val="auto"/>
                <w:sz w:val="24"/>
                <w:szCs w:val="24"/>
                <w:highlight w:val="none"/>
                <w:vertAlign w:val="subscript"/>
              </w:rPr>
              <w:t>C</w:t>
            </w:r>
            <w:r>
              <w:rPr>
                <w:rFonts w:hint="eastAsia"/>
                <w:color w:val="auto"/>
                <w:sz w:val="24"/>
                <w:szCs w:val="24"/>
                <w:highlight w:val="none"/>
              </w:rPr>
              <w:t>——指向性校正，它描述点声源的等效连续声压级与产生声功率级L</w:t>
            </w:r>
            <w:r>
              <w:rPr>
                <w:rFonts w:hint="eastAsia"/>
                <w:color w:val="auto"/>
                <w:sz w:val="24"/>
                <w:szCs w:val="24"/>
                <w:highlight w:val="none"/>
                <w:vertAlign w:val="subscript"/>
              </w:rPr>
              <w:t>w</w:t>
            </w:r>
            <w:r>
              <w:rPr>
                <w:rFonts w:hint="eastAsia"/>
                <w:color w:val="auto"/>
                <w:sz w:val="24"/>
                <w:szCs w:val="24"/>
                <w:highlight w:val="none"/>
              </w:rPr>
              <w:t>的全向点声源在规定方向的声级的偏差程度，dB；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A</w:t>
            </w:r>
            <w:r>
              <w:rPr>
                <w:rFonts w:hint="eastAsia"/>
                <w:color w:val="auto"/>
                <w:sz w:val="24"/>
                <w:szCs w:val="24"/>
                <w:highlight w:val="none"/>
                <w:vertAlign w:val="subscript"/>
              </w:rPr>
              <w:t>div</w:t>
            </w:r>
            <w:r>
              <w:rPr>
                <w:rFonts w:hint="eastAsia"/>
                <w:color w:val="auto"/>
                <w:sz w:val="24"/>
                <w:szCs w:val="24"/>
                <w:highlight w:val="none"/>
              </w:rPr>
              <w:t>——几何发散引起的衰减，dB；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A</w:t>
            </w:r>
            <w:r>
              <w:rPr>
                <w:rFonts w:hint="eastAsia"/>
                <w:color w:val="auto"/>
                <w:sz w:val="24"/>
                <w:szCs w:val="24"/>
                <w:highlight w:val="none"/>
                <w:vertAlign w:val="subscript"/>
              </w:rPr>
              <w:t>atm</w:t>
            </w:r>
            <w:r>
              <w:rPr>
                <w:rFonts w:hint="eastAsia"/>
                <w:color w:val="auto"/>
                <w:sz w:val="24"/>
                <w:szCs w:val="24"/>
                <w:highlight w:val="none"/>
              </w:rPr>
              <w:t>——大气吸收引起的衰减，dB；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A</w:t>
            </w:r>
            <w:r>
              <w:rPr>
                <w:rFonts w:hint="eastAsia"/>
                <w:color w:val="auto"/>
                <w:sz w:val="24"/>
                <w:szCs w:val="24"/>
                <w:highlight w:val="none"/>
                <w:vertAlign w:val="subscript"/>
              </w:rPr>
              <w:t>gr</w:t>
            </w:r>
            <w:r>
              <w:rPr>
                <w:rFonts w:hint="eastAsia"/>
                <w:color w:val="auto"/>
                <w:sz w:val="24"/>
                <w:szCs w:val="24"/>
                <w:highlight w:val="none"/>
              </w:rPr>
              <w:t>——地面效应引起的衰减，dB；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A</w:t>
            </w:r>
            <w:r>
              <w:rPr>
                <w:rFonts w:hint="eastAsia"/>
                <w:color w:val="auto"/>
                <w:sz w:val="24"/>
                <w:szCs w:val="24"/>
                <w:highlight w:val="none"/>
                <w:vertAlign w:val="subscript"/>
              </w:rPr>
              <w:t>bar</w:t>
            </w:r>
            <w:r>
              <w:rPr>
                <w:rFonts w:hint="eastAsia"/>
                <w:color w:val="auto"/>
                <w:sz w:val="24"/>
                <w:szCs w:val="24"/>
                <w:highlight w:val="none"/>
              </w:rPr>
              <w:t>——障碍物屏蔽引起的衰减，dB；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A</w:t>
            </w:r>
            <w:r>
              <w:rPr>
                <w:rFonts w:hint="eastAsia"/>
                <w:color w:val="auto"/>
                <w:sz w:val="24"/>
                <w:szCs w:val="24"/>
                <w:highlight w:val="none"/>
                <w:vertAlign w:val="subscript"/>
              </w:rPr>
              <w:t>misc</w:t>
            </w:r>
            <w:r>
              <w:rPr>
                <w:rFonts w:hint="eastAsia"/>
                <w:color w:val="auto"/>
                <w:sz w:val="24"/>
                <w:szCs w:val="24"/>
                <w:highlight w:val="none"/>
              </w:rPr>
              <w:t>——其他多方面效应引起的衰减，dB。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rPr>
              <w:t>②室内声源在预测点的声压级计算</w:t>
            </w:r>
            <w:r>
              <w:rPr>
                <w:rFonts w:hint="eastAsia"/>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一</w:t>
            </w:r>
            <w:r>
              <w:rPr>
                <w:rFonts w:hint="eastAsia"/>
                <w:color w:val="auto"/>
                <w:sz w:val="24"/>
                <w:szCs w:val="24"/>
                <w:highlight w:val="none"/>
                <w:lang w:eastAsia="zh-CN"/>
              </w:rPr>
              <w:t>）</w:t>
            </w:r>
            <w:r>
              <w:rPr>
                <w:rFonts w:hint="eastAsia"/>
                <w:color w:val="auto"/>
                <w:sz w:val="24"/>
                <w:szCs w:val="24"/>
                <w:highlight w:val="none"/>
              </w:rPr>
              <w:t>首先计算某个室内声源在靠近围护结构处的声压级</w:t>
            </w:r>
            <w:r>
              <w:rPr>
                <w:rFonts w:hint="eastAsia"/>
                <w:color w:val="auto"/>
                <w:sz w:val="24"/>
                <w:szCs w:val="24"/>
                <w:highlight w:val="none"/>
                <w:lang w:eastAsia="zh-CN"/>
              </w:rPr>
              <w:t>：</w:t>
            </w:r>
          </w:p>
          <w:p>
            <w:pPr>
              <w:spacing w:line="360" w:lineRule="auto"/>
              <w:ind w:firstLine="480" w:firstLineChars="200"/>
              <w:jc w:val="center"/>
              <w:rPr>
                <w:color w:val="auto"/>
                <w:sz w:val="24"/>
                <w:szCs w:val="24"/>
                <w:highlight w:val="none"/>
              </w:rPr>
            </w:pPr>
            <w:r>
              <w:rPr>
                <w:color w:val="auto"/>
                <w:sz w:val="24"/>
                <w:szCs w:val="24"/>
                <w:highlight w:val="none"/>
              </w:rPr>
              <w:drawing>
                <wp:inline distT="0" distB="0" distL="114300" distR="114300">
                  <wp:extent cx="3302635" cy="775970"/>
                  <wp:effectExtent l="0" t="0" r="12065" b="5080"/>
                  <wp:docPr id="2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0"/>
                          <pic:cNvPicPr>
                            <a:picLocks noChangeAspect="1"/>
                          </pic:cNvPicPr>
                        </pic:nvPicPr>
                        <pic:blipFill>
                          <a:blip r:embed="rId20"/>
                          <a:stretch>
                            <a:fillRect/>
                          </a:stretch>
                        </pic:blipFill>
                        <pic:spPr>
                          <a:xfrm>
                            <a:off x="0" y="0"/>
                            <a:ext cx="3302635" cy="775970"/>
                          </a:xfrm>
                          <a:prstGeom prst="rect">
                            <a:avLst/>
                          </a:prstGeom>
                          <a:noFill/>
                          <a:ln>
                            <a:noFill/>
                          </a:ln>
                        </pic:spPr>
                      </pic:pic>
                    </a:graphicData>
                  </a:graphic>
                </wp:inline>
              </w:drawing>
            </w:r>
          </w:p>
          <w:p>
            <w:pPr>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rPr>
              <w:t>式中</w:t>
            </w:r>
            <w:r>
              <w:rPr>
                <w:rFonts w:hint="eastAsia"/>
                <w:color w:val="auto"/>
                <w:sz w:val="24"/>
                <w:szCs w:val="24"/>
                <w:highlight w:val="none"/>
                <w:lang w:eastAsia="zh-CN"/>
              </w:rPr>
              <w:t>：</w:t>
            </w:r>
            <w:r>
              <w:rPr>
                <w:rFonts w:hint="eastAsia"/>
                <w:color w:val="auto"/>
                <w:sz w:val="24"/>
                <w:szCs w:val="24"/>
                <w:highlight w:val="none"/>
                <w:lang w:val="en-US" w:eastAsia="zh-CN"/>
              </w:rPr>
              <w:t>L</w:t>
            </w:r>
            <w:r>
              <w:rPr>
                <w:rFonts w:hint="eastAsia"/>
                <w:color w:val="auto"/>
                <w:sz w:val="24"/>
                <w:szCs w:val="24"/>
                <w:highlight w:val="none"/>
                <w:vertAlign w:val="subscript"/>
                <w:lang w:val="en-US" w:eastAsia="zh-CN"/>
              </w:rPr>
              <w:t>p1</w:t>
            </w:r>
            <w:r>
              <w:rPr>
                <w:rFonts w:hint="eastAsia"/>
                <w:color w:val="auto"/>
                <w:sz w:val="24"/>
                <w:szCs w:val="24"/>
                <w:highlight w:val="none"/>
                <w:lang w:val="en-US" w:eastAsia="zh-CN"/>
              </w:rPr>
              <w:t>——靠近开口处（或窗户）室内某倍频带的声压级或A声级，dB；</w:t>
            </w:r>
          </w:p>
          <w:p>
            <w:pPr>
              <w:spacing w:line="360" w:lineRule="auto"/>
              <w:ind w:firstLine="480" w:firstLineChars="200"/>
              <w:rPr>
                <w:rFonts w:hint="eastAsia"/>
                <w:color w:val="auto"/>
                <w:sz w:val="24"/>
                <w:szCs w:val="24"/>
                <w:highlight w:val="none"/>
              </w:rPr>
            </w:pPr>
            <w:r>
              <w:rPr>
                <w:rFonts w:hint="eastAsia"/>
                <w:color w:val="auto"/>
                <w:sz w:val="24"/>
                <w:szCs w:val="24"/>
                <w:highlight w:val="none"/>
              </w:rPr>
              <w:t>Lw——点声源声功率级（A计权或倍频带），dB；</w:t>
            </w:r>
          </w:p>
          <w:p>
            <w:pPr>
              <w:spacing w:line="360" w:lineRule="auto"/>
              <w:ind w:firstLine="480" w:firstLineChars="200"/>
              <w:rPr>
                <w:rFonts w:hint="eastAsia" w:ascii="Times New Roman" w:hAnsi="Times New Roman" w:eastAsia="宋体"/>
                <w:color w:val="auto"/>
                <w:sz w:val="24"/>
                <w:szCs w:val="24"/>
                <w:highlight w:val="none"/>
              </w:rPr>
            </w:pPr>
            <w:r>
              <w:rPr>
                <w:rFonts w:hint="eastAsia"/>
                <w:color w:val="auto"/>
                <w:sz w:val="24"/>
                <w:szCs w:val="24"/>
                <w:highlight w:val="none"/>
              </w:rPr>
              <w:t>Q——指向性因数；通常对无指向性声源，当声源放在房间中心时，Q=1；当放在一面墙的中心时，Q=2；当放在两面</w:t>
            </w:r>
            <w:r>
              <w:rPr>
                <w:rFonts w:hint="eastAsia" w:ascii="Times New Roman" w:hAnsi="Times New Roman" w:eastAsia="宋体"/>
                <w:color w:val="auto"/>
                <w:sz w:val="24"/>
                <w:szCs w:val="24"/>
                <w:highlight w:val="none"/>
              </w:rPr>
              <w:t>墙夹角处时，Q=4；当放在三面墙夹角处时，Q=8；</w:t>
            </w:r>
          </w:p>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R——房间常数；R=S</w:t>
            </w:r>
            <w:r>
              <w:rPr>
                <w:rFonts w:hint="default" w:ascii="Times New Roman" w:hAnsi="Times New Roman" w:eastAsia="宋体" w:cs="Times New Roman"/>
                <w:color w:val="auto"/>
                <w:sz w:val="24"/>
                <w:szCs w:val="24"/>
                <w:highlight w:val="none"/>
                <w:lang w:val="en-US" w:eastAsia="zh-CN"/>
              </w:rPr>
              <w:t>α/（</w:t>
            </w:r>
            <w:r>
              <w:rPr>
                <w:rFonts w:hint="default" w:ascii="Times New Roman" w:hAnsi="Times New Roman" w:eastAsia="宋体" w:cs="Times New Roman"/>
                <w:color w:val="auto"/>
                <w:sz w:val="24"/>
                <w:szCs w:val="24"/>
                <w:highlight w:val="none"/>
                <w:lang w:eastAsia="zh-CN"/>
              </w:rPr>
              <w:t>1-α），S为房间内表面面积，m</w:t>
            </w:r>
            <w:r>
              <w:rPr>
                <w:rFonts w:hint="default" w:ascii="Times New Roman" w:hAnsi="Times New Roman" w:eastAsia="宋体" w:cs="Times New Roman"/>
                <w:color w:val="auto"/>
                <w:sz w:val="24"/>
                <w:szCs w:val="24"/>
                <w:highlight w:val="none"/>
                <w:vertAlign w:val="superscript"/>
                <w:lang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α</w:t>
            </w:r>
            <w:r>
              <w:rPr>
                <w:rFonts w:hint="default" w:ascii="Times New Roman" w:hAnsi="Times New Roman" w:eastAsia="宋体" w:cs="Times New Roman"/>
                <w:color w:val="auto"/>
                <w:sz w:val="24"/>
                <w:szCs w:val="24"/>
                <w:highlight w:val="none"/>
                <w:lang w:eastAsia="zh-CN"/>
              </w:rPr>
              <w:t>为平均吸声系数；</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r——声源到靠近围护结构某点处的距离，m。</w:t>
            </w:r>
          </w:p>
          <w:p>
            <w:pPr>
              <w:spacing w:line="360" w:lineRule="auto"/>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二</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rPr>
              <w:t>然后计算出所有室内声源在围护结构处产生的</w:t>
            </w:r>
            <w:r>
              <w:rPr>
                <w:rFonts w:hint="eastAsia" w:ascii="Times New Roman" w:hAnsi="Times New Roman" w:eastAsia="宋体"/>
                <w:color w:val="auto"/>
                <w:sz w:val="24"/>
                <w:szCs w:val="24"/>
                <w:highlight w:val="none"/>
                <w:lang w:val="en-US" w:eastAsia="zh-CN"/>
              </w:rPr>
              <w:t>i</w:t>
            </w:r>
            <w:r>
              <w:rPr>
                <w:rFonts w:hint="eastAsia" w:ascii="Times New Roman" w:hAnsi="Times New Roman" w:eastAsia="宋体"/>
                <w:color w:val="auto"/>
                <w:sz w:val="24"/>
                <w:szCs w:val="24"/>
                <w:highlight w:val="none"/>
              </w:rPr>
              <w:t>倍频带叠加声压级：</w:t>
            </w:r>
          </w:p>
          <w:p>
            <w:pPr>
              <w:pStyle w:val="31"/>
              <w:spacing w:line="360" w:lineRule="auto"/>
              <w:jc w:val="center"/>
              <w:rPr>
                <w:rFonts w:hint="eastAsia"/>
                <w:color w:val="auto"/>
                <w:sz w:val="24"/>
                <w:szCs w:val="24"/>
                <w:highlight w:val="none"/>
              </w:rPr>
            </w:pPr>
            <w:r>
              <w:rPr>
                <w:color w:val="auto"/>
                <w:sz w:val="24"/>
                <w:szCs w:val="24"/>
                <w:highlight w:val="none"/>
              </w:rPr>
              <w:drawing>
                <wp:inline distT="0" distB="0" distL="114300" distR="114300">
                  <wp:extent cx="3327400" cy="863600"/>
                  <wp:effectExtent l="0" t="0" r="6350" b="12700"/>
                  <wp:docPr id="3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1"/>
                          <pic:cNvPicPr>
                            <a:picLocks noChangeAspect="1"/>
                          </pic:cNvPicPr>
                        </pic:nvPicPr>
                        <pic:blipFill>
                          <a:blip r:embed="rId21"/>
                          <a:stretch>
                            <a:fillRect/>
                          </a:stretch>
                        </pic:blipFill>
                        <pic:spPr>
                          <a:xfrm>
                            <a:off x="0" y="0"/>
                            <a:ext cx="3327400" cy="863600"/>
                          </a:xfrm>
                          <a:prstGeom prst="rect">
                            <a:avLst/>
                          </a:prstGeom>
                          <a:noFill/>
                          <a:ln>
                            <a:noFill/>
                          </a:ln>
                        </pic:spPr>
                      </pic:pic>
                    </a:graphicData>
                  </a:graphic>
                </wp:inline>
              </w:drawing>
            </w:r>
          </w:p>
          <w:p>
            <w:pPr>
              <w:spacing w:line="360" w:lineRule="auto"/>
              <w:ind w:firstLine="480" w:firstLineChars="200"/>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式中：</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L</w:t>
            </w:r>
            <w:r>
              <w:rPr>
                <w:rFonts w:hint="eastAsia" w:ascii="Times New Roman" w:hAnsi="Times New Roman" w:eastAsia="宋体"/>
                <w:color w:val="auto"/>
                <w:sz w:val="24"/>
                <w:szCs w:val="24"/>
                <w:highlight w:val="none"/>
                <w:vertAlign w:val="subscript"/>
                <w:lang w:val="en-US" w:eastAsia="zh-CN"/>
              </w:rPr>
              <w:t>pli（T）</w:t>
            </w:r>
            <w:r>
              <w:rPr>
                <w:rFonts w:hint="eastAsia" w:ascii="Times New Roman" w:hAnsi="Times New Roman" w:eastAsia="宋体"/>
                <w:color w:val="auto"/>
                <w:sz w:val="24"/>
                <w:szCs w:val="24"/>
                <w:highlight w:val="none"/>
                <w:lang w:eastAsia="zh-CN"/>
              </w:rPr>
              <w:t>——靠近围护结构处室内N个声源i倍频带的叠加声压级，dB；</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L</w:t>
            </w:r>
            <w:r>
              <w:rPr>
                <w:rFonts w:hint="eastAsia" w:ascii="Times New Roman" w:hAnsi="Times New Roman" w:eastAsia="宋体"/>
                <w:color w:val="auto"/>
                <w:sz w:val="24"/>
                <w:szCs w:val="24"/>
                <w:highlight w:val="none"/>
                <w:vertAlign w:val="subscript"/>
                <w:lang w:val="en-US" w:eastAsia="zh-CN"/>
              </w:rPr>
              <w:t>pli</w:t>
            </w:r>
            <w:r>
              <w:rPr>
                <w:rFonts w:hint="eastAsia" w:ascii="Times New Roman" w:hAnsi="Times New Roman" w:eastAsia="宋体"/>
                <w:color w:val="auto"/>
                <w:sz w:val="24"/>
                <w:szCs w:val="24"/>
                <w:highlight w:val="none"/>
                <w:lang w:eastAsia="zh-CN"/>
              </w:rPr>
              <w:t>——室内j声源i倍频带的声压级，dB；</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N——室内声源总数。</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三</w:t>
            </w:r>
            <w:r>
              <w:rPr>
                <w:rFonts w:hint="eastAsia" w:ascii="Times New Roman" w:hAnsi="Times New Roman" w:eastAsia="宋体"/>
                <w:color w:val="auto"/>
                <w:sz w:val="24"/>
                <w:szCs w:val="24"/>
                <w:highlight w:val="none"/>
                <w:lang w:eastAsia="zh-CN"/>
              </w:rPr>
              <w:t>）计算出室外靠近围护结构处的声压级：</w:t>
            </w:r>
          </w:p>
          <w:p>
            <w:pPr>
              <w:spacing w:line="360" w:lineRule="auto"/>
              <w:ind w:firstLine="480" w:firstLineChars="200"/>
              <w:jc w:val="center"/>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L</w:t>
            </w:r>
            <w:r>
              <w:rPr>
                <w:rFonts w:hint="eastAsia" w:ascii="Times New Roman" w:hAnsi="Times New Roman" w:eastAsia="宋体"/>
                <w:color w:val="auto"/>
                <w:sz w:val="24"/>
                <w:szCs w:val="24"/>
                <w:highlight w:val="none"/>
                <w:vertAlign w:val="subscript"/>
              </w:rPr>
              <w:t>p2i</w:t>
            </w:r>
            <w:r>
              <w:rPr>
                <w:rFonts w:hint="eastAsia"/>
                <w:color w:val="auto"/>
                <w:sz w:val="24"/>
                <w:szCs w:val="24"/>
                <w:highlight w:val="none"/>
              </w:rPr>
              <w:t>（T）</w:t>
            </w:r>
            <w:r>
              <w:rPr>
                <w:rFonts w:hint="eastAsia" w:ascii="Times New Roman" w:hAnsi="Times New Roman" w:eastAsia="宋体"/>
                <w:color w:val="auto"/>
                <w:sz w:val="24"/>
                <w:szCs w:val="24"/>
                <w:highlight w:val="none"/>
              </w:rPr>
              <w:t>=L</w:t>
            </w:r>
            <w:r>
              <w:rPr>
                <w:rFonts w:hint="eastAsia" w:ascii="Times New Roman" w:hAnsi="Times New Roman" w:eastAsia="宋体"/>
                <w:color w:val="auto"/>
                <w:sz w:val="24"/>
                <w:szCs w:val="24"/>
                <w:highlight w:val="none"/>
                <w:vertAlign w:val="subscript"/>
              </w:rPr>
              <w:t>pli</w:t>
            </w:r>
            <w:r>
              <w:rPr>
                <w:rFonts w:hint="eastAsia" w:ascii="Times New Roman" w:hAnsi="Times New Roman" w:eastAsia="宋体"/>
                <w:color w:val="auto"/>
                <w:sz w:val="24"/>
                <w:szCs w:val="24"/>
                <w:highlight w:val="none"/>
                <w:vertAlign w:val="baseline"/>
              </w:rPr>
              <w:t>（T）</w:t>
            </w:r>
            <w:r>
              <w:rPr>
                <w:rFonts w:hint="eastAsia" w:ascii="Times New Roman" w:hAnsi="Times New Roman" w:eastAsia="宋体"/>
                <w:color w:val="auto"/>
                <w:sz w:val="24"/>
                <w:szCs w:val="24"/>
                <w:highlight w:val="none"/>
              </w:rPr>
              <w:t>-（TL</w:t>
            </w:r>
            <w:r>
              <w:rPr>
                <w:rFonts w:hint="eastAsia" w:ascii="Times New Roman" w:hAnsi="Times New Roman" w:eastAsia="宋体"/>
                <w:color w:val="auto"/>
                <w:sz w:val="24"/>
                <w:szCs w:val="24"/>
                <w:highlight w:val="none"/>
                <w:vertAlign w:val="subscript"/>
              </w:rPr>
              <w:t>i</w:t>
            </w:r>
            <w:r>
              <w:rPr>
                <w:rFonts w:hint="eastAsia" w:ascii="Times New Roman" w:hAnsi="Times New Roman" w:eastAsia="宋体"/>
                <w:color w:val="auto"/>
                <w:sz w:val="24"/>
                <w:szCs w:val="24"/>
                <w:highlight w:val="none"/>
              </w:rPr>
              <w:t>+6）</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式中：</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rPr>
              <w:t>L</w:t>
            </w:r>
            <w:r>
              <w:rPr>
                <w:rFonts w:hint="eastAsia" w:ascii="Times New Roman" w:hAnsi="Times New Roman" w:eastAsia="宋体"/>
                <w:color w:val="auto"/>
                <w:sz w:val="24"/>
                <w:szCs w:val="24"/>
                <w:highlight w:val="none"/>
                <w:vertAlign w:val="subscript"/>
              </w:rPr>
              <w:t>p2i</w:t>
            </w:r>
            <w:r>
              <w:rPr>
                <w:rFonts w:hint="eastAsia"/>
                <w:color w:val="auto"/>
                <w:sz w:val="24"/>
                <w:szCs w:val="24"/>
                <w:highlight w:val="none"/>
              </w:rPr>
              <w:t>（T）</w:t>
            </w:r>
            <w:r>
              <w:rPr>
                <w:rFonts w:hint="eastAsia" w:ascii="Times New Roman" w:hAnsi="Times New Roman" w:eastAsia="宋体"/>
                <w:color w:val="auto"/>
                <w:sz w:val="24"/>
                <w:szCs w:val="24"/>
                <w:highlight w:val="none"/>
                <w:lang w:eastAsia="zh-CN"/>
              </w:rPr>
              <w:t>——靠近围护结构处室外N个声源i倍频带的叠加声压级，dB；</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rPr>
              <w:t>L</w:t>
            </w:r>
            <w:r>
              <w:rPr>
                <w:rFonts w:hint="eastAsia" w:ascii="Times New Roman" w:hAnsi="Times New Roman" w:eastAsia="宋体"/>
                <w:color w:val="auto"/>
                <w:sz w:val="24"/>
                <w:szCs w:val="24"/>
                <w:highlight w:val="none"/>
                <w:vertAlign w:val="subscript"/>
              </w:rPr>
              <w:t>pli</w:t>
            </w:r>
            <w:r>
              <w:rPr>
                <w:rFonts w:hint="eastAsia" w:ascii="Times New Roman" w:hAnsi="Times New Roman" w:eastAsia="宋体"/>
                <w:color w:val="auto"/>
                <w:sz w:val="24"/>
                <w:szCs w:val="24"/>
                <w:highlight w:val="none"/>
                <w:vertAlign w:val="baseline"/>
              </w:rPr>
              <w:t>（T）</w:t>
            </w:r>
            <w:r>
              <w:rPr>
                <w:rFonts w:hint="eastAsia" w:ascii="Times New Roman" w:hAnsi="Times New Roman" w:eastAsia="宋体"/>
                <w:color w:val="auto"/>
                <w:sz w:val="24"/>
                <w:szCs w:val="24"/>
                <w:highlight w:val="none"/>
                <w:lang w:eastAsia="zh-CN"/>
              </w:rPr>
              <w:t>——靠近围护结构处室内N个声源i倍频带的叠加声压级，dB；</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rPr>
              <w:t>TL</w:t>
            </w:r>
            <w:r>
              <w:rPr>
                <w:rFonts w:hint="eastAsia" w:ascii="Times New Roman" w:hAnsi="Times New Roman" w:eastAsia="宋体"/>
                <w:color w:val="auto"/>
                <w:sz w:val="24"/>
                <w:szCs w:val="24"/>
                <w:highlight w:val="none"/>
                <w:vertAlign w:val="subscript"/>
              </w:rPr>
              <w:t>i</w:t>
            </w:r>
            <w:r>
              <w:rPr>
                <w:rFonts w:hint="eastAsia" w:ascii="Times New Roman" w:hAnsi="Times New Roman" w:eastAsia="宋体"/>
                <w:color w:val="auto"/>
                <w:sz w:val="24"/>
                <w:szCs w:val="24"/>
                <w:highlight w:val="none"/>
                <w:lang w:eastAsia="zh-CN"/>
              </w:rPr>
              <w:t>——围护结构i倍频带的隔声量，dB。</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四</w:t>
            </w:r>
            <w:r>
              <w:rPr>
                <w:rFonts w:hint="eastAsia" w:ascii="Times New Roman" w:hAnsi="Times New Roman" w:eastAsia="宋体"/>
                <w:color w:val="auto"/>
                <w:sz w:val="24"/>
                <w:szCs w:val="24"/>
                <w:highlight w:val="none"/>
                <w:lang w:eastAsia="zh-CN"/>
              </w:rPr>
              <w:t>）将室外声级和透声面积换算成等效的室外声源，计算出等效声源第i个倍频带的声功率级：</w:t>
            </w:r>
          </w:p>
          <w:p>
            <w:pPr>
              <w:spacing w:line="360" w:lineRule="auto"/>
              <w:ind w:firstLine="480" w:firstLineChars="200"/>
              <w:jc w:val="center"/>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L</w:t>
            </w:r>
            <w:r>
              <w:rPr>
                <w:rFonts w:hint="eastAsia" w:ascii="Times New Roman" w:hAnsi="Times New Roman" w:eastAsia="宋体"/>
                <w:color w:val="auto"/>
                <w:sz w:val="24"/>
                <w:szCs w:val="24"/>
                <w:highlight w:val="none"/>
                <w:vertAlign w:val="subscript"/>
                <w:lang w:eastAsia="zh-CN"/>
              </w:rPr>
              <w:t>w</w:t>
            </w:r>
            <w:r>
              <w:rPr>
                <w:rFonts w:hint="eastAsia" w:ascii="Times New Roman" w:hAnsi="Times New Roman" w:eastAsia="宋体"/>
                <w:color w:val="auto"/>
                <w:sz w:val="24"/>
                <w:szCs w:val="24"/>
                <w:highlight w:val="none"/>
                <w:lang w:eastAsia="zh-CN"/>
              </w:rPr>
              <w:t>=L</w:t>
            </w:r>
            <w:r>
              <w:rPr>
                <w:rFonts w:hint="eastAsia" w:ascii="Times New Roman" w:hAnsi="Times New Roman" w:eastAsia="宋体"/>
                <w:color w:val="auto"/>
                <w:sz w:val="24"/>
                <w:szCs w:val="24"/>
                <w:highlight w:val="none"/>
                <w:vertAlign w:val="subscript"/>
                <w:lang w:eastAsia="zh-CN"/>
              </w:rPr>
              <w:t>p2</w:t>
            </w:r>
            <w:r>
              <w:rPr>
                <w:rFonts w:hint="eastAsia" w:ascii="Times New Roman" w:hAnsi="Times New Roman" w:eastAsia="宋体"/>
                <w:color w:val="auto"/>
                <w:sz w:val="24"/>
                <w:szCs w:val="24"/>
                <w:highlight w:val="none"/>
                <w:lang w:eastAsia="zh-CN"/>
              </w:rPr>
              <w:t>（T）+10lgS</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式中：L</w:t>
            </w:r>
            <w:r>
              <w:rPr>
                <w:rFonts w:hint="eastAsia" w:ascii="Times New Roman" w:hAnsi="Times New Roman" w:eastAsia="宋体"/>
                <w:color w:val="auto"/>
                <w:sz w:val="24"/>
                <w:szCs w:val="24"/>
                <w:highlight w:val="none"/>
                <w:vertAlign w:val="subscript"/>
                <w:lang w:eastAsia="zh-CN"/>
              </w:rPr>
              <w:t>w</w:t>
            </w:r>
            <w:r>
              <w:rPr>
                <w:rFonts w:hint="eastAsia" w:ascii="Times New Roman" w:hAnsi="Times New Roman" w:eastAsia="宋体"/>
                <w:color w:val="auto"/>
                <w:sz w:val="24"/>
                <w:szCs w:val="24"/>
                <w:highlight w:val="none"/>
                <w:lang w:eastAsia="zh-CN"/>
              </w:rPr>
              <w:t>——中心位置位于透声面积（S）处的等效声源的倍频带声功率级，dB；</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L</w:t>
            </w:r>
            <w:r>
              <w:rPr>
                <w:rFonts w:hint="eastAsia" w:ascii="Times New Roman" w:hAnsi="Times New Roman" w:eastAsia="宋体"/>
                <w:color w:val="auto"/>
                <w:sz w:val="24"/>
                <w:szCs w:val="24"/>
                <w:highlight w:val="none"/>
                <w:vertAlign w:val="subscript"/>
                <w:lang w:eastAsia="zh-CN"/>
              </w:rPr>
              <w:t>p2</w:t>
            </w:r>
            <w:r>
              <w:rPr>
                <w:rFonts w:hint="eastAsia" w:ascii="Times New Roman" w:hAnsi="Times New Roman" w:eastAsia="宋体"/>
                <w:color w:val="auto"/>
                <w:sz w:val="24"/>
                <w:szCs w:val="24"/>
                <w:highlight w:val="none"/>
                <w:lang w:eastAsia="zh-CN"/>
              </w:rPr>
              <w:t>（T）——靠近围护结构处室外声源的声压级，dB；</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S——透声面积，m</w:t>
            </w:r>
            <w:r>
              <w:rPr>
                <w:rFonts w:hint="eastAsia" w:ascii="Times New Roman" w:hAnsi="Times New Roman" w:eastAsia="宋体"/>
                <w:color w:val="auto"/>
                <w:sz w:val="24"/>
                <w:szCs w:val="24"/>
                <w:highlight w:val="none"/>
                <w:vertAlign w:val="superscript"/>
                <w:lang w:eastAsia="zh-CN"/>
              </w:rPr>
              <w:t>2</w:t>
            </w:r>
            <w:r>
              <w:rPr>
                <w:rFonts w:hint="eastAsia" w:ascii="Times New Roman" w:hAnsi="Times New Roman" w:eastAsia="宋体"/>
                <w:color w:val="auto"/>
                <w:sz w:val="24"/>
                <w:szCs w:val="24"/>
                <w:highlight w:val="none"/>
                <w:lang w:eastAsia="zh-CN"/>
              </w:rPr>
              <w:t>。</w:t>
            </w:r>
          </w:p>
          <w:p>
            <w:pPr>
              <w:numPr>
                <w:ilvl w:val="0"/>
                <w:numId w:val="1"/>
              </w:numPr>
              <w:spacing w:line="360" w:lineRule="auto"/>
              <w:ind w:firstLine="480" w:firstLineChars="200"/>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等效室外声源的位置为围护结构的位置，其声功率级为L</w:t>
            </w:r>
            <w:r>
              <w:rPr>
                <w:rFonts w:hint="eastAsia" w:ascii="Times New Roman" w:hAnsi="Times New Roman" w:eastAsia="宋体"/>
                <w:color w:val="auto"/>
                <w:sz w:val="24"/>
                <w:szCs w:val="24"/>
                <w:highlight w:val="none"/>
                <w:vertAlign w:val="subscript"/>
                <w:lang w:eastAsia="zh-CN"/>
              </w:rPr>
              <w:t>w</w:t>
            </w:r>
            <w:r>
              <w:rPr>
                <w:rFonts w:hint="eastAsia" w:ascii="Times New Roman" w:hAnsi="Times New Roman" w:eastAsia="宋体"/>
                <w:color w:val="auto"/>
                <w:sz w:val="24"/>
                <w:szCs w:val="24"/>
                <w:highlight w:val="none"/>
                <w:lang w:eastAsia="zh-CN"/>
              </w:rPr>
              <w:t>，由此计算等效声源在预测点产生的声级。</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③总声级的计算</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设第i个室外声源在预测点产生的A声级为L</w:t>
            </w:r>
            <w:r>
              <w:rPr>
                <w:rFonts w:hint="eastAsia" w:ascii="Times New Roman" w:hAnsi="Times New Roman" w:eastAsia="宋体"/>
                <w:color w:val="auto"/>
                <w:sz w:val="24"/>
                <w:szCs w:val="24"/>
                <w:highlight w:val="none"/>
                <w:vertAlign w:val="subscript"/>
                <w:lang w:eastAsia="zh-CN"/>
              </w:rPr>
              <w:t>Ai</w:t>
            </w:r>
            <w:r>
              <w:rPr>
                <w:rFonts w:hint="eastAsia" w:ascii="Times New Roman" w:hAnsi="Times New Roman" w:eastAsia="宋体"/>
                <w:color w:val="auto"/>
                <w:sz w:val="24"/>
                <w:szCs w:val="24"/>
                <w:highlight w:val="none"/>
                <w:lang w:eastAsia="zh-CN"/>
              </w:rPr>
              <w:t>，在T时间内该声源工作时间为t</w:t>
            </w:r>
            <w:r>
              <w:rPr>
                <w:rFonts w:hint="eastAsia" w:ascii="Times New Roman" w:hAnsi="Times New Roman" w:eastAsia="宋体"/>
                <w:color w:val="auto"/>
                <w:sz w:val="24"/>
                <w:szCs w:val="24"/>
                <w:highlight w:val="none"/>
                <w:vertAlign w:val="subscript"/>
                <w:lang w:eastAsia="zh-CN"/>
              </w:rPr>
              <w:t>i</w:t>
            </w:r>
            <w:r>
              <w:rPr>
                <w:rFonts w:hint="eastAsia" w:ascii="Times New Roman" w:hAnsi="Times New Roman" w:eastAsia="宋体"/>
                <w:color w:val="auto"/>
                <w:sz w:val="24"/>
                <w:szCs w:val="24"/>
                <w:highlight w:val="none"/>
                <w:lang w:eastAsia="zh-CN"/>
              </w:rPr>
              <w:t>；第j个等效室外声源在预测点产生的A声级为L</w:t>
            </w:r>
            <w:r>
              <w:rPr>
                <w:rFonts w:hint="eastAsia" w:ascii="Times New Roman" w:hAnsi="Times New Roman" w:eastAsia="宋体"/>
                <w:color w:val="auto"/>
                <w:sz w:val="24"/>
                <w:szCs w:val="24"/>
                <w:highlight w:val="none"/>
                <w:vertAlign w:val="subscript"/>
                <w:lang w:eastAsia="zh-CN"/>
              </w:rPr>
              <w:t>Aj</w:t>
            </w:r>
            <w:r>
              <w:rPr>
                <w:rFonts w:hint="eastAsia" w:ascii="Times New Roman" w:hAnsi="Times New Roman" w:eastAsia="宋体"/>
                <w:color w:val="auto"/>
                <w:sz w:val="24"/>
                <w:szCs w:val="24"/>
                <w:highlight w:val="none"/>
                <w:lang w:eastAsia="zh-CN"/>
              </w:rPr>
              <w:t>，在T时间内该声源工作时间为t</w:t>
            </w:r>
            <w:r>
              <w:rPr>
                <w:rFonts w:hint="eastAsia" w:ascii="Times New Roman" w:hAnsi="Times New Roman" w:eastAsia="宋体"/>
                <w:color w:val="auto"/>
                <w:sz w:val="24"/>
                <w:szCs w:val="24"/>
                <w:highlight w:val="none"/>
                <w:vertAlign w:val="subscript"/>
                <w:lang w:eastAsia="zh-CN"/>
              </w:rPr>
              <w:t>j</w:t>
            </w:r>
            <w:r>
              <w:rPr>
                <w:rFonts w:hint="eastAsia" w:ascii="Times New Roman" w:hAnsi="Times New Roman" w:eastAsia="宋体"/>
                <w:color w:val="auto"/>
                <w:sz w:val="24"/>
                <w:szCs w:val="24"/>
                <w:highlight w:val="none"/>
                <w:lang w:eastAsia="zh-CN"/>
              </w:rPr>
              <w:t>，则拟建工程声源对预测点产生的贡献值（L</w:t>
            </w:r>
            <w:r>
              <w:rPr>
                <w:rFonts w:hint="eastAsia" w:ascii="Times New Roman" w:hAnsi="Times New Roman" w:eastAsia="宋体"/>
                <w:color w:val="auto"/>
                <w:sz w:val="24"/>
                <w:szCs w:val="24"/>
                <w:highlight w:val="none"/>
                <w:vertAlign w:val="subscript"/>
                <w:lang w:eastAsia="zh-CN"/>
              </w:rPr>
              <w:t>eqg</w:t>
            </w:r>
            <w:r>
              <w:rPr>
                <w:rFonts w:hint="eastAsia" w:ascii="Times New Roman" w:hAnsi="Times New Roman" w:eastAsia="宋体"/>
                <w:color w:val="auto"/>
                <w:sz w:val="24"/>
                <w:szCs w:val="24"/>
                <w:highlight w:val="none"/>
                <w:lang w:eastAsia="zh-CN"/>
              </w:rPr>
              <w:t>）为：</w:t>
            </w:r>
          </w:p>
          <w:p>
            <w:pPr>
              <w:spacing w:line="360" w:lineRule="auto"/>
              <w:ind w:firstLine="480" w:firstLineChars="200"/>
              <w:jc w:val="center"/>
              <w:rPr>
                <w:rFonts w:hint="eastAsia" w:ascii="Times New Roman" w:hAnsi="Times New Roman" w:eastAsia="宋体"/>
                <w:color w:val="auto"/>
                <w:sz w:val="24"/>
                <w:szCs w:val="24"/>
                <w:highlight w:val="none"/>
                <w:lang w:eastAsia="zh-CN"/>
              </w:rPr>
            </w:pPr>
            <w:r>
              <w:rPr>
                <w:color w:val="auto"/>
                <w:sz w:val="24"/>
                <w:szCs w:val="24"/>
                <w:highlight w:val="none"/>
              </w:rPr>
              <w:drawing>
                <wp:inline distT="0" distB="0" distL="114300" distR="114300">
                  <wp:extent cx="3433445" cy="715010"/>
                  <wp:effectExtent l="0" t="0" r="14605" b="889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2"/>
                          <a:stretch>
                            <a:fillRect/>
                          </a:stretch>
                        </pic:blipFill>
                        <pic:spPr>
                          <a:xfrm>
                            <a:off x="0" y="0"/>
                            <a:ext cx="3433445" cy="715010"/>
                          </a:xfrm>
                          <a:prstGeom prst="rect">
                            <a:avLst/>
                          </a:prstGeom>
                          <a:noFill/>
                          <a:ln>
                            <a:noFill/>
                          </a:ln>
                        </pic:spPr>
                      </pic:pic>
                    </a:graphicData>
                  </a:graphic>
                </wp:inline>
              </w:drawing>
            </w:r>
          </w:p>
          <w:p>
            <w:pPr>
              <w:spacing w:line="360" w:lineRule="auto"/>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式中：</w:t>
            </w:r>
            <w:r>
              <w:rPr>
                <w:rFonts w:hint="eastAsia" w:ascii="Times New Roman" w:hAnsi="Times New Roman" w:eastAsia="宋体"/>
                <w:color w:val="auto"/>
                <w:sz w:val="24"/>
                <w:szCs w:val="24"/>
                <w:highlight w:val="none"/>
                <w:lang w:eastAsia="zh-CN"/>
              </w:rPr>
              <w:t>L</w:t>
            </w:r>
            <w:r>
              <w:rPr>
                <w:rFonts w:hint="eastAsia" w:ascii="Times New Roman" w:hAnsi="Times New Roman" w:eastAsia="宋体"/>
                <w:color w:val="auto"/>
                <w:sz w:val="24"/>
                <w:szCs w:val="24"/>
                <w:highlight w:val="none"/>
                <w:vertAlign w:val="subscript"/>
                <w:lang w:eastAsia="zh-CN"/>
              </w:rPr>
              <w:t>eqg</w:t>
            </w:r>
            <w:r>
              <w:rPr>
                <w:rFonts w:hint="eastAsia" w:ascii="Times New Roman" w:hAnsi="Times New Roman" w:eastAsia="宋体"/>
                <w:color w:val="auto"/>
                <w:sz w:val="24"/>
                <w:szCs w:val="24"/>
                <w:highlight w:val="none"/>
              </w:rPr>
              <w:t>——建设项目声源在预测点产生的噪声贡献值，dB；</w:t>
            </w:r>
          </w:p>
          <w:p>
            <w:pPr>
              <w:spacing w:line="360" w:lineRule="auto"/>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T——用于计算等效声级的时间，s；</w:t>
            </w:r>
          </w:p>
          <w:p>
            <w:pPr>
              <w:spacing w:line="360" w:lineRule="auto"/>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N——室外声源个数；</w:t>
            </w:r>
          </w:p>
          <w:p>
            <w:pPr>
              <w:spacing w:line="360" w:lineRule="auto"/>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lang w:eastAsia="zh-CN"/>
              </w:rPr>
              <w:t>t</w:t>
            </w:r>
            <w:r>
              <w:rPr>
                <w:rFonts w:hint="eastAsia" w:ascii="Times New Roman" w:hAnsi="Times New Roman" w:eastAsia="宋体"/>
                <w:color w:val="auto"/>
                <w:sz w:val="24"/>
                <w:szCs w:val="24"/>
                <w:highlight w:val="none"/>
                <w:vertAlign w:val="subscript"/>
                <w:lang w:eastAsia="zh-CN"/>
              </w:rPr>
              <w:t>i</w:t>
            </w:r>
            <w:r>
              <w:rPr>
                <w:rFonts w:hint="eastAsia" w:ascii="Times New Roman" w:hAnsi="Times New Roman" w:eastAsia="宋体"/>
                <w:color w:val="auto"/>
                <w:sz w:val="24"/>
                <w:szCs w:val="24"/>
                <w:highlight w:val="none"/>
              </w:rPr>
              <w:t>——在T时间内i声源工作时间，s；</w:t>
            </w:r>
          </w:p>
          <w:p>
            <w:pPr>
              <w:spacing w:line="360" w:lineRule="auto"/>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M——等效室外声源个数；</w:t>
            </w:r>
          </w:p>
          <w:p>
            <w:pPr>
              <w:spacing w:line="360" w:lineRule="auto"/>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lang w:eastAsia="zh-CN"/>
              </w:rPr>
              <w:t>t</w:t>
            </w:r>
            <w:r>
              <w:rPr>
                <w:rFonts w:hint="eastAsia" w:ascii="Times New Roman" w:hAnsi="Times New Roman" w:eastAsia="宋体"/>
                <w:color w:val="auto"/>
                <w:sz w:val="24"/>
                <w:szCs w:val="24"/>
                <w:highlight w:val="none"/>
                <w:vertAlign w:val="subscript"/>
                <w:lang w:eastAsia="zh-CN"/>
              </w:rPr>
              <w:t>j</w:t>
            </w:r>
            <w:r>
              <w:rPr>
                <w:rFonts w:hint="eastAsia" w:ascii="Times New Roman" w:hAnsi="Times New Roman" w:eastAsia="宋体"/>
                <w:color w:val="auto"/>
                <w:sz w:val="24"/>
                <w:szCs w:val="24"/>
                <w:highlight w:val="none"/>
              </w:rPr>
              <w:t>——在T时间内j声源工作时间，s。</w:t>
            </w:r>
          </w:p>
          <w:p>
            <w:pPr>
              <w:spacing w:line="360" w:lineRule="auto"/>
              <w:ind w:firstLine="482" w:firstLineChars="200"/>
              <w:rPr>
                <w:rFonts w:hint="eastAsia"/>
                <w:b/>
                <w:bCs/>
                <w:color w:val="auto"/>
                <w:sz w:val="24"/>
                <w:szCs w:val="24"/>
                <w:highlight w:val="none"/>
                <w:lang w:eastAsia="zh-CN"/>
              </w:rPr>
            </w:pPr>
            <w:r>
              <w:rPr>
                <w:rFonts w:hint="eastAsia"/>
                <w:b/>
                <w:bCs/>
                <w:color w:val="auto"/>
                <w:sz w:val="24"/>
                <w:szCs w:val="24"/>
                <w:highlight w:val="none"/>
                <w:lang w:eastAsia="zh-CN"/>
              </w:rPr>
              <w:t>2）参数确定</w:t>
            </w:r>
          </w:p>
          <w:p>
            <w:pPr>
              <w:spacing w:line="360" w:lineRule="auto"/>
              <w:ind w:firstLine="480" w:firstLineChars="200"/>
              <w:rPr>
                <w:rFonts w:hint="eastAsia"/>
                <w:color w:val="auto"/>
                <w:sz w:val="24"/>
                <w:szCs w:val="24"/>
                <w:highlight w:val="none"/>
                <w:lang w:eastAsia="zh-CN"/>
              </w:rPr>
            </w:pPr>
            <w:r>
              <w:rPr>
                <w:rFonts w:hint="eastAsia"/>
                <w:color w:val="auto"/>
                <w:sz w:val="24"/>
                <w:szCs w:val="24"/>
                <w:highlight w:val="none"/>
                <w:lang w:eastAsia="zh-CN"/>
              </w:rPr>
              <w:t>①声波几何发散引起的A声级衰减量：</w:t>
            </w:r>
          </w:p>
          <w:p>
            <w:pPr>
              <w:spacing w:line="360" w:lineRule="auto"/>
              <w:ind w:firstLine="480" w:firstLineChars="200"/>
              <w:jc w:val="center"/>
              <w:rPr>
                <w:rFonts w:hint="eastAsia"/>
                <w:color w:val="auto"/>
                <w:sz w:val="24"/>
                <w:szCs w:val="24"/>
                <w:highlight w:val="none"/>
                <w:lang w:eastAsia="zh-CN"/>
              </w:rPr>
            </w:pPr>
            <w:r>
              <w:rPr>
                <w:rFonts w:hint="eastAsia"/>
                <w:color w:val="auto"/>
                <w:sz w:val="24"/>
                <w:szCs w:val="24"/>
                <w:highlight w:val="none"/>
                <w:lang w:eastAsia="zh-CN"/>
              </w:rPr>
              <w:t>点声源A</w:t>
            </w:r>
            <w:r>
              <w:rPr>
                <w:rFonts w:hint="eastAsia"/>
                <w:color w:val="auto"/>
                <w:sz w:val="24"/>
                <w:szCs w:val="24"/>
                <w:highlight w:val="none"/>
                <w:vertAlign w:val="subscript"/>
                <w:lang w:eastAsia="zh-CN"/>
              </w:rPr>
              <w:t>div</w:t>
            </w:r>
            <w:r>
              <w:rPr>
                <w:rFonts w:hint="eastAsia"/>
                <w:color w:val="auto"/>
                <w:sz w:val="24"/>
                <w:szCs w:val="24"/>
                <w:highlight w:val="none"/>
                <w:lang w:eastAsia="zh-CN"/>
              </w:rPr>
              <w:t>= 201g(r/r</w:t>
            </w:r>
            <w:r>
              <w:rPr>
                <w:rFonts w:hint="eastAsia"/>
                <w:color w:val="auto"/>
                <w:sz w:val="24"/>
                <w:szCs w:val="24"/>
                <w:highlight w:val="none"/>
                <w:vertAlign w:val="subscript"/>
                <w:lang w:val="en-US" w:eastAsia="zh-CN"/>
              </w:rPr>
              <w:t>0</w:t>
            </w:r>
            <w:r>
              <w:rPr>
                <w:rFonts w:hint="eastAsia"/>
                <w:color w:val="auto"/>
                <w:sz w:val="24"/>
                <w:szCs w:val="24"/>
                <w:highlight w:val="none"/>
                <w:lang w:eastAsia="zh-CN"/>
              </w:rPr>
              <w:t>)</w:t>
            </w:r>
          </w:p>
          <w:p>
            <w:pPr>
              <w:spacing w:line="360" w:lineRule="auto"/>
              <w:ind w:firstLine="480" w:firstLineChars="200"/>
              <w:rPr>
                <w:rFonts w:hint="eastAsia" w:eastAsia="宋体"/>
                <w:color w:val="auto"/>
                <w:sz w:val="24"/>
                <w:szCs w:val="24"/>
                <w:highlight w:val="none"/>
                <w:vertAlign w:val="subscript"/>
                <w:lang w:eastAsia="zh-CN"/>
              </w:rPr>
            </w:pPr>
            <w:r>
              <w:rPr>
                <w:rFonts w:hint="eastAsia"/>
                <w:color w:val="auto"/>
                <w:sz w:val="24"/>
                <w:szCs w:val="24"/>
                <w:highlight w:val="none"/>
                <w:lang w:eastAsia="zh-CN"/>
              </w:rPr>
              <w:t>②空气吸收衰减量</w:t>
            </w:r>
            <w:r>
              <w:rPr>
                <w:rFonts w:hint="eastAsia"/>
                <w:color w:val="auto"/>
                <w:sz w:val="24"/>
                <w:szCs w:val="24"/>
                <w:highlight w:val="none"/>
              </w:rPr>
              <w:t>A</w:t>
            </w:r>
            <w:r>
              <w:rPr>
                <w:rFonts w:hint="eastAsia"/>
                <w:color w:val="auto"/>
                <w:sz w:val="24"/>
                <w:szCs w:val="24"/>
                <w:highlight w:val="none"/>
                <w:vertAlign w:val="subscript"/>
              </w:rPr>
              <w:t>atm</w:t>
            </w:r>
            <w:r>
              <w:rPr>
                <w:rFonts w:hint="eastAsia"/>
                <w:color w:val="auto"/>
                <w:sz w:val="24"/>
                <w:szCs w:val="24"/>
                <w:highlight w:val="none"/>
                <w:vertAlign w:val="baseline"/>
                <w:lang w:eastAsia="zh-CN"/>
              </w:rPr>
              <w:t>：</w:t>
            </w:r>
          </w:p>
          <w:p>
            <w:pPr>
              <w:spacing w:line="360" w:lineRule="auto"/>
              <w:ind w:firstLine="480" w:firstLineChars="200"/>
              <w:rPr>
                <w:rFonts w:hint="eastAsia"/>
                <w:color w:val="auto"/>
                <w:sz w:val="24"/>
                <w:szCs w:val="24"/>
                <w:highlight w:val="none"/>
                <w:lang w:eastAsia="zh-CN"/>
              </w:rPr>
            </w:pPr>
            <w:r>
              <w:rPr>
                <w:rFonts w:hint="eastAsia"/>
                <w:color w:val="auto"/>
                <w:sz w:val="24"/>
                <w:szCs w:val="24"/>
                <w:highlight w:val="none"/>
                <w:lang w:eastAsia="zh-CN"/>
              </w:rPr>
              <w:t>拟建项目噪声以中低频为主，空气吸收性衰减很少，预测时可忽略不计。</w:t>
            </w:r>
          </w:p>
          <w:p>
            <w:pPr>
              <w:spacing w:line="360" w:lineRule="auto"/>
              <w:ind w:firstLine="480" w:firstLineChars="200"/>
              <w:rPr>
                <w:rFonts w:hint="eastAsia" w:eastAsia="宋体"/>
                <w:color w:val="auto"/>
                <w:sz w:val="24"/>
                <w:szCs w:val="24"/>
                <w:highlight w:val="none"/>
                <w:vertAlign w:val="baseline"/>
                <w:lang w:eastAsia="zh-CN"/>
              </w:rPr>
            </w:pPr>
            <w:r>
              <w:rPr>
                <w:rFonts w:hint="eastAsia"/>
                <w:color w:val="auto"/>
                <w:sz w:val="24"/>
                <w:szCs w:val="24"/>
                <w:highlight w:val="none"/>
                <w:lang w:eastAsia="zh-CN"/>
              </w:rPr>
              <w:t>③遮挡物引起的衰减量</w:t>
            </w:r>
            <w:r>
              <w:rPr>
                <w:rFonts w:hint="eastAsia"/>
                <w:color w:val="auto"/>
                <w:sz w:val="24"/>
                <w:szCs w:val="24"/>
                <w:highlight w:val="none"/>
              </w:rPr>
              <w:t>A</w:t>
            </w:r>
            <w:r>
              <w:rPr>
                <w:rFonts w:hint="eastAsia"/>
                <w:color w:val="auto"/>
                <w:sz w:val="24"/>
                <w:szCs w:val="24"/>
                <w:highlight w:val="none"/>
                <w:vertAlign w:val="subscript"/>
              </w:rPr>
              <w:t>bar</w:t>
            </w:r>
            <w:r>
              <w:rPr>
                <w:rFonts w:hint="eastAsia"/>
                <w:color w:val="auto"/>
                <w:sz w:val="24"/>
                <w:szCs w:val="24"/>
                <w:highlight w:val="none"/>
                <w:vertAlign w:val="baseline"/>
                <w:lang w:eastAsia="zh-CN"/>
              </w:rPr>
              <w:t>：</w:t>
            </w:r>
          </w:p>
          <w:p>
            <w:pPr>
              <w:spacing w:line="360" w:lineRule="auto"/>
              <w:ind w:firstLine="480" w:firstLineChars="200"/>
              <w:rPr>
                <w:rFonts w:hint="eastAsia"/>
                <w:color w:val="auto"/>
                <w:sz w:val="24"/>
                <w:szCs w:val="24"/>
                <w:highlight w:val="none"/>
                <w:lang w:eastAsia="zh-CN"/>
              </w:rPr>
            </w:pPr>
            <w:r>
              <w:rPr>
                <w:rFonts w:hint="eastAsia"/>
                <w:color w:val="auto"/>
                <w:sz w:val="24"/>
                <w:szCs w:val="24"/>
                <w:highlight w:val="none"/>
                <w:lang w:eastAsia="zh-CN"/>
              </w:rPr>
              <w:t>噪声在向外传播过程中将受到厂房或其它车间的阻挡影响，从而引起声能量的衰减，具体衰减根据不同声级的传播途径而定，一般取0~30dB（</w:t>
            </w:r>
            <w:r>
              <w:rPr>
                <w:rFonts w:hint="eastAsia"/>
                <w:color w:val="auto"/>
                <w:sz w:val="24"/>
                <w:szCs w:val="24"/>
                <w:highlight w:val="none"/>
                <w:lang w:val="en-US" w:eastAsia="zh-CN"/>
              </w:rPr>
              <w:t>A</w:t>
            </w:r>
            <w:r>
              <w:rPr>
                <w:rFonts w:hint="eastAsia"/>
                <w:color w:val="auto"/>
                <w:sz w:val="24"/>
                <w:szCs w:val="24"/>
                <w:highlight w:val="none"/>
                <w:lang w:eastAsia="zh-CN"/>
              </w:rPr>
              <w:t>），本次环评取</w:t>
            </w:r>
            <w:r>
              <w:rPr>
                <w:rFonts w:hint="eastAsia"/>
                <w:color w:val="auto"/>
                <w:sz w:val="24"/>
                <w:szCs w:val="24"/>
                <w:highlight w:val="none"/>
                <w:lang w:val="en-US" w:eastAsia="zh-CN"/>
              </w:rPr>
              <w:t>15</w:t>
            </w:r>
            <w:r>
              <w:rPr>
                <w:rFonts w:hint="eastAsia"/>
                <w:color w:val="auto"/>
                <w:sz w:val="24"/>
                <w:szCs w:val="24"/>
                <w:highlight w:val="none"/>
                <w:lang w:eastAsia="zh-CN"/>
              </w:rPr>
              <w:t>。</w:t>
            </w:r>
          </w:p>
          <w:p>
            <w:pPr>
              <w:spacing w:line="360" w:lineRule="auto"/>
              <w:ind w:firstLine="480" w:firstLineChars="200"/>
              <w:rPr>
                <w:rFonts w:hint="eastAsia"/>
                <w:color w:val="auto"/>
                <w:sz w:val="24"/>
                <w:szCs w:val="24"/>
                <w:highlight w:val="none"/>
                <w:lang w:eastAsia="zh-CN"/>
              </w:rPr>
            </w:pPr>
            <w:r>
              <w:rPr>
                <w:rFonts w:hint="eastAsia"/>
                <w:color w:val="auto"/>
                <w:sz w:val="24"/>
                <w:szCs w:val="24"/>
                <w:highlight w:val="none"/>
                <w:lang w:eastAsia="zh-CN"/>
              </w:rPr>
              <w:t>④地面效应引起的声级衰减量</w:t>
            </w:r>
            <w:r>
              <w:rPr>
                <w:rFonts w:hint="eastAsia"/>
                <w:color w:val="auto"/>
                <w:sz w:val="24"/>
                <w:szCs w:val="24"/>
                <w:highlight w:val="none"/>
              </w:rPr>
              <w:t>A</w:t>
            </w:r>
            <w:r>
              <w:rPr>
                <w:rFonts w:hint="eastAsia"/>
                <w:color w:val="auto"/>
                <w:sz w:val="24"/>
                <w:szCs w:val="24"/>
                <w:highlight w:val="none"/>
                <w:vertAlign w:val="subscript"/>
              </w:rPr>
              <w:t>gr</w:t>
            </w:r>
            <w:r>
              <w:rPr>
                <w:rFonts w:hint="eastAsia"/>
                <w:color w:val="auto"/>
                <w:sz w:val="24"/>
                <w:szCs w:val="24"/>
                <w:highlight w:val="none"/>
                <w:lang w:eastAsia="zh-CN"/>
              </w:rPr>
              <w:t>：</w:t>
            </w:r>
          </w:p>
          <w:p>
            <w:pPr>
              <w:spacing w:line="360" w:lineRule="auto"/>
              <w:ind w:firstLine="480" w:firstLineChars="200"/>
              <w:rPr>
                <w:rFonts w:hint="eastAsia"/>
                <w:color w:val="auto"/>
                <w:sz w:val="24"/>
                <w:szCs w:val="24"/>
                <w:highlight w:val="none"/>
                <w:lang w:eastAsia="zh-CN"/>
              </w:rPr>
            </w:pPr>
            <w:r>
              <w:rPr>
                <w:rFonts w:hint="eastAsia"/>
                <w:color w:val="auto"/>
                <w:sz w:val="24"/>
                <w:szCs w:val="24"/>
                <w:highlight w:val="none"/>
                <w:lang w:eastAsia="zh-CN"/>
              </w:rPr>
              <w:t>根据项目总平面布置和噪声源强及外环境状况，可以忽略本项附加衰减量。</w:t>
            </w:r>
          </w:p>
          <w:p>
            <w:pPr>
              <w:spacing w:line="360" w:lineRule="auto"/>
              <w:ind w:firstLine="480" w:firstLineChars="200"/>
              <w:rPr>
                <w:rFonts w:hint="eastAsia"/>
                <w:color w:val="auto"/>
                <w:sz w:val="24"/>
                <w:szCs w:val="24"/>
                <w:highlight w:val="none"/>
                <w:vertAlign w:val="baseline"/>
                <w:lang w:eastAsia="zh-CN"/>
              </w:rPr>
            </w:pPr>
            <w:r>
              <w:rPr>
                <w:rFonts w:hint="eastAsia"/>
                <w:color w:val="auto"/>
                <w:sz w:val="24"/>
                <w:szCs w:val="24"/>
                <w:highlight w:val="none"/>
                <w:lang w:eastAsia="zh-CN"/>
              </w:rPr>
              <w:t>⑤其他多方面效应引起的声级衰减量</w:t>
            </w:r>
            <w:r>
              <w:rPr>
                <w:rFonts w:hint="eastAsia"/>
                <w:color w:val="auto"/>
                <w:sz w:val="24"/>
                <w:szCs w:val="24"/>
                <w:highlight w:val="none"/>
              </w:rPr>
              <w:t>A</w:t>
            </w:r>
            <w:r>
              <w:rPr>
                <w:rFonts w:hint="eastAsia"/>
                <w:color w:val="auto"/>
                <w:sz w:val="24"/>
                <w:szCs w:val="24"/>
                <w:highlight w:val="none"/>
                <w:vertAlign w:val="subscript"/>
              </w:rPr>
              <w:t>misc</w:t>
            </w:r>
            <w:r>
              <w:rPr>
                <w:rFonts w:hint="eastAsia"/>
                <w:color w:val="auto"/>
                <w:sz w:val="24"/>
                <w:szCs w:val="24"/>
                <w:highlight w:val="none"/>
                <w:vertAlign w:val="baseline"/>
                <w:lang w:eastAsia="zh-CN"/>
              </w:rPr>
              <w:t>：</w:t>
            </w:r>
          </w:p>
          <w:p>
            <w:pPr>
              <w:spacing w:line="360" w:lineRule="auto"/>
              <w:ind w:firstLine="480" w:firstLineChars="200"/>
              <w:rPr>
                <w:rFonts w:hint="eastAsia"/>
                <w:color w:val="auto"/>
                <w:sz w:val="24"/>
                <w:szCs w:val="24"/>
                <w:highlight w:val="none"/>
                <w:lang w:eastAsia="zh-CN"/>
              </w:rPr>
            </w:pPr>
            <w:r>
              <w:rPr>
                <w:rFonts w:hint="eastAsia"/>
                <w:color w:val="auto"/>
                <w:sz w:val="24"/>
                <w:szCs w:val="24"/>
                <w:highlight w:val="none"/>
                <w:lang w:eastAsia="zh-CN"/>
              </w:rPr>
              <w:t>其他衰减包括通过工业场所的衰减，通过房屋群的衰减等。一般情况下，不考虑自然条件（如风、温度梯度、雾）变化引起的附加修正。</w:t>
            </w:r>
          </w:p>
          <w:p>
            <w:pPr>
              <w:spacing w:line="360" w:lineRule="auto"/>
              <w:ind w:firstLine="482" w:firstLineChars="200"/>
              <w:rPr>
                <w:rFonts w:hint="default"/>
                <w:b/>
                <w:bCs/>
                <w:color w:val="auto"/>
                <w:sz w:val="24"/>
                <w:szCs w:val="24"/>
                <w:highlight w:val="none"/>
                <w:lang w:val="en-US" w:eastAsia="zh-CN"/>
              </w:rPr>
            </w:pPr>
            <w:r>
              <w:rPr>
                <w:rFonts w:hint="eastAsia"/>
                <w:b/>
                <w:bCs/>
                <w:color w:val="auto"/>
                <w:sz w:val="24"/>
                <w:szCs w:val="24"/>
                <w:highlight w:val="none"/>
                <w:lang w:val="en-US" w:eastAsia="zh-CN"/>
              </w:rPr>
              <w:t>3）预测结果</w:t>
            </w:r>
          </w:p>
          <w:p>
            <w:pPr>
              <w:spacing w:line="360" w:lineRule="auto"/>
              <w:ind w:firstLine="480" w:firstLineChars="200"/>
              <w:rPr>
                <w:rFonts w:hint="eastAsia"/>
                <w:i w:val="0"/>
                <w:iCs w:val="0"/>
                <w:color w:val="auto"/>
                <w:sz w:val="24"/>
                <w:szCs w:val="24"/>
                <w:highlight w:val="none"/>
                <w:lang w:val="en-US" w:eastAsia="zh-CN"/>
              </w:rPr>
            </w:pPr>
            <w:r>
              <w:rPr>
                <w:rFonts w:hint="eastAsia"/>
                <w:color w:val="auto"/>
                <w:sz w:val="24"/>
                <w:szCs w:val="24"/>
                <w:highlight w:val="none"/>
              </w:rPr>
              <w:t>根据不同设备的噪声级、确定的预测模式以及拟采取的降噪措施计算出不同距离处的噪声值。项目厂界噪声贡预测结果如下表所示：</w:t>
            </w:r>
          </w:p>
          <w:p>
            <w:pPr>
              <w:spacing w:line="360" w:lineRule="auto"/>
              <w:jc w:val="center"/>
              <w:rPr>
                <w:rFonts w:hint="eastAsia"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表4-</w:t>
            </w:r>
            <w:r>
              <w:rPr>
                <w:rFonts w:hint="eastAsia"/>
                <w:b/>
                <w:bCs/>
                <w:color w:val="auto"/>
                <w:sz w:val="24"/>
                <w:szCs w:val="24"/>
                <w:highlight w:val="none"/>
                <w:lang w:val="en-US" w:eastAsia="zh-CN"/>
              </w:rPr>
              <w:t>12</w:t>
            </w:r>
            <w:r>
              <w:rPr>
                <w:rFonts w:hint="eastAsia" w:ascii="Times New Roman" w:hAnsi="Times New Roman" w:eastAsia="宋体"/>
                <w:b/>
                <w:bCs/>
                <w:color w:val="auto"/>
                <w:sz w:val="24"/>
                <w:szCs w:val="24"/>
                <w:highlight w:val="none"/>
              </w:rPr>
              <w:t xml:space="preserve">  运营期昼间噪声预测结果</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651"/>
              <w:gridCol w:w="1308"/>
              <w:gridCol w:w="1308"/>
              <w:gridCol w:w="1310"/>
              <w:gridCol w:w="1591"/>
              <w:gridCol w:w="7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401" w:type="pct"/>
                  <w:vMerge w:val="restar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 w:val="21"/>
                      <w:szCs w:val="21"/>
                      <w:highlight w:val="none"/>
                    </w:rPr>
                  </w:pPr>
                  <w:r>
                    <w:rPr>
                      <w:rFonts w:hint="eastAsia" w:cs="Times New Roman"/>
                      <w:b/>
                      <w:bCs/>
                      <w:color w:val="auto"/>
                      <w:sz w:val="21"/>
                      <w:szCs w:val="21"/>
                      <w:highlight w:val="none"/>
                    </w:rPr>
                    <w:t>编号</w:t>
                  </w:r>
                </w:p>
              </w:tc>
              <w:tc>
                <w:tcPr>
                  <w:tcW w:w="959" w:type="pct"/>
                  <w:vMerge w:val="restar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 w:val="21"/>
                      <w:szCs w:val="21"/>
                      <w:highlight w:val="none"/>
                    </w:rPr>
                  </w:pPr>
                  <w:r>
                    <w:rPr>
                      <w:rFonts w:hint="eastAsia" w:cs="Times New Roman"/>
                      <w:b/>
                      <w:bCs/>
                      <w:color w:val="auto"/>
                      <w:sz w:val="21"/>
                      <w:szCs w:val="21"/>
                      <w:highlight w:val="none"/>
                    </w:rPr>
                    <w:t>预测点位置</w:t>
                  </w:r>
                </w:p>
              </w:tc>
              <w:tc>
                <w:tcPr>
                  <w:tcW w:w="760" w:type="pc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 w:val="21"/>
                      <w:szCs w:val="21"/>
                      <w:highlight w:val="none"/>
                    </w:rPr>
                  </w:pPr>
                  <w:r>
                    <w:rPr>
                      <w:rFonts w:hint="eastAsia" w:cs="Times New Roman"/>
                      <w:b/>
                      <w:bCs/>
                      <w:color w:val="auto"/>
                      <w:sz w:val="21"/>
                      <w:szCs w:val="21"/>
                      <w:highlight w:val="none"/>
                    </w:rPr>
                    <w:t>贡献值</w:t>
                  </w:r>
                </w:p>
                <w:p>
                  <w:pPr>
                    <w:spacing w:line="240" w:lineRule="auto"/>
                    <w:ind w:firstLine="0" w:firstLineChars="0"/>
                    <w:jc w:val="center"/>
                    <w:rPr>
                      <w:rFonts w:cs="Times New Roman"/>
                      <w:b/>
                      <w:bCs/>
                      <w:color w:val="auto"/>
                      <w:sz w:val="21"/>
                      <w:szCs w:val="21"/>
                      <w:highlight w:val="none"/>
                    </w:rPr>
                  </w:pPr>
                  <w:r>
                    <w:rPr>
                      <w:rFonts w:hint="eastAsia" w:cs="Times New Roman"/>
                      <w:b/>
                      <w:bCs/>
                      <w:color w:val="auto"/>
                      <w:sz w:val="21"/>
                      <w:szCs w:val="21"/>
                      <w:highlight w:val="none"/>
                    </w:rPr>
                    <w:t>[dB（A）]</w:t>
                  </w:r>
                </w:p>
              </w:tc>
              <w:tc>
                <w:tcPr>
                  <w:tcW w:w="760" w:type="pc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 w:val="21"/>
                      <w:szCs w:val="21"/>
                      <w:highlight w:val="none"/>
                    </w:rPr>
                  </w:pPr>
                  <w:r>
                    <w:rPr>
                      <w:rFonts w:hint="eastAsia" w:cs="Times New Roman"/>
                      <w:b/>
                      <w:bCs/>
                      <w:color w:val="auto"/>
                      <w:sz w:val="21"/>
                      <w:szCs w:val="21"/>
                      <w:highlight w:val="none"/>
                    </w:rPr>
                    <w:t>背景值</w:t>
                  </w:r>
                </w:p>
                <w:p>
                  <w:pPr>
                    <w:spacing w:line="240" w:lineRule="auto"/>
                    <w:ind w:firstLine="0" w:firstLineChars="0"/>
                    <w:jc w:val="center"/>
                    <w:rPr>
                      <w:rFonts w:cs="Times New Roman"/>
                      <w:b/>
                      <w:bCs/>
                      <w:color w:val="auto"/>
                      <w:sz w:val="21"/>
                      <w:szCs w:val="21"/>
                      <w:highlight w:val="none"/>
                    </w:rPr>
                  </w:pPr>
                  <w:r>
                    <w:rPr>
                      <w:rFonts w:hint="eastAsia" w:cs="Times New Roman"/>
                      <w:b/>
                      <w:bCs/>
                      <w:color w:val="auto"/>
                      <w:sz w:val="21"/>
                      <w:szCs w:val="21"/>
                      <w:highlight w:val="none"/>
                    </w:rPr>
                    <w:t>[dB（A）]</w:t>
                  </w:r>
                </w:p>
              </w:tc>
              <w:tc>
                <w:tcPr>
                  <w:tcW w:w="761" w:type="pc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 w:val="21"/>
                      <w:szCs w:val="21"/>
                      <w:highlight w:val="none"/>
                    </w:rPr>
                  </w:pPr>
                  <w:r>
                    <w:rPr>
                      <w:rFonts w:hint="eastAsia" w:cs="Times New Roman"/>
                      <w:b/>
                      <w:bCs/>
                      <w:color w:val="auto"/>
                      <w:sz w:val="21"/>
                      <w:szCs w:val="21"/>
                      <w:highlight w:val="none"/>
                    </w:rPr>
                    <w:t>预测值</w:t>
                  </w:r>
                </w:p>
                <w:p>
                  <w:pPr>
                    <w:spacing w:line="240" w:lineRule="auto"/>
                    <w:ind w:firstLine="0" w:firstLineChars="0"/>
                    <w:jc w:val="center"/>
                    <w:rPr>
                      <w:rFonts w:cs="Times New Roman"/>
                      <w:b/>
                      <w:bCs/>
                      <w:color w:val="auto"/>
                      <w:sz w:val="21"/>
                      <w:szCs w:val="21"/>
                      <w:highlight w:val="none"/>
                    </w:rPr>
                  </w:pPr>
                  <w:r>
                    <w:rPr>
                      <w:rFonts w:hint="eastAsia" w:cs="Times New Roman"/>
                      <w:b/>
                      <w:bCs/>
                      <w:color w:val="auto"/>
                      <w:sz w:val="21"/>
                      <w:szCs w:val="21"/>
                      <w:highlight w:val="none"/>
                    </w:rPr>
                    <w:t>[dB（A）]</w:t>
                  </w:r>
                </w:p>
              </w:tc>
              <w:tc>
                <w:tcPr>
                  <w:tcW w:w="924" w:type="pc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 w:val="21"/>
                      <w:szCs w:val="21"/>
                      <w:highlight w:val="none"/>
                    </w:rPr>
                  </w:pPr>
                  <w:r>
                    <w:rPr>
                      <w:rFonts w:hint="eastAsia" w:cs="Times New Roman"/>
                      <w:b/>
                      <w:bCs/>
                      <w:color w:val="auto"/>
                      <w:sz w:val="21"/>
                      <w:szCs w:val="21"/>
                      <w:highlight w:val="none"/>
                    </w:rPr>
                    <w:t>标准值</w:t>
                  </w:r>
                </w:p>
                <w:p>
                  <w:pPr>
                    <w:spacing w:line="240" w:lineRule="auto"/>
                    <w:ind w:firstLine="0" w:firstLineChars="0"/>
                    <w:jc w:val="center"/>
                    <w:rPr>
                      <w:rFonts w:cs="Times New Roman"/>
                      <w:b/>
                      <w:bCs/>
                      <w:color w:val="auto"/>
                      <w:sz w:val="21"/>
                      <w:szCs w:val="21"/>
                      <w:highlight w:val="none"/>
                    </w:rPr>
                  </w:pPr>
                  <w:r>
                    <w:rPr>
                      <w:rFonts w:hint="eastAsia" w:eastAsia="仿宋" w:cs="Times New Roman"/>
                      <w:b/>
                      <w:bCs/>
                      <w:color w:val="auto"/>
                      <w:sz w:val="21"/>
                      <w:szCs w:val="21"/>
                      <w:highlight w:val="none"/>
                    </w:rPr>
                    <w:t>[</w:t>
                  </w:r>
                  <w:r>
                    <w:rPr>
                      <w:rFonts w:cs="Times New Roman"/>
                      <w:b/>
                      <w:bCs/>
                      <w:color w:val="auto"/>
                      <w:sz w:val="21"/>
                      <w:szCs w:val="21"/>
                      <w:highlight w:val="none"/>
                    </w:rPr>
                    <w:t>dB（A）</w:t>
                  </w:r>
                  <w:r>
                    <w:rPr>
                      <w:rFonts w:hint="eastAsia" w:eastAsia="仿宋" w:cs="Times New Roman"/>
                      <w:b/>
                      <w:bCs/>
                      <w:color w:val="auto"/>
                      <w:sz w:val="21"/>
                      <w:szCs w:val="21"/>
                      <w:highlight w:val="none"/>
                    </w:rPr>
                    <w:t>]</w:t>
                  </w:r>
                </w:p>
              </w:tc>
              <w:tc>
                <w:tcPr>
                  <w:tcW w:w="431" w:type="pct"/>
                  <w:vMerge w:val="restar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 w:val="21"/>
                      <w:szCs w:val="21"/>
                      <w:highlight w:val="none"/>
                    </w:rPr>
                  </w:pPr>
                  <w:r>
                    <w:rPr>
                      <w:rFonts w:hint="eastAsia" w:cs="Times New Roman"/>
                      <w:b/>
                      <w:bCs/>
                      <w:color w:val="auto"/>
                      <w:sz w:val="21"/>
                      <w:szCs w:val="21"/>
                      <w:highlight w:val="none"/>
                    </w:rPr>
                    <w:t>预测</w:t>
                  </w:r>
                  <w:r>
                    <w:rPr>
                      <w:rFonts w:cs="Times New Roman"/>
                      <w:b/>
                      <w:bCs/>
                      <w:color w:val="auto"/>
                      <w:sz w:val="21"/>
                      <w:szCs w:val="21"/>
                      <w:highlight w:val="none"/>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1" w:type="pct"/>
                  <w:vMerge w:val="continue"/>
                  <w:tcBorders>
                    <w:tl2br w:val="nil"/>
                    <w:tr2bl w:val="nil"/>
                  </w:tcBorders>
                  <w:vAlign w:val="center"/>
                </w:tcPr>
                <w:p>
                  <w:pPr>
                    <w:spacing w:line="240" w:lineRule="auto"/>
                    <w:ind w:firstLine="0" w:firstLineChars="0"/>
                    <w:jc w:val="center"/>
                    <w:rPr>
                      <w:rFonts w:cs="Times New Roman"/>
                      <w:color w:val="auto"/>
                      <w:sz w:val="21"/>
                      <w:szCs w:val="21"/>
                      <w:highlight w:val="none"/>
                    </w:rPr>
                  </w:pPr>
                </w:p>
              </w:tc>
              <w:tc>
                <w:tcPr>
                  <w:tcW w:w="959" w:type="pct"/>
                  <w:vMerge w:val="continue"/>
                  <w:tcBorders>
                    <w:tl2br w:val="nil"/>
                    <w:tr2bl w:val="nil"/>
                  </w:tcBorders>
                  <w:vAlign w:val="center"/>
                </w:tcPr>
                <w:p>
                  <w:pPr>
                    <w:spacing w:line="240" w:lineRule="auto"/>
                    <w:ind w:firstLine="0" w:firstLineChars="0"/>
                    <w:jc w:val="center"/>
                    <w:rPr>
                      <w:rFonts w:cs="Times New Roman"/>
                      <w:color w:val="auto"/>
                      <w:sz w:val="21"/>
                      <w:szCs w:val="21"/>
                      <w:highlight w:val="none"/>
                    </w:rPr>
                  </w:pPr>
                </w:p>
              </w:tc>
              <w:tc>
                <w:tcPr>
                  <w:tcW w:w="760" w:type="pct"/>
                  <w:tcBorders>
                    <w:tl2br w:val="nil"/>
                    <w:tr2bl w:val="nil"/>
                  </w:tcBorders>
                  <w:shd w:val="clear" w:color="000000" w:themeColor="text1" w:fill="auto"/>
                  <w:vAlign w:val="center"/>
                </w:tcPr>
                <w:p>
                  <w:pPr>
                    <w:pStyle w:val="73"/>
                    <w:snapToGrid w:val="0"/>
                    <w:spacing w:before="0" w:after="0" w:line="240" w:lineRule="auto"/>
                    <w:ind w:firstLine="0" w:firstLineChars="0"/>
                    <w:rPr>
                      <w:b/>
                      <w:bCs/>
                      <w:color w:val="auto"/>
                      <w:sz w:val="21"/>
                      <w:szCs w:val="21"/>
                      <w:highlight w:val="none"/>
                    </w:rPr>
                  </w:pPr>
                  <w:r>
                    <w:rPr>
                      <w:rFonts w:hint="eastAsia"/>
                      <w:b/>
                      <w:bCs/>
                      <w:color w:val="auto"/>
                      <w:sz w:val="21"/>
                      <w:szCs w:val="21"/>
                      <w:highlight w:val="none"/>
                    </w:rPr>
                    <w:t>昼间</w:t>
                  </w:r>
                </w:p>
              </w:tc>
              <w:tc>
                <w:tcPr>
                  <w:tcW w:w="760" w:type="pct"/>
                  <w:tcBorders>
                    <w:tl2br w:val="nil"/>
                    <w:tr2bl w:val="nil"/>
                  </w:tcBorders>
                  <w:shd w:val="clear" w:color="000000" w:themeColor="text1" w:fill="auto"/>
                  <w:vAlign w:val="center"/>
                </w:tcPr>
                <w:p>
                  <w:pPr>
                    <w:pStyle w:val="73"/>
                    <w:snapToGrid w:val="0"/>
                    <w:spacing w:before="0" w:after="0" w:line="240" w:lineRule="auto"/>
                    <w:ind w:firstLine="0" w:firstLineChars="0"/>
                    <w:rPr>
                      <w:b/>
                      <w:bCs/>
                      <w:color w:val="auto"/>
                      <w:sz w:val="21"/>
                      <w:szCs w:val="21"/>
                      <w:highlight w:val="none"/>
                    </w:rPr>
                  </w:pPr>
                  <w:r>
                    <w:rPr>
                      <w:rFonts w:hint="eastAsia"/>
                      <w:b/>
                      <w:bCs/>
                      <w:color w:val="auto"/>
                      <w:sz w:val="21"/>
                      <w:szCs w:val="21"/>
                      <w:highlight w:val="none"/>
                    </w:rPr>
                    <w:t>昼间</w:t>
                  </w:r>
                </w:p>
              </w:tc>
              <w:tc>
                <w:tcPr>
                  <w:tcW w:w="761" w:type="pct"/>
                  <w:tcBorders>
                    <w:tl2br w:val="nil"/>
                    <w:tr2bl w:val="nil"/>
                  </w:tcBorders>
                  <w:shd w:val="clear" w:color="000000" w:themeColor="text1" w:fill="auto"/>
                  <w:vAlign w:val="center"/>
                </w:tcPr>
                <w:p>
                  <w:pPr>
                    <w:pStyle w:val="73"/>
                    <w:snapToGrid w:val="0"/>
                    <w:spacing w:before="0" w:after="0" w:line="240" w:lineRule="auto"/>
                    <w:ind w:firstLine="0" w:firstLineChars="0"/>
                    <w:rPr>
                      <w:b/>
                      <w:bCs/>
                      <w:color w:val="auto"/>
                      <w:sz w:val="21"/>
                      <w:szCs w:val="21"/>
                      <w:highlight w:val="none"/>
                    </w:rPr>
                  </w:pPr>
                  <w:r>
                    <w:rPr>
                      <w:rFonts w:hint="eastAsia"/>
                      <w:b/>
                      <w:bCs/>
                      <w:color w:val="auto"/>
                      <w:sz w:val="21"/>
                      <w:szCs w:val="21"/>
                      <w:highlight w:val="none"/>
                    </w:rPr>
                    <w:t>昼间</w:t>
                  </w:r>
                </w:p>
              </w:tc>
              <w:tc>
                <w:tcPr>
                  <w:tcW w:w="924" w:type="pct"/>
                  <w:tcBorders>
                    <w:tl2br w:val="nil"/>
                    <w:tr2bl w:val="nil"/>
                  </w:tcBorders>
                  <w:shd w:val="clear" w:color="000000" w:themeColor="text1" w:fill="auto"/>
                  <w:vAlign w:val="center"/>
                </w:tcPr>
                <w:p>
                  <w:pPr>
                    <w:pStyle w:val="73"/>
                    <w:snapToGrid w:val="0"/>
                    <w:spacing w:before="0" w:after="0" w:line="240" w:lineRule="auto"/>
                    <w:ind w:firstLine="0" w:firstLineChars="0"/>
                    <w:rPr>
                      <w:b/>
                      <w:bCs/>
                      <w:color w:val="auto"/>
                      <w:sz w:val="21"/>
                      <w:szCs w:val="21"/>
                      <w:highlight w:val="none"/>
                    </w:rPr>
                  </w:pPr>
                  <w:r>
                    <w:rPr>
                      <w:rFonts w:hint="eastAsia"/>
                      <w:b/>
                      <w:bCs/>
                      <w:color w:val="auto"/>
                      <w:sz w:val="21"/>
                      <w:szCs w:val="21"/>
                      <w:highlight w:val="none"/>
                    </w:rPr>
                    <w:t>昼间</w:t>
                  </w:r>
                </w:p>
              </w:tc>
              <w:tc>
                <w:tcPr>
                  <w:tcW w:w="431" w:type="pct"/>
                  <w:vMerge w:val="continue"/>
                  <w:tcBorders>
                    <w:tl2br w:val="nil"/>
                    <w:tr2bl w:val="nil"/>
                  </w:tcBorders>
                  <w:vAlign w:val="center"/>
                </w:tcPr>
                <w:p>
                  <w:pPr>
                    <w:spacing w:line="240" w:lineRule="auto"/>
                    <w:ind w:firstLine="0" w:firstLineChars="0"/>
                    <w:jc w:val="center"/>
                    <w:rPr>
                      <w:rFonts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1" w:type="pct"/>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1</w:t>
                  </w:r>
                  <w:r>
                    <w:rPr>
                      <w:rFonts w:cs="Times New Roman"/>
                      <w:color w:val="auto"/>
                      <w:sz w:val="21"/>
                      <w:szCs w:val="21"/>
                      <w:highlight w:val="none"/>
                    </w:rPr>
                    <w:t>#</w:t>
                  </w:r>
                </w:p>
              </w:tc>
              <w:tc>
                <w:tcPr>
                  <w:tcW w:w="959" w:type="pct"/>
                  <w:tcBorders>
                    <w:tl2br w:val="nil"/>
                    <w:tr2bl w:val="nil"/>
                  </w:tcBorders>
                  <w:vAlign w:val="center"/>
                </w:tcPr>
                <w:p>
                  <w:pPr>
                    <w:adjustRightIn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项目</w:t>
                  </w:r>
                  <w:r>
                    <w:rPr>
                      <w:rFonts w:hint="eastAsia" w:cs="Times New Roman"/>
                      <w:color w:val="auto"/>
                      <w:sz w:val="21"/>
                      <w:szCs w:val="21"/>
                      <w:highlight w:val="none"/>
                    </w:rPr>
                    <w:t>北面</w:t>
                  </w:r>
                  <w:r>
                    <w:rPr>
                      <w:rFonts w:cs="Times New Roman"/>
                      <w:color w:val="auto"/>
                      <w:sz w:val="21"/>
                      <w:szCs w:val="21"/>
                      <w:highlight w:val="none"/>
                    </w:rPr>
                    <w:t>厂界</w:t>
                  </w:r>
                  <w:r>
                    <w:rPr>
                      <w:rFonts w:hint="eastAsia" w:cs="Times New Roman"/>
                      <w:color w:val="auto"/>
                      <w:sz w:val="21"/>
                      <w:szCs w:val="21"/>
                      <w:highlight w:val="none"/>
                    </w:rPr>
                    <w:t>外1m</w:t>
                  </w:r>
                </w:p>
              </w:tc>
              <w:tc>
                <w:tcPr>
                  <w:tcW w:w="760" w:type="pct"/>
                  <w:tcBorders>
                    <w:tl2br w:val="nil"/>
                    <w:tr2bl w:val="nil"/>
                  </w:tcBorders>
                  <w:vAlign w:val="center"/>
                </w:tcPr>
                <w:p>
                  <w:pPr>
                    <w:adjustRightInd w:val="0"/>
                    <w:spacing w:line="240" w:lineRule="auto"/>
                    <w:ind w:firstLine="0" w:firstLineChars="0"/>
                    <w:jc w:val="center"/>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52.51</w:t>
                  </w:r>
                </w:p>
              </w:tc>
              <w:tc>
                <w:tcPr>
                  <w:tcW w:w="760" w:type="pct"/>
                  <w:tcBorders>
                    <w:tl2br w:val="nil"/>
                    <w:tr2bl w:val="nil"/>
                  </w:tcBorders>
                  <w:vAlign w:val="center"/>
                </w:tcPr>
                <w:p>
                  <w:pPr>
                    <w:pStyle w:val="73"/>
                    <w:snapToGrid w:val="0"/>
                    <w:spacing w:before="0" w:after="0" w:line="240" w:lineRule="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761" w:type="pct"/>
                  <w:tcBorders>
                    <w:tl2br w:val="nil"/>
                    <w:tr2bl w:val="nil"/>
                  </w:tcBorders>
                  <w:vAlign w:val="center"/>
                </w:tcPr>
                <w:p>
                  <w:pPr>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52.51</w:t>
                  </w:r>
                </w:p>
              </w:tc>
              <w:tc>
                <w:tcPr>
                  <w:tcW w:w="924" w:type="pct"/>
                  <w:tcBorders>
                    <w:tl2br w:val="nil"/>
                    <w:tr2bl w:val="nil"/>
                  </w:tcBorders>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431" w:type="pct"/>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1" w:type="pct"/>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2</w:t>
                  </w:r>
                  <w:r>
                    <w:rPr>
                      <w:rFonts w:cs="Times New Roman"/>
                      <w:color w:val="auto"/>
                      <w:sz w:val="21"/>
                      <w:szCs w:val="21"/>
                      <w:highlight w:val="none"/>
                    </w:rPr>
                    <w:t>#</w:t>
                  </w:r>
                </w:p>
              </w:tc>
              <w:tc>
                <w:tcPr>
                  <w:tcW w:w="959" w:type="pct"/>
                  <w:tcBorders>
                    <w:tl2br w:val="nil"/>
                    <w:tr2bl w:val="nil"/>
                  </w:tcBorders>
                  <w:vAlign w:val="center"/>
                </w:tcPr>
                <w:p>
                  <w:pPr>
                    <w:adjustRightIn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项目</w:t>
                  </w:r>
                  <w:r>
                    <w:rPr>
                      <w:rFonts w:hint="eastAsia" w:cs="Times New Roman"/>
                      <w:color w:val="auto"/>
                      <w:sz w:val="21"/>
                      <w:szCs w:val="21"/>
                      <w:highlight w:val="none"/>
                    </w:rPr>
                    <w:t>东面</w:t>
                  </w:r>
                  <w:r>
                    <w:rPr>
                      <w:rFonts w:cs="Times New Roman"/>
                      <w:color w:val="auto"/>
                      <w:sz w:val="21"/>
                      <w:szCs w:val="21"/>
                      <w:highlight w:val="none"/>
                    </w:rPr>
                    <w:t>厂界</w:t>
                  </w:r>
                  <w:r>
                    <w:rPr>
                      <w:rFonts w:hint="eastAsia" w:cs="Times New Roman"/>
                      <w:color w:val="auto"/>
                      <w:sz w:val="21"/>
                      <w:szCs w:val="21"/>
                      <w:highlight w:val="none"/>
                    </w:rPr>
                    <w:t>外1m</w:t>
                  </w:r>
                </w:p>
              </w:tc>
              <w:tc>
                <w:tcPr>
                  <w:tcW w:w="760" w:type="pct"/>
                  <w:tcBorders>
                    <w:tl2br w:val="nil"/>
                    <w:tr2bl w:val="nil"/>
                  </w:tcBorders>
                  <w:vAlign w:val="center"/>
                </w:tcPr>
                <w:p>
                  <w:pPr>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58.25</w:t>
                  </w:r>
                </w:p>
              </w:tc>
              <w:tc>
                <w:tcPr>
                  <w:tcW w:w="760" w:type="pct"/>
                  <w:tcBorders>
                    <w:tl2br w:val="nil"/>
                    <w:tr2bl w:val="nil"/>
                  </w:tcBorders>
                  <w:vAlign w:val="center"/>
                </w:tcPr>
                <w:p>
                  <w:pPr>
                    <w:pStyle w:val="73"/>
                    <w:snapToGrid w:val="0"/>
                    <w:spacing w:before="0" w:after="0" w:line="240" w:lineRule="auto"/>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761" w:type="pct"/>
                  <w:tcBorders>
                    <w:tl2br w:val="nil"/>
                    <w:tr2bl w:val="nil"/>
                  </w:tcBorders>
                  <w:vAlign w:val="center"/>
                </w:tcPr>
                <w:p>
                  <w:pPr>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58.25</w:t>
                  </w:r>
                </w:p>
              </w:tc>
              <w:tc>
                <w:tcPr>
                  <w:tcW w:w="924" w:type="pct"/>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lang w:val="en-US" w:eastAsia="zh-CN"/>
                    </w:rPr>
                    <w:t>60</w:t>
                  </w:r>
                </w:p>
              </w:tc>
              <w:tc>
                <w:tcPr>
                  <w:tcW w:w="431" w:type="pct"/>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1" w:type="pct"/>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3#</w:t>
                  </w:r>
                </w:p>
              </w:tc>
              <w:tc>
                <w:tcPr>
                  <w:tcW w:w="959" w:type="pct"/>
                  <w:tcBorders>
                    <w:tl2br w:val="nil"/>
                    <w:tr2bl w:val="nil"/>
                  </w:tcBorders>
                  <w:vAlign w:val="center"/>
                </w:tcPr>
                <w:p>
                  <w:pPr>
                    <w:adjustRightIn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项目</w:t>
                  </w:r>
                  <w:r>
                    <w:rPr>
                      <w:rFonts w:hint="eastAsia" w:cs="Times New Roman"/>
                      <w:color w:val="auto"/>
                      <w:sz w:val="21"/>
                      <w:szCs w:val="21"/>
                      <w:highlight w:val="none"/>
                    </w:rPr>
                    <w:t>南面</w:t>
                  </w:r>
                  <w:r>
                    <w:rPr>
                      <w:rFonts w:cs="Times New Roman"/>
                      <w:color w:val="auto"/>
                      <w:sz w:val="21"/>
                      <w:szCs w:val="21"/>
                      <w:highlight w:val="none"/>
                    </w:rPr>
                    <w:t>厂界</w:t>
                  </w:r>
                  <w:r>
                    <w:rPr>
                      <w:rFonts w:hint="eastAsia" w:cs="Times New Roman"/>
                      <w:color w:val="auto"/>
                      <w:sz w:val="21"/>
                      <w:szCs w:val="21"/>
                      <w:highlight w:val="none"/>
                    </w:rPr>
                    <w:t>外1m</w:t>
                  </w:r>
                </w:p>
              </w:tc>
              <w:tc>
                <w:tcPr>
                  <w:tcW w:w="760" w:type="pct"/>
                  <w:tcBorders>
                    <w:tl2br w:val="nil"/>
                    <w:tr2bl w:val="nil"/>
                  </w:tcBorders>
                  <w:vAlign w:val="center"/>
                </w:tcPr>
                <w:p>
                  <w:pPr>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56.77</w:t>
                  </w:r>
                </w:p>
              </w:tc>
              <w:tc>
                <w:tcPr>
                  <w:tcW w:w="760" w:type="pct"/>
                  <w:tcBorders>
                    <w:tl2br w:val="nil"/>
                    <w:tr2bl w:val="nil"/>
                  </w:tcBorders>
                  <w:vAlign w:val="center"/>
                </w:tcPr>
                <w:p>
                  <w:pPr>
                    <w:pStyle w:val="73"/>
                    <w:snapToGrid w:val="0"/>
                    <w:spacing w:before="0" w:after="0" w:line="240" w:lineRule="auto"/>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761" w:type="pct"/>
                  <w:tcBorders>
                    <w:tl2br w:val="nil"/>
                    <w:tr2bl w:val="nil"/>
                  </w:tcBorders>
                  <w:vAlign w:val="center"/>
                </w:tcPr>
                <w:p>
                  <w:pPr>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56.77</w:t>
                  </w:r>
                </w:p>
              </w:tc>
              <w:tc>
                <w:tcPr>
                  <w:tcW w:w="924" w:type="pct"/>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lang w:val="en-US" w:eastAsia="zh-CN"/>
                    </w:rPr>
                    <w:t>60</w:t>
                  </w:r>
                </w:p>
              </w:tc>
              <w:tc>
                <w:tcPr>
                  <w:tcW w:w="431" w:type="pct"/>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1" w:type="pct"/>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4</w:t>
                  </w:r>
                  <w:r>
                    <w:rPr>
                      <w:rFonts w:cs="Times New Roman"/>
                      <w:color w:val="auto"/>
                      <w:sz w:val="21"/>
                      <w:szCs w:val="21"/>
                      <w:highlight w:val="none"/>
                    </w:rPr>
                    <w:t>#</w:t>
                  </w:r>
                </w:p>
              </w:tc>
              <w:tc>
                <w:tcPr>
                  <w:tcW w:w="959" w:type="pct"/>
                  <w:tcBorders>
                    <w:tl2br w:val="nil"/>
                    <w:tr2bl w:val="nil"/>
                  </w:tcBorders>
                  <w:vAlign w:val="center"/>
                </w:tcPr>
                <w:p>
                  <w:pPr>
                    <w:adjustRightIn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项目</w:t>
                  </w:r>
                  <w:r>
                    <w:rPr>
                      <w:rFonts w:hint="eastAsia" w:cs="Times New Roman"/>
                      <w:color w:val="auto"/>
                      <w:sz w:val="21"/>
                      <w:szCs w:val="21"/>
                      <w:highlight w:val="none"/>
                    </w:rPr>
                    <w:t>西面</w:t>
                  </w:r>
                  <w:r>
                    <w:rPr>
                      <w:rFonts w:cs="Times New Roman"/>
                      <w:color w:val="auto"/>
                      <w:sz w:val="21"/>
                      <w:szCs w:val="21"/>
                      <w:highlight w:val="none"/>
                    </w:rPr>
                    <w:t>厂界</w:t>
                  </w:r>
                  <w:r>
                    <w:rPr>
                      <w:rFonts w:hint="eastAsia" w:cs="Times New Roman"/>
                      <w:color w:val="auto"/>
                      <w:sz w:val="21"/>
                      <w:szCs w:val="21"/>
                      <w:highlight w:val="none"/>
                    </w:rPr>
                    <w:t>外1m</w:t>
                  </w:r>
                </w:p>
              </w:tc>
              <w:tc>
                <w:tcPr>
                  <w:tcW w:w="760" w:type="pct"/>
                  <w:tcBorders>
                    <w:tl2br w:val="nil"/>
                    <w:tr2bl w:val="nil"/>
                  </w:tcBorders>
                  <w:vAlign w:val="center"/>
                </w:tcPr>
                <w:p>
                  <w:pPr>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45.58</w:t>
                  </w:r>
                </w:p>
              </w:tc>
              <w:tc>
                <w:tcPr>
                  <w:tcW w:w="760" w:type="pct"/>
                  <w:tcBorders>
                    <w:tl2br w:val="nil"/>
                    <w:tr2bl w:val="nil"/>
                  </w:tcBorders>
                  <w:vAlign w:val="center"/>
                </w:tcPr>
                <w:p>
                  <w:pPr>
                    <w:pStyle w:val="73"/>
                    <w:snapToGrid w:val="0"/>
                    <w:spacing w:before="0" w:after="0" w:line="240" w:lineRule="auto"/>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761" w:type="pct"/>
                  <w:tcBorders>
                    <w:tl2br w:val="nil"/>
                    <w:tr2bl w:val="nil"/>
                  </w:tcBorders>
                  <w:vAlign w:val="center"/>
                </w:tcPr>
                <w:p>
                  <w:pPr>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45.58</w:t>
                  </w:r>
                </w:p>
              </w:tc>
              <w:tc>
                <w:tcPr>
                  <w:tcW w:w="924" w:type="pct"/>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lang w:val="en-US" w:eastAsia="zh-CN"/>
                    </w:rPr>
                    <w:t>60</w:t>
                  </w:r>
                </w:p>
              </w:tc>
              <w:tc>
                <w:tcPr>
                  <w:tcW w:w="431" w:type="pct"/>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达标</w:t>
                  </w:r>
                </w:p>
              </w:tc>
            </w:tr>
          </w:tbl>
          <w:p>
            <w:pPr>
              <w:spacing w:line="360" w:lineRule="auto"/>
              <w:jc w:val="center"/>
              <w:rPr>
                <w:rFonts w:hint="eastAsia"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表4-</w:t>
            </w:r>
            <w:r>
              <w:rPr>
                <w:rFonts w:hint="eastAsia"/>
                <w:b/>
                <w:bCs/>
                <w:color w:val="auto"/>
                <w:sz w:val="24"/>
                <w:szCs w:val="24"/>
                <w:highlight w:val="none"/>
                <w:lang w:val="en-US" w:eastAsia="zh-CN"/>
              </w:rPr>
              <w:t>13</w:t>
            </w:r>
            <w:r>
              <w:rPr>
                <w:rFonts w:hint="eastAsia" w:ascii="Times New Roman" w:hAnsi="Times New Roman" w:eastAsia="宋体"/>
                <w:b/>
                <w:bCs/>
                <w:color w:val="auto"/>
                <w:sz w:val="24"/>
                <w:szCs w:val="24"/>
                <w:highlight w:val="none"/>
              </w:rPr>
              <w:t xml:space="preserve"> 工业企业声环境保护目标噪声预测结果</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651"/>
              <w:gridCol w:w="1308"/>
              <w:gridCol w:w="1308"/>
              <w:gridCol w:w="1310"/>
              <w:gridCol w:w="1591"/>
              <w:gridCol w:w="7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01" w:type="pct"/>
                  <w:vMerge w:val="restar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 w:val="21"/>
                      <w:szCs w:val="21"/>
                      <w:highlight w:val="none"/>
                    </w:rPr>
                  </w:pPr>
                  <w:r>
                    <w:rPr>
                      <w:rFonts w:hint="eastAsia" w:cs="Times New Roman"/>
                      <w:b/>
                      <w:bCs/>
                      <w:color w:val="auto"/>
                      <w:sz w:val="21"/>
                      <w:szCs w:val="21"/>
                      <w:highlight w:val="none"/>
                    </w:rPr>
                    <w:t>编号</w:t>
                  </w:r>
                </w:p>
              </w:tc>
              <w:tc>
                <w:tcPr>
                  <w:tcW w:w="959" w:type="pct"/>
                  <w:vMerge w:val="restar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 w:val="21"/>
                      <w:szCs w:val="21"/>
                      <w:highlight w:val="none"/>
                    </w:rPr>
                  </w:pPr>
                  <w:r>
                    <w:rPr>
                      <w:rFonts w:hint="eastAsia" w:cs="Times New Roman"/>
                      <w:b/>
                      <w:bCs/>
                      <w:color w:val="auto"/>
                      <w:sz w:val="21"/>
                      <w:szCs w:val="21"/>
                      <w:highlight w:val="none"/>
                    </w:rPr>
                    <w:t>预测点位置</w:t>
                  </w:r>
                </w:p>
              </w:tc>
              <w:tc>
                <w:tcPr>
                  <w:tcW w:w="760" w:type="pc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 w:val="21"/>
                      <w:szCs w:val="21"/>
                      <w:highlight w:val="none"/>
                    </w:rPr>
                  </w:pPr>
                  <w:r>
                    <w:rPr>
                      <w:rFonts w:hint="eastAsia" w:cs="Times New Roman"/>
                      <w:b/>
                      <w:bCs/>
                      <w:color w:val="auto"/>
                      <w:sz w:val="21"/>
                      <w:szCs w:val="21"/>
                      <w:highlight w:val="none"/>
                    </w:rPr>
                    <w:t>贡献值</w:t>
                  </w:r>
                </w:p>
                <w:p>
                  <w:pPr>
                    <w:spacing w:line="240" w:lineRule="auto"/>
                    <w:ind w:firstLine="0" w:firstLineChars="0"/>
                    <w:jc w:val="center"/>
                    <w:rPr>
                      <w:rFonts w:cs="Times New Roman"/>
                      <w:b/>
                      <w:bCs/>
                      <w:color w:val="auto"/>
                      <w:sz w:val="21"/>
                      <w:szCs w:val="21"/>
                      <w:highlight w:val="none"/>
                    </w:rPr>
                  </w:pPr>
                  <w:r>
                    <w:rPr>
                      <w:rFonts w:hint="eastAsia" w:cs="Times New Roman"/>
                      <w:b/>
                      <w:bCs/>
                      <w:color w:val="auto"/>
                      <w:sz w:val="21"/>
                      <w:szCs w:val="21"/>
                      <w:highlight w:val="none"/>
                    </w:rPr>
                    <w:t>[dB（A）]</w:t>
                  </w:r>
                </w:p>
              </w:tc>
              <w:tc>
                <w:tcPr>
                  <w:tcW w:w="760" w:type="pc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 w:val="21"/>
                      <w:szCs w:val="21"/>
                      <w:highlight w:val="none"/>
                    </w:rPr>
                  </w:pPr>
                  <w:r>
                    <w:rPr>
                      <w:rFonts w:hint="eastAsia" w:cs="Times New Roman"/>
                      <w:b/>
                      <w:bCs/>
                      <w:color w:val="auto"/>
                      <w:sz w:val="21"/>
                      <w:szCs w:val="21"/>
                      <w:highlight w:val="none"/>
                    </w:rPr>
                    <w:t>背景值</w:t>
                  </w:r>
                </w:p>
                <w:p>
                  <w:pPr>
                    <w:spacing w:line="240" w:lineRule="auto"/>
                    <w:ind w:firstLine="0" w:firstLineChars="0"/>
                    <w:jc w:val="center"/>
                    <w:rPr>
                      <w:rFonts w:cs="Times New Roman"/>
                      <w:b/>
                      <w:bCs/>
                      <w:color w:val="auto"/>
                      <w:sz w:val="21"/>
                      <w:szCs w:val="21"/>
                      <w:highlight w:val="none"/>
                    </w:rPr>
                  </w:pPr>
                  <w:r>
                    <w:rPr>
                      <w:rFonts w:hint="eastAsia" w:cs="Times New Roman"/>
                      <w:b/>
                      <w:bCs/>
                      <w:color w:val="auto"/>
                      <w:sz w:val="21"/>
                      <w:szCs w:val="21"/>
                      <w:highlight w:val="none"/>
                    </w:rPr>
                    <w:t>[dB（A）]</w:t>
                  </w:r>
                </w:p>
              </w:tc>
              <w:tc>
                <w:tcPr>
                  <w:tcW w:w="761" w:type="pc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 w:val="21"/>
                      <w:szCs w:val="21"/>
                      <w:highlight w:val="none"/>
                    </w:rPr>
                  </w:pPr>
                  <w:r>
                    <w:rPr>
                      <w:rFonts w:hint="eastAsia" w:cs="Times New Roman"/>
                      <w:b/>
                      <w:bCs/>
                      <w:color w:val="auto"/>
                      <w:sz w:val="21"/>
                      <w:szCs w:val="21"/>
                      <w:highlight w:val="none"/>
                    </w:rPr>
                    <w:t>预测值</w:t>
                  </w:r>
                </w:p>
                <w:p>
                  <w:pPr>
                    <w:spacing w:line="240" w:lineRule="auto"/>
                    <w:ind w:firstLine="0" w:firstLineChars="0"/>
                    <w:jc w:val="center"/>
                    <w:rPr>
                      <w:rFonts w:cs="Times New Roman"/>
                      <w:b/>
                      <w:bCs/>
                      <w:color w:val="auto"/>
                      <w:sz w:val="21"/>
                      <w:szCs w:val="21"/>
                      <w:highlight w:val="none"/>
                    </w:rPr>
                  </w:pPr>
                  <w:r>
                    <w:rPr>
                      <w:rFonts w:hint="eastAsia" w:cs="Times New Roman"/>
                      <w:b/>
                      <w:bCs/>
                      <w:color w:val="auto"/>
                      <w:sz w:val="21"/>
                      <w:szCs w:val="21"/>
                      <w:highlight w:val="none"/>
                    </w:rPr>
                    <w:t>[dB（A）]</w:t>
                  </w:r>
                </w:p>
              </w:tc>
              <w:tc>
                <w:tcPr>
                  <w:tcW w:w="924" w:type="pc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 w:val="21"/>
                      <w:szCs w:val="21"/>
                      <w:highlight w:val="none"/>
                    </w:rPr>
                  </w:pPr>
                  <w:r>
                    <w:rPr>
                      <w:rFonts w:hint="eastAsia" w:cs="Times New Roman"/>
                      <w:b/>
                      <w:bCs/>
                      <w:color w:val="auto"/>
                      <w:sz w:val="21"/>
                      <w:szCs w:val="21"/>
                      <w:highlight w:val="none"/>
                    </w:rPr>
                    <w:t>标准值</w:t>
                  </w:r>
                </w:p>
                <w:p>
                  <w:pPr>
                    <w:spacing w:line="240" w:lineRule="auto"/>
                    <w:ind w:firstLine="0" w:firstLineChars="0"/>
                    <w:jc w:val="center"/>
                    <w:rPr>
                      <w:rFonts w:cs="Times New Roman"/>
                      <w:b/>
                      <w:bCs/>
                      <w:color w:val="auto"/>
                      <w:sz w:val="21"/>
                      <w:szCs w:val="21"/>
                      <w:highlight w:val="none"/>
                    </w:rPr>
                  </w:pPr>
                  <w:r>
                    <w:rPr>
                      <w:rFonts w:hint="eastAsia" w:eastAsia="仿宋" w:cs="Times New Roman"/>
                      <w:b/>
                      <w:bCs/>
                      <w:color w:val="auto"/>
                      <w:sz w:val="21"/>
                      <w:szCs w:val="21"/>
                      <w:highlight w:val="none"/>
                    </w:rPr>
                    <w:t>[</w:t>
                  </w:r>
                  <w:r>
                    <w:rPr>
                      <w:rFonts w:cs="Times New Roman"/>
                      <w:b/>
                      <w:bCs/>
                      <w:color w:val="auto"/>
                      <w:sz w:val="21"/>
                      <w:szCs w:val="21"/>
                      <w:highlight w:val="none"/>
                    </w:rPr>
                    <w:t>dB（A）</w:t>
                  </w:r>
                  <w:r>
                    <w:rPr>
                      <w:rFonts w:hint="eastAsia" w:eastAsia="仿宋" w:cs="Times New Roman"/>
                      <w:b/>
                      <w:bCs/>
                      <w:color w:val="auto"/>
                      <w:sz w:val="21"/>
                      <w:szCs w:val="21"/>
                      <w:highlight w:val="none"/>
                    </w:rPr>
                    <w:t>]</w:t>
                  </w:r>
                </w:p>
              </w:tc>
              <w:tc>
                <w:tcPr>
                  <w:tcW w:w="431" w:type="pct"/>
                  <w:vMerge w:val="restart"/>
                  <w:tcBorders>
                    <w:tl2br w:val="nil"/>
                    <w:tr2bl w:val="nil"/>
                  </w:tcBorders>
                  <w:shd w:val="clear" w:color="000000" w:themeColor="text1" w:fill="auto"/>
                  <w:vAlign w:val="center"/>
                </w:tcPr>
                <w:p>
                  <w:pPr>
                    <w:spacing w:line="240" w:lineRule="auto"/>
                    <w:ind w:firstLine="0" w:firstLineChars="0"/>
                    <w:jc w:val="center"/>
                    <w:rPr>
                      <w:rFonts w:cs="Times New Roman"/>
                      <w:b/>
                      <w:bCs/>
                      <w:color w:val="auto"/>
                      <w:sz w:val="21"/>
                      <w:szCs w:val="21"/>
                      <w:highlight w:val="none"/>
                    </w:rPr>
                  </w:pPr>
                  <w:r>
                    <w:rPr>
                      <w:rFonts w:hint="eastAsia" w:cs="Times New Roman"/>
                      <w:b/>
                      <w:bCs/>
                      <w:color w:val="auto"/>
                      <w:sz w:val="21"/>
                      <w:szCs w:val="21"/>
                      <w:highlight w:val="none"/>
                    </w:rPr>
                    <w:t>预测</w:t>
                  </w:r>
                  <w:r>
                    <w:rPr>
                      <w:rFonts w:cs="Times New Roman"/>
                      <w:b/>
                      <w:bCs/>
                      <w:color w:val="auto"/>
                      <w:sz w:val="21"/>
                      <w:szCs w:val="21"/>
                      <w:highlight w:val="none"/>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vMerge w:val="continue"/>
                  <w:tcBorders>
                    <w:tl2br w:val="nil"/>
                    <w:tr2bl w:val="nil"/>
                  </w:tcBorders>
                  <w:vAlign w:val="center"/>
                </w:tcPr>
                <w:p>
                  <w:pPr>
                    <w:spacing w:line="240" w:lineRule="auto"/>
                    <w:ind w:firstLine="0" w:firstLineChars="0"/>
                    <w:jc w:val="center"/>
                    <w:rPr>
                      <w:rFonts w:cs="Times New Roman"/>
                      <w:color w:val="auto"/>
                      <w:sz w:val="21"/>
                      <w:szCs w:val="21"/>
                      <w:highlight w:val="none"/>
                    </w:rPr>
                  </w:pPr>
                </w:p>
              </w:tc>
              <w:tc>
                <w:tcPr>
                  <w:tcW w:w="959" w:type="pct"/>
                  <w:vMerge w:val="continue"/>
                  <w:tcBorders>
                    <w:tl2br w:val="nil"/>
                    <w:tr2bl w:val="nil"/>
                  </w:tcBorders>
                  <w:vAlign w:val="center"/>
                </w:tcPr>
                <w:p>
                  <w:pPr>
                    <w:spacing w:line="240" w:lineRule="auto"/>
                    <w:ind w:firstLine="0" w:firstLineChars="0"/>
                    <w:jc w:val="center"/>
                    <w:rPr>
                      <w:rFonts w:cs="Times New Roman"/>
                      <w:color w:val="auto"/>
                      <w:sz w:val="21"/>
                      <w:szCs w:val="21"/>
                      <w:highlight w:val="none"/>
                    </w:rPr>
                  </w:pPr>
                </w:p>
              </w:tc>
              <w:tc>
                <w:tcPr>
                  <w:tcW w:w="760" w:type="pct"/>
                  <w:tcBorders>
                    <w:tl2br w:val="nil"/>
                    <w:tr2bl w:val="nil"/>
                  </w:tcBorders>
                  <w:shd w:val="clear" w:color="000000" w:themeColor="text1" w:fill="auto"/>
                  <w:vAlign w:val="center"/>
                </w:tcPr>
                <w:p>
                  <w:pPr>
                    <w:pStyle w:val="73"/>
                    <w:snapToGrid w:val="0"/>
                    <w:spacing w:before="0" w:after="0" w:line="240" w:lineRule="auto"/>
                    <w:ind w:firstLine="0" w:firstLineChars="0"/>
                    <w:rPr>
                      <w:b/>
                      <w:bCs/>
                      <w:color w:val="auto"/>
                      <w:sz w:val="21"/>
                      <w:szCs w:val="21"/>
                      <w:highlight w:val="none"/>
                    </w:rPr>
                  </w:pPr>
                  <w:r>
                    <w:rPr>
                      <w:rFonts w:hint="eastAsia"/>
                      <w:b/>
                      <w:bCs/>
                      <w:color w:val="auto"/>
                      <w:sz w:val="21"/>
                      <w:szCs w:val="21"/>
                      <w:highlight w:val="none"/>
                    </w:rPr>
                    <w:t>昼间</w:t>
                  </w:r>
                </w:p>
              </w:tc>
              <w:tc>
                <w:tcPr>
                  <w:tcW w:w="760" w:type="pct"/>
                  <w:tcBorders>
                    <w:tl2br w:val="nil"/>
                    <w:tr2bl w:val="nil"/>
                  </w:tcBorders>
                  <w:shd w:val="clear" w:color="000000" w:themeColor="text1" w:fill="auto"/>
                  <w:vAlign w:val="center"/>
                </w:tcPr>
                <w:p>
                  <w:pPr>
                    <w:pStyle w:val="73"/>
                    <w:snapToGrid w:val="0"/>
                    <w:spacing w:before="0" w:after="0" w:line="240" w:lineRule="auto"/>
                    <w:ind w:firstLine="0" w:firstLineChars="0"/>
                    <w:rPr>
                      <w:b/>
                      <w:bCs/>
                      <w:color w:val="auto"/>
                      <w:sz w:val="21"/>
                      <w:szCs w:val="21"/>
                      <w:highlight w:val="none"/>
                    </w:rPr>
                  </w:pPr>
                  <w:r>
                    <w:rPr>
                      <w:rFonts w:hint="eastAsia"/>
                      <w:b/>
                      <w:bCs/>
                      <w:color w:val="auto"/>
                      <w:sz w:val="21"/>
                      <w:szCs w:val="21"/>
                      <w:highlight w:val="none"/>
                    </w:rPr>
                    <w:t>昼间</w:t>
                  </w:r>
                </w:p>
              </w:tc>
              <w:tc>
                <w:tcPr>
                  <w:tcW w:w="761" w:type="pct"/>
                  <w:tcBorders>
                    <w:tl2br w:val="nil"/>
                    <w:tr2bl w:val="nil"/>
                  </w:tcBorders>
                  <w:shd w:val="clear" w:color="000000" w:themeColor="text1" w:fill="auto"/>
                  <w:vAlign w:val="center"/>
                </w:tcPr>
                <w:p>
                  <w:pPr>
                    <w:pStyle w:val="73"/>
                    <w:snapToGrid w:val="0"/>
                    <w:spacing w:before="0" w:after="0" w:line="240" w:lineRule="auto"/>
                    <w:ind w:firstLine="0" w:firstLineChars="0"/>
                    <w:rPr>
                      <w:b/>
                      <w:bCs/>
                      <w:color w:val="auto"/>
                      <w:sz w:val="21"/>
                      <w:szCs w:val="21"/>
                      <w:highlight w:val="none"/>
                    </w:rPr>
                  </w:pPr>
                  <w:r>
                    <w:rPr>
                      <w:rFonts w:hint="eastAsia"/>
                      <w:b/>
                      <w:bCs/>
                      <w:color w:val="auto"/>
                      <w:sz w:val="21"/>
                      <w:szCs w:val="21"/>
                      <w:highlight w:val="none"/>
                    </w:rPr>
                    <w:t>昼间</w:t>
                  </w:r>
                </w:p>
              </w:tc>
              <w:tc>
                <w:tcPr>
                  <w:tcW w:w="924" w:type="pct"/>
                  <w:tcBorders>
                    <w:tl2br w:val="nil"/>
                    <w:tr2bl w:val="nil"/>
                  </w:tcBorders>
                  <w:shd w:val="clear" w:color="000000" w:themeColor="text1" w:fill="auto"/>
                  <w:vAlign w:val="center"/>
                </w:tcPr>
                <w:p>
                  <w:pPr>
                    <w:pStyle w:val="73"/>
                    <w:snapToGrid w:val="0"/>
                    <w:spacing w:before="0" w:after="0" w:line="240" w:lineRule="auto"/>
                    <w:ind w:firstLine="0" w:firstLineChars="0"/>
                    <w:rPr>
                      <w:b/>
                      <w:bCs/>
                      <w:color w:val="auto"/>
                      <w:sz w:val="21"/>
                      <w:szCs w:val="21"/>
                      <w:highlight w:val="none"/>
                    </w:rPr>
                  </w:pPr>
                  <w:r>
                    <w:rPr>
                      <w:rFonts w:hint="eastAsia"/>
                      <w:b/>
                      <w:bCs/>
                      <w:color w:val="auto"/>
                      <w:sz w:val="21"/>
                      <w:szCs w:val="21"/>
                      <w:highlight w:val="none"/>
                    </w:rPr>
                    <w:t>昼间</w:t>
                  </w:r>
                </w:p>
              </w:tc>
              <w:tc>
                <w:tcPr>
                  <w:tcW w:w="431" w:type="pct"/>
                  <w:vMerge w:val="continue"/>
                  <w:tcBorders>
                    <w:tl2br w:val="nil"/>
                    <w:tr2bl w:val="nil"/>
                  </w:tcBorders>
                  <w:vAlign w:val="center"/>
                </w:tcPr>
                <w:p>
                  <w:pPr>
                    <w:spacing w:line="240" w:lineRule="auto"/>
                    <w:ind w:firstLine="0" w:firstLineChars="0"/>
                    <w:jc w:val="center"/>
                    <w:rPr>
                      <w:rFonts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959" w:type="pct"/>
                  <w:tcBorders>
                    <w:tl2br w:val="nil"/>
                    <w:tr2bl w:val="nil"/>
                  </w:tcBorders>
                  <w:vAlign w:val="center"/>
                </w:tcPr>
                <w:p>
                  <w:pPr>
                    <w:adjustRightInd w:val="0"/>
                    <w:spacing w:line="240" w:lineRule="auto"/>
                    <w:ind w:firstLine="0" w:firstLineChars="0"/>
                    <w:jc w:val="center"/>
                    <w:rPr>
                      <w:rFonts w:cs="Times New Roman"/>
                      <w:color w:val="auto"/>
                      <w:sz w:val="21"/>
                      <w:szCs w:val="21"/>
                      <w:highlight w:val="none"/>
                    </w:rPr>
                  </w:pPr>
                  <w:r>
                    <w:rPr>
                      <w:rFonts w:hint="eastAsia" w:ascii="Times New Roman" w:hAnsi="Times New Roman" w:eastAsia="宋体" w:cs="Times New Roman"/>
                      <w:color w:val="auto"/>
                      <w:kern w:val="2"/>
                      <w:sz w:val="21"/>
                      <w:szCs w:val="21"/>
                      <w:lang w:val="en-US" w:eastAsia="zh-CN" w:bidi="ar-SA"/>
                    </w:rPr>
                    <w:t>项目南侧居民处（约30m）</w:t>
                  </w:r>
                </w:p>
              </w:tc>
              <w:tc>
                <w:tcPr>
                  <w:tcW w:w="760" w:type="pct"/>
                  <w:tcBorders>
                    <w:tl2br w:val="nil"/>
                    <w:tr2bl w:val="nil"/>
                  </w:tcBorders>
                  <w:vAlign w:val="center"/>
                </w:tcPr>
                <w:p>
                  <w:pPr>
                    <w:adjustRightInd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48.64</w:t>
                  </w:r>
                </w:p>
              </w:tc>
              <w:tc>
                <w:tcPr>
                  <w:tcW w:w="760" w:type="pct"/>
                  <w:tcBorders>
                    <w:tl2br w:val="nil"/>
                    <w:tr2bl w:val="nil"/>
                  </w:tcBorders>
                  <w:vAlign w:val="center"/>
                </w:tcPr>
                <w:p>
                  <w:pPr>
                    <w:pStyle w:val="73"/>
                    <w:snapToGrid w:val="0"/>
                    <w:spacing w:before="0" w:after="0" w:line="240" w:lineRule="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52</w:t>
                  </w:r>
                </w:p>
              </w:tc>
              <w:tc>
                <w:tcPr>
                  <w:tcW w:w="761" w:type="pct"/>
                  <w:tcBorders>
                    <w:tl2br w:val="nil"/>
                    <w:tr2bl w:val="nil"/>
                  </w:tcBorders>
                  <w:vAlign w:val="center"/>
                </w:tcPr>
                <w:p>
                  <w:pPr>
                    <w:adjustRightInd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53.65</w:t>
                  </w:r>
                </w:p>
              </w:tc>
              <w:tc>
                <w:tcPr>
                  <w:tcW w:w="924"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60</w:t>
                  </w:r>
                </w:p>
              </w:tc>
              <w:tc>
                <w:tcPr>
                  <w:tcW w:w="431"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达标</w:t>
                  </w:r>
                </w:p>
              </w:tc>
            </w:tr>
          </w:tbl>
          <w:p>
            <w:pPr>
              <w:spacing w:line="360" w:lineRule="auto"/>
              <w:ind w:firstLine="480" w:firstLineChars="200"/>
              <w:rPr>
                <w:color w:val="auto"/>
                <w:sz w:val="24"/>
                <w:szCs w:val="24"/>
                <w:highlight w:val="none"/>
              </w:rPr>
            </w:pPr>
            <w:r>
              <w:rPr>
                <w:rFonts w:hint="eastAsia"/>
                <w:color w:val="auto"/>
                <w:sz w:val="24"/>
                <w:szCs w:val="24"/>
                <w:highlight w:val="none"/>
              </w:rPr>
              <w:t>由预测结果可知，营运期</w:t>
            </w:r>
            <w:r>
              <w:rPr>
                <w:rFonts w:hint="eastAsia"/>
                <w:color w:val="auto"/>
                <w:sz w:val="24"/>
                <w:szCs w:val="24"/>
                <w:highlight w:val="none"/>
                <w:lang w:val="en-US" w:eastAsia="zh-CN"/>
              </w:rPr>
              <w:t>昼间</w:t>
            </w:r>
            <w:r>
              <w:rPr>
                <w:rFonts w:hint="eastAsia"/>
                <w:color w:val="auto"/>
                <w:sz w:val="24"/>
                <w:szCs w:val="24"/>
                <w:highlight w:val="none"/>
              </w:rPr>
              <w:t>厂界四周预测点噪声排放值均满足《工业企业厂界环境噪声排放标准》（GB12348-2008）</w:t>
            </w:r>
            <w:r>
              <w:rPr>
                <w:rFonts w:hint="eastAsia"/>
                <w:color w:val="auto"/>
                <w:sz w:val="24"/>
                <w:szCs w:val="24"/>
                <w:highlight w:val="none"/>
                <w:lang w:val="en-US" w:eastAsia="zh-CN"/>
              </w:rPr>
              <w:t>2</w:t>
            </w:r>
            <w:r>
              <w:rPr>
                <w:rFonts w:hint="eastAsia"/>
                <w:color w:val="auto"/>
                <w:sz w:val="24"/>
                <w:szCs w:val="24"/>
                <w:highlight w:val="none"/>
              </w:rPr>
              <w:t>类标准</w:t>
            </w:r>
            <w:r>
              <w:rPr>
                <w:rFonts w:hint="eastAsia"/>
                <w:color w:val="auto"/>
                <w:sz w:val="24"/>
                <w:szCs w:val="24"/>
                <w:highlight w:val="none"/>
                <w:lang w:eastAsia="zh-CN"/>
              </w:rPr>
              <w:t>，</w:t>
            </w:r>
            <w:r>
              <w:rPr>
                <w:rFonts w:hint="eastAsia"/>
                <w:color w:val="auto"/>
                <w:sz w:val="24"/>
                <w:szCs w:val="24"/>
                <w:highlight w:val="none"/>
              </w:rPr>
              <w:t>可实现达标排放</w:t>
            </w:r>
            <w:r>
              <w:rPr>
                <w:rFonts w:hint="eastAsia"/>
                <w:color w:val="auto"/>
                <w:sz w:val="24"/>
                <w:szCs w:val="24"/>
                <w:highlight w:val="none"/>
                <w:lang w:eastAsia="zh-CN"/>
              </w:rPr>
              <w:t>；</w:t>
            </w:r>
            <w:r>
              <w:rPr>
                <w:rFonts w:hint="eastAsia"/>
                <w:color w:val="auto"/>
                <w:sz w:val="24"/>
                <w:szCs w:val="24"/>
                <w:highlight w:val="none"/>
                <w:lang w:val="en-US" w:eastAsia="zh-CN"/>
              </w:rPr>
              <w:t>敏感点</w:t>
            </w:r>
            <w:r>
              <w:rPr>
                <w:rFonts w:hint="eastAsia"/>
                <w:color w:val="auto"/>
                <w:sz w:val="24"/>
                <w:szCs w:val="24"/>
                <w:highlight w:val="none"/>
              </w:rPr>
              <w:t>噪声</w:t>
            </w:r>
            <w:r>
              <w:rPr>
                <w:rFonts w:hint="eastAsia" w:ascii="Times New Roman" w:hAnsi="Times New Roman"/>
                <w:color w:val="auto"/>
                <w:sz w:val="24"/>
                <w:szCs w:val="24"/>
                <w:highlight w:val="none"/>
              </w:rPr>
              <w:t>满足《环境空气质量标准》（GB3095-2012）二级标准限值</w:t>
            </w:r>
            <w:r>
              <w:rPr>
                <w:rFonts w:hint="eastAsia"/>
                <w:color w:val="auto"/>
                <w:sz w:val="24"/>
                <w:szCs w:val="24"/>
                <w:highlight w:val="none"/>
              </w:rPr>
              <w:t>。因此，本项目噪声不会对区域声环境造成影响。</w:t>
            </w:r>
          </w:p>
          <w:p>
            <w:pPr>
              <w:spacing w:line="360" w:lineRule="auto"/>
              <w:ind w:firstLine="361" w:firstLineChars="150"/>
              <w:rPr>
                <w:b/>
                <w:color w:val="auto"/>
                <w:sz w:val="24"/>
                <w:szCs w:val="24"/>
                <w:highlight w:val="none"/>
              </w:rPr>
            </w:pPr>
            <w:r>
              <w:rPr>
                <w:rFonts w:hint="eastAsia"/>
                <w:b/>
                <w:color w:val="auto"/>
                <w:sz w:val="24"/>
                <w:szCs w:val="24"/>
                <w:highlight w:val="none"/>
              </w:rPr>
              <w:t>（</w:t>
            </w:r>
            <w:r>
              <w:rPr>
                <w:b/>
                <w:color w:val="auto"/>
                <w:sz w:val="24"/>
                <w:szCs w:val="24"/>
                <w:highlight w:val="none"/>
              </w:rPr>
              <w:t>3</w:t>
            </w:r>
            <w:r>
              <w:rPr>
                <w:rFonts w:hint="eastAsia"/>
                <w:b/>
                <w:color w:val="auto"/>
                <w:sz w:val="24"/>
                <w:szCs w:val="24"/>
                <w:highlight w:val="none"/>
              </w:rPr>
              <w:t>）监测要求</w:t>
            </w:r>
          </w:p>
          <w:p>
            <w:pPr>
              <w:spacing w:line="360" w:lineRule="auto"/>
              <w:ind w:firstLine="480" w:firstLineChars="200"/>
              <w:rPr>
                <w:color w:val="auto"/>
                <w:sz w:val="24"/>
                <w:szCs w:val="24"/>
                <w:highlight w:val="none"/>
              </w:rPr>
            </w:pPr>
            <w:r>
              <w:rPr>
                <w:rFonts w:hint="eastAsia"/>
                <w:color w:val="auto"/>
                <w:sz w:val="24"/>
                <w:szCs w:val="24"/>
                <w:highlight w:val="none"/>
              </w:rPr>
              <w:t>本次环评根据《排污单位自行监测技术指南 总则》（HJ819-2017）提出项目生产运行阶段的污染源监测计划，详见下表：</w:t>
            </w:r>
          </w:p>
          <w:p>
            <w:pPr>
              <w:spacing w:line="360" w:lineRule="auto"/>
              <w:jc w:val="center"/>
              <w:rPr>
                <w:rFonts w:hint="eastAsia"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表4-</w:t>
            </w:r>
            <w:r>
              <w:rPr>
                <w:rFonts w:hint="eastAsia"/>
                <w:b/>
                <w:bCs/>
                <w:color w:val="auto"/>
                <w:sz w:val="24"/>
                <w:szCs w:val="24"/>
                <w:highlight w:val="none"/>
                <w:lang w:val="en-US" w:eastAsia="zh-CN"/>
              </w:rPr>
              <w:t>14</w:t>
            </w:r>
            <w:r>
              <w:rPr>
                <w:rFonts w:hint="eastAsia" w:ascii="Times New Roman" w:hAnsi="Times New Roman" w:eastAsia="宋体"/>
                <w:b/>
                <w:bCs/>
                <w:color w:val="auto"/>
                <w:sz w:val="24"/>
                <w:szCs w:val="24"/>
                <w:highlight w:val="none"/>
              </w:rPr>
              <w:t xml:space="preserve">  噪声监测方案</w:t>
            </w:r>
          </w:p>
          <w:tbl>
            <w:tblPr>
              <w:tblStyle w:val="23"/>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8"/>
              <w:gridCol w:w="2044"/>
              <w:gridCol w:w="1100"/>
              <w:gridCol w:w="37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pct"/>
                  <w:tcBorders>
                    <w:tl2br w:val="nil"/>
                    <w:tr2bl w:val="nil"/>
                  </w:tcBorders>
                  <w:shd w:val="clear" w:color="auto" w:fill="auto"/>
                  <w:vAlign w:val="center"/>
                </w:tcPr>
                <w:p>
                  <w:pPr>
                    <w:spacing w:line="240" w:lineRule="auto"/>
                    <w:jc w:val="center"/>
                    <w:rPr>
                      <w:b/>
                      <w:bCs/>
                      <w:color w:val="auto"/>
                      <w:sz w:val="21"/>
                      <w:szCs w:val="21"/>
                      <w:highlight w:val="none"/>
                    </w:rPr>
                  </w:pPr>
                  <w:r>
                    <w:rPr>
                      <w:b/>
                      <w:bCs/>
                      <w:color w:val="auto"/>
                      <w:sz w:val="21"/>
                      <w:szCs w:val="21"/>
                      <w:highlight w:val="none"/>
                    </w:rPr>
                    <w:t>监测点位</w:t>
                  </w:r>
                </w:p>
              </w:tc>
              <w:tc>
                <w:tcPr>
                  <w:tcW w:w="1189" w:type="pct"/>
                  <w:tcBorders>
                    <w:tl2br w:val="nil"/>
                    <w:tr2bl w:val="nil"/>
                  </w:tcBorders>
                  <w:shd w:val="clear" w:color="auto" w:fill="auto"/>
                  <w:vAlign w:val="center"/>
                </w:tcPr>
                <w:p>
                  <w:pPr>
                    <w:spacing w:line="240" w:lineRule="auto"/>
                    <w:jc w:val="center"/>
                    <w:rPr>
                      <w:b/>
                      <w:bCs/>
                      <w:color w:val="auto"/>
                      <w:sz w:val="21"/>
                      <w:szCs w:val="21"/>
                      <w:highlight w:val="none"/>
                    </w:rPr>
                  </w:pPr>
                  <w:r>
                    <w:rPr>
                      <w:b/>
                      <w:bCs/>
                      <w:color w:val="auto"/>
                      <w:sz w:val="21"/>
                      <w:szCs w:val="21"/>
                      <w:highlight w:val="none"/>
                    </w:rPr>
                    <w:t>监测指标</w:t>
                  </w:r>
                </w:p>
              </w:tc>
              <w:tc>
                <w:tcPr>
                  <w:tcW w:w="640" w:type="pct"/>
                  <w:tcBorders>
                    <w:tl2br w:val="nil"/>
                    <w:tr2bl w:val="nil"/>
                  </w:tcBorders>
                  <w:shd w:val="clear" w:color="auto" w:fill="auto"/>
                  <w:vAlign w:val="center"/>
                </w:tcPr>
                <w:p>
                  <w:pPr>
                    <w:spacing w:line="240" w:lineRule="auto"/>
                    <w:jc w:val="center"/>
                    <w:rPr>
                      <w:b/>
                      <w:bCs/>
                      <w:color w:val="auto"/>
                      <w:sz w:val="21"/>
                      <w:szCs w:val="21"/>
                      <w:highlight w:val="none"/>
                    </w:rPr>
                  </w:pPr>
                  <w:r>
                    <w:rPr>
                      <w:b/>
                      <w:bCs/>
                      <w:color w:val="auto"/>
                      <w:sz w:val="21"/>
                      <w:szCs w:val="21"/>
                      <w:highlight w:val="none"/>
                    </w:rPr>
                    <w:t>监测频次</w:t>
                  </w:r>
                </w:p>
              </w:tc>
              <w:tc>
                <w:tcPr>
                  <w:tcW w:w="2182" w:type="pct"/>
                  <w:tcBorders>
                    <w:tl2br w:val="nil"/>
                    <w:tr2bl w:val="nil"/>
                  </w:tcBorders>
                </w:tcPr>
                <w:p>
                  <w:pPr>
                    <w:spacing w:line="240" w:lineRule="auto"/>
                    <w:jc w:val="center"/>
                    <w:rPr>
                      <w:b/>
                      <w:bCs/>
                      <w:color w:val="auto"/>
                      <w:sz w:val="21"/>
                      <w:szCs w:val="21"/>
                      <w:highlight w:val="none"/>
                    </w:rPr>
                  </w:pPr>
                  <w:r>
                    <w:rPr>
                      <w:b/>
                      <w:bCs/>
                      <w:color w:val="auto"/>
                      <w:sz w:val="21"/>
                      <w:szCs w:val="21"/>
                      <w:highlight w:val="none"/>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pct"/>
                  <w:tcBorders>
                    <w:tl2br w:val="nil"/>
                    <w:tr2bl w:val="nil"/>
                  </w:tcBorders>
                  <w:shd w:val="clear" w:color="auto" w:fill="auto"/>
                  <w:vAlign w:val="center"/>
                </w:tcPr>
                <w:p>
                  <w:pPr>
                    <w:spacing w:line="240" w:lineRule="auto"/>
                    <w:jc w:val="center"/>
                    <w:rPr>
                      <w:rFonts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rPr>
                    <w:t>项目厂界四周（厂界外1m处）</w:t>
                  </w:r>
                </w:p>
              </w:tc>
              <w:tc>
                <w:tcPr>
                  <w:tcW w:w="1189" w:type="pct"/>
                  <w:tcBorders>
                    <w:tl2br w:val="nil"/>
                    <w:tr2bl w:val="nil"/>
                  </w:tcBorders>
                  <w:shd w:val="clear" w:color="auto" w:fill="auto"/>
                  <w:vAlign w:val="center"/>
                </w:tcPr>
                <w:p>
                  <w:pPr>
                    <w:spacing w:line="240" w:lineRule="auto"/>
                    <w:jc w:val="center"/>
                    <w:rPr>
                      <w:rFonts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昼夜</w:t>
                  </w:r>
                  <w:r>
                    <w:rPr>
                      <w:color w:val="auto"/>
                      <w:sz w:val="21"/>
                      <w:szCs w:val="21"/>
                      <w:highlight w:val="none"/>
                    </w:rPr>
                    <w:t>等效连续 A 声级</w:t>
                  </w:r>
                </w:p>
              </w:tc>
              <w:tc>
                <w:tcPr>
                  <w:tcW w:w="640" w:type="pct"/>
                  <w:tcBorders>
                    <w:tl2br w:val="nil"/>
                    <w:tr2bl w:val="nil"/>
                  </w:tcBorders>
                  <w:shd w:val="clear" w:color="auto" w:fill="auto"/>
                  <w:vAlign w:val="center"/>
                </w:tcPr>
                <w:p>
                  <w:pPr>
                    <w:spacing w:line="240" w:lineRule="auto"/>
                    <w:jc w:val="center"/>
                    <w:rPr>
                      <w:color w:val="auto"/>
                      <w:sz w:val="21"/>
                      <w:szCs w:val="21"/>
                      <w:highlight w:val="none"/>
                    </w:rPr>
                  </w:pPr>
                  <w:r>
                    <w:rPr>
                      <w:rFonts w:hint="eastAsia"/>
                      <w:color w:val="auto"/>
                      <w:sz w:val="21"/>
                      <w:szCs w:val="21"/>
                      <w:highlight w:val="none"/>
                      <w:lang w:val="en-US" w:eastAsia="zh-CN"/>
                    </w:rPr>
                    <w:t>1</w:t>
                  </w:r>
                  <w:r>
                    <w:rPr>
                      <w:rFonts w:hint="eastAsia"/>
                      <w:color w:val="auto"/>
                      <w:sz w:val="21"/>
                      <w:szCs w:val="21"/>
                      <w:highlight w:val="none"/>
                    </w:rPr>
                    <w:t>季度/</w:t>
                  </w:r>
                  <w:r>
                    <w:rPr>
                      <w:color w:val="auto"/>
                      <w:sz w:val="21"/>
                      <w:szCs w:val="21"/>
                      <w:highlight w:val="none"/>
                    </w:rPr>
                    <w:t>次</w:t>
                  </w:r>
                </w:p>
              </w:tc>
              <w:tc>
                <w:tcPr>
                  <w:tcW w:w="2182" w:type="pct"/>
                  <w:tcBorders>
                    <w:tl2br w:val="nil"/>
                    <w:tr2bl w:val="nil"/>
                  </w:tcBorders>
                  <w:vAlign w:val="center"/>
                </w:tcPr>
                <w:p>
                  <w:pPr>
                    <w:spacing w:line="240" w:lineRule="auto"/>
                    <w:jc w:val="center"/>
                    <w:rPr>
                      <w:color w:val="auto"/>
                      <w:sz w:val="21"/>
                      <w:szCs w:val="21"/>
                      <w:highlight w:val="none"/>
                    </w:rPr>
                  </w:pPr>
                  <w:r>
                    <w:rPr>
                      <w:rFonts w:hint="eastAsia"/>
                      <w:color w:val="auto"/>
                      <w:sz w:val="21"/>
                      <w:szCs w:val="21"/>
                      <w:highlight w:val="none"/>
                    </w:rPr>
                    <w:t>《工业企业厂界环境噪声排放标准》（GB12348-2008）</w:t>
                  </w:r>
                  <w:r>
                    <w:rPr>
                      <w:rFonts w:hint="eastAsia"/>
                      <w:color w:val="auto"/>
                      <w:sz w:val="21"/>
                      <w:szCs w:val="21"/>
                      <w:highlight w:val="none"/>
                      <w:lang w:val="en-US" w:eastAsia="zh-CN"/>
                    </w:rPr>
                    <w:t>2</w:t>
                  </w:r>
                  <w:r>
                    <w:rPr>
                      <w:rFonts w:hint="eastAsia"/>
                      <w:color w:val="auto"/>
                      <w:sz w:val="21"/>
                      <w:szCs w:val="21"/>
                      <w:highlight w:val="none"/>
                    </w:rPr>
                    <w:t>类标准</w:t>
                  </w:r>
                </w:p>
              </w:tc>
            </w:tr>
          </w:tbl>
          <w:p>
            <w:pPr>
              <w:spacing w:line="360" w:lineRule="auto"/>
              <w:ind w:firstLine="482" w:firstLineChars="200"/>
              <w:rPr>
                <w:b/>
                <w:color w:val="auto"/>
                <w:sz w:val="24"/>
                <w:szCs w:val="24"/>
                <w:highlight w:val="none"/>
              </w:rPr>
            </w:pPr>
            <w:r>
              <w:rPr>
                <w:b/>
                <w:color w:val="auto"/>
                <w:sz w:val="24"/>
                <w:szCs w:val="24"/>
                <w:highlight w:val="none"/>
              </w:rPr>
              <w:t>4</w:t>
            </w:r>
            <w:r>
              <w:rPr>
                <w:rFonts w:hint="eastAsia"/>
                <w:b/>
                <w:color w:val="auto"/>
                <w:sz w:val="24"/>
                <w:szCs w:val="24"/>
                <w:highlight w:val="none"/>
              </w:rPr>
              <w:t>、固体废物</w:t>
            </w:r>
          </w:p>
          <w:p>
            <w:pPr>
              <w:spacing w:line="360" w:lineRule="auto"/>
              <w:ind w:firstLine="480" w:firstLineChars="200"/>
              <w:rPr>
                <w:rFonts w:hint="eastAsia"/>
                <w:color w:val="auto"/>
                <w:sz w:val="24"/>
                <w:szCs w:val="24"/>
                <w:highlight w:val="none"/>
              </w:rPr>
            </w:pPr>
            <w:r>
              <w:rPr>
                <w:rFonts w:hint="eastAsia"/>
                <w:color w:val="auto"/>
                <w:sz w:val="24"/>
                <w:szCs w:val="24"/>
                <w:highlight w:val="none"/>
              </w:rPr>
              <w:t>一般固体废物：生活垃圾、</w:t>
            </w:r>
            <w:r>
              <w:rPr>
                <w:rFonts w:hint="eastAsia"/>
                <w:color w:val="auto"/>
                <w:sz w:val="24"/>
                <w:szCs w:val="24"/>
                <w:highlight w:val="none"/>
                <w:lang w:val="en-US" w:eastAsia="zh-CN"/>
              </w:rPr>
              <w:t>砂</w:t>
            </w:r>
            <w:r>
              <w:rPr>
                <w:rFonts w:hint="eastAsia"/>
                <w:color w:val="auto"/>
                <w:sz w:val="24"/>
                <w:szCs w:val="24"/>
                <w:highlight w:val="none"/>
              </w:rPr>
              <w:t>、</w:t>
            </w:r>
            <w:r>
              <w:rPr>
                <w:rFonts w:hint="eastAsia"/>
                <w:color w:val="0000FF"/>
                <w:sz w:val="24"/>
                <w:szCs w:val="24"/>
                <w:highlight w:val="none"/>
                <w:lang w:val="en-US" w:eastAsia="zh-CN"/>
              </w:rPr>
              <w:t>泥饼</w:t>
            </w:r>
            <w:r>
              <w:rPr>
                <w:rFonts w:hint="eastAsia" w:cs="Times New Roman" w:eastAsiaTheme="minorEastAsia"/>
                <w:color w:val="auto"/>
                <w:sz w:val="24"/>
                <w:szCs w:val="24"/>
                <w:highlight w:val="none"/>
                <w:lang w:eastAsia="zh-CN"/>
              </w:rPr>
              <w:t>、</w:t>
            </w:r>
            <w:r>
              <w:rPr>
                <w:rFonts w:hint="eastAsia"/>
                <w:color w:val="auto"/>
                <w:sz w:val="24"/>
                <w:szCs w:val="24"/>
                <w:highlight w:val="none"/>
                <w:lang w:val="en-US" w:eastAsia="zh-CN"/>
              </w:rPr>
              <w:t>边角</w:t>
            </w:r>
            <w:r>
              <w:rPr>
                <w:rFonts w:hint="default" w:ascii="Times New Roman" w:hAnsi="Times New Roman" w:cs="Times New Roman"/>
                <w:color w:val="auto"/>
                <w:sz w:val="24"/>
                <w:szCs w:val="24"/>
                <w:highlight w:val="none"/>
                <w:lang w:val="en-US" w:eastAsia="zh-CN"/>
              </w:rPr>
              <w:t>石</w:t>
            </w:r>
            <w:r>
              <w:rPr>
                <w:rFonts w:hint="eastAsia"/>
                <w:color w:val="auto"/>
                <w:sz w:val="24"/>
                <w:szCs w:val="24"/>
                <w:highlight w:val="none"/>
                <w:lang w:val="en-US" w:eastAsia="zh-CN"/>
              </w:rPr>
              <w:t>料</w:t>
            </w:r>
            <w:r>
              <w:rPr>
                <w:rFonts w:hint="eastAsia"/>
                <w:color w:val="auto"/>
                <w:sz w:val="24"/>
                <w:szCs w:val="24"/>
                <w:highlight w:val="none"/>
              </w:rPr>
              <w:t>。</w:t>
            </w:r>
          </w:p>
          <w:p>
            <w:pPr>
              <w:spacing w:line="360" w:lineRule="auto"/>
              <w:ind w:firstLine="480" w:firstLineChars="200"/>
              <w:rPr>
                <w:rFonts w:hint="default" w:eastAsia="宋体"/>
                <w:color w:val="0000FF"/>
                <w:sz w:val="24"/>
                <w:szCs w:val="24"/>
                <w:highlight w:val="none"/>
                <w:lang w:val="en-US" w:eastAsia="zh-CN"/>
              </w:rPr>
            </w:pPr>
            <w:r>
              <w:rPr>
                <w:rFonts w:hint="eastAsia"/>
                <w:color w:val="0000FF"/>
                <w:sz w:val="24"/>
                <w:szCs w:val="24"/>
                <w:highlight w:val="none"/>
                <w:lang w:val="en-US" w:eastAsia="zh-CN"/>
              </w:rPr>
              <w:t>危险废物：废机油</w:t>
            </w:r>
          </w:p>
          <w:p>
            <w:pPr>
              <w:spacing w:line="360" w:lineRule="auto"/>
              <w:ind w:firstLine="361" w:firstLineChars="150"/>
              <w:rPr>
                <w:b/>
                <w:color w:val="auto"/>
                <w:sz w:val="24"/>
                <w:szCs w:val="24"/>
                <w:highlight w:val="none"/>
              </w:rPr>
            </w:pPr>
            <w:r>
              <w:rPr>
                <w:rFonts w:hint="eastAsia"/>
                <w:b/>
                <w:color w:val="auto"/>
                <w:sz w:val="24"/>
                <w:szCs w:val="24"/>
                <w:highlight w:val="none"/>
              </w:rPr>
              <w:t>（</w:t>
            </w:r>
            <w:r>
              <w:rPr>
                <w:b/>
                <w:color w:val="auto"/>
                <w:sz w:val="24"/>
                <w:szCs w:val="24"/>
                <w:highlight w:val="none"/>
              </w:rPr>
              <w:t>1</w:t>
            </w:r>
            <w:r>
              <w:rPr>
                <w:rFonts w:hint="eastAsia"/>
                <w:b/>
                <w:color w:val="auto"/>
                <w:sz w:val="24"/>
                <w:szCs w:val="24"/>
                <w:highlight w:val="none"/>
              </w:rPr>
              <w:t>）一般固体废物产生及处置措施</w:t>
            </w:r>
          </w:p>
          <w:p>
            <w:pPr>
              <w:spacing w:line="360" w:lineRule="auto"/>
              <w:ind w:firstLine="480" w:firstLineChars="200"/>
              <w:rPr>
                <w:rFonts w:hint="default" w:eastAsia="宋体"/>
                <w:color w:val="auto"/>
                <w:sz w:val="24"/>
                <w:szCs w:val="24"/>
                <w:highlight w:val="none"/>
                <w:lang w:val="en-US" w:eastAsia="zh-CN"/>
              </w:rPr>
            </w:pPr>
            <w:r>
              <w:rPr>
                <w:rFonts w:hint="eastAsia"/>
                <w:color w:val="auto"/>
                <w:sz w:val="24"/>
                <w:szCs w:val="24"/>
                <w:highlight w:val="none"/>
              </w:rPr>
              <w:t>①生活垃圾</w:t>
            </w:r>
          </w:p>
          <w:p>
            <w:pPr>
              <w:spacing w:line="360" w:lineRule="auto"/>
              <w:ind w:firstLine="480" w:firstLineChars="200"/>
              <w:rPr>
                <w:color w:val="auto"/>
                <w:sz w:val="24"/>
                <w:szCs w:val="24"/>
                <w:highlight w:val="none"/>
              </w:rPr>
            </w:pPr>
            <w:r>
              <w:rPr>
                <w:rFonts w:hint="eastAsia"/>
                <w:color w:val="auto"/>
                <w:sz w:val="24"/>
                <w:szCs w:val="24"/>
                <w:highlight w:val="none"/>
              </w:rPr>
              <w:t>项目</w:t>
            </w:r>
            <w:r>
              <w:rPr>
                <w:rFonts w:hint="eastAsia"/>
                <w:color w:val="auto"/>
                <w:sz w:val="24"/>
                <w:szCs w:val="24"/>
                <w:highlight w:val="none"/>
                <w:lang w:val="en-US" w:eastAsia="zh-CN"/>
              </w:rPr>
              <w:t>全厂</w:t>
            </w:r>
            <w:r>
              <w:rPr>
                <w:rFonts w:hint="eastAsia"/>
                <w:color w:val="auto"/>
                <w:sz w:val="24"/>
                <w:szCs w:val="24"/>
                <w:highlight w:val="none"/>
              </w:rPr>
              <w:t>劳动定员</w:t>
            </w:r>
            <w:r>
              <w:rPr>
                <w:rFonts w:hint="eastAsia"/>
                <w:color w:val="auto"/>
                <w:sz w:val="24"/>
                <w:szCs w:val="24"/>
                <w:highlight w:val="none"/>
                <w:lang w:val="en-US" w:eastAsia="zh-CN"/>
              </w:rPr>
              <w:t>6</w:t>
            </w:r>
            <w:r>
              <w:rPr>
                <w:rFonts w:hint="eastAsia"/>
                <w:color w:val="auto"/>
                <w:sz w:val="24"/>
                <w:szCs w:val="24"/>
                <w:highlight w:val="none"/>
              </w:rPr>
              <w:t>人，年工作300天，生活垃圾产生量按照0.5kg/人·天计，则生活垃圾产生量</w:t>
            </w:r>
            <w:r>
              <w:rPr>
                <w:rFonts w:hint="eastAsia"/>
                <w:color w:val="auto"/>
                <w:sz w:val="24"/>
                <w:szCs w:val="24"/>
                <w:highlight w:val="none"/>
                <w:lang w:val="en-US" w:eastAsia="zh-CN"/>
              </w:rPr>
              <w:t>0.9</w:t>
            </w:r>
            <w:r>
              <w:rPr>
                <w:rFonts w:hint="eastAsia"/>
                <w:color w:val="auto"/>
                <w:sz w:val="24"/>
                <w:szCs w:val="24"/>
                <w:highlight w:val="none"/>
              </w:rPr>
              <w:t>t/年，交由环卫部门清运处理。</w:t>
            </w:r>
          </w:p>
          <w:p>
            <w:pPr>
              <w:spacing w:line="360" w:lineRule="auto"/>
              <w:ind w:firstLine="480" w:firstLineChars="200"/>
              <w:rPr>
                <w:rFonts w:hint="eastAsia" w:eastAsia="宋体"/>
                <w:color w:val="0000FF"/>
                <w:sz w:val="24"/>
                <w:szCs w:val="24"/>
                <w:highlight w:val="none"/>
                <w:lang w:val="en-US" w:eastAsia="zh-CN"/>
              </w:rPr>
            </w:pPr>
            <w:r>
              <w:rPr>
                <w:rFonts w:hint="eastAsia"/>
                <w:color w:val="0000FF"/>
                <w:sz w:val="24"/>
                <w:szCs w:val="24"/>
                <w:highlight w:val="none"/>
              </w:rPr>
              <w:t>②</w:t>
            </w:r>
            <w:r>
              <w:rPr>
                <w:rFonts w:hint="eastAsia"/>
                <w:color w:val="0000FF"/>
                <w:sz w:val="24"/>
                <w:szCs w:val="24"/>
                <w:highlight w:val="none"/>
                <w:lang w:val="en-US" w:eastAsia="zh-CN"/>
              </w:rPr>
              <w:t>砂</w:t>
            </w:r>
          </w:p>
          <w:p>
            <w:pPr>
              <w:spacing w:line="360" w:lineRule="auto"/>
              <w:ind w:firstLine="480" w:firstLineChars="200"/>
              <w:rPr>
                <w:rFonts w:hint="eastAsia" w:eastAsia="宋体"/>
                <w:color w:val="0000FF"/>
                <w:sz w:val="24"/>
                <w:szCs w:val="24"/>
                <w:highlight w:val="none"/>
                <w:lang w:val="en-US" w:eastAsia="zh-CN"/>
              </w:rPr>
            </w:pPr>
            <w:r>
              <w:rPr>
                <w:rFonts w:hint="eastAsia"/>
                <w:color w:val="0000FF"/>
                <w:sz w:val="24"/>
                <w:szCs w:val="24"/>
                <w:highlight w:val="none"/>
              </w:rPr>
              <w:t>废水经螺旋绞砂机处理后，</w:t>
            </w:r>
            <w:r>
              <w:rPr>
                <w:rFonts w:hint="eastAsia"/>
                <w:color w:val="0000FF"/>
                <w:sz w:val="24"/>
                <w:szCs w:val="24"/>
                <w:highlight w:val="none"/>
                <w:lang w:val="en-US" w:eastAsia="zh-CN"/>
              </w:rPr>
              <w:t>会选出砂。产生量约10t/a</w:t>
            </w:r>
            <w:r>
              <w:rPr>
                <w:rFonts w:hint="eastAsia"/>
                <w:color w:val="0000FF"/>
                <w:sz w:val="24"/>
                <w:szCs w:val="24"/>
                <w:highlight w:val="none"/>
              </w:rPr>
              <w:t>，</w:t>
            </w:r>
            <w:r>
              <w:rPr>
                <w:rFonts w:hint="eastAsia"/>
                <w:color w:val="0000FF"/>
                <w:sz w:val="24"/>
                <w:szCs w:val="24"/>
                <w:highlight w:val="none"/>
                <w:lang w:val="en-US" w:eastAsia="zh-CN"/>
              </w:rPr>
              <w:t>外售。</w:t>
            </w:r>
          </w:p>
          <w:p>
            <w:pPr>
              <w:spacing w:line="360" w:lineRule="auto"/>
              <w:ind w:firstLine="480" w:firstLineChars="200"/>
              <w:rPr>
                <w:rFonts w:hint="default" w:eastAsiaTheme="minorEastAsia"/>
                <w:color w:val="auto"/>
                <w:sz w:val="24"/>
                <w:szCs w:val="24"/>
                <w:highlight w:val="none"/>
                <w:lang w:val="en-US" w:eastAsia="zh-CN"/>
              </w:rPr>
            </w:pPr>
            <w:r>
              <w:rPr>
                <w:rFonts w:hint="eastAsia"/>
                <w:color w:val="auto"/>
                <w:sz w:val="24"/>
                <w:szCs w:val="24"/>
                <w:highlight w:val="none"/>
              </w:rPr>
              <w:t>③</w:t>
            </w:r>
            <w:r>
              <w:rPr>
                <w:rFonts w:hint="eastAsia"/>
                <w:color w:val="0000FF"/>
                <w:sz w:val="24"/>
                <w:szCs w:val="24"/>
                <w:highlight w:val="none"/>
                <w:lang w:val="en-US" w:eastAsia="zh-CN"/>
              </w:rPr>
              <w:t>泥饼</w:t>
            </w:r>
          </w:p>
          <w:p>
            <w:pPr>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本项目石料加工时采用湿法作业，产生的粉尘被水带入三级沉淀池变为固体废物（石粉），项目三级沉淀池定期清掏</w:t>
            </w:r>
            <w:r>
              <w:rPr>
                <w:rFonts w:hint="default" w:ascii="Times New Roman" w:hAnsi="Times New Roman" w:cs="Times New Roman" w:eastAsiaTheme="minorEastAsia"/>
                <w:color w:val="auto"/>
                <w:sz w:val="24"/>
                <w:szCs w:val="24"/>
                <w:highlight w:val="none"/>
              </w:rPr>
              <w:t>沉渣</w:t>
            </w:r>
            <w:r>
              <w:rPr>
                <w:rFonts w:hint="eastAsia"/>
                <w:color w:val="auto"/>
                <w:sz w:val="24"/>
                <w:szCs w:val="24"/>
                <w:highlight w:val="none"/>
                <w:lang w:val="en-US" w:eastAsia="zh-CN"/>
              </w:rPr>
              <w:t>，</w:t>
            </w:r>
            <w:r>
              <w:rPr>
                <w:rFonts w:hint="default" w:ascii="Times New Roman" w:hAnsi="Times New Roman" w:cs="Times New Roman" w:eastAsiaTheme="minorEastAsia"/>
                <w:color w:val="auto"/>
                <w:sz w:val="24"/>
                <w:szCs w:val="24"/>
                <w:highlight w:val="none"/>
              </w:rPr>
              <w:t>压滤机</w:t>
            </w:r>
            <w:r>
              <w:rPr>
                <w:rFonts w:hint="eastAsia" w:cs="Times New Roman" w:eastAsiaTheme="minorEastAsia"/>
                <w:color w:val="auto"/>
                <w:sz w:val="24"/>
                <w:szCs w:val="24"/>
                <w:highlight w:val="none"/>
                <w:lang w:val="en-US" w:eastAsia="zh-CN"/>
              </w:rPr>
              <w:t>将石浆压成</w:t>
            </w:r>
            <w:r>
              <w:rPr>
                <w:rFonts w:hint="default" w:ascii="Times New Roman" w:hAnsi="Times New Roman" w:cs="Times New Roman" w:eastAsiaTheme="minorEastAsia"/>
                <w:color w:val="auto"/>
                <w:sz w:val="24"/>
                <w:szCs w:val="24"/>
                <w:highlight w:val="none"/>
              </w:rPr>
              <w:t>饼</w:t>
            </w:r>
            <w:r>
              <w:rPr>
                <w:rFonts w:hint="eastAsia" w:cs="Times New Roman" w:eastAsiaTheme="minorEastAsia"/>
                <w:color w:val="auto"/>
                <w:sz w:val="24"/>
                <w:szCs w:val="24"/>
                <w:highlight w:val="none"/>
                <w:lang w:val="en-US" w:eastAsia="zh-CN"/>
              </w:rPr>
              <w:t>状</w:t>
            </w:r>
            <w:r>
              <w:rPr>
                <w:rFonts w:hint="eastAsia" w:cs="Times New Roman" w:eastAsiaTheme="minorEastAsia"/>
                <w:color w:val="auto"/>
                <w:sz w:val="24"/>
                <w:szCs w:val="24"/>
                <w:highlight w:val="none"/>
                <w:lang w:eastAsia="zh-CN"/>
              </w:rPr>
              <w:t>，</w:t>
            </w:r>
            <w:r>
              <w:rPr>
                <w:rFonts w:hint="eastAsia" w:cs="Times New Roman" w:eastAsiaTheme="minorEastAsia"/>
                <w:color w:val="auto"/>
                <w:sz w:val="24"/>
                <w:szCs w:val="24"/>
                <w:highlight w:val="none"/>
                <w:lang w:val="en-US" w:eastAsia="zh-CN"/>
              </w:rPr>
              <w:t>泥饼</w:t>
            </w:r>
            <w:r>
              <w:rPr>
                <w:rFonts w:hint="eastAsia"/>
                <w:color w:val="auto"/>
                <w:sz w:val="24"/>
                <w:szCs w:val="24"/>
                <w:highlight w:val="none"/>
                <w:lang w:val="en-US" w:eastAsia="zh-CN"/>
              </w:rPr>
              <w:t>产生量约100t/a，外售砖厂；</w:t>
            </w:r>
            <w:r>
              <w:rPr>
                <w:rFonts w:hint="eastAsia"/>
                <w:color w:val="0000FF"/>
                <w:sz w:val="24"/>
                <w:szCs w:val="24"/>
                <w:highlight w:val="none"/>
                <w:lang w:val="en-US" w:eastAsia="zh-CN"/>
              </w:rPr>
              <w:t>经压滤机压滤后的泥饼直接掉入下方车中运走，该区域设置雨棚，防止雨水进入压滤好的泥饼中</w:t>
            </w:r>
            <w:r>
              <w:rPr>
                <w:rFonts w:hint="eastAsia"/>
                <w:color w:val="auto"/>
                <w:sz w:val="24"/>
                <w:szCs w:val="24"/>
                <w:highlight w:val="none"/>
                <w:lang w:val="en-US" w:eastAsia="zh-CN"/>
              </w:rPr>
              <w:t>。</w:t>
            </w:r>
          </w:p>
          <w:p>
            <w:pPr>
              <w:spacing w:line="360" w:lineRule="auto"/>
              <w:ind w:firstLine="480" w:firstLineChars="200"/>
              <w:rPr>
                <w:rFonts w:hint="default"/>
                <w:color w:val="auto"/>
                <w:sz w:val="24"/>
                <w:szCs w:val="24"/>
                <w:highlight w:val="none"/>
                <w:lang w:val="en-US" w:eastAsia="zh-CN"/>
              </w:rPr>
            </w:pPr>
            <w:r>
              <w:rPr>
                <w:rFonts w:hint="eastAsia"/>
                <w:color w:val="auto"/>
                <w:sz w:val="24"/>
                <w:szCs w:val="24"/>
                <w:highlight w:val="none"/>
                <w:lang w:val="en-US" w:eastAsia="zh-CN"/>
              </w:rPr>
              <w:t>④边角</w:t>
            </w:r>
            <w:r>
              <w:rPr>
                <w:rFonts w:hint="default" w:ascii="Times New Roman" w:hAnsi="Times New Roman" w:cs="Times New Roman"/>
                <w:color w:val="auto"/>
                <w:sz w:val="24"/>
                <w:szCs w:val="24"/>
                <w:highlight w:val="none"/>
                <w:lang w:val="en-US" w:eastAsia="zh-CN"/>
              </w:rPr>
              <w:t>石</w:t>
            </w:r>
            <w:r>
              <w:rPr>
                <w:rFonts w:hint="eastAsia"/>
                <w:color w:val="auto"/>
                <w:sz w:val="24"/>
                <w:szCs w:val="24"/>
                <w:highlight w:val="none"/>
                <w:lang w:val="en-US" w:eastAsia="zh-CN"/>
              </w:rPr>
              <w:t>料</w:t>
            </w:r>
          </w:p>
          <w:p>
            <w:pPr>
              <w:spacing w:line="360" w:lineRule="auto"/>
              <w:ind w:firstLine="480" w:firstLineChars="200"/>
              <w:rPr>
                <w:rFonts w:hint="default"/>
                <w:color w:val="auto"/>
                <w:sz w:val="24"/>
                <w:szCs w:val="24"/>
                <w:highlight w:val="none"/>
                <w:lang w:val="en-US" w:eastAsia="zh-CN"/>
              </w:rPr>
            </w:pPr>
            <w:r>
              <w:rPr>
                <w:rFonts w:hint="eastAsia"/>
                <w:color w:val="auto"/>
                <w:sz w:val="24"/>
                <w:szCs w:val="24"/>
                <w:highlight w:val="none"/>
                <w:lang w:val="en-US" w:eastAsia="zh-CN"/>
              </w:rPr>
              <w:t>本项目生产过程中产生的边角</w:t>
            </w:r>
            <w:r>
              <w:rPr>
                <w:rFonts w:hint="default" w:ascii="Times New Roman" w:hAnsi="Times New Roman" w:cs="Times New Roman"/>
                <w:color w:val="auto"/>
                <w:sz w:val="24"/>
                <w:szCs w:val="24"/>
                <w:highlight w:val="none"/>
                <w:lang w:val="en-US" w:eastAsia="zh-CN"/>
              </w:rPr>
              <w:t>石</w:t>
            </w:r>
            <w:r>
              <w:rPr>
                <w:rFonts w:hint="eastAsia"/>
                <w:color w:val="auto"/>
                <w:sz w:val="24"/>
                <w:szCs w:val="24"/>
                <w:highlight w:val="none"/>
                <w:lang w:val="en-US" w:eastAsia="zh-CN"/>
              </w:rPr>
              <w:t>料约200t/a，</w:t>
            </w:r>
            <w:r>
              <w:rPr>
                <w:rFonts w:hint="default" w:ascii="Times New Roman" w:hAnsi="Times New Roman" w:cs="Times New Roman"/>
                <w:color w:val="auto"/>
                <w:sz w:val="24"/>
                <w:szCs w:val="24"/>
                <w:highlight w:val="none"/>
                <w:lang w:val="en-US" w:eastAsia="zh-CN"/>
              </w:rPr>
              <w:t>边角石料送至砂厂制砂</w:t>
            </w:r>
            <w:r>
              <w:rPr>
                <w:rFonts w:hint="eastAsia" w:ascii="Times New Roman" w:hAnsi="Times New Roman" w:cs="Times New Roman"/>
                <w:color w:val="auto"/>
                <w:sz w:val="24"/>
                <w:szCs w:val="24"/>
                <w:highlight w:val="none"/>
                <w:lang w:val="en-US" w:eastAsia="zh-CN"/>
              </w:rPr>
              <w:t>。</w:t>
            </w:r>
          </w:p>
          <w:p>
            <w:pPr>
              <w:spacing w:line="360" w:lineRule="auto"/>
              <w:ind w:firstLine="482" w:firstLineChars="200"/>
              <w:rPr>
                <w:rFonts w:hint="eastAsia"/>
                <w:b/>
                <w:bCs/>
                <w:color w:val="0000FF"/>
                <w:sz w:val="24"/>
                <w:szCs w:val="24"/>
                <w:highlight w:val="none"/>
              </w:rPr>
            </w:pPr>
            <w:r>
              <w:rPr>
                <w:rFonts w:hint="eastAsia"/>
                <w:b/>
                <w:bCs/>
                <w:color w:val="0000FF"/>
                <w:sz w:val="24"/>
                <w:szCs w:val="24"/>
                <w:highlight w:val="none"/>
              </w:rPr>
              <w:t>（2）危险废物产生及处置措施</w:t>
            </w:r>
          </w:p>
          <w:p>
            <w:pPr>
              <w:spacing w:line="360" w:lineRule="auto"/>
              <w:ind w:firstLine="480" w:firstLineChars="200"/>
              <w:rPr>
                <w:rFonts w:hint="eastAsia"/>
                <w:b w:val="0"/>
                <w:bCs w:val="0"/>
                <w:color w:val="0000FF"/>
                <w:sz w:val="24"/>
                <w:szCs w:val="24"/>
                <w:highlight w:val="none"/>
              </w:rPr>
            </w:pPr>
            <w:r>
              <w:rPr>
                <w:rFonts w:hint="eastAsia"/>
                <w:b w:val="0"/>
                <w:bCs w:val="0"/>
                <w:color w:val="0000FF"/>
                <w:sz w:val="24"/>
                <w:szCs w:val="24"/>
                <w:highlight w:val="none"/>
              </w:rPr>
              <w:t>①废机油</w:t>
            </w:r>
          </w:p>
          <w:p>
            <w:pPr>
              <w:spacing w:line="360" w:lineRule="auto"/>
              <w:ind w:firstLine="480" w:firstLineChars="200"/>
              <w:rPr>
                <w:rFonts w:hint="eastAsia"/>
                <w:color w:val="0000FF"/>
                <w:sz w:val="24"/>
                <w:szCs w:val="24"/>
                <w:highlight w:val="none"/>
              </w:rPr>
            </w:pPr>
            <w:r>
              <w:rPr>
                <w:rFonts w:hint="eastAsia"/>
                <w:color w:val="0000FF"/>
                <w:sz w:val="24"/>
                <w:szCs w:val="24"/>
                <w:highlight w:val="none"/>
              </w:rPr>
              <w:t>项目在设备运行生产、维修过程中会产生废机油，废机油产生量约0.01t/a。其属于《国家危险废物名录》2021年版本中“HW08号：废矿物油与含矿物油废物，其废物代码属于：900-214-08车辆、机械维修和拆解过程中产生的废发动机油、制动器油、自动变速器油、齿轮油等废润滑油”。项目废机油暂存于危废间，定期交由资质单位处理。</w:t>
            </w:r>
          </w:p>
          <w:p>
            <w:pPr>
              <w:spacing w:line="360" w:lineRule="auto"/>
              <w:ind w:firstLine="480" w:firstLineChars="200"/>
              <w:rPr>
                <w:color w:val="auto"/>
                <w:sz w:val="24"/>
                <w:szCs w:val="24"/>
                <w:highlight w:val="none"/>
              </w:rPr>
            </w:pPr>
            <w:r>
              <w:rPr>
                <w:rFonts w:hint="eastAsia"/>
                <w:color w:val="auto"/>
                <w:sz w:val="24"/>
                <w:szCs w:val="24"/>
                <w:highlight w:val="none"/>
              </w:rPr>
              <w:t>项目固体废物污染源强及处置措施见下表：</w:t>
            </w:r>
          </w:p>
          <w:p>
            <w:pPr>
              <w:shd w:val="clear"/>
              <w:spacing w:line="360" w:lineRule="auto"/>
              <w:jc w:val="center"/>
              <w:rPr>
                <w:rFonts w:hint="eastAsia" w:cs="Times New Roman"/>
                <w:b/>
                <w:bCs w:val="0"/>
                <w:color w:val="auto"/>
                <w:sz w:val="24"/>
                <w:szCs w:val="24"/>
                <w:highlight w:val="none"/>
              </w:rPr>
            </w:pPr>
            <w:r>
              <w:rPr>
                <w:rFonts w:hint="eastAsia" w:cs="Times New Roman"/>
                <w:b/>
                <w:bCs w:val="0"/>
                <w:color w:val="auto"/>
                <w:sz w:val="24"/>
                <w:szCs w:val="24"/>
                <w:highlight w:val="none"/>
              </w:rPr>
              <w:t>表4-</w:t>
            </w:r>
            <w:r>
              <w:rPr>
                <w:rFonts w:hint="eastAsia" w:cs="Times New Roman"/>
                <w:b/>
                <w:bCs w:val="0"/>
                <w:color w:val="auto"/>
                <w:sz w:val="24"/>
                <w:szCs w:val="24"/>
                <w:highlight w:val="none"/>
                <w:lang w:val="en-US" w:eastAsia="zh-CN"/>
              </w:rPr>
              <w:t>15</w:t>
            </w:r>
            <w:r>
              <w:rPr>
                <w:rFonts w:hint="eastAsia" w:cs="Times New Roman"/>
                <w:b/>
                <w:bCs w:val="0"/>
                <w:color w:val="auto"/>
                <w:sz w:val="24"/>
                <w:szCs w:val="24"/>
                <w:highlight w:val="none"/>
              </w:rPr>
              <w:t xml:space="preserve">  固体废物污染源强及处置措施表</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303"/>
              <w:gridCol w:w="1114"/>
              <w:gridCol w:w="874"/>
              <w:gridCol w:w="1439"/>
              <w:gridCol w:w="901"/>
              <w:gridCol w:w="1254"/>
              <w:gridCol w:w="17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58"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产生源</w:t>
                  </w:r>
                </w:p>
              </w:tc>
              <w:tc>
                <w:tcPr>
                  <w:tcW w:w="648"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固体废物名称</w:t>
                  </w:r>
                </w:p>
              </w:tc>
              <w:tc>
                <w:tcPr>
                  <w:tcW w:w="508"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固废属性</w:t>
                  </w:r>
                </w:p>
              </w:tc>
              <w:tc>
                <w:tcPr>
                  <w:tcW w:w="837"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cs="Times New Roman"/>
                      <w:b/>
                      <w:bCs/>
                      <w:color w:val="auto"/>
                      <w:sz w:val="21"/>
                      <w:szCs w:val="21"/>
                      <w:highlight w:val="none"/>
                      <w:lang w:eastAsia="zh-CN"/>
                    </w:rPr>
                  </w:pPr>
                  <w:r>
                    <w:rPr>
                      <w:rFonts w:hint="eastAsia" w:ascii="Times New Roman" w:hAnsi="Times New Roman" w:cs="Times New Roman"/>
                      <w:b/>
                      <w:bCs/>
                      <w:color w:val="auto"/>
                      <w:sz w:val="21"/>
                      <w:szCs w:val="21"/>
                      <w:highlight w:val="none"/>
                    </w:rPr>
                    <w:t>产生量(t/a)</w:t>
                  </w:r>
                </w:p>
              </w:tc>
              <w:tc>
                <w:tcPr>
                  <w:tcW w:w="1253" w:type="pct"/>
                  <w:gridSpan w:val="2"/>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处置措施</w:t>
                  </w:r>
                </w:p>
              </w:tc>
              <w:tc>
                <w:tcPr>
                  <w:tcW w:w="993"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最终去向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58"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p>
              </w:tc>
              <w:tc>
                <w:tcPr>
                  <w:tcW w:w="648"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p>
              </w:tc>
              <w:tc>
                <w:tcPr>
                  <w:tcW w:w="508"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p>
              </w:tc>
              <w:tc>
                <w:tcPr>
                  <w:tcW w:w="83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highlight w:val="none"/>
                    </w:rPr>
                  </w:pPr>
                </w:p>
              </w:tc>
              <w:tc>
                <w:tcPr>
                  <w:tcW w:w="52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工艺</w:t>
                  </w:r>
                </w:p>
              </w:tc>
              <w:tc>
                <w:tcPr>
                  <w:tcW w:w="72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处置量(t/a)</w:t>
                  </w:r>
                </w:p>
              </w:tc>
              <w:tc>
                <w:tcPr>
                  <w:tcW w:w="9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54" w:hRule="atLeast"/>
                <w:jc w:val="center"/>
              </w:trPr>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生产及办公人员</w:t>
                  </w:r>
                </w:p>
              </w:tc>
              <w:tc>
                <w:tcPr>
                  <w:tcW w:w="6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生活垃圾</w:t>
                  </w:r>
                </w:p>
              </w:tc>
              <w:tc>
                <w:tcPr>
                  <w:tcW w:w="50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rFonts w:hint="eastAsia"/>
                      <w:color w:val="auto"/>
                      <w:sz w:val="21"/>
                      <w:szCs w:val="21"/>
                      <w:highlight w:val="none"/>
                    </w:rPr>
                    <w:t>一般废物</w:t>
                  </w:r>
                </w:p>
              </w:tc>
              <w:tc>
                <w:tcPr>
                  <w:tcW w:w="837"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0.9</w:t>
                  </w:r>
                </w:p>
              </w:tc>
              <w:tc>
                <w:tcPr>
                  <w:tcW w:w="5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委托处置</w:t>
                  </w:r>
                </w:p>
              </w:tc>
              <w:tc>
                <w:tcPr>
                  <w:tcW w:w="729"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0.9</w:t>
                  </w:r>
                </w:p>
              </w:tc>
              <w:tc>
                <w:tcPr>
                  <w:tcW w:w="993"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黑体"/>
                      <w:color w:val="auto"/>
                      <w:kern w:val="2"/>
                      <w:sz w:val="21"/>
                      <w:szCs w:val="21"/>
                      <w:highlight w:val="none"/>
                      <w:lang w:val="en-US" w:eastAsia="zh-CN" w:bidi="ar-SA"/>
                    </w:rPr>
                  </w:pPr>
                  <w:r>
                    <w:rPr>
                      <w:rFonts w:hint="default" w:ascii="Times New Roman" w:hAnsi="Times New Roman" w:eastAsia="宋体" w:cs="黑体"/>
                      <w:color w:val="auto"/>
                      <w:kern w:val="2"/>
                      <w:sz w:val="21"/>
                      <w:szCs w:val="21"/>
                      <w:highlight w:val="none"/>
                      <w:lang w:val="en-US" w:eastAsia="zh-CN" w:bidi="ar-SA"/>
                    </w:rPr>
                    <w:t>环卫部门清运处理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螺旋绞砂机</w:t>
                  </w:r>
                </w:p>
              </w:tc>
              <w:tc>
                <w:tcPr>
                  <w:tcW w:w="6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砂</w:t>
                  </w:r>
                </w:p>
              </w:tc>
              <w:tc>
                <w:tcPr>
                  <w:tcW w:w="5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FF"/>
                      <w:sz w:val="21"/>
                      <w:szCs w:val="21"/>
                      <w:highlight w:val="none"/>
                    </w:rPr>
                  </w:pPr>
                </w:p>
              </w:tc>
              <w:tc>
                <w:tcPr>
                  <w:tcW w:w="837"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firstLine="0" w:firstLineChars="0"/>
                    <w:jc w:val="center"/>
                    <w:textAlignment w:val="auto"/>
                    <w:rPr>
                      <w:rFonts w:hint="default"/>
                      <w:color w:val="0000FF"/>
                      <w:sz w:val="21"/>
                      <w:szCs w:val="21"/>
                      <w:highlight w:val="none"/>
                      <w:lang w:val="en-US" w:eastAsia="zh-CN"/>
                    </w:rPr>
                  </w:pPr>
                  <w:r>
                    <w:rPr>
                      <w:rFonts w:hint="eastAsia"/>
                      <w:color w:val="0000FF"/>
                      <w:sz w:val="21"/>
                      <w:szCs w:val="21"/>
                      <w:highlight w:val="none"/>
                      <w:lang w:val="en-US" w:eastAsia="zh-CN"/>
                    </w:rPr>
                    <w:t>10</w:t>
                  </w:r>
                </w:p>
              </w:tc>
              <w:tc>
                <w:tcPr>
                  <w:tcW w:w="5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FF"/>
                      <w:sz w:val="21"/>
                      <w:szCs w:val="21"/>
                      <w:highlight w:val="none"/>
                    </w:rPr>
                  </w:pPr>
                  <w:r>
                    <w:rPr>
                      <w:color w:val="0000FF"/>
                      <w:sz w:val="21"/>
                      <w:szCs w:val="21"/>
                      <w:highlight w:val="none"/>
                    </w:rPr>
                    <w:t>委托处置</w:t>
                  </w:r>
                </w:p>
              </w:tc>
              <w:tc>
                <w:tcPr>
                  <w:tcW w:w="729"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黑体"/>
                      <w:color w:val="0000FF"/>
                      <w:kern w:val="2"/>
                      <w:sz w:val="21"/>
                      <w:szCs w:val="21"/>
                      <w:highlight w:val="none"/>
                      <w:lang w:val="en-US" w:eastAsia="zh-CN" w:bidi="ar-SA"/>
                    </w:rPr>
                  </w:pPr>
                  <w:r>
                    <w:rPr>
                      <w:rFonts w:hint="eastAsia"/>
                      <w:color w:val="0000FF"/>
                      <w:sz w:val="21"/>
                      <w:szCs w:val="21"/>
                      <w:highlight w:val="none"/>
                      <w:lang w:val="en-US" w:eastAsia="zh-CN"/>
                    </w:rPr>
                    <w:t>10</w:t>
                  </w:r>
                </w:p>
              </w:tc>
              <w:tc>
                <w:tcPr>
                  <w:tcW w:w="993"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黑体"/>
                      <w:color w:val="0000FF"/>
                      <w:kern w:val="2"/>
                      <w:sz w:val="21"/>
                      <w:szCs w:val="21"/>
                      <w:highlight w:val="none"/>
                      <w:lang w:val="en-US" w:eastAsia="zh-CN" w:bidi="ar-SA"/>
                    </w:rPr>
                  </w:pPr>
                  <w:r>
                    <w:rPr>
                      <w:rFonts w:hint="eastAsia" w:cs="黑体"/>
                      <w:color w:val="0000FF"/>
                      <w:kern w:val="2"/>
                      <w:sz w:val="21"/>
                      <w:szCs w:val="21"/>
                      <w:highlight w:val="none"/>
                      <w:lang w:val="en-US" w:eastAsia="zh-CN" w:bidi="ar-SA"/>
                    </w:rP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沉淀池/压滤机</w:t>
                  </w:r>
                </w:p>
              </w:tc>
              <w:tc>
                <w:tcPr>
                  <w:tcW w:w="6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泥饼</w:t>
                  </w:r>
                </w:p>
              </w:tc>
              <w:tc>
                <w:tcPr>
                  <w:tcW w:w="5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837"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100</w:t>
                  </w:r>
                </w:p>
              </w:tc>
              <w:tc>
                <w:tcPr>
                  <w:tcW w:w="5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委托处置</w:t>
                  </w:r>
                </w:p>
              </w:tc>
              <w:tc>
                <w:tcPr>
                  <w:tcW w:w="729"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100</w:t>
                  </w:r>
                </w:p>
              </w:tc>
              <w:tc>
                <w:tcPr>
                  <w:tcW w:w="993"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外售砖厂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石</w:t>
                  </w:r>
                  <w:r>
                    <w:rPr>
                      <w:rFonts w:hint="eastAsia"/>
                      <w:color w:val="auto"/>
                      <w:sz w:val="21"/>
                      <w:szCs w:val="21"/>
                      <w:highlight w:val="none"/>
                      <w:lang w:val="en-US" w:eastAsia="zh-CN"/>
                    </w:rPr>
                    <w:t>料</w:t>
                  </w:r>
                  <w:r>
                    <w:rPr>
                      <w:rFonts w:hint="eastAsia" w:cs="Times New Roman" w:eastAsiaTheme="minorEastAsia"/>
                      <w:color w:val="auto"/>
                      <w:sz w:val="21"/>
                      <w:szCs w:val="21"/>
                      <w:highlight w:val="none"/>
                      <w:lang w:val="en-US" w:eastAsia="zh-CN"/>
                    </w:rPr>
                    <w:t>加工</w:t>
                  </w:r>
                </w:p>
              </w:tc>
              <w:tc>
                <w:tcPr>
                  <w:tcW w:w="6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olor w:val="auto"/>
                      <w:sz w:val="21"/>
                      <w:szCs w:val="21"/>
                      <w:highlight w:val="none"/>
                      <w:lang w:val="en-US" w:eastAsia="zh-CN"/>
                    </w:rPr>
                    <w:t>边角</w:t>
                  </w:r>
                  <w:r>
                    <w:rPr>
                      <w:rFonts w:hint="default" w:ascii="Times New Roman" w:hAnsi="Times New Roman" w:cs="Times New Roman"/>
                      <w:color w:val="auto"/>
                      <w:sz w:val="21"/>
                      <w:szCs w:val="21"/>
                      <w:highlight w:val="none"/>
                      <w:lang w:val="en-US" w:eastAsia="zh-CN"/>
                    </w:rPr>
                    <w:t>石</w:t>
                  </w:r>
                  <w:r>
                    <w:rPr>
                      <w:rFonts w:hint="eastAsia"/>
                      <w:color w:val="auto"/>
                      <w:sz w:val="21"/>
                      <w:szCs w:val="21"/>
                      <w:highlight w:val="none"/>
                      <w:lang w:val="en-US" w:eastAsia="zh-CN"/>
                    </w:rPr>
                    <w:t>料</w:t>
                  </w:r>
                </w:p>
              </w:tc>
              <w:tc>
                <w:tcPr>
                  <w:tcW w:w="5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837"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200</w:t>
                  </w:r>
                </w:p>
              </w:tc>
              <w:tc>
                <w:tcPr>
                  <w:tcW w:w="5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委托处置</w:t>
                  </w:r>
                </w:p>
              </w:tc>
              <w:tc>
                <w:tcPr>
                  <w:tcW w:w="729"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200</w:t>
                  </w:r>
                </w:p>
              </w:tc>
              <w:tc>
                <w:tcPr>
                  <w:tcW w:w="993"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送至砂厂制砂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cs="Times New Roman"/>
                      <w:color w:val="0000FF"/>
                      <w:sz w:val="21"/>
                      <w:szCs w:val="21"/>
                      <w:highlight w:val="none"/>
                    </w:rPr>
                    <w:t>设备保养</w:t>
                  </w:r>
                </w:p>
              </w:tc>
              <w:tc>
                <w:tcPr>
                  <w:tcW w:w="6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废机油</w:t>
                  </w:r>
                </w:p>
              </w:tc>
              <w:tc>
                <w:tcPr>
                  <w:tcW w:w="5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黑体"/>
                      <w:color w:val="0000FF"/>
                      <w:kern w:val="2"/>
                      <w:sz w:val="21"/>
                      <w:szCs w:val="21"/>
                      <w:highlight w:val="none"/>
                      <w:lang w:val="en-US" w:eastAsia="zh-CN" w:bidi="ar-SA"/>
                    </w:rPr>
                  </w:pPr>
                  <w:r>
                    <w:rPr>
                      <w:rFonts w:hint="eastAsia"/>
                      <w:color w:val="0000FF"/>
                      <w:szCs w:val="21"/>
                      <w:highlight w:val="none"/>
                      <w:lang w:val="en-US" w:eastAsia="zh-CN"/>
                    </w:rPr>
                    <w:t>危险废物</w:t>
                  </w:r>
                </w:p>
              </w:tc>
              <w:tc>
                <w:tcPr>
                  <w:tcW w:w="837"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黑体"/>
                      <w:color w:val="0000FF"/>
                      <w:kern w:val="2"/>
                      <w:sz w:val="21"/>
                      <w:szCs w:val="21"/>
                      <w:highlight w:val="none"/>
                      <w:lang w:val="en-US" w:eastAsia="zh-CN" w:bidi="ar-SA"/>
                    </w:rPr>
                  </w:pPr>
                  <w:r>
                    <w:rPr>
                      <w:rFonts w:hint="eastAsia"/>
                      <w:color w:val="0000FF"/>
                      <w:sz w:val="21"/>
                      <w:szCs w:val="21"/>
                      <w:highlight w:val="none"/>
                      <w:lang w:val="en-US" w:eastAsia="zh-CN"/>
                    </w:rPr>
                    <w:t>0.01</w:t>
                  </w:r>
                </w:p>
              </w:tc>
              <w:tc>
                <w:tcPr>
                  <w:tcW w:w="5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黑体"/>
                      <w:color w:val="0000FF"/>
                      <w:kern w:val="2"/>
                      <w:sz w:val="21"/>
                      <w:szCs w:val="21"/>
                      <w:highlight w:val="none"/>
                      <w:lang w:val="en-US" w:eastAsia="zh-CN" w:bidi="ar-SA"/>
                    </w:rPr>
                  </w:pPr>
                  <w:r>
                    <w:rPr>
                      <w:rFonts w:hint="eastAsia"/>
                      <w:color w:val="0000FF"/>
                      <w:szCs w:val="21"/>
                      <w:highlight w:val="none"/>
                      <w:lang w:val="en-US" w:eastAsia="zh-CN"/>
                    </w:rPr>
                    <w:t>/</w:t>
                  </w:r>
                </w:p>
              </w:tc>
              <w:tc>
                <w:tcPr>
                  <w:tcW w:w="729"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黑体"/>
                      <w:color w:val="0000FF"/>
                      <w:kern w:val="2"/>
                      <w:sz w:val="21"/>
                      <w:szCs w:val="21"/>
                      <w:highlight w:val="none"/>
                      <w:lang w:val="en-US" w:eastAsia="zh-CN" w:bidi="ar-SA"/>
                    </w:rPr>
                  </w:pPr>
                  <w:r>
                    <w:rPr>
                      <w:rFonts w:hint="eastAsia"/>
                      <w:color w:val="0000FF"/>
                      <w:sz w:val="21"/>
                      <w:szCs w:val="21"/>
                      <w:highlight w:val="none"/>
                      <w:lang w:val="en-US" w:eastAsia="zh-CN"/>
                    </w:rPr>
                    <w:t>0.01</w:t>
                  </w:r>
                </w:p>
              </w:tc>
              <w:tc>
                <w:tcPr>
                  <w:tcW w:w="993"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黑体"/>
                      <w:color w:val="0000FF"/>
                      <w:kern w:val="2"/>
                      <w:sz w:val="21"/>
                      <w:szCs w:val="21"/>
                      <w:highlight w:val="none"/>
                      <w:lang w:val="en-US" w:eastAsia="zh-CN" w:bidi="ar-SA"/>
                    </w:rPr>
                  </w:pPr>
                  <w:r>
                    <w:rPr>
                      <w:rFonts w:hint="default" w:ascii="Times New Roman" w:hAnsi="Times New Roman" w:eastAsia="宋体" w:cs="黑体"/>
                      <w:color w:val="0000FF"/>
                      <w:kern w:val="2"/>
                      <w:sz w:val="21"/>
                      <w:szCs w:val="21"/>
                      <w:highlight w:val="none"/>
                      <w:lang w:val="en-US" w:eastAsia="zh-CN" w:bidi="ar-SA"/>
                    </w:rPr>
                    <w:t>定期交由资质单位处理</w:t>
                  </w:r>
                </w:p>
              </w:tc>
            </w:tr>
          </w:tbl>
          <w:p>
            <w:pPr>
              <w:spacing w:line="360" w:lineRule="auto"/>
              <w:ind w:firstLine="482" w:firstLineChars="200"/>
              <w:rPr>
                <w:rFonts w:hint="eastAsia"/>
                <w:b/>
                <w:color w:val="0000FF"/>
                <w:sz w:val="24"/>
                <w:szCs w:val="24"/>
                <w:highlight w:val="none"/>
              </w:rPr>
            </w:pPr>
            <w:r>
              <w:rPr>
                <w:rFonts w:hint="eastAsia"/>
                <w:b/>
                <w:color w:val="0000FF"/>
                <w:sz w:val="24"/>
                <w:szCs w:val="24"/>
                <w:highlight w:val="none"/>
              </w:rPr>
              <w:t>根据《危险废物贮存污染控制标准》（GB18597-2023）中有关要求，建设单位应按规范设置1间危废暂存间（建筑面积约</w:t>
            </w:r>
            <w:r>
              <w:rPr>
                <w:rFonts w:hint="eastAsia"/>
                <w:b/>
                <w:color w:val="0000FF"/>
                <w:sz w:val="24"/>
                <w:szCs w:val="24"/>
                <w:highlight w:val="none"/>
                <w:lang w:val="en-US" w:eastAsia="zh-CN"/>
              </w:rPr>
              <w:t>3</w:t>
            </w:r>
            <w:r>
              <w:rPr>
                <w:rFonts w:hint="eastAsia"/>
                <w:b/>
                <w:color w:val="0000FF"/>
                <w:sz w:val="24"/>
                <w:szCs w:val="24"/>
                <w:highlight w:val="none"/>
              </w:rPr>
              <w:t>m</w:t>
            </w:r>
            <w:r>
              <w:rPr>
                <w:rFonts w:hint="eastAsia"/>
                <w:b/>
                <w:color w:val="0000FF"/>
                <w:sz w:val="24"/>
                <w:szCs w:val="24"/>
                <w:highlight w:val="none"/>
                <w:vertAlign w:val="superscript"/>
              </w:rPr>
              <w:t>2</w:t>
            </w:r>
            <w:r>
              <w:rPr>
                <w:rFonts w:hint="eastAsia"/>
                <w:b/>
                <w:color w:val="0000FF"/>
                <w:sz w:val="24"/>
                <w:szCs w:val="24"/>
                <w:highlight w:val="none"/>
              </w:rPr>
              <w:t>），危险废物需经分类收集后暂存于危废暂存间，定期交由资质单位处理。</w:t>
            </w:r>
          </w:p>
          <w:p>
            <w:pPr>
              <w:spacing w:line="360" w:lineRule="auto"/>
              <w:ind w:firstLine="480" w:firstLineChars="200"/>
              <w:rPr>
                <w:color w:val="0000FF"/>
                <w:sz w:val="24"/>
                <w:szCs w:val="24"/>
                <w:highlight w:val="none"/>
              </w:rPr>
            </w:pPr>
            <w:r>
              <w:rPr>
                <w:color w:val="0000FF"/>
                <w:sz w:val="24"/>
                <w:szCs w:val="24"/>
                <w:highlight w:val="none"/>
              </w:rPr>
              <w:t>综上所述</w:t>
            </w:r>
            <w:r>
              <w:rPr>
                <w:rFonts w:hint="eastAsia"/>
                <w:color w:val="0000FF"/>
                <w:sz w:val="24"/>
                <w:szCs w:val="24"/>
                <w:highlight w:val="none"/>
              </w:rPr>
              <w:t>，本项目危废暂存间基本情况见表</w:t>
            </w:r>
            <w:r>
              <w:rPr>
                <w:color w:val="0000FF"/>
                <w:sz w:val="24"/>
                <w:szCs w:val="24"/>
                <w:highlight w:val="none"/>
              </w:rPr>
              <w:t>4</w:t>
            </w:r>
            <w:r>
              <w:rPr>
                <w:rFonts w:hint="eastAsia"/>
                <w:color w:val="0000FF"/>
                <w:sz w:val="24"/>
                <w:szCs w:val="24"/>
                <w:highlight w:val="none"/>
              </w:rPr>
              <w:t>-</w:t>
            </w:r>
            <w:r>
              <w:rPr>
                <w:rFonts w:hint="eastAsia"/>
                <w:color w:val="0000FF"/>
                <w:sz w:val="24"/>
                <w:szCs w:val="24"/>
                <w:highlight w:val="none"/>
                <w:lang w:val="en-US" w:eastAsia="zh-CN"/>
              </w:rPr>
              <w:t>16</w:t>
            </w:r>
            <w:r>
              <w:rPr>
                <w:rFonts w:hint="eastAsia"/>
                <w:color w:val="0000FF"/>
                <w:sz w:val="24"/>
                <w:szCs w:val="24"/>
                <w:highlight w:val="none"/>
              </w:rPr>
              <w:t>，危险废物处置措施见表</w:t>
            </w:r>
            <w:r>
              <w:rPr>
                <w:color w:val="0000FF"/>
                <w:sz w:val="24"/>
                <w:szCs w:val="24"/>
                <w:highlight w:val="none"/>
              </w:rPr>
              <w:t>4</w:t>
            </w:r>
            <w:r>
              <w:rPr>
                <w:rFonts w:hint="eastAsia"/>
                <w:color w:val="0000FF"/>
                <w:sz w:val="24"/>
                <w:szCs w:val="24"/>
                <w:highlight w:val="none"/>
              </w:rPr>
              <w:t>-</w:t>
            </w:r>
            <w:r>
              <w:rPr>
                <w:rFonts w:hint="eastAsia"/>
                <w:color w:val="0000FF"/>
                <w:sz w:val="24"/>
                <w:szCs w:val="24"/>
                <w:highlight w:val="none"/>
                <w:lang w:val="en-US" w:eastAsia="zh-CN"/>
              </w:rPr>
              <w:t>17</w:t>
            </w:r>
            <w:r>
              <w:rPr>
                <w:rFonts w:hint="eastAsia"/>
                <w:color w:val="0000FF"/>
                <w:sz w:val="24"/>
                <w:szCs w:val="24"/>
                <w:highlight w:val="none"/>
              </w:rPr>
              <w:t>。</w:t>
            </w:r>
          </w:p>
          <w:p>
            <w:pPr>
              <w:spacing w:line="360" w:lineRule="auto"/>
              <w:jc w:val="center"/>
              <w:rPr>
                <w:rFonts w:hint="eastAsia" w:ascii="Times New Roman" w:hAnsi="Times New Roman" w:eastAsia="宋体"/>
                <w:b/>
                <w:bCs/>
                <w:color w:val="0000FF"/>
                <w:sz w:val="24"/>
                <w:szCs w:val="24"/>
                <w:highlight w:val="none"/>
              </w:rPr>
            </w:pPr>
            <w:r>
              <w:rPr>
                <w:rFonts w:hint="eastAsia" w:ascii="Times New Roman" w:hAnsi="Times New Roman" w:eastAsia="宋体"/>
                <w:b/>
                <w:bCs/>
                <w:color w:val="0000FF"/>
                <w:sz w:val="24"/>
                <w:szCs w:val="24"/>
                <w:highlight w:val="none"/>
              </w:rPr>
              <w:t>表4-</w:t>
            </w:r>
            <w:r>
              <w:rPr>
                <w:rFonts w:hint="eastAsia"/>
                <w:b/>
                <w:bCs/>
                <w:color w:val="0000FF"/>
                <w:sz w:val="24"/>
                <w:szCs w:val="24"/>
                <w:highlight w:val="none"/>
                <w:lang w:val="en-US" w:eastAsia="zh-CN"/>
              </w:rPr>
              <w:t>16</w:t>
            </w:r>
            <w:r>
              <w:rPr>
                <w:rFonts w:hint="eastAsia" w:ascii="Times New Roman" w:hAnsi="Times New Roman" w:eastAsia="宋体"/>
                <w:b/>
                <w:bCs/>
                <w:color w:val="0000FF"/>
                <w:sz w:val="24"/>
                <w:szCs w:val="24"/>
                <w:highlight w:val="none"/>
              </w:rPr>
              <w:t xml:space="preserve">  危险废物贮存场所基本情况表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6" w:type="dxa"/>
                <w:bottom w:w="0" w:type="dxa"/>
                <w:right w:w="6" w:type="dxa"/>
              </w:tblCellMar>
            </w:tblPr>
            <w:tblGrid>
              <w:gridCol w:w="737"/>
              <w:gridCol w:w="1273"/>
              <w:gridCol w:w="1059"/>
              <w:gridCol w:w="1192"/>
              <w:gridCol w:w="692"/>
              <w:gridCol w:w="713"/>
              <w:gridCol w:w="1175"/>
              <w:gridCol w:w="844"/>
              <w:gridCol w:w="9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jc w:val="center"/>
              </w:trPr>
              <w:tc>
                <w:tcPr>
                  <w:tcW w:w="4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贮存场所名称</w:t>
                  </w:r>
                </w:p>
              </w:tc>
              <w:tc>
                <w:tcPr>
                  <w:tcW w:w="73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危险废物名称</w:t>
                  </w:r>
                </w:p>
              </w:tc>
              <w:tc>
                <w:tcPr>
                  <w:tcW w:w="6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危险废物类别</w:t>
                  </w:r>
                </w:p>
              </w:tc>
              <w:tc>
                <w:tcPr>
                  <w:tcW w:w="69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危险废物</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代码</w:t>
                  </w:r>
                </w:p>
              </w:tc>
              <w:tc>
                <w:tcPr>
                  <w:tcW w:w="40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位置</w:t>
                  </w:r>
                </w:p>
              </w:tc>
              <w:tc>
                <w:tcPr>
                  <w:tcW w:w="41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占地</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面积</w:t>
                  </w:r>
                </w:p>
              </w:tc>
              <w:tc>
                <w:tcPr>
                  <w:tcW w:w="6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贮存方式</w:t>
                  </w:r>
                </w:p>
              </w:tc>
              <w:tc>
                <w:tcPr>
                  <w:tcW w:w="49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贮存</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能力</w:t>
                  </w:r>
                </w:p>
              </w:tc>
              <w:tc>
                <w:tcPr>
                  <w:tcW w:w="53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贮存</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107" w:hRule="atLeast"/>
                <w:jc w:val="center"/>
              </w:trPr>
              <w:tc>
                <w:tcPr>
                  <w:tcW w:w="4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危废暂存间</w:t>
                  </w:r>
                </w:p>
              </w:tc>
              <w:tc>
                <w:tcPr>
                  <w:tcW w:w="73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cs="Times New Roman"/>
                      <w:color w:val="0000FF"/>
                      <w:sz w:val="21"/>
                      <w:szCs w:val="21"/>
                      <w:highlight w:val="none"/>
                    </w:rPr>
                    <w:t>废</w:t>
                  </w:r>
                  <w:r>
                    <w:rPr>
                      <w:rFonts w:hint="eastAsia" w:cs="Times New Roman"/>
                      <w:color w:val="0000FF"/>
                      <w:sz w:val="21"/>
                      <w:szCs w:val="21"/>
                      <w:highlight w:val="none"/>
                      <w:lang w:val="en-US" w:eastAsia="zh-CN"/>
                    </w:rPr>
                    <w:t>机油</w:t>
                  </w:r>
                </w:p>
              </w:tc>
              <w:tc>
                <w:tcPr>
                  <w:tcW w:w="6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cs="Times New Roman"/>
                      <w:color w:val="0000FF"/>
                      <w:sz w:val="21"/>
                      <w:szCs w:val="21"/>
                      <w:highlight w:val="none"/>
                    </w:rPr>
                    <w:t>HW08</w:t>
                  </w:r>
                </w:p>
              </w:tc>
              <w:tc>
                <w:tcPr>
                  <w:tcW w:w="69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FF"/>
                      <w:kern w:val="2"/>
                      <w:sz w:val="21"/>
                      <w:szCs w:val="21"/>
                      <w:highlight w:val="none"/>
                      <w:lang w:val="en-US" w:eastAsia="zh-CN" w:bidi="ar-SA"/>
                    </w:rPr>
                  </w:pPr>
                  <w:r>
                    <w:rPr>
                      <w:rFonts w:hint="eastAsia"/>
                      <w:color w:val="0000FF"/>
                      <w:sz w:val="21"/>
                      <w:szCs w:val="21"/>
                      <w:highlight w:val="none"/>
                      <w:lang w:val="en-US" w:eastAsia="zh-CN"/>
                    </w:rPr>
                    <w:t>900-214-08</w:t>
                  </w:r>
                </w:p>
              </w:tc>
              <w:tc>
                <w:tcPr>
                  <w:tcW w:w="40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机修房内</w:t>
                  </w:r>
                </w:p>
              </w:tc>
              <w:tc>
                <w:tcPr>
                  <w:tcW w:w="41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FF"/>
                      <w:sz w:val="21"/>
                      <w:szCs w:val="21"/>
                      <w:highlight w:val="none"/>
                    </w:rPr>
                  </w:pPr>
                  <w:r>
                    <w:rPr>
                      <w:rFonts w:hint="eastAsia" w:cs="Times New Roman"/>
                      <w:color w:val="0000FF"/>
                      <w:sz w:val="21"/>
                      <w:szCs w:val="21"/>
                      <w:highlight w:val="none"/>
                      <w:lang w:val="en-US" w:eastAsia="zh-CN"/>
                    </w:rPr>
                    <w:t>3</w:t>
                  </w:r>
                  <w:r>
                    <w:rPr>
                      <w:rFonts w:hint="default" w:ascii="Times New Roman" w:hAnsi="Times New Roman" w:cs="Times New Roman"/>
                      <w:color w:val="0000FF"/>
                      <w:sz w:val="21"/>
                      <w:szCs w:val="21"/>
                      <w:highlight w:val="none"/>
                    </w:rPr>
                    <w:t>m</w:t>
                  </w:r>
                  <w:r>
                    <w:rPr>
                      <w:rFonts w:hint="default" w:ascii="Times New Roman" w:hAnsi="Times New Roman" w:cs="Times New Roman"/>
                      <w:color w:val="0000FF"/>
                      <w:sz w:val="21"/>
                      <w:szCs w:val="21"/>
                      <w:highlight w:val="none"/>
                      <w:vertAlign w:val="superscript"/>
                    </w:rPr>
                    <w:t>2</w:t>
                  </w:r>
                </w:p>
              </w:tc>
              <w:tc>
                <w:tcPr>
                  <w:tcW w:w="6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cs="Times New Roman"/>
                      <w:color w:val="0000FF"/>
                      <w:sz w:val="21"/>
                      <w:szCs w:val="21"/>
                      <w:highlight w:val="none"/>
                    </w:rPr>
                    <w:t>专用桶装</w:t>
                  </w:r>
                </w:p>
              </w:tc>
              <w:tc>
                <w:tcPr>
                  <w:tcW w:w="49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cs="Times New Roman"/>
                      <w:color w:val="0000FF"/>
                      <w:sz w:val="21"/>
                      <w:szCs w:val="21"/>
                      <w:highlight w:val="none"/>
                    </w:rPr>
                    <w:t>0.1t</w:t>
                  </w:r>
                </w:p>
              </w:tc>
              <w:tc>
                <w:tcPr>
                  <w:tcW w:w="53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6</w:t>
                  </w:r>
                  <w:r>
                    <w:rPr>
                      <w:rFonts w:hint="default" w:ascii="Times New Roman" w:hAnsi="Times New Roman" w:cs="Times New Roman"/>
                      <w:color w:val="0000FF"/>
                      <w:sz w:val="21"/>
                      <w:szCs w:val="21"/>
                      <w:highlight w:val="none"/>
                    </w:rPr>
                    <w:t>个月</w:t>
                  </w:r>
                </w:p>
              </w:tc>
            </w:tr>
          </w:tbl>
          <w:p>
            <w:pPr>
              <w:spacing w:line="360" w:lineRule="auto"/>
              <w:jc w:val="center"/>
              <w:rPr>
                <w:rFonts w:hint="eastAsia" w:ascii="Times New Roman" w:hAnsi="Times New Roman" w:eastAsia="宋体"/>
                <w:b/>
                <w:bCs/>
                <w:color w:val="0000FF"/>
                <w:sz w:val="24"/>
                <w:szCs w:val="24"/>
                <w:highlight w:val="none"/>
              </w:rPr>
            </w:pPr>
            <w:r>
              <w:rPr>
                <w:rFonts w:hint="eastAsia" w:ascii="Times New Roman" w:hAnsi="Times New Roman" w:eastAsia="宋体"/>
                <w:b/>
                <w:bCs/>
                <w:color w:val="0000FF"/>
                <w:sz w:val="24"/>
                <w:szCs w:val="24"/>
                <w:highlight w:val="none"/>
              </w:rPr>
              <w:t>表4-</w:t>
            </w:r>
            <w:r>
              <w:rPr>
                <w:rFonts w:hint="eastAsia" w:ascii="Times New Roman" w:hAnsi="Times New Roman" w:eastAsia="宋体"/>
                <w:b/>
                <w:bCs/>
                <w:color w:val="0000FF"/>
                <w:sz w:val="24"/>
                <w:szCs w:val="24"/>
                <w:highlight w:val="none"/>
                <w:lang w:val="en-US" w:eastAsia="zh-CN"/>
              </w:rPr>
              <w:t>17</w:t>
            </w:r>
            <w:r>
              <w:rPr>
                <w:rFonts w:hint="eastAsia" w:ascii="Times New Roman" w:hAnsi="Times New Roman" w:eastAsia="宋体"/>
                <w:b/>
                <w:bCs/>
                <w:color w:val="0000FF"/>
                <w:sz w:val="24"/>
                <w:szCs w:val="24"/>
                <w:highlight w:val="none"/>
              </w:rPr>
              <w:t xml:space="preserve">  危险废物治理措施一览表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92"/>
              <w:gridCol w:w="676"/>
              <w:gridCol w:w="725"/>
              <w:gridCol w:w="954"/>
              <w:gridCol w:w="790"/>
              <w:gridCol w:w="993"/>
              <w:gridCol w:w="606"/>
              <w:gridCol w:w="689"/>
              <w:gridCol w:w="710"/>
              <w:gridCol w:w="541"/>
              <w:gridCol w:w="634"/>
              <w:gridCol w:w="8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18"/>
                      <w:szCs w:val="18"/>
                      <w:highlight w:val="none"/>
                    </w:rPr>
                  </w:pPr>
                  <w:r>
                    <w:rPr>
                      <w:rFonts w:hint="default" w:ascii="Times New Roman" w:hAnsi="Times New Roman" w:cs="Times New Roman"/>
                      <w:b/>
                      <w:bCs/>
                      <w:color w:val="0000FF"/>
                      <w:sz w:val="18"/>
                      <w:szCs w:val="18"/>
                      <w:highlight w:val="none"/>
                    </w:rPr>
                    <w:t>序号</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18"/>
                      <w:szCs w:val="18"/>
                      <w:highlight w:val="none"/>
                    </w:rPr>
                  </w:pPr>
                  <w:r>
                    <w:rPr>
                      <w:rFonts w:hint="default" w:ascii="Times New Roman" w:hAnsi="Times New Roman" w:cs="Times New Roman"/>
                      <w:b/>
                      <w:bCs/>
                      <w:color w:val="0000FF"/>
                      <w:sz w:val="18"/>
                      <w:szCs w:val="18"/>
                      <w:highlight w:val="none"/>
                    </w:rPr>
                    <w:t>危险废物名称</w:t>
                  </w:r>
                </w:p>
              </w:tc>
              <w:tc>
                <w:tcPr>
                  <w:tcW w:w="42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18"/>
                      <w:szCs w:val="18"/>
                      <w:highlight w:val="none"/>
                    </w:rPr>
                  </w:pPr>
                  <w:r>
                    <w:rPr>
                      <w:rFonts w:hint="default" w:ascii="Times New Roman" w:hAnsi="Times New Roman" w:cs="Times New Roman"/>
                      <w:b/>
                      <w:bCs/>
                      <w:color w:val="0000FF"/>
                      <w:sz w:val="18"/>
                      <w:szCs w:val="18"/>
                      <w:highlight w:val="none"/>
                    </w:rPr>
                    <w:t>危险废物类别</w:t>
                  </w:r>
                </w:p>
              </w:tc>
              <w:tc>
                <w:tcPr>
                  <w:tcW w:w="48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18"/>
                      <w:szCs w:val="18"/>
                      <w:highlight w:val="none"/>
                    </w:rPr>
                  </w:pPr>
                  <w:r>
                    <w:rPr>
                      <w:rFonts w:hint="default" w:ascii="Times New Roman" w:hAnsi="Times New Roman" w:cs="Times New Roman"/>
                      <w:b/>
                      <w:bCs/>
                      <w:color w:val="0000FF"/>
                      <w:sz w:val="18"/>
                      <w:szCs w:val="18"/>
                      <w:highlight w:val="none"/>
                    </w:rPr>
                    <w:t>危险废物代码</w:t>
                  </w:r>
                </w:p>
              </w:tc>
              <w:tc>
                <w:tcPr>
                  <w:tcW w:w="46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18"/>
                      <w:szCs w:val="18"/>
                      <w:highlight w:val="none"/>
                    </w:rPr>
                  </w:pPr>
                  <w:r>
                    <w:rPr>
                      <w:rFonts w:hint="default" w:ascii="Times New Roman" w:hAnsi="Times New Roman" w:cs="Times New Roman"/>
                      <w:b/>
                      <w:bCs/>
                      <w:color w:val="0000FF"/>
                      <w:sz w:val="18"/>
                      <w:szCs w:val="18"/>
                      <w:highlight w:val="none"/>
                    </w:rPr>
                    <w:t>产生量</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18"/>
                      <w:szCs w:val="18"/>
                      <w:highlight w:val="none"/>
                    </w:rPr>
                  </w:pPr>
                  <w:r>
                    <w:rPr>
                      <w:rFonts w:hint="default" w:ascii="Times New Roman" w:hAnsi="Times New Roman" w:cs="Times New Roman"/>
                      <w:b/>
                      <w:bCs/>
                      <w:color w:val="0000FF"/>
                      <w:sz w:val="18"/>
                      <w:szCs w:val="18"/>
                      <w:highlight w:val="none"/>
                    </w:rPr>
                    <w:t>（t/a）</w:t>
                  </w:r>
                </w:p>
              </w:tc>
              <w:tc>
                <w:tcPr>
                  <w:tcW w:w="5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18"/>
                      <w:szCs w:val="18"/>
                      <w:highlight w:val="none"/>
                    </w:rPr>
                  </w:pPr>
                  <w:r>
                    <w:rPr>
                      <w:rFonts w:hint="default" w:ascii="Times New Roman" w:hAnsi="Times New Roman" w:cs="Times New Roman"/>
                      <w:b/>
                      <w:bCs/>
                      <w:color w:val="0000FF"/>
                      <w:sz w:val="18"/>
                      <w:szCs w:val="18"/>
                      <w:highlight w:val="none"/>
                    </w:rPr>
                    <w:t>产生工序及装置</w:t>
                  </w:r>
                </w:p>
              </w:tc>
              <w:tc>
                <w:tcPr>
                  <w:tcW w:w="35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18"/>
                      <w:szCs w:val="18"/>
                      <w:highlight w:val="none"/>
                    </w:rPr>
                  </w:pPr>
                  <w:r>
                    <w:rPr>
                      <w:rFonts w:hint="default" w:ascii="Times New Roman" w:hAnsi="Times New Roman" w:cs="Times New Roman"/>
                      <w:b/>
                      <w:bCs/>
                      <w:color w:val="0000FF"/>
                      <w:sz w:val="18"/>
                      <w:szCs w:val="18"/>
                      <w:highlight w:val="none"/>
                    </w:rPr>
                    <w:t>形态</w:t>
                  </w:r>
                </w:p>
              </w:tc>
              <w:tc>
                <w:tcPr>
                  <w:tcW w:w="4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18"/>
                      <w:szCs w:val="18"/>
                      <w:highlight w:val="none"/>
                    </w:rPr>
                  </w:pPr>
                  <w:r>
                    <w:rPr>
                      <w:rFonts w:hint="default" w:ascii="Times New Roman" w:hAnsi="Times New Roman" w:cs="Times New Roman"/>
                      <w:b/>
                      <w:bCs/>
                      <w:color w:val="0000FF"/>
                      <w:sz w:val="18"/>
                      <w:szCs w:val="18"/>
                      <w:highlight w:val="none"/>
                    </w:rPr>
                    <w:t>主要成分</w:t>
                  </w:r>
                </w:p>
              </w:tc>
              <w:tc>
                <w:tcPr>
                  <w:tcW w:w="41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18"/>
                      <w:szCs w:val="18"/>
                      <w:highlight w:val="none"/>
                    </w:rPr>
                  </w:pPr>
                  <w:r>
                    <w:rPr>
                      <w:rFonts w:hint="default" w:ascii="Times New Roman" w:hAnsi="Times New Roman" w:cs="Times New Roman"/>
                      <w:b/>
                      <w:bCs/>
                      <w:color w:val="0000FF"/>
                      <w:sz w:val="18"/>
                      <w:szCs w:val="18"/>
                      <w:highlight w:val="none"/>
                    </w:rPr>
                    <w:t>有害成分</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18"/>
                      <w:szCs w:val="18"/>
                      <w:highlight w:val="none"/>
                    </w:rPr>
                  </w:pPr>
                  <w:r>
                    <w:rPr>
                      <w:rFonts w:hint="default" w:ascii="Times New Roman" w:hAnsi="Times New Roman" w:cs="Times New Roman"/>
                      <w:b/>
                      <w:bCs/>
                      <w:color w:val="0000FF"/>
                      <w:sz w:val="18"/>
                      <w:szCs w:val="18"/>
                      <w:highlight w:val="none"/>
                    </w:rPr>
                    <w:t>产废周期</w:t>
                  </w:r>
                </w:p>
              </w:tc>
              <w:tc>
                <w:tcPr>
                  <w:tcW w:w="37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18"/>
                      <w:szCs w:val="18"/>
                      <w:highlight w:val="none"/>
                    </w:rPr>
                  </w:pPr>
                  <w:r>
                    <w:rPr>
                      <w:rFonts w:hint="default" w:ascii="Times New Roman" w:hAnsi="Times New Roman" w:cs="Times New Roman"/>
                      <w:b/>
                      <w:bCs/>
                      <w:color w:val="0000FF"/>
                      <w:sz w:val="18"/>
                      <w:szCs w:val="18"/>
                      <w:highlight w:val="none"/>
                    </w:rPr>
                    <w:t>危险特性</w:t>
                  </w:r>
                </w:p>
              </w:tc>
              <w:tc>
                <w:tcPr>
                  <w:tcW w:w="52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18"/>
                      <w:szCs w:val="18"/>
                      <w:highlight w:val="none"/>
                    </w:rPr>
                  </w:pPr>
                  <w:r>
                    <w:rPr>
                      <w:rFonts w:hint="default" w:ascii="Times New Roman" w:hAnsi="Times New Roman" w:cs="Times New Roman"/>
                      <w:b/>
                      <w:bCs/>
                      <w:color w:val="0000FF"/>
                      <w:sz w:val="18"/>
                      <w:szCs w:val="18"/>
                      <w:highlight w:val="none"/>
                    </w:rPr>
                    <w:t>污染物防治措施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FF"/>
                      <w:sz w:val="18"/>
                      <w:szCs w:val="18"/>
                      <w:highlight w:val="none"/>
                    </w:rPr>
                  </w:pPr>
                  <w:r>
                    <w:rPr>
                      <w:rFonts w:hint="default" w:ascii="Times New Roman" w:hAnsi="Times New Roman" w:cs="Times New Roman"/>
                      <w:color w:val="0000FF"/>
                      <w:sz w:val="18"/>
                      <w:szCs w:val="18"/>
                      <w:highlight w:val="none"/>
                    </w:rPr>
                    <w:t>1</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FF"/>
                      <w:kern w:val="2"/>
                      <w:sz w:val="18"/>
                      <w:szCs w:val="18"/>
                      <w:highlight w:val="none"/>
                      <w:lang w:val="en-US" w:eastAsia="zh-CN" w:bidi="ar-SA"/>
                    </w:rPr>
                  </w:pPr>
                  <w:r>
                    <w:rPr>
                      <w:rFonts w:hint="default" w:ascii="Times New Roman" w:hAnsi="Times New Roman" w:cs="Times New Roman"/>
                      <w:color w:val="0000FF"/>
                      <w:sz w:val="18"/>
                      <w:szCs w:val="18"/>
                      <w:highlight w:val="none"/>
                    </w:rPr>
                    <w:t>废</w:t>
                  </w:r>
                  <w:r>
                    <w:rPr>
                      <w:rFonts w:hint="eastAsia" w:cs="Times New Roman"/>
                      <w:color w:val="0000FF"/>
                      <w:sz w:val="18"/>
                      <w:szCs w:val="18"/>
                      <w:highlight w:val="none"/>
                      <w:lang w:val="en-US" w:eastAsia="zh-CN"/>
                    </w:rPr>
                    <w:t>机油</w:t>
                  </w:r>
                </w:p>
              </w:tc>
              <w:tc>
                <w:tcPr>
                  <w:tcW w:w="42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FF"/>
                      <w:kern w:val="2"/>
                      <w:sz w:val="18"/>
                      <w:szCs w:val="18"/>
                      <w:highlight w:val="none"/>
                      <w:lang w:val="en-US" w:eastAsia="zh-CN" w:bidi="ar-SA"/>
                    </w:rPr>
                  </w:pPr>
                  <w:r>
                    <w:rPr>
                      <w:rFonts w:hint="default" w:ascii="Times New Roman" w:hAnsi="Times New Roman" w:cs="Times New Roman"/>
                      <w:color w:val="0000FF"/>
                      <w:sz w:val="18"/>
                      <w:szCs w:val="18"/>
                      <w:highlight w:val="none"/>
                    </w:rPr>
                    <w:t>HW08</w:t>
                  </w:r>
                </w:p>
              </w:tc>
              <w:tc>
                <w:tcPr>
                  <w:tcW w:w="48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FF"/>
                      <w:kern w:val="2"/>
                      <w:sz w:val="18"/>
                      <w:szCs w:val="18"/>
                      <w:highlight w:val="none"/>
                      <w:lang w:val="en-US" w:eastAsia="zh-CN" w:bidi="ar-SA"/>
                    </w:rPr>
                  </w:pPr>
                  <w:r>
                    <w:rPr>
                      <w:rFonts w:hint="default" w:ascii="Times New Roman" w:hAnsi="Times New Roman" w:cs="Times New Roman"/>
                      <w:color w:val="0000FF"/>
                      <w:sz w:val="18"/>
                      <w:szCs w:val="18"/>
                      <w:highlight w:val="none"/>
                    </w:rPr>
                    <w:t>900-214-08</w:t>
                  </w:r>
                </w:p>
              </w:tc>
              <w:tc>
                <w:tcPr>
                  <w:tcW w:w="46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FF"/>
                      <w:kern w:val="2"/>
                      <w:sz w:val="18"/>
                      <w:szCs w:val="18"/>
                      <w:highlight w:val="none"/>
                      <w:lang w:val="en-US" w:eastAsia="zh-CN" w:bidi="ar-SA"/>
                    </w:rPr>
                  </w:pPr>
                  <w:r>
                    <w:rPr>
                      <w:rFonts w:hint="default" w:ascii="Times New Roman" w:hAnsi="Times New Roman" w:cs="Times New Roman"/>
                      <w:color w:val="0000FF"/>
                      <w:sz w:val="18"/>
                      <w:szCs w:val="18"/>
                      <w:highlight w:val="none"/>
                    </w:rPr>
                    <w:t>0.</w:t>
                  </w:r>
                  <w:r>
                    <w:rPr>
                      <w:rFonts w:hint="eastAsia" w:cs="Times New Roman"/>
                      <w:color w:val="0000FF"/>
                      <w:sz w:val="18"/>
                      <w:szCs w:val="18"/>
                      <w:highlight w:val="none"/>
                      <w:lang w:val="en-US" w:eastAsia="zh-CN"/>
                    </w:rPr>
                    <w:t>01</w:t>
                  </w:r>
                </w:p>
              </w:tc>
              <w:tc>
                <w:tcPr>
                  <w:tcW w:w="5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FF"/>
                      <w:kern w:val="2"/>
                      <w:sz w:val="18"/>
                      <w:szCs w:val="18"/>
                      <w:highlight w:val="none"/>
                      <w:lang w:val="en-US" w:eastAsia="zh-CN" w:bidi="ar-SA"/>
                    </w:rPr>
                  </w:pPr>
                  <w:r>
                    <w:rPr>
                      <w:rFonts w:hint="default" w:ascii="Times New Roman" w:hAnsi="Times New Roman" w:cs="Times New Roman"/>
                      <w:color w:val="0000FF"/>
                      <w:sz w:val="18"/>
                      <w:szCs w:val="18"/>
                      <w:highlight w:val="none"/>
                    </w:rPr>
                    <w:t>设备保养</w:t>
                  </w:r>
                </w:p>
              </w:tc>
              <w:tc>
                <w:tcPr>
                  <w:tcW w:w="35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FF"/>
                      <w:kern w:val="2"/>
                      <w:sz w:val="18"/>
                      <w:szCs w:val="18"/>
                      <w:highlight w:val="none"/>
                      <w:lang w:val="en-US" w:eastAsia="zh-CN" w:bidi="ar-SA"/>
                    </w:rPr>
                  </w:pPr>
                  <w:r>
                    <w:rPr>
                      <w:rFonts w:hint="default" w:ascii="Times New Roman" w:hAnsi="Times New Roman" w:cs="Times New Roman"/>
                      <w:color w:val="0000FF"/>
                      <w:sz w:val="18"/>
                      <w:szCs w:val="18"/>
                      <w:highlight w:val="none"/>
                    </w:rPr>
                    <w:t>液态</w:t>
                  </w:r>
                </w:p>
              </w:tc>
              <w:tc>
                <w:tcPr>
                  <w:tcW w:w="4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FF"/>
                      <w:kern w:val="2"/>
                      <w:sz w:val="18"/>
                      <w:szCs w:val="18"/>
                      <w:highlight w:val="none"/>
                      <w:lang w:val="en-US" w:eastAsia="zh-CN" w:bidi="ar-SA"/>
                    </w:rPr>
                  </w:pPr>
                  <w:r>
                    <w:rPr>
                      <w:rFonts w:hint="default" w:ascii="Times New Roman" w:hAnsi="Times New Roman" w:cs="Times New Roman"/>
                      <w:color w:val="0000FF"/>
                      <w:sz w:val="18"/>
                      <w:szCs w:val="18"/>
                      <w:highlight w:val="none"/>
                    </w:rPr>
                    <w:t>矿物油</w:t>
                  </w:r>
                </w:p>
              </w:tc>
              <w:tc>
                <w:tcPr>
                  <w:tcW w:w="41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FF"/>
                      <w:kern w:val="2"/>
                      <w:sz w:val="18"/>
                      <w:szCs w:val="18"/>
                      <w:highlight w:val="none"/>
                      <w:lang w:val="en-US" w:eastAsia="zh-CN" w:bidi="ar-SA"/>
                    </w:rPr>
                  </w:pPr>
                  <w:r>
                    <w:rPr>
                      <w:rFonts w:hint="default" w:ascii="Times New Roman" w:hAnsi="Times New Roman" w:cs="Times New Roman"/>
                      <w:color w:val="0000FF"/>
                      <w:sz w:val="18"/>
                      <w:szCs w:val="18"/>
                      <w:highlight w:val="none"/>
                    </w:rPr>
                    <w:t>矿物油</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FF"/>
                      <w:kern w:val="2"/>
                      <w:sz w:val="18"/>
                      <w:szCs w:val="18"/>
                      <w:highlight w:val="none"/>
                      <w:lang w:val="en-US" w:eastAsia="zh-CN" w:bidi="ar-SA"/>
                    </w:rPr>
                  </w:pPr>
                  <w:r>
                    <w:rPr>
                      <w:rFonts w:hint="default" w:ascii="Times New Roman" w:hAnsi="Times New Roman" w:cs="Times New Roman"/>
                      <w:color w:val="0000FF"/>
                      <w:sz w:val="18"/>
                      <w:szCs w:val="18"/>
                      <w:highlight w:val="none"/>
                    </w:rPr>
                    <w:t>每月</w:t>
                  </w:r>
                </w:p>
              </w:tc>
              <w:tc>
                <w:tcPr>
                  <w:tcW w:w="37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FF"/>
                      <w:kern w:val="2"/>
                      <w:sz w:val="18"/>
                      <w:szCs w:val="18"/>
                      <w:highlight w:val="none"/>
                      <w:lang w:val="en-US" w:eastAsia="zh-CN" w:bidi="ar-SA"/>
                    </w:rPr>
                  </w:pPr>
                  <w:r>
                    <w:rPr>
                      <w:rFonts w:hint="default" w:ascii="Times New Roman" w:hAnsi="Times New Roman" w:cs="Times New Roman"/>
                      <w:color w:val="0000FF"/>
                      <w:sz w:val="18"/>
                      <w:szCs w:val="18"/>
                      <w:highlight w:val="none"/>
                    </w:rPr>
                    <w:t>T,I</w:t>
                  </w:r>
                </w:p>
              </w:tc>
              <w:tc>
                <w:tcPr>
                  <w:tcW w:w="52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定期交由资质单位处理</w:t>
                  </w:r>
                </w:p>
              </w:tc>
            </w:tr>
          </w:tbl>
          <w:p>
            <w:pPr>
              <w:spacing w:line="276" w:lineRule="auto"/>
              <w:ind w:firstLine="422" w:firstLineChars="200"/>
              <w:rPr>
                <w:rFonts w:hint="eastAsia"/>
                <w:b/>
                <w:color w:val="0000FF"/>
                <w:szCs w:val="21"/>
                <w:highlight w:val="none"/>
              </w:rPr>
            </w:pPr>
          </w:p>
          <w:p>
            <w:pPr>
              <w:spacing w:line="360" w:lineRule="auto"/>
              <w:ind w:firstLine="482" w:firstLineChars="200"/>
              <w:rPr>
                <w:rFonts w:hint="eastAsia"/>
                <w:b/>
                <w:color w:val="0000FF"/>
                <w:sz w:val="24"/>
                <w:szCs w:val="24"/>
                <w:highlight w:val="none"/>
              </w:rPr>
            </w:pPr>
            <w:r>
              <w:rPr>
                <w:rFonts w:hint="eastAsia"/>
                <w:b/>
                <w:color w:val="0000FF"/>
                <w:sz w:val="24"/>
                <w:szCs w:val="24"/>
                <w:highlight w:val="none"/>
              </w:rPr>
              <w:t>压滤</w:t>
            </w:r>
            <w:r>
              <w:rPr>
                <w:rFonts w:hint="eastAsia"/>
                <w:b/>
                <w:color w:val="0000FF"/>
                <w:sz w:val="24"/>
                <w:szCs w:val="24"/>
                <w:highlight w:val="none"/>
                <w:lang w:val="en-US" w:eastAsia="zh-CN"/>
              </w:rPr>
              <w:t>机区域</w:t>
            </w:r>
            <w:r>
              <w:rPr>
                <w:rFonts w:hint="eastAsia"/>
                <w:b/>
                <w:color w:val="0000FF"/>
                <w:sz w:val="24"/>
                <w:szCs w:val="24"/>
                <w:highlight w:val="none"/>
              </w:rPr>
              <w:t>建设要求</w:t>
            </w:r>
          </w:p>
          <w:p>
            <w:pPr>
              <w:spacing w:line="360" w:lineRule="auto"/>
              <w:ind w:firstLine="480" w:firstLineChars="200"/>
              <w:rPr>
                <w:rFonts w:hint="eastAsia"/>
                <w:b/>
                <w:color w:val="0000FF"/>
                <w:sz w:val="24"/>
                <w:szCs w:val="24"/>
                <w:highlight w:val="none"/>
              </w:rPr>
            </w:pPr>
            <w:r>
              <w:rPr>
                <w:rFonts w:hint="eastAsia" w:cs="Times New Roman"/>
                <w:bCs/>
                <w:color w:val="0000FF"/>
                <w:sz w:val="24"/>
                <w:szCs w:val="24"/>
                <w:highlight w:val="none"/>
                <w:lang w:val="en-US" w:eastAsia="zh-CN"/>
              </w:rPr>
              <w:t>①</w:t>
            </w:r>
            <w:r>
              <w:rPr>
                <w:rFonts w:hint="eastAsia"/>
                <w:b w:val="0"/>
                <w:bCs/>
                <w:color w:val="0000FF"/>
                <w:sz w:val="24"/>
                <w:szCs w:val="24"/>
                <w:highlight w:val="none"/>
                <w:lang w:val="en-US" w:eastAsia="zh-CN"/>
              </w:rPr>
              <w:t>压滤机区域</w:t>
            </w:r>
            <w:r>
              <w:rPr>
                <w:rFonts w:hint="eastAsia" w:cs="Times New Roman"/>
                <w:bCs/>
                <w:color w:val="0000FF"/>
                <w:sz w:val="24"/>
                <w:szCs w:val="24"/>
                <w:highlight w:val="none"/>
                <w:lang w:val="en-US" w:eastAsia="zh-CN"/>
              </w:rPr>
              <w:t>设置为防雨顶棚；</w:t>
            </w:r>
          </w:p>
          <w:p>
            <w:pPr>
              <w:spacing w:line="360" w:lineRule="auto"/>
              <w:ind w:firstLine="480" w:firstLineChars="200"/>
              <w:rPr>
                <w:rFonts w:hint="default" w:eastAsia="宋体"/>
                <w:b w:val="0"/>
                <w:bCs/>
                <w:color w:val="0000FF"/>
                <w:sz w:val="24"/>
                <w:szCs w:val="24"/>
                <w:highlight w:val="none"/>
                <w:lang w:val="en-US" w:eastAsia="zh-CN"/>
              </w:rPr>
            </w:pPr>
            <w:r>
              <w:rPr>
                <w:rFonts w:hint="eastAsia"/>
                <w:b w:val="0"/>
                <w:bCs/>
                <w:color w:val="0000FF"/>
                <w:sz w:val="24"/>
                <w:szCs w:val="24"/>
                <w:highlight w:val="none"/>
                <w:lang w:val="en-US" w:eastAsia="zh-CN"/>
              </w:rPr>
              <w:t>②压滤机区域应具备防渗漏、防雨、防晒功能。</w:t>
            </w:r>
          </w:p>
          <w:p>
            <w:pPr>
              <w:spacing w:line="360" w:lineRule="auto"/>
              <w:ind w:firstLine="482" w:firstLineChars="200"/>
              <w:rPr>
                <w:b/>
                <w:color w:val="0000FF"/>
                <w:sz w:val="24"/>
                <w:szCs w:val="24"/>
                <w:highlight w:val="none"/>
              </w:rPr>
            </w:pPr>
            <w:r>
              <w:rPr>
                <w:rFonts w:hint="eastAsia"/>
                <w:b/>
                <w:color w:val="0000FF"/>
                <w:sz w:val="24"/>
                <w:szCs w:val="24"/>
                <w:highlight w:val="none"/>
              </w:rPr>
              <w:t>危险废物收集和暂存要求</w:t>
            </w:r>
          </w:p>
          <w:p>
            <w:pPr>
              <w:spacing w:line="360" w:lineRule="auto"/>
              <w:ind w:firstLine="482" w:firstLineChars="200"/>
              <w:rPr>
                <w:rFonts w:hint="eastAsia"/>
                <w:b/>
                <w:bCs w:val="0"/>
                <w:color w:val="0000FF"/>
                <w:sz w:val="24"/>
                <w:szCs w:val="24"/>
                <w:highlight w:val="none"/>
              </w:rPr>
            </w:pPr>
            <w:r>
              <w:rPr>
                <w:rFonts w:hint="eastAsia"/>
                <w:b/>
                <w:bCs w:val="0"/>
                <w:color w:val="0000FF"/>
                <w:sz w:val="24"/>
                <w:szCs w:val="24"/>
                <w:highlight w:val="none"/>
                <w:lang w:val="en-US" w:eastAsia="zh-CN"/>
              </w:rPr>
              <w:t>（1）</w:t>
            </w:r>
            <w:r>
              <w:rPr>
                <w:rFonts w:hint="eastAsia"/>
                <w:b/>
                <w:bCs w:val="0"/>
                <w:color w:val="0000FF"/>
                <w:sz w:val="24"/>
                <w:szCs w:val="24"/>
                <w:highlight w:val="none"/>
              </w:rPr>
              <w:t>贮存要求</w:t>
            </w:r>
          </w:p>
          <w:p>
            <w:pPr>
              <w:spacing w:line="360" w:lineRule="auto"/>
              <w:ind w:firstLine="480" w:firstLineChars="200"/>
              <w:rPr>
                <w:rFonts w:hint="eastAsia"/>
                <w:bCs/>
                <w:color w:val="0000FF"/>
                <w:sz w:val="24"/>
                <w:szCs w:val="24"/>
                <w:highlight w:val="none"/>
              </w:rPr>
            </w:pPr>
            <w:r>
              <w:rPr>
                <w:rFonts w:hint="eastAsia"/>
                <w:bCs/>
                <w:color w:val="0000FF"/>
                <w:sz w:val="24"/>
                <w:szCs w:val="24"/>
                <w:highlight w:val="none"/>
              </w:rPr>
              <w:t>危险废物应分类收集储存在危废暂存间，危废暂存间应采取防风、防雨、防晒、防渗漏的“四防”措施，按照《危险废物识别标志设置技术规范》（HJ 1276-2022）和《环境保护图形标志—固体废物贮存（处置）场》（GB15562.2-1995）及其修改单设置警示标识，由专人负责管理。危险废物贮存必须严格按照《危险废物贮存污染控制标准》（GB18597-2023）的要求执行：</w:t>
            </w:r>
          </w:p>
          <w:p>
            <w:pPr>
              <w:spacing w:line="360" w:lineRule="auto"/>
              <w:ind w:firstLine="482" w:firstLineChars="200"/>
              <w:rPr>
                <w:rFonts w:hint="eastAsia"/>
                <w:b/>
                <w:bCs w:val="0"/>
                <w:color w:val="0000FF"/>
                <w:sz w:val="24"/>
                <w:szCs w:val="24"/>
                <w:highlight w:val="none"/>
              </w:rPr>
            </w:pPr>
            <w:r>
              <w:rPr>
                <w:rFonts w:hint="eastAsia"/>
                <w:b/>
                <w:bCs w:val="0"/>
                <w:color w:val="0000FF"/>
                <w:sz w:val="24"/>
                <w:szCs w:val="24"/>
                <w:highlight w:val="none"/>
              </w:rPr>
              <w:t>1）贮存设施污染控制要求</w:t>
            </w:r>
          </w:p>
          <w:p>
            <w:pPr>
              <w:spacing w:line="360" w:lineRule="auto"/>
              <w:ind w:firstLine="480" w:firstLineChars="200"/>
              <w:rPr>
                <w:rFonts w:hint="eastAsia"/>
                <w:bCs/>
                <w:color w:val="0000FF"/>
                <w:sz w:val="24"/>
                <w:szCs w:val="24"/>
                <w:highlight w:val="none"/>
              </w:rPr>
            </w:pPr>
            <w:r>
              <w:rPr>
                <w:rFonts w:hint="eastAsia"/>
                <w:bCs/>
                <w:color w:val="0000FF"/>
                <w:sz w:val="24"/>
                <w:szCs w:val="24"/>
                <w:highlight w:val="none"/>
              </w:rPr>
              <w:t>①贮存设施应根据危险废物的形态、物理化学性质、包装形式和污染物迁移途径，采取必要的防风、防晒、防雨、防漏、防渗、防腐以及其他环境污染防治措施，不应露天堆放危险废物。</w:t>
            </w:r>
          </w:p>
          <w:p>
            <w:pPr>
              <w:spacing w:line="360" w:lineRule="auto"/>
              <w:ind w:firstLine="480" w:firstLineChars="200"/>
              <w:rPr>
                <w:rFonts w:hint="eastAsia"/>
                <w:bCs/>
                <w:color w:val="0000FF"/>
                <w:sz w:val="24"/>
                <w:szCs w:val="24"/>
                <w:highlight w:val="none"/>
              </w:rPr>
            </w:pPr>
            <w:r>
              <w:rPr>
                <w:rFonts w:hint="eastAsia"/>
                <w:bCs/>
                <w:color w:val="0000FF"/>
                <w:sz w:val="24"/>
                <w:szCs w:val="24"/>
                <w:highlight w:val="none"/>
              </w:rPr>
              <w:t>②贮存设施应根据危险废物的类别、数量、形态、物理化学性质和污染防治等要求设置必要的贮存分区，避免不相容的危险废物接触、混合。③贮存设施或贮存分区内地面、墙面裙脚、堵截泄漏的围堰、接触危险废物的隔板和墙体等应采用坚固的材料建造，表面无裂缝。</w:t>
            </w:r>
          </w:p>
          <w:p>
            <w:pPr>
              <w:spacing w:line="360" w:lineRule="auto"/>
              <w:ind w:firstLine="480" w:firstLineChars="200"/>
              <w:rPr>
                <w:rFonts w:hint="eastAsia"/>
                <w:bCs/>
                <w:color w:val="0000FF"/>
                <w:sz w:val="24"/>
                <w:szCs w:val="24"/>
                <w:highlight w:val="none"/>
              </w:rPr>
            </w:pPr>
            <w:r>
              <w:rPr>
                <w:rFonts w:hint="eastAsia"/>
                <w:bCs/>
                <w:color w:val="0000FF"/>
                <w:sz w:val="24"/>
                <w:szCs w:val="24"/>
                <w:highlight w:val="none"/>
              </w:rPr>
              <w:t>④贮存设施地面与裙脚应采取表面防渗措施；表面防渗材料应与所接触的物料或污染物相容，可采用抗渗混凝土、高密度聚乙烯膜、钠基膨润土防水毯或其他防渗性能等效的材料。</w:t>
            </w:r>
          </w:p>
          <w:p>
            <w:pPr>
              <w:spacing w:line="360" w:lineRule="auto"/>
              <w:ind w:firstLine="480" w:firstLineChars="200"/>
              <w:rPr>
                <w:rFonts w:hint="eastAsia"/>
                <w:bCs/>
                <w:color w:val="0000FF"/>
                <w:sz w:val="24"/>
                <w:szCs w:val="24"/>
                <w:highlight w:val="none"/>
              </w:rPr>
            </w:pPr>
            <w:r>
              <w:rPr>
                <w:rFonts w:hint="eastAsia"/>
                <w:bCs/>
                <w:color w:val="0000FF"/>
                <w:sz w:val="24"/>
                <w:szCs w:val="24"/>
                <w:highlight w:val="none"/>
              </w:rPr>
              <w:t>⑤同一贮存设施宜采用相同的防渗、防腐工艺（包括防渗、防腐结构或材料），防渗、防腐材料应覆盖所有可能与废物及其渗滤液、渗漏液等接触的构筑物表面；采用不同防渗、防腐工艺应分别建设贮存分区。</w:t>
            </w:r>
          </w:p>
          <w:p>
            <w:pPr>
              <w:spacing w:line="360" w:lineRule="auto"/>
              <w:ind w:firstLine="480" w:firstLineChars="200"/>
              <w:rPr>
                <w:rFonts w:hint="eastAsia"/>
                <w:bCs/>
                <w:color w:val="0000FF"/>
                <w:sz w:val="24"/>
                <w:szCs w:val="24"/>
                <w:highlight w:val="none"/>
              </w:rPr>
            </w:pPr>
            <w:r>
              <w:rPr>
                <w:rFonts w:hint="eastAsia"/>
                <w:bCs/>
                <w:color w:val="0000FF"/>
                <w:sz w:val="24"/>
                <w:szCs w:val="24"/>
                <w:highlight w:val="none"/>
              </w:rPr>
              <w:t>⑥贮存设施应采取技术和管理措施防止无关人员进入。</w:t>
            </w:r>
          </w:p>
          <w:p>
            <w:pPr>
              <w:spacing w:line="360" w:lineRule="auto"/>
              <w:ind w:firstLine="482" w:firstLineChars="200"/>
              <w:rPr>
                <w:rFonts w:hint="eastAsia"/>
                <w:b/>
                <w:bCs w:val="0"/>
                <w:color w:val="0000FF"/>
                <w:sz w:val="24"/>
                <w:szCs w:val="24"/>
                <w:highlight w:val="none"/>
              </w:rPr>
            </w:pPr>
            <w:r>
              <w:rPr>
                <w:rFonts w:hint="eastAsia"/>
                <w:b/>
                <w:bCs w:val="0"/>
                <w:color w:val="0000FF"/>
                <w:sz w:val="24"/>
                <w:szCs w:val="24"/>
                <w:highlight w:val="none"/>
              </w:rPr>
              <w:t>2）容器和包装物污染控制要求</w:t>
            </w:r>
          </w:p>
          <w:p>
            <w:pPr>
              <w:spacing w:line="360" w:lineRule="auto"/>
              <w:ind w:firstLine="480" w:firstLineChars="200"/>
              <w:rPr>
                <w:rFonts w:hint="eastAsia"/>
                <w:bCs/>
                <w:color w:val="0000FF"/>
                <w:sz w:val="24"/>
                <w:szCs w:val="24"/>
                <w:highlight w:val="none"/>
              </w:rPr>
            </w:pPr>
            <w:r>
              <w:rPr>
                <w:rFonts w:hint="eastAsia"/>
                <w:bCs/>
                <w:color w:val="0000FF"/>
                <w:sz w:val="24"/>
                <w:szCs w:val="24"/>
                <w:highlight w:val="none"/>
              </w:rPr>
              <w:t>①容器和包装物材质、内衬应与盛装的危险废物相容。②针对不同类别、形态、物理化学性质的危险废物，其容器和包装物应满足相应的防渗、防漏、防腐和强度等要求。</w:t>
            </w:r>
          </w:p>
          <w:p>
            <w:pPr>
              <w:spacing w:line="360" w:lineRule="auto"/>
              <w:ind w:firstLine="480" w:firstLineChars="200"/>
              <w:rPr>
                <w:rFonts w:hint="eastAsia"/>
                <w:bCs/>
                <w:color w:val="0000FF"/>
                <w:sz w:val="24"/>
                <w:szCs w:val="24"/>
                <w:highlight w:val="none"/>
              </w:rPr>
            </w:pPr>
            <w:r>
              <w:rPr>
                <w:rFonts w:hint="eastAsia"/>
                <w:bCs/>
                <w:color w:val="0000FF"/>
                <w:sz w:val="24"/>
                <w:szCs w:val="24"/>
                <w:highlight w:val="none"/>
              </w:rPr>
              <w:t>③硬质容器和包装物及其支护结构堆叠码放时不应有明显变形，无破损泄漏。④柔性容器和包装物堆叠码放时应封口严密，无破损泄漏。⑤使用容器盛装液态、半固态危险废物时，容器内部应留有适当的空间，以适应因温度变化等可能引发的收缩和膨胀，防止其导致容器渗漏或永久变形。⑥容器和包装物外表面应保持清洁。</w:t>
            </w:r>
          </w:p>
          <w:p>
            <w:pPr>
              <w:spacing w:line="360" w:lineRule="auto"/>
              <w:ind w:firstLine="482" w:firstLineChars="200"/>
              <w:rPr>
                <w:rFonts w:hint="eastAsia"/>
                <w:b/>
                <w:bCs w:val="0"/>
                <w:color w:val="0000FF"/>
                <w:sz w:val="24"/>
                <w:szCs w:val="24"/>
                <w:highlight w:val="none"/>
              </w:rPr>
            </w:pPr>
            <w:r>
              <w:rPr>
                <w:rFonts w:hint="eastAsia"/>
                <w:b/>
                <w:bCs w:val="0"/>
                <w:color w:val="0000FF"/>
                <w:sz w:val="24"/>
                <w:szCs w:val="24"/>
                <w:highlight w:val="none"/>
              </w:rPr>
              <w:t>3）贮存设施运行环境管理要求</w:t>
            </w:r>
          </w:p>
          <w:p>
            <w:pPr>
              <w:spacing w:line="360" w:lineRule="auto"/>
              <w:ind w:firstLine="480" w:firstLineChars="200"/>
              <w:rPr>
                <w:rFonts w:hint="eastAsia"/>
                <w:bCs/>
                <w:color w:val="0000FF"/>
                <w:sz w:val="24"/>
                <w:szCs w:val="24"/>
                <w:highlight w:val="none"/>
              </w:rPr>
            </w:pPr>
            <w:r>
              <w:rPr>
                <w:rFonts w:hint="eastAsia"/>
                <w:bCs/>
                <w:color w:val="0000FF"/>
                <w:sz w:val="24"/>
                <w:szCs w:val="24"/>
                <w:highlight w:val="none"/>
              </w:rPr>
              <w:t>①危险废物存入贮存设施前应对危险废物类别和特性与危险废物标签等危险废物识别标志的一致性进行核验，不一致的或类别、特性不明的不应存入。②应定期检查危险废物的贮存状况，及时清理贮存设施地面，更换破损泄漏的危险废物贮存容器和包装物，保证堆存危险废物的防雨、防风、防扬尘等设施功能完好。③贮存设施运行期间，应按国家有关标准和规定建立危险废物管理台账并保存。④贮存设施所有者或运营者应建立贮存设施环境管理制度、管理人员岗位职责制度、设施运行操作制度、人员岗位培训制度等。</w:t>
            </w:r>
          </w:p>
          <w:p>
            <w:pPr>
              <w:spacing w:line="360" w:lineRule="auto"/>
              <w:ind w:firstLine="480" w:firstLineChars="200"/>
              <w:rPr>
                <w:rFonts w:hint="eastAsia"/>
                <w:bCs/>
                <w:color w:val="0000FF"/>
                <w:sz w:val="24"/>
                <w:szCs w:val="24"/>
                <w:highlight w:val="none"/>
              </w:rPr>
            </w:pPr>
            <w:r>
              <w:rPr>
                <w:rFonts w:hint="eastAsia"/>
                <w:bCs/>
                <w:color w:val="0000FF"/>
                <w:sz w:val="24"/>
                <w:szCs w:val="24"/>
                <w:highlight w:val="none"/>
              </w:rPr>
              <w:t>⑤贮存设施所有者或运营者应依据国家土壤和地下水污染防治的有关规定，结合贮存设施特点建立土壤和地下水污染隐患排查制度，并定期开展隐患排查；发现隐患应及时采取措施消除隐患，并建立档案。</w:t>
            </w:r>
          </w:p>
          <w:p>
            <w:pPr>
              <w:spacing w:line="360" w:lineRule="auto"/>
              <w:ind w:firstLine="480" w:firstLineChars="200"/>
              <w:rPr>
                <w:rFonts w:hint="eastAsia"/>
                <w:bCs/>
                <w:color w:val="0000FF"/>
                <w:sz w:val="24"/>
                <w:szCs w:val="24"/>
                <w:highlight w:val="none"/>
              </w:rPr>
            </w:pPr>
            <w:r>
              <w:rPr>
                <w:rFonts w:hint="eastAsia"/>
                <w:bCs/>
                <w:color w:val="0000FF"/>
                <w:sz w:val="24"/>
                <w:szCs w:val="24"/>
                <w:highlight w:val="none"/>
              </w:rPr>
              <w:t>⑥贮存设施所有者或运营者应建立贮存设施全部档案，包括设计、施工、验收、运行、监测和环境应急等，应按国家有关档案管理的法律法规进行整理和归档。</w:t>
            </w:r>
          </w:p>
          <w:p>
            <w:pPr>
              <w:spacing w:line="360" w:lineRule="auto"/>
              <w:ind w:firstLine="482" w:firstLineChars="200"/>
              <w:rPr>
                <w:rFonts w:hint="eastAsia"/>
                <w:b/>
                <w:bCs w:val="0"/>
                <w:color w:val="0000FF"/>
                <w:sz w:val="24"/>
                <w:szCs w:val="24"/>
                <w:highlight w:val="none"/>
              </w:rPr>
            </w:pPr>
            <w:r>
              <w:rPr>
                <w:rFonts w:hint="eastAsia"/>
                <w:b/>
                <w:bCs w:val="0"/>
                <w:color w:val="0000FF"/>
                <w:sz w:val="24"/>
                <w:szCs w:val="24"/>
                <w:highlight w:val="none"/>
              </w:rPr>
              <w:t>4）环境应急要求</w:t>
            </w:r>
          </w:p>
          <w:p>
            <w:pPr>
              <w:spacing w:line="360" w:lineRule="auto"/>
              <w:ind w:firstLine="480" w:firstLineChars="200"/>
              <w:rPr>
                <w:rFonts w:hint="eastAsia"/>
                <w:bCs/>
                <w:color w:val="0000FF"/>
                <w:sz w:val="24"/>
                <w:szCs w:val="24"/>
                <w:highlight w:val="none"/>
              </w:rPr>
            </w:pPr>
            <w:r>
              <w:rPr>
                <w:rFonts w:hint="eastAsia"/>
                <w:bCs/>
                <w:color w:val="0000FF"/>
                <w:sz w:val="24"/>
                <w:szCs w:val="24"/>
                <w:highlight w:val="none"/>
              </w:rPr>
              <w:t>①贮存设施所有者或运营者应按照国家有关规定编制突发环境事件应急预案，定期开展必要的培训和环境应急演练，并做好培训、演练记录。②贮存设施所有者或运营者应配备满足其突发环境事件应急要求的应急人员、装备和物资，并应设置应急照明系统。</w:t>
            </w:r>
          </w:p>
          <w:p>
            <w:pPr>
              <w:spacing w:line="360" w:lineRule="auto"/>
              <w:ind w:firstLine="480" w:firstLineChars="200"/>
              <w:rPr>
                <w:rFonts w:hint="eastAsia"/>
                <w:bCs/>
                <w:color w:val="0000FF"/>
                <w:sz w:val="24"/>
                <w:szCs w:val="24"/>
                <w:highlight w:val="none"/>
              </w:rPr>
            </w:pPr>
            <w:r>
              <w:rPr>
                <w:rFonts w:hint="eastAsia"/>
                <w:bCs/>
                <w:color w:val="0000FF"/>
                <w:sz w:val="24"/>
                <w:szCs w:val="24"/>
                <w:highlight w:val="none"/>
              </w:rPr>
              <w:t>③相关部门发布自然灾害或恶劣天气预警后，贮存设施所有者或运营者应启动相应防控措施，若有必要可将危险废物转移至其他具有防护条件的地点贮存。</w:t>
            </w:r>
          </w:p>
          <w:p>
            <w:pPr>
              <w:spacing w:line="360" w:lineRule="auto"/>
              <w:ind w:firstLine="482" w:firstLineChars="200"/>
              <w:rPr>
                <w:rFonts w:hint="eastAsia"/>
                <w:b/>
                <w:bCs w:val="0"/>
                <w:color w:val="0000FF"/>
                <w:sz w:val="24"/>
                <w:szCs w:val="24"/>
                <w:highlight w:val="none"/>
              </w:rPr>
            </w:pPr>
            <w:r>
              <w:rPr>
                <w:rFonts w:hint="eastAsia"/>
                <w:b/>
                <w:bCs w:val="0"/>
                <w:color w:val="0000FF"/>
                <w:sz w:val="24"/>
                <w:szCs w:val="24"/>
                <w:highlight w:val="none"/>
                <w:lang w:eastAsia="zh-CN"/>
              </w:rPr>
              <w:t>（</w:t>
            </w:r>
            <w:r>
              <w:rPr>
                <w:rFonts w:hint="eastAsia"/>
                <w:b/>
                <w:bCs w:val="0"/>
                <w:color w:val="0000FF"/>
                <w:sz w:val="24"/>
                <w:szCs w:val="24"/>
                <w:highlight w:val="none"/>
                <w:lang w:val="en-US" w:eastAsia="zh-CN"/>
              </w:rPr>
              <w:t>2</w:t>
            </w:r>
            <w:r>
              <w:rPr>
                <w:rFonts w:hint="eastAsia"/>
                <w:b/>
                <w:bCs w:val="0"/>
                <w:color w:val="0000FF"/>
                <w:sz w:val="24"/>
                <w:szCs w:val="24"/>
                <w:highlight w:val="none"/>
                <w:lang w:eastAsia="zh-CN"/>
              </w:rPr>
              <w:t>）</w:t>
            </w:r>
            <w:r>
              <w:rPr>
                <w:rFonts w:hint="eastAsia"/>
                <w:b/>
                <w:bCs w:val="0"/>
                <w:color w:val="0000FF"/>
                <w:sz w:val="24"/>
                <w:szCs w:val="24"/>
                <w:highlight w:val="none"/>
              </w:rPr>
              <w:t>转运要求</w:t>
            </w:r>
          </w:p>
          <w:p>
            <w:pPr>
              <w:spacing w:line="360" w:lineRule="auto"/>
              <w:ind w:firstLine="480" w:firstLineChars="200"/>
              <w:rPr>
                <w:rFonts w:hint="eastAsia"/>
                <w:bCs/>
                <w:color w:val="0000FF"/>
                <w:sz w:val="24"/>
                <w:szCs w:val="24"/>
                <w:highlight w:val="none"/>
              </w:rPr>
            </w:pPr>
            <w:r>
              <w:rPr>
                <w:rFonts w:hint="eastAsia"/>
                <w:bCs/>
                <w:color w:val="0000FF"/>
                <w:sz w:val="24"/>
                <w:szCs w:val="24"/>
                <w:highlight w:val="none"/>
              </w:rPr>
              <w:t>危险废物转运必须严格落实《危险废物转移联单管理办法》的规定，按要求填写危险废物转移联单，并严格落实以下要求：</w:t>
            </w:r>
          </w:p>
          <w:p>
            <w:pPr>
              <w:spacing w:line="360" w:lineRule="auto"/>
              <w:ind w:firstLine="480" w:firstLineChars="200"/>
              <w:rPr>
                <w:rFonts w:hint="eastAsia"/>
                <w:bCs/>
                <w:color w:val="0000FF"/>
                <w:sz w:val="24"/>
                <w:szCs w:val="24"/>
                <w:highlight w:val="none"/>
              </w:rPr>
            </w:pPr>
            <w:r>
              <w:rPr>
                <w:rFonts w:hint="eastAsia"/>
                <w:bCs/>
                <w:color w:val="0000FF"/>
                <w:sz w:val="24"/>
                <w:szCs w:val="24"/>
                <w:highlight w:val="none"/>
                <w:lang w:val="en-US" w:eastAsia="zh-CN"/>
              </w:rPr>
              <w:t>①</w:t>
            </w:r>
            <w:r>
              <w:rPr>
                <w:rFonts w:hint="eastAsia"/>
                <w:bCs/>
                <w:color w:val="0000FF"/>
                <w:sz w:val="24"/>
                <w:szCs w:val="24"/>
                <w:highlight w:val="none"/>
              </w:rPr>
              <w:t>危险废物运输应由持有危险废物经营许可证的单位按照其许可证的经营范围组织实施，并取得交通运输部门颁发的危险货物运输资质。</w:t>
            </w:r>
          </w:p>
          <w:p>
            <w:pPr>
              <w:spacing w:line="360" w:lineRule="auto"/>
              <w:ind w:firstLine="480" w:firstLineChars="200"/>
              <w:rPr>
                <w:rFonts w:hint="eastAsia"/>
                <w:bCs/>
                <w:color w:val="0000FF"/>
                <w:sz w:val="24"/>
                <w:szCs w:val="24"/>
                <w:highlight w:val="none"/>
              </w:rPr>
            </w:pPr>
            <w:r>
              <w:rPr>
                <w:rFonts w:hint="eastAsia"/>
                <w:bCs/>
                <w:color w:val="0000FF"/>
                <w:sz w:val="24"/>
                <w:szCs w:val="24"/>
                <w:highlight w:val="none"/>
                <w:lang w:val="en-US" w:eastAsia="zh-CN"/>
              </w:rPr>
              <w:t>②</w:t>
            </w:r>
            <w:r>
              <w:rPr>
                <w:rFonts w:hint="eastAsia"/>
                <w:bCs/>
                <w:color w:val="0000FF"/>
                <w:sz w:val="24"/>
                <w:szCs w:val="24"/>
                <w:highlight w:val="none"/>
              </w:rPr>
              <w:t>危险废物运输单位必须采取防扬散、防流失、防渗漏或其他防止污染环境的措施，并遵守国家有关危险货物运输管理的规定。</w:t>
            </w:r>
          </w:p>
          <w:p>
            <w:pPr>
              <w:spacing w:line="360" w:lineRule="auto"/>
              <w:ind w:firstLine="480" w:firstLineChars="200"/>
              <w:rPr>
                <w:rFonts w:hint="eastAsia"/>
                <w:bCs/>
                <w:color w:val="0000FF"/>
                <w:sz w:val="24"/>
                <w:szCs w:val="24"/>
                <w:highlight w:val="none"/>
              </w:rPr>
            </w:pPr>
            <w:r>
              <w:rPr>
                <w:rFonts w:hint="eastAsia"/>
                <w:bCs/>
                <w:color w:val="0000FF"/>
                <w:sz w:val="24"/>
                <w:szCs w:val="24"/>
                <w:highlight w:val="none"/>
                <w:lang w:val="en-US" w:eastAsia="zh-CN"/>
              </w:rPr>
              <w:t>③</w:t>
            </w:r>
            <w:r>
              <w:rPr>
                <w:rFonts w:hint="eastAsia"/>
                <w:bCs/>
                <w:color w:val="0000FF"/>
                <w:sz w:val="24"/>
                <w:szCs w:val="24"/>
                <w:highlight w:val="none"/>
              </w:rPr>
              <w:t>运输危险废物的车辆必须是危险货物运输车辆，并按《道路运输危险货物车辆标志》（GB13392-2005）设置车辆标志，不得将危险废物与旅客在同一运输工具载运。</w:t>
            </w:r>
          </w:p>
          <w:p>
            <w:pPr>
              <w:spacing w:line="360" w:lineRule="auto"/>
              <w:ind w:firstLine="480" w:firstLineChars="200"/>
              <w:rPr>
                <w:rFonts w:hint="eastAsia"/>
                <w:bCs/>
                <w:color w:val="0000FF"/>
                <w:sz w:val="24"/>
                <w:szCs w:val="24"/>
                <w:highlight w:val="none"/>
              </w:rPr>
            </w:pPr>
            <w:r>
              <w:rPr>
                <w:rFonts w:hint="eastAsia"/>
                <w:bCs/>
                <w:color w:val="0000FF"/>
                <w:sz w:val="24"/>
                <w:szCs w:val="24"/>
                <w:highlight w:val="none"/>
                <w:lang w:val="en-US" w:eastAsia="zh-CN"/>
              </w:rPr>
              <w:t>④</w:t>
            </w:r>
            <w:r>
              <w:rPr>
                <w:rFonts w:hint="eastAsia"/>
                <w:bCs/>
                <w:color w:val="0000FF"/>
                <w:sz w:val="24"/>
                <w:szCs w:val="24"/>
                <w:highlight w:val="none"/>
              </w:rPr>
              <w:t>危险废物公路运输应按照《道路危险货物运输管理规定》（交通运输部令2013年第 2 号）、《危险货物道路运输规则》（JT/T617-2018）以及《汽车运输、装卸危险货物作业规程》（JT 618-2004）的有关要求执行。</w:t>
            </w:r>
          </w:p>
          <w:p>
            <w:pPr>
              <w:spacing w:line="360" w:lineRule="auto"/>
              <w:ind w:firstLine="480" w:firstLineChars="200"/>
              <w:rPr>
                <w:rFonts w:hint="eastAsia"/>
                <w:bCs/>
                <w:color w:val="0000FF"/>
                <w:sz w:val="24"/>
                <w:szCs w:val="24"/>
                <w:highlight w:val="none"/>
              </w:rPr>
            </w:pPr>
            <w:r>
              <w:rPr>
                <w:rFonts w:hint="eastAsia"/>
                <w:bCs/>
                <w:color w:val="0000FF"/>
                <w:sz w:val="24"/>
                <w:szCs w:val="24"/>
                <w:highlight w:val="none"/>
                <w:lang w:val="en-US" w:eastAsia="zh-CN"/>
              </w:rPr>
              <w:t>⑤</w:t>
            </w:r>
            <w:r>
              <w:rPr>
                <w:rFonts w:hint="eastAsia"/>
                <w:bCs/>
                <w:color w:val="0000FF"/>
                <w:sz w:val="24"/>
                <w:szCs w:val="24"/>
                <w:highlight w:val="none"/>
              </w:rPr>
              <w:t>危险废物装卸人员应熟悉废物的危险特性，并配备适当的个人防护装备；卸载区应配备必要的消防设备和设施，并设置明显的指示标志；装卸区应设置隔离设施，液态废物卸载区应设置收集槽和缓冲罐。</w:t>
            </w:r>
          </w:p>
          <w:p>
            <w:pPr>
              <w:spacing w:line="360" w:lineRule="auto"/>
              <w:ind w:firstLine="480" w:firstLineChars="200"/>
              <w:rPr>
                <w:rFonts w:hint="eastAsia"/>
                <w:bCs/>
                <w:color w:val="0000FF"/>
                <w:sz w:val="24"/>
                <w:szCs w:val="24"/>
                <w:highlight w:val="none"/>
              </w:rPr>
            </w:pPr>
            <w:r>
              <w:rPr>
                <w:rFonts w:hint="eastAsia"/>
                <w:bCs/>
                <w:color w:val="0000FF"/>
                <w:sz w:val="24"/>
                <w:szCs w:val="24"/>
                <w:highlight w:val="none"/>
              </w:rPr>
              <w:t>综上所述，本项目营运期严格落实本环评中提出的各类废物处置措施</w:t>
            </w:r>
            <w:r>
              <w:rPr>
                <w:rFonts w:hint="eastAsia"/>
                <w:bCs/>
                <w:color w:val="0000FF"/>
                <w:sz w:val="24"/>
                <w:szCs w:val="24"/>
                <w:highlight w:val="none"/>
                <w:lang w:eastAsia="zh-CN"/>
              </w:rPr>
              <w:t>，</w:t>
            </w:r>
            <w:r>
              <w:rPr>
                <w:rFonts w:hint="eastAsia"/>
                <w:bCs/>
                <w:color w:val="0000FF"/>
                <w:sz w:val="24"/>
                <w:szCs w:val="24"/>
                <w:highlight w:val="none"/>
              </w:rPr>
              <w:t>可防止因处置不当出现的环境二次污染。</w:t>
            </w:r>
          </w:p>
          <w:p>
            <w:pPr>
              <w:spacing w:line="360" w:lineRule="auto"/>
              <w:ind w:firstLine="482" w:firstLineChars="200"/>
              <w:rPr>
                <w:b/>
                <w:color w:val="auto"/>
                <w:sz w:val="24"/>
                <w:szCs w:val="24"/>
                <w:highlight w:val="none"/>
              </w:rPr>
            </w:pPr>
            <w:r>
              <w:rPr>
                <w:b/>
                <w:color w:val="auto"/>
                <w:sz w:val="24"/>
                <w:szCs w:val="24"/>
                <w:highlight w:val="none"/>
              </w:rPr>
              <w:t>5</w:t>
            </w:r>
            <w:r>
              <w:rPr>
                <w:rFonts w:hint="eastAsia"/>
                <w:b/>
                <w:color w:val="auto"/>
                <w:sz w:val="24"/>
                <w:szCs w:val="24"/>
                <w:highlight w:val="none"/>
              </w:rPr>
              <w:t>、地下水、土壤污染防治措施</w:t>
            </w:r>
          </w:p>
          <w:p>
            <w:pPr>
              <w:spacing w:line="360" w:lineRule="auto"/>
              <w:ind w:firstLine="361" w:firstLineChars="150"/>
              <w:rPr>
                <w:b/>
                <w:color w:val="auto"/>
                <w:sz w:val="24"/>
                <w:szCs w:val="24"/>
                <w:highlight w:val="none"/>
              </w:rPr>
            </w:pPr>
            <w:r>
              <w:rPr>
                <w:rFonts w:hint="eastAsia"/>
                <w:b/>
                <w:color w:val="auto"/>
                <w:sz w:val="24"/>
                <w:szCs w:val="24"/>
                <w:highlight w:val="none"/>
              </w:rPr>
              <w:t>（1）污染途径</w:t>
            </w:r>
          </w:p>
          <w:p>
            <w:pPr>
              <w:spacing w:line="360" w:lineRule="auto"/>
              <w:ind w:firstLine="480" w:firstLineChars="200"/>
              <w:rPr>
                <w:color w:val="auto"/>
                <w:sz w:val="24"/>
                <w:szCs w:val="24"/>
                <w:highlight w:val="none"/>
              </w:rPr>
            </w:pPr>
            <w:r>
              <w:rPr>
                <w:rFonts w:hint="eastAsia"/>
                <w:color w:val="auto"/>
                <w:sz w:val="24"/>
                <w:szCs w:val="24"/>
                <w:highlight w:val="none"/>
              </w:rPr>
              <w:t>运营期污染物进入地下水环境的途径主要是废水泄漏通过垂直渗透进入包气带，进入包气带的污染物在物理、化学和生物作用下经吸附、转化、迁移和分解后输入地下水，运营期因渗漏可能产生的污染地下水环节为污水管网、污水处理设施发生“跑、冒、滴、漏”使污染物进入地下水环境。</w:t>
            </w:r>
          </w:p>
          <w:p>
            <w:pPr>
              <w:spacing w:line="360" w:lineRule="auto"/>
              <w:ind w:firstLine="361" w:firstLineChars="150"/>
              <w:rPr>
                <w:b/>
                <w:color w:val="auto"/>
                <w:sz w:val="24"/>
                <w:szCs w:val="24"/>
                <w:highlight w:val="none"/>
              </w:rPr>
            </w:pPr>
            <w:r>
              <w:rPr>
                <w:rFonts w:hint="eastAsia"/>
                <w:b/>
                <w:color w:val="auto"/>
                <w:sz w:val="24"/>
                <w:szCs w:val="24"/>
                <w:highlight w:val="none"/>
              </w:rPr>
              <w:t>（2）防渗分区</w:t>
            </w:r>
          </w:p>
          <w:p>
            <w:pPr>
              <w:spacing w:line="360" w:lineRule="auto"/>
              <w:ind w:firstLine="480" w:firstLineChars="200"/>
              <w:rPr>
                <w:rFonts w:cs="Times New Roman"/>
                <w:color w:val="auto"/>
                <w:sz w:val="24"/>
                <w:szCs w:val="24"/>
                <w:highlight w:val="none"/>
              </w:rPr>
            </w:pPr>
            <w:r>
              <w:rPr>
                <w:rFonts w:hint="eastAsia"/>
                <w:color w:val="auto"/>
                <w:sz w:val="24"/>
                <w:szCs w:val="24"/>
                <w:highlight w:val="none"/>
              </w:rPr>
              <w:t>根据《环境影响评价技术导则 地下水环境》（HJ610-2016）防渗分区原则，将本项目分划为重点</w:t>
            </w:r>
            <w:r>
              <w:rPr>
                <w:rFonts w:cs="Times New Roman"/>
                <w:color w:val="auto"/>
                <w:sz w:val="24"/>
                <w:szCs w:val="24"/>
                <w:highlight w:val="none"/>
              </w:rPr>
              <w:t>防渗区、一般防渗区和简单防渗区，划分区域如下：</w:t>
            </w:r>
          </w:p>
          <w:p>
            <w:pPr>
              <w:spacing w:line="360" w:lineRule="auto"/>
              <w:ind w:firstLine="482" w:firstLineChars="200"/>
              <w:rPr>
                <w:rFonts w:hint="default" w:cs="Times New Roman"/>
                <w:color w:val="auto"/>
                <w:sz w:val="24"/>
                <w:szCs w:val="24"/>
                <w:highlight w:val="none"/>
              </w:rPr>
            </w:pPr>
            <w:r>
              <w:rPr>
                <w:rFonts w:hint="default" w:cs="Times New Roman"/>
                <w:b/>
                <w:bCs/>
                <w:color w:val="auto"/>
                <w:sz w:val="24"/>
                <w:szCs w:val="24"/>
                <w:highlight w:val="none"/>
              </w:rPr>
              <w:t>重点防渗区：</w:t>
            </w:r>
            <w:r>
              <w:rPr>
                <w:rFonts w:hint="default" w:cs="Times New Roman"/>
                <w:color w:val="auto"/>
                <w:sz w:val="24"/>
                <w:szCs w:val="24"/>
                <w:highlight w:val="none"/>
              </w:rPr>
              <w:t>主要为</w:t>
            </w:r>
            <w:r>
              <w:rPr>
                <w:rFonts w:hint="eastAsia" w:cs="Times New Roman"/>
                <w:color w:val="auto"/>
                <w:sz w:val="24"/>
                <w:szCs w:val="24"/>
                <w:highlight w:val="none"/>
                <w:lang w:val="en-US" w:eastAsia="zh-CN"/>
              </w:rPr>
              <w:t>机修房</w:t>
            </w:r>
            <w:r>
              <w:rPr>
                <w:rFonts w:hint="eastAsia" w:cs="Times New Roman"/>
                <w:color w:val="0000FF"/>
                <w:sz w:val="24"/>
                <w:szCs w:val="24"/>
                <w:highlight w:val="none"/>
                <w:lang w:val="en-US" w:eastAsia="zh-CN"/>
              </w:rPr>
              <w:t>和危废暂存间</w:t>
            </w:r>
            <w:r>
              <w:rPr>
                <w:rFonts w:hint="eastAsia" w:cs="Times New Roman"/>
                <w:color w:val="auto"/>
                <w:sz w:val="24"/>
                <w:szCs w:val="24"/>
                <w:highlight w:val="none"/>
                <w:lang w:eastAsia="zh-CN"/>
              </w:rPr>
              <w:t>，</w:t>
            </w:r>
            <w:r>
              <w:rPr>
                <w:rFonts w:hint="default" w:cs="Times New Roman"/>
                <w:color w:val="auto"/>
                <w:sz w:val="24"/>
                <w:szCs w:val="24"/>
                <w:highlight w:val="none"/>
              </w:rPr>
              <w:t>防渗技术要求为</w:t>
            </w:r>
            <w:r>
              <w:rPr>
                <w:color w:val="auto"/>
                <w:sz w:val="24"/>
                <w:szCs w:val="24"/>
                <w:highlight w:val="none"/>
              </w:rPr>
              <w:t>等效黏土防渗层M≧6.0m，K≤10</w:t>
            </w:r>
            <w:r>
              <w:rPr>
                <w:color w:val="auto"/>
                <w:sz w:val="24"/>
                <w:szCs w:val="24"/>
                <w:highlight w:val="none"/>
                <w:vertAlign w:val="superscript"/>
              </w:rPr>
              <w:t>-</w:t>
            </w:r>
            <w:r>
              <w:rPr>
                <w:rFonts w:hint="eastAsia"/>
                <w:color w:val="auto"/>
                <w:sz w:val="24"/>
                <w:szCs w:val="24"/>
                <w:highlight w:val="none"/>
                <w:vertAlign w:val="superscript"/>
                <w:lang w:val="en-US" w:eastAsia="zh-CN"/>
              </w:rPr>
              <w:t>7</w:t>
            </w:r>
            <w:r>
              <w:rPr>
                <w:color w:val="auto"/>
                <w:sz w:val="24"/>
                <w:szCs w:val="24"/>
                <w:highlight w:val="none"/>
              </w:rPr>
              <w:t>cm/s的要求</w:t>
            </w:r>
            <w:r>
              <w:rPr>
                <w:rFonts w:hint="default" w:cs="Times New Roman"/>
                <w:color w:val="auto"/>
                <w:sz w:val="24"/>
                <w:szCs w:val="24"/>
                <w:highlight w:val="none"/>
              </w:rPr>
              <w:t>。</w:t>
            </w:r>
          </w:p>
          <w:p>
            <w:pPr>
              <w:spacing w:line="360" w:lineRule="auto"/>
              <w:ind w:firstLine="482" w:firstLineChars="200"/>
              <w:rPr>
                <w:rFonts w:hint="default" w:cs="Times New Roman"/>
                <w:color w:val="auto"/>
                <w:sz w:val="24"/>
                <w:szCs w:val="24"/>
                <w:highlight w:val="none"/>
              </w:rPr>
            </w:pPr>
            <w:r>
              <w:rPr>
                <w:rFonts w:hint="default" w:cs="Times New Roman"/>
                <w:b/>
                <w:bCs/>
                <w:color w:val="auto"/>
                <w:sz w:val="24"/>
                <w:szCs w:val="24"/>
                <w:highlight w:val="none"/>
              </w:rPr>
              <w:t>一般防渗区：</w:t>
            </w:r>
            <w:r>
              <w:rPr>
                <w:rFonts w:hint="default" w:cs="Times New Roman"/>
                <w:color w:val="auto"/>
                <w:sz w:val="24"/>
                <w:szCs w:val="24"/>
                <w:highlight w:val="none"/>
              </w:rPr>
              <w:t>包括</w:t>
            </w:r>
            <w:r>
              <w:rPr>
                <w:rFonts w:hint="eastAsia" w:cs="Times New Roman"/>
                <w:color w:val="auto"/>
                <w:sz w:val="24"/>
                <w:szCs w:val="24"/>
                <w:highlight w:val="none"/>
                <w:lang w:eastAsia="zh-CN"/>
              </w:rPr>
              <w:t>旱厕</w:t>
            </w:r>
            <w:r>
              <w:rPr>
                <w:rFonts w:hint="default" w:ascii="Times New Roman" w:hAnsi="Times New Roman" w:eastAsia="宋体" w:cs="Times New Roman"/>
                <w:color w:val="auto"/>
                <w:sz w:val="24"/>
                <w:szCs w:val="24"/>
                <w:highlight w:val="none"/>
                <w:lang w:eastAsia="zh-CN"/>
              </w:rPr>
              <w:t>、隔油池、加工区</w:t>
            </w:r>
            <w:r>
              <w:rPr>
                <w:rFonts w:hint="eastAsia" w:cs="Times New Roman"/>
                <w:color w:val="auto"/>
                <w:sz w:val="24"/>
                <w:szCs w:val="24"/>
                <w:highlight w:val="none"/>
                <w:lang w:val="en-US" w:eastAsia="zh-CN"/>
              </w:rPr>
              <w:t>、三级沉淀池、成品堆场、原料堆场、污泥池</w:t>
            </w:r>
            <w:r>
              <w:rPr>
                <w:rFonts w:hint="default" w:cs="Times New Roman"/>
                <w:color w:val="auto"/>
                <w:sz w:val="24"/>
                <w:szCs w:val="24"/>
                <w:highlight w:val="none"/>
                <w:lang w:val="en-US" w:eastAsia="zh-CN"/>
              </w:rPr>
              <w:t>等</w:t>
            </w:r>
            <w:r>
              <w:rPr>
                <w:rFonts w:hint="default" w:cs="Times New Roman"/>
                <w:color w:val="auto"/>
                <w:sz w:val="24"/>
                <w:szCs w:val="24"/>
                <w:highlight w:val="none"/>
              </w:rPr>
              <w:t>，防渗技术要求为等效粘土防渗层Mb≥1.5m，K≤10</w:t>
            </w:r>
            <w:r>
              <w:rPr>
                <w:rFonts w:hint="default" w:cs="Times New Roman"/>
                <w:color w:val="auto"/>
                <w:sz w:val="24"/>
                <w:szCs w:val="24"/>
                <w:highlight w:val="none"/>
                <w:vertAlign w:val="superscript"/>
              </w:rPr>
              <w:t>-7</w:t>
            </w:r>
            <w:r>
              <w:rPr>
                <w:rFonts w:hint="default" w:cs="Times New Roman"/>
                <w:color w:val="auto"/>
                <w:sz w:val="24"/>
                <w:szCs w:val="24"/>
                <w:highlight w:val="none"/>
              </w:rPr>
              <w:t>cm/s。</w:t>
            </w:r>
          </w:p>
          <w:p>
            <w:pPr>
              <w:spacing w:line="360" w:lineRule="auto"/>
              <w:ind w:firstLine="482" w:firstLineChars="200"/>
              <w:rPr>
                <w:rFonts w:cs="Times New Roman"/>
                <w:color w:val="auto"/>
                <w:sz w:val="24"/>
                <w:szCs w:val="24"/>
                <w:highlight w:val="none"/>
              </w:rPr>
            </w:pPr>
            <w:r>
              <w:rPr>
                <w:rFonts w:hint="default" w:cs="Times New Roman"/>
                <w:b/>
                <w:bCs/>
                <w:color w:val="auto"/>
                <w:sz w:val="24"/>
                <w:szCs w:val="24"/>
                <w:highlight w:val="none"/>
              </w:rPr>
              <w:t>简单防渗区：</w:t>
            </w:r>
            <w:r>
              <w:rPr>
                <w:rFonts w:hint="default" w:cs="Times New Roman"/>
                <w:color w:val="auto"/>
                <w:sz w:val="24"/>
                <w:szCs w:val="24"/>
                <w:highlight w:val="none"/>
              </w:rPr>
              <w:t>包括</w:t>
            </w:r>
            <w:r>
              <w:rPr>
                <w:rFonts w:hint="default" w:ascii="Times New Roman" w:hAnsi="Times New Roman" w:eastAsia="宋体" w:cs="Times New Roman"/>
                <w:color w:val="auto"/>
                <w:sz w:val="24"/>
                <w:szCs w:val="24"/>
                <w:highlight w:val="none"/>
                <w:lang w:val="en-US" w:eastAsia="zh-CN"/>
              </w:rPr>
              <w:t>厂区道路、办公区</w:t>
            </w:r>
            <w:r>
              <w:rPr>
                <w:rFonts w:hint="default" w:eastAsia="宋体"/>
                <w:color w:val="auto"/>
                <w:sz w:val="24"/>
                <w:szCs w:val="24"/>
                <w:highlight w:val="none"/>
                <w:lang w:val="en-US" w:eastAsia="zh-CN"/>
              </w:rPr>
              <w:t>及除重点、一般防渗区以外的区域</w:t>
            </w:r>
            <w:r>
              <w:rPr>
                <w:rFonts w:hint="default" w:cs="Times New Roman"/>
                <w:color w:val="auto"/>
                <w:sz w:val="24"/>
                <w:szCs w:val="24"/>
                <w:highlight w:val="none"/>
              </w:rPr>
              <w:t>，防渗技术要求为一般地面硬化</w:t>
            </w:r>
            <w:r>
              <w:rPr>
                <w:rFonts w:cs="Times New Roman"/>
                <w:color w:val="auto"/>
                <w:sz w:val="24"/>
                <w:szCs w:val="24"/>
                <w:highlight w:val="none"/>
              </w:rPr>
              <w:t>。</w:t>
            </w:r>
          </w:p>
          <w:p>
            <w:pPr>
              <w:spacing w:line="360" w:lineRule="auto"/>
              <w:ind w:firstLine="361" w:firstLineChars="150"/>
              <w:rPr>
                <w:b/>
                <w:color w:val="auto"/>
                <w:sz w:val="24"/>
                <w:szCs w:val="24"/>
                <w:highlight w:val="none"/>
              </w:rPr>
            </w:pPr>
            <w:r>
              <w:rPr>
                <w:rFonts w:hint="eastAsia"/>
                <w:b/>
                <w:color w:val="auto"/>
                <w:sz w:val="24"/>
                <w:szCs w:val="24"/>
                <w:highlight w:val="none"/>
              </w:rPr>
              <w:t>（3）防控措施</w:t>
            </w:r>
          </w:p>
          <w:p>
            <w:pPr>
              <w:spacing w:line="360" w:lineRule="auto"/>
              <w:ind w:firstLine="482" w:firstLineChars="200"/>
              <w:rPr>
                <w:rFonts w:hint="eastAsia"/>
                <w:color w:val="0000FF"/>
                <w:sz w:val="24"/>
                <w:szCs w:val="24"/>
                <w:highlight w:val="none"/>
              </w:rPr>
            </w:pPr>
            <w:r>
              <w:rPr>
                <w:rFonts w:hint="eastAsia"/>
                <w:b/>
                <w:bCs/>
                <w:color w:val="auto"/>
                <w:sz w:val="24"/>
                <w:szCs w:val="24"/>
                <w:highlight w:val="none"/>
              </w:rPr>
              <w:t>重点防渗区：</w:t>
            </w:r>
            <w:r>
              <w:rPr>
                <w:rFonts w:hint="eastAsia"/>
                <w:color w:val="0000FF"/>
                <w:sz w:val="24"/>
                <w:szCs w:val="24"/>
                <w:highlight w:val="none"/>
              </w:rPr>
              <w:t>采取25cmC30防渗混凝土，确保防渗性能与1.5m厚黏土防渗层等效，防渗系数K≤1×10</w:t>
            </w:r>
            <w:r>
              <w:rPr>
                <w:rFonts w:hint="eastAsia"/>
                <w:color w:val="0000FF"/>
                <w:sz w:val="24"/>
                <w:szCs w:val="24"/>
                <w:highlight w:val="none"/>
                <w:vertAlign w:val="superscript"/>
              </w:rPr>
              <w:t>-</w:t>
            </w:r>
            <w:r>
              <w:rPr>
                <w:rFonts w:hint="eastAsia"/>
                <w:color w:val="0000FF"/>
                <w:sz w:val="24"/>
                <w:szCs w:val="24"/>
                <w:highlight w:val="none"/>
                <w:vertAlign w:val="superscript"/>
                <w:lang w:val="en-US" w:eastAsia="zh-CN"/>
              </w:rPr>
              <w:t>10</w:t>
            </w:r>
            <w:r>
              <w:rPr>
                <w:rFonts w:hint="eastAsia"/>
                <w:color w:val="0000FF"/>
                <w:sz w:val="24"/>
                <w:szCs w:val="24"/>
                <w:highlight w:val="none"/>
              </w:rPr>
              <w:t>cm/s。</w:t>
            </w:r>
          </w:p>
          <w:p>
            <w:pPr>
              <w:spacing w:line="360" w:lineRule="auto"/>
              <w:ind w:firstLine="482" w:firstLineChars="200"/>
              <w:rPr>
                <w:rFonts w:hint="eastAsia"/>
                <w:color w:val="auto"/>
                <w:sz w:val="24"/>
                <w:szCs w:val="24"/>
                <w:highlight w:val="none"/>
              </w:rPr>
            </w:pPr>
            <w:r>
              <w:rPr>
                <w:rFonts w:hint="eastAsia"/>
                <w:b/>
                <w:bCs/>
                <w:color w:val="auto"/>
                <w:sz w:val="24"/>
                <w:szCs w:val="24"/>
                <w:highlight w:val="none"/>
              </w:rPr>
              <w:t>一般防渗区：</w:t>
            </w:r>
            <w:r>
              <w:rPr>
                <w:rFonts w:hint="eastAsia"/>
                <w:color w:val="auto"/>
                <w:sz w:val="24"/>
                <w:szCs w:val="24"/>
                <w:highlight w:val="none"/>
              </w:rPr>
              <w:t>采取25cmC30防渗混凝土，确保防渗性能与1.5m厚黏土防渗层等效，防渗系数K≤1×10</w:t>
            </w:r>
            <w:r>
              <w:rPr>
                <w:rFonts w:hint="eastAsia"/>
                <w:color w:val="auto"/>
                <w:sz w:val="24"/>
                <w:szCs w:val="24"/>
                <w:highlight w:val="none"/>
                <w:vertAlign w:val="superscript"/>
              </w:rPr>
              <w:t>-7</w:t>
            </w:r>
            <w:r>
              <w:rPr>
                <w:rFonts w:hint="eastAsia"/>
                <w:color w:val="auto"/>
                <w:sz w:val="24"/>
                <w:szCs w:val="24"/>
                <w:highlight w:val="none"/>
              </w:rPr>
              <w:t>cm/s。</w:t>
            </w:r>
          </w:p>
          <w:p>
            <w:pPr>
              <w:spacing w:line="360" w:lineRule="auto"/>
              <w:ind w:firstLine="482" w:firstLineChars="200"/>
              <w:rPr>
                <w:rFonts w:hint="eastAsia"/>
                <w:color w:val="auto"/>
                <w:sz w:val="24"/>
                <w:szCs w:val="24"/>
                <w:highlight w:val="none"/>
              </w:rPr>
            </w:pPr>
            <w:r>
              <w:rPr>
                <w:rFonts w:hint="eastAsia"/>
                <w:b/>
                <w:bCs/>
                <w:color w:val="auto"/>
                <w:sz w:val="24"/>
                <w:szCs w:val="24"/>
                <w:highlight w:val="none"/>
              </w:rPr>
              <w:t>简单防渗区：</w:t>
            </w:r>
            <w:r>
              <w:rPr>
                <w:rFonts w:hint="eastAsia"/>
                <w:color w:val="auto"/>
                <w:sz w:val="24"/>
                <w:szCs w:val="24"/>
                <w:highlight w:val="none"/>
              </w:rPr>
              <w:t>采用</w:t>
            </w:r>
            <w:r>
              <w:rPr>
                <w:rFonts w:hint="eastAsia" w:ascii="Times New Roman" w:hAnsi="Times New Roman" w:eastAsia="宋体"/>
                <w:color w:val="auto"/>
                <w:sz w:val="24"/>
                <w:szCs w:val="24"/>
                <w:highlight w:val="none"/>
                <w:lang w:val="en-US" w:eastAsia="zh-CN"/>
              </w:rPr>
              <w:t>水泥硬化</w:t>
            </w:r>
            <w:r>
              <w:rPr>
                <w:rFonts w:hint="eastAsia"/>
                <w:color w:val="auto"/>
                <w:sz w:val="24"/>
                <w:szCs w:val="24"/>
                <w:highlight w:val="none"/>
              </w:rPr>
              <w:t>。</w:t>
            </w:r>
          </w:p>
          <w:p>
            <w:pPr>
              <w:spacing w:line="360" w:lineRule="auto"/>
              <w:jc w:val="center"/>
              <w:rPr>
                <w:rFonts w:hint="eastAsia"/>
                <w:b/>
                <w:bCs w:val="0"/>
                <w:color w:val="auto"/>
                <w:sz w:val="24"/>
                <w:szCs w:val="24"/>
                <w:highlight w:val="none"/>
              </w:rPr>
            </w:pPr>
            <w:r>
              <w:rPr>
                <w:rFonts w:hint="eastAsia"/>
                <w:b/>
                <w:bCs w:val="0"/>
                <w:color w:val="auto"/>
                <w:sz w:val="24"/>
                <w:szCs w:val="24"/>
                <w:highlight w:val="none"/>
              </w:rPr>
              <w:t>表</w:t>
            </w:r>
            <w:r>
              <w:rPr>
                <w:rFonts w:hint="eastAsia"/>
                <w:b/>
                <w:bCs w:val="0"/>
                <w:color w:val="auto"/>
                <w:sz w:val="24"/>
                <w:szCs w:val="24"/>
                <w:highlight w:val="none"/>
                <w:lang w:val="en-US" w:eastAsia="zh-CN"/>
              </w:rPr>
              <w:t xml:space="preserve">4-18 </w:t>
            </w:r>
            <w:r>
              <w:rPr>
                <w:rFonts w:hint="eastAsia"/>
                <w:b/>
                <w:bCs w:val="0"/>
                <w:color w:val="auto"/>
                <w:sz w:val="24"/>
                <w:szCs w:val="24"/>
                <w:highlight w:val="none"/>
              </w:rPr>
              <w:t>本项目地下水防渗分区表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39"/>
              <w:gridCol w:w="1917"/>
              <w:gridCol w:w="1122"/>
              <w:gridCol w:w="3735"/>
              <w:gridCol w:w="11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372" w:type="pct"/>
                  <w:tcBorders>
                    <w:tl2br w:val="nil"/>
                    <w:tr2bl w:val="nil"/>
                  </w:tcBorders>
                  <w:shd w:val="clear" w:color="000000" w:themeColor="text1"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序号</w:t>
                  </w:r>
                </w:p>
              </w:tc>
              <w:tc>
                <w:tcPr>
                  <w:tcW w:w="1114" w:type="pct"/>
                  <w:tcBorders>
                    <w:tl2br w:val="nil"/>
                    <w:tr2bl w:val="nil"/>
                  </w:tcBorders>
                  <w:shd w:val="clear" w:color="000000" w:themeColor="text1"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车间名称</w:t>
                  </w:r>
                </w:p>
              </w:tc>
              <w:tc>
                <w:tcPr>
                  <w:tcW w:w="652" w:type="pct"/>
                  <w:tcBorders>
                    <w:tl2br w:val="nil"/>
                    <w:tr2bl w:val="nil"/>
                  </w:tcBorders>
                  <w:shd w:val="clear" w:color="000000" w:themeColor="text1"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分区类别</w:t>
                  </w:r>
                </w:p>
              </w:tc>
              <w:tc>
                <w:tcPr>
                  <w:tcW w:w="2171" w:type="pct"/>
                  <w:tcBorders>
                    <w:tl2br w:val="nil"/>
                    <w:tr2bl w:val="nil"/>
                  </w:tcBorders>
                  <w:shd w:val="clear" w:color="000000" w:themeColor="text1"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防渗要求</w:t>
                  </w:r>
                </w:p>
              </w:tc>
              <w:tc>
                <w:tcPr>
                  <w:tcW w:w="690" w:type="pct"/>
                  <w:tcBorders>
                    <w:tl2br w:val="nil"/>
                    <w:tr2bl w:val="nil"/>
                  </w:tcBorders>
                  <w:shd w:val="clear" w:color="000000" w:themeColor="text1"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111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FF"/>
                      <w:sz w:val="21"/>
                      <w:szCs w:val="21"/>
                      <w:highlight w:val="none"/>
                      <w:lang w:val="en-US" w:eastAsia="zh-CN" w:bidi="ar"/>
                    </w:rPr>
                  </w:pPr>
                  <w:r>
                    <w:rPr>
                      <w:rFonts w:hint="eastAsia" w:cs="Times New Roman"/>
                      <w:color w:val="0000FF"/>
                      <w:sz w:val="21"/>
                      <w:szCs w:val="21"/>
                      <w:highlight w:val="none"/>
                      <w:lang w:val="en-US" w:eastAsia="zh-CN"/>
                    </w:rPr>
                    <w:t>机修房和危废暂存间</w:t>
                  </w:r>
                </w:p>
              </w:tc>
              <w:tc>
                <w:tcPr>
                  <w:tcW w:w="65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FF"/>
                      <w:sz w:val="21"/>
                      <w:szCs w:val="21"/>
                      <w:highlight w:val="none"/>
                      <w:lang w:val="en-US" w:eastAsia="zh-CN"/>
                    </w:rPr>
                  </w:pPr>
                  <w:r>
                    <w:rPr>
                      <w:rFonts w:hint="eastAsia"/>
                      <w:color w:val="0000FF"/>
                      <w:sz w:val="21"/>
                      <w:szCs w:val="21"/>
                      <w:highlight w:val="none"/>
                      <w:lang w:val="en-US" w:eastAsia="zh-CN"/>
                    </w:rPr>
                    <w:t>重点防渗</w:t>
                  </w:r>
                </w:p>
              </w:tc>
              <w:tc>
                <w:tcPr>
                  <w:tcW w:w="217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0000FF"/>
                      <w:sz w:val="21"/>
                      <w:szCs w:val="21"/>
                      <w:highlight w:val="none"/>
                    </w:rPr>
                  </w:pPr>
                  <w:r>
                    <w:rPr>
                      <w:rFonts w:hint="eastAsia"/>
                      <w:color w:val="0000FF"/>
                      <w:sz w:val="21"/>
                      <w:szCs w:val="21"/>
                      <w:highlight w:val="none"/>
                    </w:rPr>
                    <w:t>25cmC30防渗混凝土</w:t>
                  </w:r>
                  <w:r>
                    <w:rPr>
                      <w:rFonts w:eastAsia="TTA2o00"/>
                      <w:color w:val="0000FF"/>
                      <w:sz w:val="21"/>
                      <w:szCs w:val="21"/>
                      <w:highlight w:val="none"/>
                    </w:rPr>
                    <w:t>，</w:t>
                  </w:r>
                  <w:r>
                    <w:rPr>
                      <w:color w:val="0000FF"/>
                      <w:sz w:val="21"/>
                      <w:szCs w:val="21"/>
                      <w:highlight w:val="none"/>
                    </w:rPr>
                    <w:t>达到等效黏土防渗层M≧1.5m，K≤10</w:t>
                  </w:r>
                  <w:r>
                    <w:rPr>
                      <w:color w:val="0000FF"/>
                      <w:sz w:val="21"/>
                      <w:szCs w:val="21"/>
                      <w:highlight w:val="none"/>
                      <w:vertAlign w:val="superscript"/>
                    </w:rPr>
                    <w:t>-</w:t>
                  </w:r>
                  <w:r>
                    <w:rPr>
                      <w:rFonts w:hint="eastAsia"/>
                      <w:color w:val="0000FF"/>
                      <w:sz w:val="21"/>
                      <w:szCs w:val="21"/>
                      <w:highlight w:val="none"/>
                      <w:vertAlign w:val="superscript"/>
                      <w:lang w:val="en-US" w:eastAsia="zh-CN"/>
                    </w:rPr>
                    <w:t>10</w:t>
                  </w:r>
                  <w:r>
                    <w:rPr>
                      <w:color w:val="0000FF"/>
                      <w:sz w:val="21"/>
                      <w:szCs w:val="21"/>
                      <w:highlight w:val="none"/>
                    </w:rPr>
                    <w:t>cm/s的要求</w:t>
                  </w:r>
                </w:p>
              </w:tc>
              <w:tc>
                <w:tcPr>
                  <w:tcW w:w="6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FF"/>
                      <w:sz w:val="21"/>
                      <w:szCs w:val="21"/>
                      <w:highlight w:val="none"/>
                      <w:lang w:val="en-US" w:eastAsia="zh-CN"/>
                    </w:rPr>
                  </w:pPr>
                  <w:r>
                    <w:rPr>
                      <w:rFonts w:hint="eastAsia"/>
                      <w:color w:val="0000FF"/>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111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TTA2o00"/>
                      <w:color w:val="auto"/>
                      <w:sz w:val="21"/>
                      <w:szCs w:val="21"/>
                      <w:highlight w:val="none"/>
                      <w:lang w:val="en-US" w:eastAsia="zh-CN"/>
                    </w:rPr>
                  </w:pPr>
                  <w:r>
                    <w:rPr>
                      <w:rFonts w:hint="eastAsia" w:cs="Times New Roman"/>
                      <w:color w:val="auto"/>
                      <w:sz w:val="21"/>
                      <w:szCs w:val="21"/>
                      <w:highlight w:val="none"/>
                      <w:lang w:eastAsia="zh-CN"/>
                    </w:rPr>
                    <w:t>旱厕</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隔油池、加工区</w:t>
                  </w:r>
                  <w:r>
                    <w:rPr>
                      <w:rFonts w:hint="eastAsia" w:cs="Times New Roman"/>
                      <w:color w:val="auto"/>
                      <w:sz w:val="21"/>
                      <w:szCs w:val="21"/>
                      <w:highlight w:val="none"/>
                      <w:lang w:val="en-US" w:eastAsia="zh-CN"/>
                    </w:rPr>
                    <w:t>、三级沉淀池、成品堆场、原料堆场、污泥池等</w:t>
                  </w:r>
                </w:p>
              </w:tc>
              <w:tc>
                <w:tcPr>
                  <w:tcW w:w="65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一般防渗</w:t>
                  </w:r>
                </w:p>
              </w:tc>
              <w:tc>
                <w:tcPr>
                  <w:tcW w:w="217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rPr>
                    <w:t>25cmC30防渗混凝土</w:t>
                  </w:r>
                  <w:r>
                    <w:rPr>
                      <w:rFonts w:eastAsia="TTA2o00"/>
                      <w:color w:val="auto"/>
                      <w:sz w:val="21"/>
                      <w:szCs w:val="21"/>
                      <w:highlight w:val="none"/>
                    </w:rPr>
                    <w:t>，</w:t>
                  </w:r>
                  <w:r>
                    <w:rPr>
                      <w:color w:val="auto"/>
                      <w:sz w:val="21"/>
                      <w:szCs w:val="21"/>
                      <w:highlight w:val="none"/>
                    </w:rPr>
                    <w:t>达到等效黏土防渗层M≧1.5m，K≤10</w:t>
                  </w:r>
                  <w:r>
                    <w:rPr>
                      <w:color w:val="auto"/>
                      <w:sz w:val="21"/>
                      <w:szCs w:val="21"/>
                      <w:highlight w:val="none"/>
                      <w:vertAlign w:val="superscript"/>
                    </w:rPr>
                    <w:t>-7</w:t>
                  </w:r>
                  <w:r>
                    <w:rPr>
                      <w:color w:val="auto"/>
                      <w:sz w:val="21"/>
                      <w:szCs w:val="21"/>
                      <w:highlight w:val="none"/>
                    </w:rPr>
                    <w:t>cm/s的要求</w:t>
                  </w:r>
                </w:p>
              </w:tc>
              <w:tc>
                <w:tcPr>
                  <w:tcW w:w="6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3</w:t>
                  </w:r>
                </w:p>
              </w:tc>
              <w:tc>
                <w:tcPr>
                  <w:tcW w:w="111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厂区道路、办公区</w:t>
                  </w:r>
                  <w:r>
                    <w:rPr>
                      <w:rFonts w:hint="default" w:eastAsia="宋体"/>
                      <w:color w:val="auto"/>
                      <w:sz w:val="21"/>
                      <w:szCs w:val="21"/>
                      <w:highlight w:val="none"/>
                      <w:lang w:val="en-US" w:eastAsia="zh-CN"/>
                    </w:rPr>
                    <w:t>及除重点、一般防渗区以外的区域</w:t>
                  </w:r>
                </w:p>
              </w:tc>
              <w:tc>
                <w:tcPr>
                  <w:tcW w:w="65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黑体"/>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简单防渗区</w:t>
                  </w:r>
                </w:p>
              </w:tc>
              <w:tc>
                <w:tcPr>
                  <w:tcW w:w="217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黑体"/>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水泥硬化</w:t>
                  </w:r>
                </w:p>
              </w:tc>
              <w:tc>
                <w:tcPr>
                  <w:tcW w:w="6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新建</w:t>
                  </w:r>
                </w:p>
              </w:tc>
            </w:tr>
          </w:tbl>
          <w:p>
            <w:pPr>
              <w:spacing w:line="360" w:lineRule="auto"/>
              <w:ind w:firstLine="480" w:firstLineChars="200"/>
              <w:rPr>
                <w:rFonts w:hint="eastAsia"/>
                <w:color w:val="auto"/>
                <w:sz w:val="24"/>
                <w:szCs w:val="24"/>
                <w:highlight w:val="none"/>
              </w:rPr>
            </w:pPr>
            <w:r>
              <w:rPr>
                <w:rFonts w:hint="eastAsia"/>
                <w:color w:val="auto"/>
                <w:sz w:val="24"/>
                <w:szCs w:val="24"/>
                <w:highlight w:val="none"/>
              </w:rPr>
              <w:t>在严格执行以上污染预防措施的基础上，项目建设不会对地下水及土壤产生影响。</w:t>
            </w:r>
          </w:p>
          <w:p>
            <w:pPr>
              <w:spacing w:line="360" w:lineRule="auto"/>
              <w:ind w:firstLine="482" w:firstLineChars="200"/>
              <w:rPr>
                <w:b/>
                <w:color w:val="auto"/>
                <w:sz w:val="24"/>
                <w:szCs w:val="24"/>
                <w:highlight w:val="none"/>
              </w:rPr>
            </w:pPr>
            <w:r>
              <w:rPr>
                <w:rFonts w:hint="eastAsia"/>
                <w:b/>
                <w:color w:val="auto"/>
                <w:sz w:val="24"/>
                <w:szCs w:val="24"/>
                <w:highlight w:val="none"/>
                <w:lang w:val="en-US" w:eastAsia="zh-CN"/>
              </w:rPr>
              <w:t>6</w:t>
            </w:r>
            <w:r>
              <w:rPr>
                <w:rFonts w:hint="eastAsia"/>
                <w:b/>
                <w:color w:val="auto"/>
                <w:sz w:val="24"/>
                <w:szCs w:val="24"/>
                <w:highlight w:val="none"/>
              </w:rPr>
              <w:t>、环境风险</w:t>
            </w:r>
          </w:p>
          <w:p>
            <w:pPr>
              <w:spacing w:line="360" w:lineRule="auto"/>
              <w:ind w:firstLine="361" w:firstLineChars="150"/>
              <w:rPr>
                <w:b/>
                <w:color w:val="auto"/>
                <w:sz w:val="24"/>
                <w:szCs w:val="24"/>
                <w:highlight w:val="none"/>
              </w:rPr>
            </w:pPr>
            <w:r>
              <w:rPr>
                <w:rFonts w:hint="eastAsia"/>
                <w:b/>
                <w:color w:val="auto"/>
                <w:sz w:val="24"/>
                <w:szCs w:val="24"/>
                <w:highlight w:val="none"/>
              </w:rPr>
              <w:t>（1）风险调查</w:t>
            </w:r>
          </w:p>
          <w:p>
            <w:pPr>
              <w:spacing w:line="360" w:lineRule="auto"/>
              <w:ind w:firstLine="480"/>
              <w:rPr>
                <w:color w:val="0000FF"/>
                <w:sz w:val="24"/>
                <w:szCs w:val="24"/>
                <w:highlight w:val="none"/>
              </w:rPr>
            </w:pPr>
            <w:r>
              <w:rPr>
                <w:rFonts w:hint="eastAsia"/>
                <w:color w:val="0000FF"/>
                <w:sz w:val="24"/>
                <w:szCs w:val="24"/>
                <w:highlight w:val="none"/>
              </w:rPr>
              <w:t>通过对本项目营运期主要原辅材料及其分布情况、生产工艺特点进行分析，</w:t>
            </w:r>
            <w:r>
              <w:rPr>
                <w:rFonts w:hint="eastAsia"/>
                <w:color w:val="0000FF"/>
                <w:sz w:val="24"/>
                <w:szCs w:val="24"/>
                <w:highlight w:val="none"/>
                <w:lang w:val="en-US" w:eastAsia="zh-CN"/>
              </w:rPr>
              <w:t>本项目不储存柴油和</w:t>
            </w:r>
            <w:r>
              <w:rPr>
                <w:rFonts w:hint="eastAsia" w:cs="Times New Roman"/>
                <w:color w:val="0000FF"/>
                <w:sz w:val="24"/>
                <w:szCs w:val="24"/>
                <w:highlight w:val="none"/>
                <w:lang w:eastAsia="zh-CN"/>
              </w:rPr>
              <w:t>机油</w:t>
            </w:r>
            <w:r>
              <w:rPr>
                <w:rFonts w:hint="eastAsia"/>
                <w:color w:val="0000FF"/>
                <w:sz w:val="24"/>
                <w:szCs w:val="24"/>
                <w:highlight w:val="none"/>
                <w:lang w:val="en-US" w:eastAsia="zh-CN"/>
              </w:rPr>
              <w:t>，现用现买，</w:t>
            </w:r>
            <w:r>
              <w:rPr>
                <w:rFonts w:hint="eastAsia"/>
                <w:color w:val="0000FF"/>
                <w:sz w:val="24"/>
                <w:szCs w:val="24"/>
                <w:highlight w:val="none"/>
              </w:rPr>
              <w:t>营运期危废暂存间贮存的</w:t>
            </w:r>
            <w:r>
              <w:rPr>
                <w:rFonts w:hint="eastAsia" w:cs="Times New Roman"/>
                <w:color w:val="0000FF"/>
                <w:sz w:val="24"/>
                <w:szCs w:val="24"/>
                <w:highlight w:val="none"/>
                <w:lang w:eastAsia="zh-CN"/>
              </w:rPr>
              <w:t>废机油</w:t>
            </w:r>
            <w:r>
              <w:rPr>
                <w:rFonts w:hint="eastAsia"/>
                <w:color w:val="0000FF"/>
                <w:sz w:val="24"/>
                <w:szCs w:val="24"/>
                <w:highlight w:val="none"/>
              </w:rPr>
              <w:t>为有毒、易燃危险物质，其危险特性、贮存情况见下表：</w:t>
            </w:r>
          </w:p>
          <w:p>
            <w:pPr>
              <w:spacing w:line="360" w:lineRule="auto"/>
              <w:jc w:val="center"/>
              <w:rPr>
                <w:rFonts w:hint="eastAsia" w:ascii="Times New Roman" w:hAnsi="Times New Roman" w:eastAsia="宋体"/>
                <w:b/>
                <w:bCs/>
                <w:color w:val="0000FF"/>
                <w:sz w:val="24"/>
                <w:szCs w:val="24"/>
                <w:highlight w:val="none"/>
              </w:rPr>
            </w:pPr>
            <w:r>
              <w:rPr>
                <w:rFonts w:hint="eastAsia" w:ascii="Times New Roman" w:hAnsi="Times New Roman" w:eastAsia="宋体"/>
                <w:b/>
                <w:bCs/>
                <w:color w:val="0000FF"/>
                <w:sz w:val="24"/>
                <w:szCs w:val="24"/>
                <w:highlight w:val="none"/>
              </w:rPr>
              <w:t>表4</w:t>
            </w:r>
            <w:r>
              <w:rPr>
                <w:rFonts w:hint="eastAsia"/>
                <w:b/>
                <w:bCs/>
                <w:color w:val="0000FF"/>
                <w:sz w:val="24"/>
                <w:szCs w:val="24"/>
                <w:highlight w:val="none"/>
                <w:lang w:val="en-US" w:eastAsia="zh-CN"/>
              </w:rPr>
              <w:t>-19</w:t>
            </w:r>
            <w:r>
              <w:rPr>
                <w:rFonts w:hint="eastAsia" w:ascii="Times New Roman" w:hAnsi="Times New Roman" w:eastAsia="宋体"/>
                <w:b/>
                <w:bCs/>
                <w:color w:val="0000FF"/>
                <w:sz w:val="24"/>
                <w:szCs w:val="24"/>
                <w:highlight w:val="none"/>
              </w:rPr>
              <w:t xml:space="preserve">  主要危险物质储存及危险特性</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386"/>
              <w:gridCol w:w="1179"/>
              <w:gridCol w:w="1450"/>
              <w:gridCol w:w="1012"/>
              <w:gridCol w:w="1305"/>
              <w:gridCol w:w="16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序号</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危险单元</w:t>
                  </w:r>
                </w:p>
              </w:tc>
              <w:tc>
                <w:tcPr>
                  <w:tcW w:w="68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危险物质</w:t>
                  </w:r>
                </w:p>
              </w:tc>
              <w:tc>
                <w:tcPr>
                  <w:tcW w:w="84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储存量（t）</w:t>
                  </w:r>
                </w:p>
              </w:tc>
              <w:tc>
                <w:tcPr>
                  <w:tcW w:w="58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形态</w:t>
                  </w:r>
                </w:p>
              </w:tc>
              <w:tc>
                <w:tcPr>
                  <w:tcW w:w="75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储存方式</w:t>
                  </w:r>
                </w:p>
              </w:tc>
              <w:tc>
                <w:tcPr>
                  <w:tcW w:w="94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危险性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1</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危废暂存间</w:t>
                  </w:r>
                </w:p>
              </w:tc>
              <w:tc>
                <w:tcPr>
                  <w:tcW w:w="68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0000FF"/>
                      <w:sz w:val="21"/>
                      <w:szCs w:val="21"/>
                      <w:highlight w:val="none"/>
                      <w:lang w:eastAsia="zh-CN"/>
                    </w:rPr>
                  </w:pPr>
                  <w:r>
                    <w:rPr>
                      <w:rFonts w:hint="eastAsia" w:cs="Times New Roman"/>
                      <w:color w:val="0000FF"/>
                      <w:sz w:val="21"/>
                      <w:szCs w:val="21"/>
                      <w:highlight w:val="none"/>
                      <w:lang w:eastAsia="zh-CN"/>
                    </w:rPr>
                    <w:t>废机油</w:t>
                  </w:r>
                </w:p>
              </w:tc>
              <w:tc>
                <w:tcPr>
                  <w:tcW w:w="84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0.01</w:t>
                  </w:r>
                </w:p>
              </w:tc>
              <w:tc>
                <w:tcPr>
                  <w:tcW w:w="58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液体</w:t>
                  </w:r>
                </w:p>
              </w:tc>
              <w:tc>
                <w:tcPr>
                  <w:tcW w:w="75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桶装</w:t>
                  </w:r>
                </w:p>
              </w:tc>
              <w:tc>
                <w:tcPr>
                  <w:tcW w:w="94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低毒、易燃性</w:t>
                  </w:r>
                </w:p>
              </w:tc>
            </w:tr>
          </w:tbl>
          <w:p>
            <w:pPr>
              <w:spacing w:line="360" w:lineRule="auto"/>
              <w:ind w:firstLine="361" w:firstLineChars="150"/>
              <w:rPr>
                <w:color w:val="0000FF"/>
                <w:sz w:val="24"/>
                <w:szCs w:val="24"/>
                <w:highlight w:val="none"/>
              </w:rPr>
            </w:pPr>
            <w:r>
              <w:rPr>
                <w:rFonts w:hint="eastAsia"/>
                <w:b/>
                <w:color w:val="0000FF"/>
                <w:sz w:val="24"/>
                <w:szCs w:val="24"/>
                <w:highlight w:val="none"/>
              </w:rPr>
              <w:t>（</w:t>
            </w:r>
            <w:r>
              <w:rPr>
                <w:b/>
                <w:color w:val="0000FF"/>
                <w:sz w:val="24"/>
                <w:szCs w:val="24"/>
                <w:highlight w:val="none"/>
              </w:rPr>
              <w:t>2</w:t>
            </w:r>
            <w:r>
              <w:rPr>
                <w:rFonts w:hint="eastAsia"/>
                <w:b/>
                <w:color w:val="0000FF"/>
                <w:sz w:val="24"/>
                <w:szCs w:val="24"/>
                <w:highlight w:val="none"/>
              </w:rPr>
              <w:t>）风险潜势初判</w:t>
            </w:r>
          </w:p>
          <w:p>
            <w:pPr>
              <w:spacing w:line="360" w:lineRule="auto"/>
              <w:ind w:firstLine="480"/>
              <w:rPr>
                <w:color w:val="0000FF"/>
                <w:sz w:val="24"/>
                <w:szCs w:val="24"/>
                <w:highlight w:val="none"/>
              </w:rPr>
            </w:pPr>
            <w:r>
              <w:rPr>
                <w:rFonts w:hint="eastAsia"/>
                <w:color w:val="0000FF"/>
                <w:sz w:val="24"/>
                <w:szCs w:val="24"/>
                <w:highlight w:val="none"/>
              </w:rPr>
              <w:t>建设项目环境风险潜势划分为I、II、III、IV</w:t>
            </w:r>
            <w:r>
              <w:rPr>
                <w:color w:val="0000FF"/>
                <w:sz w:val="24"/>
                <w:szCs w:val="24"/>
                <w:highlight w:val="none"/>
              </w:rPr>
              <w:t>/IV</w:t>
            </w:r>
            <w:r>
              <w:rPr>
                <w:rFonts w:hint="eastAsia"/>
                <w:color w:val="0000FF"/>
                <w:sz w:val="24"/>
                <w:szCs w:val="24"/>
                <w:highlight w:val="none"/>
                <w:vertAlign w:val="superscript"/>
              </w:rPr>
              <w:t>+</w:t>
            </w:r>
            <w:r>
              <w:rPr>
                <w:color w:val="0000FF"/>
                <w:sz w:val="24"/>
                <w:szCs w:val="24"/>
                <w:highlight w:val="none"/>
              </w:rPr>
              <w:t>级</w:t>
            </w:r>
            <w:r>
              <w:rPr>
                <w:rFonts w:hint="eastAsia"/>
                <w:color w:val="0000FF"/>
                <w:sz w:val="24"/>
                <w:szCs w:val="24"/>
                <w:highlight w:val="none"/>
              </w:rPr>
              <w:t>，</w:t>
            </w:r>
            <w:r>
              <w:rPr>
                <w:color w:val="0000FF"/>
                <w:sz w:val="24"/>
                <w:szCs w:val="24"/>
                <w:highlight w:val="none"/>
              </w:rPr>
              <w:t>主要根据建设项目涉及的物质和工艺系统的危险性及其所在地的环境敏感</w:t>
            </w:r>
            <w:r>
              <w:rPr>
                <w:rFonts w:hint="eastAsia"/>
                <w:color w:val="0000FF"/>
                <w:sz w:val="24"/>
                <w:szCs w:val="24"/>
                <w:highlight w:val="none"/>
              </w:rPr>
              <w:t>程度，</w:t>
            </w:r>
            <w:r>
              <w:rPr>
                <w:color w:val="0000FF"/>
                <w:sz w:val="24"/>
                <w:szCs w:val="24"/>
                <w:highlight w:val="none"/>
              </w:rPr>
              <w:t>结合事故情形下环境影响途径</w:t>
            </w:r>
            <w:r>
              <w:rPr>
                <w:rFonts w:hint="eastAsia"/>
                <w:color w:val="0000FF"/>
                <w:sz w:val="24"/>
                <w:szCs w:val="24"/>
                <w:highlight w:val="none"/>
              </w:rPr>
              <w:t>，</w:t>
            </w:r>
            <w:r>
              <w:rPr>
                <w:color w:val="0000FF"/>
                <w:sz w:val="24"/>
                <w:szCs w:val="24"/>
                <w:highlight w:val="none"/>
              </w:rPr>
              <w:t>按照</w:t>
            </w:r>
            <w:r>
              <w:rPr>
                <w:rFonts w:hint="eastAsia"/>
                <w:color w:val="0000FF"/>
                <w:sz w:val="24"/>
                <w:szCs w:val="24"/>
                <w:highlight w:val="none"/>
              </w:rPr>
              <w:t>《建设项目环境风险评价技术导则》（HJ169-2018）表2进行确定，其中：危险物质数量与临界量比值（</w:t>
            </w:r>
            <w:r>
              <w:rPr>
                <w:rFonts w:hint="eastAsia"/>
                <w:i/>
                <w:color w:val="0000FF"/>
                <w:sz w:val="24"/>
                <w:szCs w:val="24"/>
                <w:highlight w:val="none"/>
              </w:rPr>
              <w:t>Q</w:t>
            </w:r>
            <w:r>
              <w:rPr>
                <w:rFonts w:hint="eastAsia"/>
                <w:color w:val="0000FF"/>
                <w:sz w:val="24"/>
                <w:szCs w:val="24"/>
                <w:highlight w:val="none"/>
              </w:rPr>
              <w:t>）为每种</w:t>
            </w:r>
            <w:r>
              <w:rPr>
                <w:color w:val="0000FF"/>
                <w:sz w:val="24"/>
                <w:szCs w:val="24"/>
                <w:highlight w:val="none"/>
              </w:rPr>
              <w:t>危险物质在厂界内的最大存在总量与其在</w:t>
            </w:r>
            <w:r>
              <w:rPr>
                <w:rFonts w:hint="eastAsia"/>
                <w:color w:val="0000FF"/>
                <w:sz w:val="24"/>
                <w:szCs w:val="24"/>
                <w:highlight w:val="none"/>
              </w:rPr>
              <w:t>HJ169-2018附录B中对应临界量的比值，即：</w:t>
            </w:r>
          </w:p>
          <w:p>
            <w:pPr>
              <w:spacing w:line="360" w:lineRule="auto"/>
              <w:jc w:val="center"/>
              <w:rPr>
                <w:color w:val="0000FF"/>
                <w:sz w:val="24"/>
                <w:szCs w:val="24"/>
                <w:highlight w:val="none"/>
              </w:rPr>
            </w:pPr>
            <w:r>
              <w:rPr>
                <w:color w:val="0000FF"/>
                <w:position w:val="-30"/>
                <w:sz w:val="24"/>
                <w:szCs w:val="24"/>
                <w:highlight w:val="none"/>
              </w:rPr>
              <w:object>
                <v:shape id="_x0000_i1030" o:spt="75" type="#_x0000_t75" style="height:28.5pt;width:79.5pt;" o:ole="t" filled="f" o:preferrelative="t" stroked="f" coordsize="21600,21600">
                  <v:path/>
                  <v:fill on="f" focussize="0,0"/>
                  <v:stroke on="f" joinstyle="miter"/>
                  <v:imagedata r:id="rId24" o:title=""/>
                  <o:lock v:ext="edit" aspectratio="t"/>
                  <w10:wrap type="none"/>
                  <w10:anchorlock/>
                </v:shape>
                <o:OLEObject Type="Embed" ProgID="Equation.DSMT4" ShapeID="_x0000_i1030" DrawAspect="Content" ObjectID="_1468075730" r:id="rId23">
                  <o:LockedField>false</o:LockedField>
                </o:OLEObject>
              </w:object>
            </w:r>
          </w:p>
          <w:p>
            <w:pPr>
              <w:spacing w:line="360" w:lineRule="auto"/>
              <w:ind w:firstLine="480" w:firstLineChars="200"/>
              <w:rPr>
                <w:i/>
                <w:color w:val="0000FF"/>
                <w:sz w:val="24"/>
                <w:szCs w:val="24"/>
                <w:highlight w:val="none"/>
              </w:rPr>
            </w:pPr>
            <w:r>
              <w:rPr>
                <w:rFonts w:hint="eastAsia"/>
                <w:color w:val="0000FF"/>
                <w:sz w:val="24"/>
                <w:szCs w:val="24"/>
                <w:highlight w:val="none"/>
              </w:rPr>
              <w:t>式中：</w:t>
            </w:r>
            <w:r>
              <w:rPr>
                <w:i/>
                <w:color w:val="0000FF"/>
                <w:sz w:val="24"/>
                <w:szCs w:val="24"/>
                <w:highlight w:val="none"/>
              </w:rPr>
              <w:t>q</w:t>
            </w:r>
            <w:r>
              <w:rPr>
                <w:color w:val="0000FF"/>
                <w:sz w:val="24"/>
                <w:szCs w:val="24"/>
                <w:highlight w:val="none"/>
                <w:vertAlign w:val="subscript"/>
              </w:rPr>
              <w:t>1</w:t>
            </w:r>
            <w:r>
              <w:rPr>
                <w:rFonts w:hint="eastAsia"/>
                <w:color w:val="0000FF"/>
                <w:sz w:val="24"/>
                <w:szCs w:val="24"/>
                <w:highlight w:val="none"/>
              </w:rPr>
              <w:t>，</w:t>
            </w:r>
            <w:r>
              <w:rPr>
                <w:i/>
                <w:color w:val="0000FF"/>
                <w:sz w:val="24"/>
                <w:szCs w:val="24"/>
                <w:highlight w:val="none"/>
              </w:rPr>
              <w:t>q</w:t>
            </w:r>
            <w:r>
              <w:rPr>
                <w:color w:val="0000FF"/>
                <w:sz w:val="24"/>
                <w:szCs w:val="24"/>
                <w:highlight w:val="none"/>
                <w:vertAlign w:val="subscript"/>
              </w:rPr>
              <w:t>2</w:t>
            </w:r>
            <w:r>
              <w:rPr>
                <w:rFonts w:hint="eastAsia"/>
                <w:color w:val="0000FF"/>
                <w:sz w:val="24"/>
                <w:szCs w:val="24"/>
                <w:highlight w:val="none"/>
              </w:rPr>
              <w:t>，</w:t>
            </w:r>
            <w:r>
              <w:rPr>
                <w:rFonts w:cstheme="minorHAnsi"/>
                <w:color w:val="0000FF"/>
                <w:sz w:val="24"/>
                <w:szCs w:val="24"/>
                <w:highlight w:val="none"/>
              </w:rPr>
              <w:t>···，</w:t>
            </w:r>
            <w:r>
              <w:rPr>
                <w:i/>
                <w:color w:val="0000FF"/>
                <w:sz w:val="24"/>
                <w:szCs w:val="24"/>
                <w:highlight w:val="none"/>
              </w:rPr>
              <w:t>q</w:t>
            </w:r>
            <w:r>
              <w:rPr>
                <w:i/>
                <w:color w:val="0000FF"/>
                <w:sz w:val="24"/>
                <w:szCs w:val="24"/>
                <w:highlight w:val="none"/>
                <w:vertAlign w:val="subscript"/>
              </w:rPr>
              <w:t>n</w:t>
            </w:r>
            <w:r>
              <w:rPr>
                <w:color w:val="0000FF"/>
                <w:sz w:val="24"/>
                <w:szCs w:val="24"/>
                <w:highlight w:val="none"/>
              </w:rPr>
              <w:t>——</w:t>
            </w:r>
            <w:r>
              <w:rPr>
                <w:rFonts w:hint="eastAsia"/>
                <w:color w:val="0000FF"/>
                <w:sz w:val="24"/>
                <w:szCs w:val="24"/>
                <w:highlight w:val="none"/>
              </w:rPr>
              <w:t>每种危险物质的最大存在总量，t；</w:t>
            </w:r>
          </w:p>
          <w:p>
            <w:pPr>
              <w:spacing w:line="360" w:lineRule="auto"/>
              <w:ind w:firstLine="480" w:firstLineChars="200"/>
              <w:rPr>
                <w:color w:val="0000FF"/>
                <w:sz w:val="24"/>
                <w:szCs w:val="24"/>
                <w:highlight w:val="none"/>
              </w:rPr>
            </w:pPr>
            <w:r>
              <w:rPr>
                <w:color w:val="0000FF"/>
                <w:sz w:val="24"/>
                <w:szCs w:val="24"/>
                <w:highlight w:val="none"/>
              </w:rPr>
              <w:t xml:space="preserve">      </w:t>
            </w:r>
            <w:r>
              <w:rPr>
                <w:i/>
                <w:color w:val="0000FF"/>
                <w:sz w:val="24"/>
                <w:szCs w:val="24"/>
                <w:highlight w:val="none"/>
              </w:rPr>
              <w:t>Q</w:t>
            </w:r>
            <w:r>
              <w:rPr>
                <w:color w:val="0000FF"/>
                <w:sz w:val="24"/>
                <w:szCs w:val="24"/>
                <w:highlight w:val="none"/>
                <w:vertAlign w:val="subscript"/>
              </w:rPr>
              <w:t>1</w:t>
            </w:r>
            <w:r>
              <w:rPr>
                <w:rFonts w:hint="eastAsia"/>
                <w:color w:val="0000FF"/>
                <w:sz w:val="24"/>
                <w:szCs w:val="24"/>
                <w:highlight w:val="none"/>
              </w:rPr>
              <w:t>，</w:t>
            </w:r>
            <w:r>
              <w:rPr>
                <w:i/>
                <w:color w:val="0000FF"/>
                <w:sz w:val="24"/>
                <w:szCs w:val="24"/>
                <w:highlight w:val="none"/>
              </w:rPr>
              <w:t>Q</w:t>
            </w:r>
            <w:r>
              <w:rPr>
                <w:color w:val="0000FF"/>
                <w:sz w:val="24"/>
                <w:szCs w:val="24"/>
                <w:highlight w:val="none"/>
                <w:vertAlign w:val="subscript"/>
              </w:rPr>
              <w:t>2</w:t>
            </w:r>
            <w:r>
              <w:rPr>
                <w:rFonts w:hint="eastAsia"/>
                <w:color w:val="0000FF"/>
                <w:sz w:val="24"/>
                <w:szCs w:val="24"/>
                <w:highlight w:val="none"/>
              </w:rPr>
              <w:t>，</w:t>
            </w:r>
            <w:r>
              <w:rPr>
                <w:rFonts w:cstheme="minorHAnsi"/>
                <w:color w:val="0000FF"/>
                <w:sz w:val="24"/>
                <w:szCs w:val="24"/>
                <w:highlight w:val="none"/>
              </w:rPr>
              <w:t>···，</w:t>
            </w:r>
            <w:r>
              <w:rPr>
                <w:i/>
                <w:color w:val="0000FF"/>
                <w:sz w:val="24"/>
                <w:szCs w:val="24"/>
                <w:highlight w:val="none"/>
              </w:rPr>
              <w:t>Q</w:t>
            </w:r>
            <w:r>
              <w:rPr>
                <w:i/>
                <w:color w:val="0000FF"/>
                <w:sz w:val="24"/>
                <w:szCs w:val="24"/>
                <w:highlight w:val="none"/>
                <w:vertAlign w:val="subscript"/>
              </w:rPr>
              <w:t>n</w:t>
            </w:r>
            <w:r>
              <w:rPr>
                <w:color w:val="0000FF"/>
                <w:sz w:val="24"/>
                <w:szCs w:val="24"/>
                <w:highlight w:val="none"/>
              </w:rPr>
              <w:t>——</w:t>
            </w:r>
            <w:r>
              <w:rPr>
                <w:rFonts w:hint="eastAsia"/>
                <w:color w:val="0000FF"/>
                <w:sz w:val="24"/>
                <w:szCs w:val="24"/>
                <w:highlight w:val="none"/>
              </w:rPr>
              <w:t>每种危险物质的临界量，t。</w:t>
            </w:r>
          </w:p>
          <w:p>
            <w:pPr>
              <w:spacing w:line="360" w:lineRule="auto"/>
              <w:ind w:firstLine="480" w:firstLineChars="200"/>
              <w:rPr>
                <w:rFonts w:cstheme="minorHAnsi"/>
                <w:color w:val="0000FF"/>
                <w:sz w:val="24"/>
                <w:szCs w:val="24"/>
                <w:highlight w:val="none"/>
              </w:rPr>
            </w:pPr>
            <w:r>
              <w:rPr>
                <w:rFonts w:cstheme="minorHAnsi"/>
                <w:color w:val="0000FF"/>
                <w:sz w:val="24"/>
                <w:szCs w:val="24"/>
                <w:highlight w:val="none"/>
              </w:rPr>
              <w:t>当</w:t>
            </w:r>
            <w:r>
              <w:rPr>
                <w:rFonts w:cstheme="minorHAnsi"/>
                <w:i/>
                <w:color w:val="0000FF"/>
                <w:sz w:val="24"/>
                <w:szCs w:val="24"/>
                <w:highlight w:val="none"/>
              </w:rPr>
              <w:t>Q</w:t>
            </w:r>
            <w:r>
              <w:rPr>
                <w:rFonts w:cstheme="minorHAnsi"/>
                <w:color w:val="0000FF"/>
                <w:sz w:val="24"/>
                <w:szCs w:val="24"/>
                <w:highlight w:val="none"/>
              </w:rPr>
              <w:t>&lt;1时，该项目环境风险潜势为I；当</w:t>
            </w:r>
            <w:r>
              <w:rPr>
                <w:rFonts w:cstheme="minorHAnsi"/>
                <w:i/>
                <w:color w:val="0000FF"/>
                <w:sz w:val="24"/>
                <w:szCs w:val="24"/>
                <w:highlight w:val="none"/>
              </w:rPr>
              <w:t>Q</w:t>
            </w:r>
            <w:r>
              <w:rPr>
                <w:rFonts w:cstheme="minorHAnsi"/>
                <w:color w:val="0000FF"/>
                <w:sz w:val="24"/>
                <w:szCs w:val="24"/>
                <w:highlight w:val="none"/>
              </w:rPr>
              <w:t>≥1时</w:t>
            </w:r>
            <w:r>
              <w:rPr>
                <w:rFonts w:hint="eastAsia" w:cstheme="minorHAnsi"/>
                <w:color w:val="0000FF"/>
                <w:sz w:val="24"/>
                <w:szCs w:val="24"/>
                <w:highlight w:val="none"/>
              </w:rPr>
              <w:t>，</w:t>
            </w:r>
            <w:r>
              <w:rPr>
                <w:rFonts w:cstheme="minorHAnsi"/>
                <w:color w:val="0000FF"/>
                <w:sz w:val="24"/>
                <w:szCs w:val="24"/>
                <w:highlight w:val="none"/>
              </w:rPr>
              <w:t>将</w:t>
            </w:r>
            <w:r>
              <w:rPr>
                <w:rFonts w:cstheme="minorHAnsi"/>
                <w:i/>
                <w:color w:val="0000FF"/>
                <w:sz w:val="24"/>
                <w:szCs w:val="24"/>
                <w:highlight w:val="none"/>
              </w:rPr>
              <w:t>Q</w:t>
            </w:r>
            <w:r>
              <w:rPr>
                <w:rFonts w:cstheme="minorHAnsi"/>
                <w:color w:val="0000FF"/>
                <w:sz w:val="24"/>
                <w:szCs w:val="24"/>
                <w:highlight w:val="none"/>
              </w:rPr>
              <w:t>值划分为：a.1≤</w:t>
            </w:r>
            <w:r>
              <w:rPr>
                <w:rFonts w:cstheme="minorHAnsi"/>
                <w:i/>
                <w:color w:val="0000FF"/>
                <w:sz w:val="24"/>
                <w:szCs w:val="24"/>
                <w:highlight w:val="none"/>
              </w:rPr>
              <w:t>Q</w:t>
            </w:r>
            <w:r>
              <w:rPr>
                <w:rFonts w:cstheme="minorHAnsi"/>
                <w:color w:val="0000FF"/>
                <w:sz w:val="24"/>
                <w:szCs w:val="24"/>
                <w:highlight w:val="none"/>
              </w:rPr>
              <w:t>&lt;10</w:t>
            </w:r>
            <w:r>
              <w:rPr>
                <w:rFonts w:hint="eastAsia" w:cstheme="minorHAnsi"/>
                <w:color w:val="0000FF"/>
                <w:sz w:val="24"/>
                <w:szCs w:val="24"/>
                <w:highlight w:val="none"/>
              </w:rPr>
              <w:t>；</w:t>
            </w:r>
            <w:r>
              <w:rPr>
                <w:rFonts w:cstheme="minorHAnsi"/>
                <w:color w:val="0000FF"/>
                <w:sz w:val="24"/>
                <w:szCs w:val="24"/>
                <w:highlight w:val="none"/>
              </w:rPr>
              <w:t>b. 10≤</w:t>
            </w:r>
            <w:r>
              <w:rPr>
                <w:rFonts w:cstheme="minorHAnsi"/>
                <w:i/>
                <w:color w:val="0000FF"/>
                <w:sz w:val="24"/>
                <w:szCs w:val="24"/>
                <w:highlight w:val="none"/>
              </w:rPr>
              <w:t>Q</w:t>
            </w:r>
            <w:r>
              <w:rPr>
                <w:rFonts w:cstheme="minorHAnsi"/>
                <w:color w:val="0000FF"/>
                <w:sz w:val="24"/>
                <w:szCs w:val="24"/>
                <w:highlight w:val="none"/>
              </w:rPr>
              <w:t>&lt;100</w:t>
            </w:r>
            <w:r>
              <w:rPr>
                <w:rFonts w:hint="eastAsia" w:cstheme="minorHAnsi"/>
                <w:color w:val="0000FF"/>
                <w:sz w:val="24"/>
                <w:szCs w:val="24"/>
                <w:highlight w:val="none"/>
              </w:rPr>
              <w:t>；c</w:t>
            </w:r>
            <w:r>
              <w:rPr>
                <w:rFonts w:cstheme="minorHAnsi"/>
                <w:color w:val="0000FF"/>
                <w:sz w:val="24"/>
                <w:szCs w:val="24"/>
                <w:highlight w:val="none"/>
              </w:rPr>
              <w:t>.</w:t>
            </w:r>
            <w:r>
              <w:rPr>
                <w:rFonts w:cstheme="minorHAnsi"/>
                <w:i/>
                <w:color w:val="0000FF"/>
                <w:sz w:val="24"/>
                <w:szCs w:val="24"/>
                <w:highlight w:val="none"/>
              </w:rPr>
              <w:t>Q</w:t>
            </w:r>
            <w:r>
              <w:rPr>
                <w:rFonts w:cstheme="minorHAnsi"/>
                <w:color w:val="0000FF"/>
                <w:sz w:val="24"/>
                <w:szCs w:val="24"/>
                <w:highlight w:val="none"/>
              </w:rPr>
              <w:t>≥100</w:t>
            </w:r>
            <w:r>
              <w:rPr>
                <w:rFonts w:hint="eastAsia" w:cstheme="minorHAnsi"/>
                <w:color w:val="0000FF"/>
                <w:sz w:val="24"/>
                <w:szCs w:val="24"/>
                <w:highlight w:val="none"/>
              </w:rPr>
              <w:t>。</w:t>
            </w:r>
          </w:p>
          <w:p>
            <w:pPr>
              <w:spacing w:line="360" w:lineRule="auto"/>
              <w:ind w:firstLine="480"/>
              <w:rPr>
                <w:color w:val="0000FF"/>
                <w:sz w:val="24"/>
                <w:szCs w:val="24"/>
                <w:highlight w:val="none"/>
              </w:rPr>
            </w:pPr>
            <w:r>
              <w:rPr>
                <w:color w:val="0000FF"/>
                <w:sz w:val="24"/>
                <w:szCs w:val="24"/>
                <w:highlight w:val="none"/>
              </w:rPr>
              <w:t>根据计算</w:t>
            </w:r>
            <w:r>
              <w:rPr>
                <w:rFonts w:hint="eastAsia"/>
                <w:color w:val="0000FF"/>
                <w:sz w:val="24"/>
                <w:szCs w:val="24"/>
                <w:highlight w:val="none"/>
              </w:rPr>
              <w:t>，</w:t>
            </w:r>
            <w:r>
              <w:rPr>
                <w:color w:val="0000FF"/>
                <w:sz w:val="24"/>
                <w:szCs w:val="24"/>
                <w:highlight w:val="none"/>
              </w:rPr>
              <w:t>本项目</w:t>
            </w:r>
            <w:r>
              <w:rPr>
                <w:rFonts w:hint="eastAsia"/>
                <w:color w:val="0000FF"/>
                <w:sz w:val="24"/>
                <w:szCs w:val="24"/>
                <w:highlight w:val="none"/>
              </w:rPr>
              <w:t>危险物质数量与临界量比值见表</w:t>
            </w:r>
            <w:r>
              <w:rPr>
                <w:color w:val="0000FF"/>
                <w:sz w:val="24"/>
                <w:szCs w:val="24"/>
                <w:highlight w:val="none"/>
              </w:rPr>
              <w:t>4</w:t>
            </w:r>
            <w:r>
              <w:rPr>
                <w:rFonts w:hint="eastAsia"/>
                <w:color w:val="0000FF"/>
                <w:sz w:val="24"/>
                <w:szCs w:val="24"/>
                <w:highlight w:val="none"/>
              </w:rPr>
              <w:t>-</w:t>
            </w:r>
            <w:r>
              <w:rPr>
                <w:rFonts w:hint="eastAsia"/>
                <w:color w:val="0000FF"/>
                <w:sz w:val="24"/>
                <w:szCs w:val="24"/>
                <w:highlight w:val="none"/>
                <w:lang w:val="en-US" w:eastAsia="zh-CN"/>
              </w:rPr>
              <w:t>20</w:t>
            </w:r>
            <w:r>
              <w:rPr>
                <w:rFonts w:hint="eastAsia"/>
                <w:color w:val="0000FF"/>
                <w:sz w:val="24"/>
                <w:szCs w:val="24"/>
                <w:highlight w:val="none"/>
              </w:rPr>
              <w:t>。</w:t>
            </w:r>
          </w:p>
          <w:p>
            <w:pPr>
              <w:spacing w:line="360" w:lineRule="auto"/>
              <w:jc w:val="center"/>
              <w:rPr>
                <w:rFonts w:hint="eastAsia" w:ascii="Times New Roman" w:hAnsi="Times New Roman" w:eastAsia="宋体"/>
                <w:b/>
                <w:bCs/>
                <w:color w:val="0000FF"/>
                <w:sz w:val="24"/>
                <w:szCs w:val="24"/>
                <w:highlight w:val="none"/>
              </w:rPr>
            </w:pPr>
            <w:r>
              <w:rPr>
                <w:rFonts w:hint="eastAsia" w:ascii="Times New Roman" w:hAnsi="Times New Roman" w:eastAsia="宋体"/>
                <w:b/>
                <w:bCs/>
                <w:color w:val="0000FF"/>
                <w:sz w:val="24"/>
                <w:szCs w:val="24"/>
                <w:highlight w:val="none"/>
              </w:rPr>
              <w:t>表4-</w:t>
            </w:r>
            <w:r>
              <w:rPr>
                <w:rFonts w:hint="eastAsia"/>
                <w:b/>
                <w:bCs/>
                <w:color w:val="0000FF"/>
                <w:sz w:val="24"/>
                <w:szCs w:val="24"/>
                <w:highlight w:val="none"/>
                <w:lang w:val="en-US" w:eastAsia="zh-CN"/>
              </w:rPr>
              <w:t>20</w:t>
            </w:r>
            <w:r>
              <w:rPr>
                <w:rFonts w:hint="eastAsia" w:ascii="Times New Roman" w:hAnsi="Times New Roman" w:eastAsia="宋体"/>
                <w:b/>
                <w:bCs/>
                <w:color w:val="0000FF"/>
                <w:sz w:val="24"/>
                <w:szCs w:val="24"/>
                <w:highlight w:val="none"/>
              </w:rPr>
              <w:t xml:space="preserve">  危险物质数量与临界量比值表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2237"/>
              <w:gridCol w:w="1852"/>
              <w:gridCol w:w="1958"/>
              <w:gridCol w:w="16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序号</w:t>
                  </w:r>
                </w:p>
              </w:tc>
              <w:tc>
                <w:tcPr>
                  <w:tcW w:w="130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危险物质</w:t>
                  </w:r>
                </w:p>
              </w:tc>
              <w:tc>
                <w:tcPr>
                  <w:tcW w:w="107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储存量（</w:t>
                  </w:r>
                  <w:r>
                    <w:rPr>
                      <w:rFonts w:hint="default" w:ascii="Times New Roman" w:hAnsi="Times New Roman" w:cs="Times New Roman"/>
                      <w:b/>
                      <w:bCs/>
                      <w:i/>
                      <w:color w:val="0000FF"/>
                      <w:sz w:val="21"/>
                      <w:szCs w:val="21"/>
                      <w:highlight w:val="none"/>
                    </w:rPr>
                    <w:t>q</w:t>
                  </w:r>
                  <w:r>
                    <w:rPr>
                      <w:rFonts w:hint="default" w:ascii="Times New Roman" w:hAnsi="Times New Roman" w:cs="Times New Roman"/>
                      <w:b/>
                      <w:bCs/>
                      <w:color w:val="0000FF"/>
                      <w:sz w:val="21"/>
                      <w:szCs w:val="21"/>
                      <w:highlight w:val="none"/>
                    </w:rPr>
                    <w:t>）</w:t>
                  </w:r>
                </w:p>
              </w:tc>
              <w:tc>
                <w:tcPr>
                  <w:tcW w:w="113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临界量（</w:t>
                  </w:r>
                  <w:r>
                    <w:rPr>
                      <w:rFonts w:hint="default" w:ascii="Times New Roman" w:hAnsi="Times New Roman" w:cs="Times New Roman"/>
                      <w:b/>
                      <w:bCs/>
                      <w:i/>
                      <w:color w:val="0000FF"/>
                      <w:sz w:val="21"/>
                      <w:szCs w:val="21"/>
                      <w:highlight w:val="none"/>
                    </w:rPr>
                    <w:t>Q</w:t>
                  </w:r>
                  <w:r>
                    <w:rPr>
                      <w:rFonts w:hint="default" w:ascii="Times New Roman" w:hAnsi="Times New Roman" w:cs="Times New Roman"/>
                      <w:b/>
                      <w:bCs/>
                      <w:color w:val="0000FF"/>
                      <w:sz w:val="21"/>
                      <w:szCs w:val="21"/>
                      <w:highlight w:val="none"/>
                    </w:rPr>
                    <w:t>）</w:t>
                  </w:r>
                </w:p>
              </w:tc>
              <w:tc>
                <w:tcPr>
                  <w:tcW w:w="9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比值（</w:t>
                  </w:r>
                  <w:r>
                    <w:rPr>
                      <w:rFonts w:hint="default" w:ascii="Times New Roman" w:hAnsi="Times New Roman" w:cs="Times New Roman"/>
                      <w:b/>
                      <w:bCs/>
                      <w:i/>
                      <w:color w:val="0000FF"/>
                      <w:sz w:val="21"/>
                      <w:szCs w:val="21"/>
                      <w:highlight w:val="none"/>
                    </w:rPr>
                    <w:t>Q</w:t>
                  </w:r>
                  <w:r>
                    <w:rPr>
                      <w:rFonts w:hint="default" w:ascii="Times New Roman" w:hAnsi="Times New Roman" w:cs="Times New Roman"/>
                      <w:b/>
                      <w:bCs/>
                      <w:color w:val="0000FF"/>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1</w:t>
                  </w:r>
                </w:p>
              </w:tc>
              <w:tc>
                <w:tcPr>
                  <w:tcW w:w="130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FF"/>
                      <w:sz w:val="21"/>
                      <w:szCs w:val="21"/>
                      <w:highlight w:val="none"/>
                    </w:rPr>
                  </w:pPr>
                  <w:r>
                    <w:rPr>
                      <w:rFonts w:hint="eastAsia"/>
                      <w:color w:val="0000FF"/>
                      <w:highlight w:val="none"/>
                      <w:lang w:val="en-US" w:eastAsia="zh-CN"/>
                    </w:rPr>
                    <w:t>废机油</w:t>
                  </w:r>
                </w:p>
              </w:tc>
              <w:tc>
                <w:tcPr>
                  <w:tcW w:w="107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0.</w:t>
                  </w:r>
                  <w:r>
                    <w:rPr>
                      <w:rFonts w:hint="eastAsia" w:cs="Times New Roman"/>
                      <w:color w:val="0000FF"/>
                      <w:sz w:val="21"/>
                      <w:szCs w:val="21"/>
                      <w:highlight w:val="none"/>
                      <w:lang w:val="en-US" w:eastAsia="zh-CN"/>
                    </w:rPr>
                    <w:t>01</w:t>
                  </w:r>
                  <w:r>
                    <w:rPr>
                      <w:rFonts w:hint="default" w:ascii="Times New Roman" w:hAnsi="Times New Roman" w:cs="Times New Roman"/>
                      <w:color w:val="0000FF"/>
                      <w:sz w:val="21"/>
                      <w:szCs w:val="21"/>
                      <w:highlight w:val="none"/>
                    </w:rPr>
                    <w:t>t</w:t>
                  </w:r>
                </w:p>
              </w:tc>
              <w:tc>
                <w:tcPr>
                  <w:tcW w:w="113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2500t</w:t>
                  </w:r>
                </w:p>
              </w:tc>
              <w:tc>
                <w:tcPr>
                  <w:tcW w:w="9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cs="Times New Roman"/>
                      <w:color w:val="0000FF"/>
                      <w:sz w:val="21"/>
                      <w:szCs w:val="21"/>
                      <w:highlight w:val="none"/>
                    </w:rPr>
                    <w:t>0.000</w:t>
                  </w:r>
                  <w:r>
                    <w:rPr>
                      <w:rFonts w:hint="eastAsia" w:cs="Times New Roman"/>
                      <w:color w:val="0000FF"/>
                      <w:sz w:val="21"/>
                      <w:szCs w:val="21"/>
                      <w:highlight w:val="none"/>
                      <w:lang w:val="en-US" w:eastAsia="zh-CN"/>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42" w:type="pct"/>
                  <w:gridSpan w:val="4"/>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0000FF"/>
                      <w:sz w:val="21"/>
                      <w:szCs w:val="21"/>
                      <w:highlight w:val="none"/>
                      <w:lang w:val="en-US" w:eastAsia="zh-CN"/>
                    </w:rPr>
                  </w:pPr>
                  <w:r>
                    <w:rPr>
                      <w:rFonts w:hint="eastAsia" w:ascii="Times New Roman" w:hAnsi="Times New Roman" w:cs="Times New Roman"/>
                      <w:color w:val="0000FF"/>
                      <w:sz w:val="21"/>
                      <w:szCs w:val="21"/>
                      <w:highlight w:val="none"/>
                      <w:lang w:val="en-US" w:eastAsia="zh-CN"/>
                    </w:rPr>
                    <w:t>合计</w:t>
                  </w:r>
                </w:p>
              </w:tc>
              <w:tc>
                <w:tcPr>
                  <w:tcW w:w="957" w:type="pct"/>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jc w:val="center"/>
                    <w:rPr>
                      <w:rFonts w:hint="default" w:cs="Times New Roman"/>
                      <w:color w:val="0000FF"/>
                      <w:sz w:val="21"/>
                      <w:szCs w:val="21"/>
                      <w:highlight w:val="none"/>
                      <w:lang w:val="en-US" w:eastAsia="zh-CN"/>
                    </w:rPr>
                  </w:pPr>
                  <w:r>
                    <w:rPr>
                      <w:rFonts w:hint="default" w:ascii="Times New Roman" w:hAnsi="Times New Roman" w:cs="Times New Roman"/>
                      <w:color w:val="0000FF"/>
                      <w:sz w:val="21"/>
                      <w:szCs w:val="21"/>
                      <w:highlight w:val="none"/>
                    </w:rPr>
                    <w:t>0.000</w:t>
                  </w:r>
                  <w:r>
                    <w:rPr>
                      <w:rFonts w:hint="eastAsia" w:cs="Times New Roman"/>
                      <w:color w:val="0000FF"/>
                      <w:sz w:val="21"/>
                      <w:szCs w:val="21"/>
                      <w:highlight w:val="none"/>
                      <w:lang w:val="en-US" w:eastAsia="zh-CN"/>
                    </w:rPr>
                    <w:t>004</w:t>
                  </w:r>
                </w:p>
              </w:tc>
            </w:tr>
          </w:tbl>
          <w:p>
            <w:pPr>
              <w:spacing w:line="360" w:lineRule="auto"/>
              <w:ind w:firstLine="480" w:firstLineChars="200"/>
              <w:rPr>
                <w:rFonts w:cstheme="minorHAnsi"/>
                <w:color w:val="0000FF"/>
                <w:sz w:val="24"/>
                <w:szCs w:val="24"/>
                <w:highlight w:val="none"/>
              </w:rPr>
            </w:pPr>
            <w:r>
              <w:rPr>
                <w:rFonts w:hint="eastAsia" w:cstheme="minorHAnsi"/>
                <w:color w:val="0000FF"/>
                <w:sz w:val="24"/>
                <w:szCs w:val="24"/>
                <w:highlight w:val="none"/>
              </w:rPr>
              <w:t>由上表可知，本项目危险物质数量与临界量比值（Q）小于1，环境风险潜势为I。</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sz w:val="24"/>
                <w:szCs w:val="24"/>
                <w:highlight w:val="none"/>
              </w:rPr>
            </w:pPr>
            <w:r>
              <w:rPr>
                <w:rFonts w:hint="eastAsia"/>
                <w:b/>
                <w:color w:val="auto"/>
                <w:sz w:val="24"/>
                <w:szCs w:val="24"/>
                <w:highlight w:val="none"/>
              </w:rPr>
              <w:t>（</w:t>
            </w:r>
            <w:r>
              <w:rPr>
                <w:rFonts w:hint="eastAsia"/>
                <w:b/>
                <w:color w:val="auto"/>
                <w:sz w:val="24"/>
                <w:szCs w:val="24"/>
                <w:highlight w:val="none"/>
                <w:lang w:val="en-US" w:eastAsia="zh-CN"/>
              </w:rPr>
              <w:t>3</w:t>
            </w:r>
            <w:r>
              <w:rPr>
                <w:rFonts w:hint="eastAsia"/>
                <w:b/>
                <w:color w:val="auto"/>
                <w:sz w:val="24"/>
                <w:szCs w:val="24"/>
                <w:highlight w:val="none"/>
              </w:rPr>
              <w:t>）评价等级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rPr>
              <w:t>根据建设项目涉及的</w:t>
            </w:r>
            <w:r>
              <w:rPr>
                <w:rFonts w:hint="eastAsia"/>
                <w:color w:val="auto"/>
                <w:sz w:val="24"/>
                <w:szCs w:val="24"/>
                <w:highlight w:val="none"/>
              </w:rPr>
              <w:t>物质及工艺系统危险性和所在地的环境敏感性确定环境风险潜势，按照表</w:t>
            </w:r>
            <w:r>
              <w:rPr>
                <w:color w:val="auto"/>
                <w:sz w:val="24"/>
                <w:szCs w:val="24"/>
                <w:highlight w:val="none"/>
              </w:rPr>
              <w:t>4</w:t>
            </w:r>
            <w:r>
              <w:rPr>
                <w:rFonts w:hint="eastAsia"/>
                <w:color w:val="auto"/>
                <w:sz w:val="24"/>
                <w:szCs w:val="24"/>
                <w:highlight w:val="none"/>
              </w:rPr>
              <w:t>-</w:t>
            </w:r>
            <w:r>
              <w:rPr>
                <w:rFonts w:hint="eastAsia"/>
                <w:color w:val="auto"/>
                <w:sz w:val="24"/>
                <w:szCs w:val="24"/>
                <w:highlight w:val="none"/>
                <w:lang w:val="en-US" w:eastAsia="zh-CN"/>
              </w:rPr>
              <w:t>21</w:t>
            </w:r>
            <w:r>
              <w:rPr>
                <w:rFonts w:hint="eastAsia"/>
                <w:color w:val="auto"/>
                <w:sz w:val="24"/>
                <w:szCs w:val="24"/>
                <w:highlight w:val="none"/>
              </w:rPr>
              <w:t>确定评价工作等级。</w:t>
            </w:r>
          </w:p>
          <w:p>
            <w:pPr>
              <w:spacing w:line="360" w:lineRule="auto"/>
              <w:jc w:val="center"/>
              <w:rPr>
                <w:rFonts w:hint="eastAsia"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表4-</w:t>
            </w:r>
            <w:r>
              <w:rPr>
                <w:rFonts w:hint="eastAsia"/>
                <w:b/>
                <w:bCs/>
                <w:color w:val="auto"/>
                <w:sz w:val="24"/>
                <w:szCs w:val="24"/>
                <w:highlight w:val="none"/>
                <w:lang w:val="en-US" w:eastAsia="zh-CN"/>
              </w:rPr>
              <w:t>21</w:t>
            </w:r>
            <w:r>
              <w:rPr>
                <w:rFonts w:hint="eastAsia" w:ascii="Times New Roman" w:hAnsi="Times New Roman" w:eastAsia="宋体"/>
                <w:b/>
                <w:bCs/>
                <w:color w:val="auto"/>
                <w:sz w:val="24"/>
                <w:szCs w:val="24"/>
                <w:highlight w:val="none"/>
              </w:rPr>
              <w:t xml:space="preserve">  环境风险评价工作等级划分</w:t>
            </w:r>
          </w:p>
          <w:tbl>
            <w:tblPr>
              <w:tblStyle w:val="23"/>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20"/>
              <w:gridCol w:w="1720"/>
              <w:gridCol w:w="1721"/>
              <w:gridCol w:w="1721"/>
              <w:gridCol w:w="17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shd w:val="clear" w:color="auto" w:fill="auto"/>
                  <w:vAlign w:val="center"/>
                </w:tcPr>
                <w:p>
                  <w:pPr>
                    <w:spacing w:line="240" w:lineRule="auto"/>
                    <w:jc w:val="center"/>
                    <w:rPr>
                      <w:color w:val="auto"/>
                      <w:sz w:val="21"/>
                      <w:szCs w:val="21"/>
                      <w:highlight w:val="none"/>
                    </w:rPr>
                  </w:pPr>
                  <w:r>
                    <w:rPr>
                      <w:color w:val="auto"/>
                      <w:sz w:val="21"/>
                      <w:szCs w:val="21"/>
                      <w:highlight w:val="none"/>
                    </w:rPr>
                    <w:t>环境风险潜势</w:t>
                  </w:r>
                </w:p>
              </w:tc>
              <w:tc>
                <w:tcPr>
                  <w:tcW w:w="1000" w:type="pct"/>
                  <w:tcBorders>
                    <w:tl2br w:val="nil"/>
                    <w:tr2bl w:val="nil"/>
                  </w:tcBorders>
                  <w:shd w:val="clear" w:color="auto" w:fill="auto"/>
                  <w:vAlign w:val="center"/>
                </w:tcPr>
                <w:p>
                  <w:pPr>
                    <w:spacing w:line="240" w:lineRule="auto"/>
                    <w:jc w:val="center"/>
                    <w:rPr>
                      <w:color w:val="auto"/>
                      <w:sz w:val="21"/>
                      <w:szCs w:val="21"/>
                      <w:highlight w:val="none"/>
                    </w:rPr>
                  </w:pPr>
                  <w:r>
                    <w:rPr>
                      <w:color w:val="auto"/>
                      <w:sz w:val="21"/>
                      <w:szCs w:val="21"/>
                      <w:highlight w:val="none"/>
                    </w:rPr>
                    <w:t>IV</w:t>
                  </w:r>
                  <w:r>
                    <w:rPr>
                      <w:rFonts w:hint="eastAsia"/>
                      <w:color w:val="auto"/>
                      <w:sz w:val="21"/>
                      <w:szCs w:val="21"/>
                      <w:highlight w:val="none"/>
                    </w:rPr>
                    <w:t>、</w:t>
                  </w:r>
                  <w:r>
                    <w:rPr>
                      <w:color w:val="auto"/>
                      <w:sz w:val="21"/>
                      <w:szCs w:val="21"/>
                      <w:highlight w:val="none"/>
                    </w:rPr>
                    <w:t>IV</w:t>
                  </w:r>
                  <w:r>
                    <w:rPr>
                      <w:rFonts w:hint="eastAsia"/>
                      <w:color w:val="auto"/>
                      <w:sz w:val="21"/>
                      <w:szCs w:val="21"/>
                      <w:highlight w:val="none"/>
                      <w:vertAlign w:val="superscript"/>
                    </w:rPr>
                    <w:t>+</w:t>
                  </w:r>
                </w:p>
              </w:tc>
              <w:tc>
                <w:tcPr>
                  <w:tcW w:w="1000" w:type="pct"/>
                  <w:tcBorders>
                    <w:tl2br w:val="nil"/>
                    <w:tr2bl w:val="nil"/>
                  </w:tcBorders>
                  <w:shd w:val="clear" w:color="auto" w:fill="auto"/>
                  <w:vAlign w:val="center"/>
                </w:tcPr>
                <w:p>
                  <w:pPr>
                    <w:spacing w:line="240" w:lineRule="auto"/>
                    <w:jc w:val="center"/>
                    <w:rPr>
                      <w:color w:val="auto"/>
                      <w:sz w:val="21"/>
                      <w:szCs w:val="21"/>
                      <w:highlight w:val="none"/>
                    </w:rPr>
                  </w:pPr>
                  <w:r>
                    <w:rPr>
                      <w:color w:val="auto"/>
                      <w:sz w:val="21"/>
                      <w:szCs w:val="21"/>
                      <w:highlight w:val="none"/>
                    </w:rPr>
                    <w:t>III</w:t>
                  </w:r>
                </w:p>
              </w:tc>
              <w:tc>
                <w:tcPr>
                  <w:tcW w:w="1000" w:type="pct"/>
                  <w:tcBorders>
                    <w:tl2br w:val="nil"/>
                    <w:tr2bl w:val="nil"/>
                  </w:tcBorders>
                  <w:shd w:val="clear" w:color="auto" w:fill="auto"/>
                  <w:vAlign w:val="center"/>
                </w:tcPr>
                <w:p>
                  <w:pPr>
                    <w:spacing w:line="240" w:lineRule="auto"/>
                    <w:jc w:val="center"/>
                    <w:rPr>
                      <w:color w:val="auto"/>
                      <w:sz w:val="21"/>
                      <w:szCs w:val="21"/>
                      <w:highlight w:val="none"/>
                    </w:rPr>
                  </w:pPr>
                  <w:r>
                    <w:rPr>
                      <w:color w:val="auto"/>
                      <w:sz w:val="21"/>
                      <w:szCs w:val="21"/>
                      <w:highlight w:val="none"/>
                    </w:rPr>
                    <w:t>II</w:t>
                  </w:r>
                </w:p>
              </w:tc>
              <w:tc>
                <w:tcPr>
                  <w:tcW w:w="1000" w:type="pct"/>
                  <w:tcBorders>
                    <w:tl2br w:val="nil"/>
                    <w:tr2bl w:val="nil"/>
                  </w:tcBorders>
                  <w:shd w:val="clear" w:color="auto" w:fill="auto"/>
                  <w:vAlign w:val="center"/>
                </w:tcPr>
                <w:p>
                  <w:pPr>
                    <w:spacing w:line="240" w:lineRule="auto"/>
                    <w:jc w:val="center"/>
                    <w:rPr>
                      <w:color w:val="auto"/>
                      <w:sz w:val="21"/>
                      <w:szCs w:val="21"/>
                      <w:highlight w:val="none"/>
                    </w:rPr>
                  </w:pPr>
                  <w:r>
                    <w:rPr>
                      <w:color w:val="auto"/>
                      <w:sz w:val="21"/>
                      <w:szCs w:val="21"/>
                      <w:highlight w:val="none"/>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shd w:val="clear" w:color="auto" w:fill="auto"/>
                  <w:vAlign w:val="center"/>
                </w:tcPr>
                <w:p>
                  <w:pPr>
                    <w:spacing w:line="240" w:lineRule="auto"/>
                    <w:jc w:val="center"/>
                    <w:rPr>
                      <w:color w:val="auto"/>
                      <w:sz w:val="21"/>
                      <w:szCs w:val="21"/>
                      <w:highlight w:val="none"/>
                    </w:rPr>
                  </w:pPr>
                  <w:r>
                    <w:rPr>
                      <w:color w:val="auto"/>
                      <w:sz w:val="21"/>
                      <w:szCs w:val="21"/>
                      <w:highlight w:val="none"/>
                    </w:rPr>
                    <w:t>评价工作等级</w:t>
                  </w:r>
                </w:p>
              </w:tc>
              <w:tc>
                <w:tcPr>
                  <w:tcW w:w="1000" w:type="pct"/>
                  <w:tcBorders>
                    <w:tl2br w:val="nil"/>
                    <w:tr2bl w:val="nil"/>
                  </w:tcBorders>
                  <w:shd w:val="clear" w:color="auto" w:fill="auto"/>
                  <w:vAlign w:val="center"/>
                </w:tcPr>
                <w:p>
                  <w:pPr>
                    <w:spacing w:line="240" w:lineRule="auto"/>
                    <w:jc w:val="center"/>
                    <w:rPr>
                      <w:color w:val="auto"/>
                      <w:sz w:val="21"/>
                      <w:szCs w:val="21"/>
                      <w:highlight w:val="none"/>
                    </w:rPr>
                  </w:pPr>
                  <w:r>
                    <w:rPr>
                      <w:color w:val="auto"/>
                      <w:sz w:val="21"/>
                      <w:szCs w:val="21"/>
                      <w:highlight w:val="none"/>
                    </w:rPr>
                    <w:t>一</w:t>
                  </w:r>
                </w:p>
              </w:tc>
              <w:tc>
                <w:tcPr>
                  <w:tcW w:w="1000" w:type="pct"/>
                  <w:tcBorders>
                    <w:tl2br w:val="nil"/>
                    <w:tr2bl w:val="nil"/>
                  </w:tcBorders>
                  <w:shd w:val="clear" w:color="auto" w:fill="auto"/>
                  <w:vAlign w:val="center"/>
                </w:tcPr>
                <w:p>
                  <w:pPr>
                    <w:spacing w:line="240" w:lineRule="auto"/>
                    <w:jc w:val="center"/>
                    <w:rPr>
                      <w:color w:val="auto"/>
                      <w:sz w:val="21"/>
                      <w:szCs w:val="21"/>
                      <w:highlight w:val="none"/>
                    </w:rPr>
                  </w:pPr>
                  <w:r>
                    <w:rPr>
                      <w:color w:val="auto"/>
                      <w:sz w:val="21"/>
                      <w:szCs w:val="21"/>
                      <w:highlight w:val="none"/>
                    </w:rPr>
                    <w:t>二</w:t>
                  </w:r>
                </w:p>
              </w:tc>
              <w:tc>
                <w:tcPr>
                  <w:tcW w:w="1000" w:type="pct"/>
                  <w:tcBorders>
                    <w:tl2br w:val="nil"/>
                    <w:tr2bl w:val="nil"/>
                  </w:tcBorders>
                  <w:shd w:val="clear" w:color="auto" w:fill="auto"/>
                  <w:vAlign w:val="center"/>
                </w:tcPr>
                <w:p>
                  <w:pPr>
                    <w:spacing w:line="240" w:lineRule="auto"/>
                    <w:jc w:val="center"/>
                    <w:rPr>
                      <w:color w:val="auto"/>
                      <w:sz w:val="21"/>
                      <w:szCs w:val="21"/>
                      <w:highlight w:val="none"/>
                    </w:rPr>
                  </w:pPr>
                  <w:r>
                    <w:rPr>
                      <w:color w:val="auto"/>
                      <w:sz w:val="21"/>
                      <w:szCs w:val="21"/>
                      <w:highlight w:val="none"/>
                    </w:rPr>
                    <w:t>三</w:t>
                  </w:r>
                </w:p>
              </w:tc>
              <w:tc>
                <w:tcPr>
                  <w:tcW w:w="1000" w:type="pct"/>
                  <w:tcBorders>
                    <w:tl2br w:val="nil"/>
                    <w:tr2bl w:val="nil"/>
                  </w:tcBorders>
                  <w:shd w:val="clear" w:color="auto" w:fill="auto"/>
                  <w:vAlign w:val="center"/>
                </w:tcPr>
                <w:p>
                  <w:pPr>
                    <w:spacing w:line="240" w:lineRule="auto"/>
                    <w:jc w:val="center"/>
                    <w:rPr>
                      <w:color w:val="auto"/>
                      <w:sz w:val="21"/>
                      <w:szCs w:val="21"/>
                      <w:highlight w:val="none"/>
                    </w:rPr>
                  </w:pPr>
                  <w:r>
                    <w:rPr>
                      <w:color w:val="auto"/>
                      <w:sz w:val="21"/>
                      <w:szCs w:val="21"/>
                      <w:highlight w:val="none"/>
                    </w:rPr>
                    <w:t>简单分析</w:t>
                  </w:r>
                </w:p>
              </w:tc>
            </w:tr>
          </w:tbl>
          <w:p>
            <w:pPr>
              <w:spacing w:line="360" w:lineRule="auto"/>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本项目环境风险潜势为I，根据上述判定依据，确定本次环评仅开展简单分析。</w:t>
            </w:r>
          </w:p>
          <w:p>
            <w:pPr>
              <w:spacing w:line="360" w:lineRule="auto"/>
              <w:ind w:firstLine="482" w:firstLineChars="200"/>
              <w:rPr>
                <w:rFonts w:hint="default" w:ascii="Times New Roman" w:hAnsi="Times New Roman" w:eastAsia="宋体"/>
                <w:b/>
                <w:bCs/>
                <w:color w:val="auto"/>
                <w:sz w:val="24"/>
                <w:szCs w:val="24"/>
                <w:highlight w:val="none"/>
                <w:lang w:val="en-US" w:eastAsia="zh-CN"/>
              </w:rPr>
            </w:pPr>
            <w:r>
              <w:rPr>
                <w:rFonts w:hint="eastAsia"/>
                <w:b/>
                <w:bCs/>
                <w:color w:val="auto"/>
                <w:sz w:val="24"/>
                <w:szCs w:val="24"/>
                <w:highlight w:val="none"/>
                <w:lang w:eastAsia="zh-CN"/>
              </w:rPr>
              <w:t>（</w:t>
            </w:r>
            <w:r>
              <w:rPr>
                <w:rFonts w:hint="eastAsia"/>
                <w:b/>
                <w:bCs/>
                <w:color w:val="auto"/>
                <w:sz w:val="24"/>
                <w:szCs w:val="24"/>
                <w:highlight w:val="none"/>
                <w:lang w:val="en-US" w:eastAsia="zh-CN"/>
              </w:rPr>
              <w:t>3</w:t>
            </w:r>
            <w:r>
              <w:rPr>
                <w:rFonts w:hint="eastAsia"/>
                <w:b/>
                <w:bCs/>
                <w:color w:val="auto"/>
                <w:sz w:val="24"/>
                <w:szCs w:val="24"/>
                <w:highlight w:val="none"/>
                <w:lang w:eastAsia="zh-CN"/>
              </w:rPr>
              <w:t>）</w:t>
            </w:r>
            <w:r>
              <w:rPr>
                <w:rFonts w:hint="eastAsia"/>
                <w:b/>
                <w:bCs/>
                <w:color w:val="auto"/>
                <w:sz w:val="24"/>
                <w:szCs w:val="24"/>
                <w:highlight w:val="none"/>
                <w:lang w:val="en-US" w:eastAsia="zh-CN"/>
              </w:rPr>
              <w:t>风险识别</w:t>
            </w:r>
          </w:p>
          <w:p>
            <w:pPr>
              <w:spacing w:line="360" w:lineRule="auto"/>
              <w:ind w:firstLine="480" w:firstLineChars="200"/>
              <w:rPr>
                <w:rFonts w:hint="eastAsia" w:ascii="Times New Roman" w:hAnsi="Times New Roman" w:eastAsia="宋体"/>
                <w:b w:val="0"/>
                <w:bCs w:val="0"/>
                <w:color w:val="auto"/>
                <w:sz w:val="24"/>
                <w:szCs w:val="24"/>
                <w:highlight w:val="none"/>
              </w:rPr>
            </w:pPr>
            <w:r>
              <w:rPr>
                <w:rFonts w:hint="eastAsia" w:ascii="Times New Roman" w:hAnsi="Times New Roman" w:eastAsia="宋体"/>
                <w:b w:val="0"/>
                <w:bCs w:val="0"/>
                <w:color w:val="auto"/>
                <w:sz w:val="24"/>
                <w:szCs w:val="24"/>
                <w:highlight w:val="none"/>
              </w:rPr>
              <w:t>根据《建设项目环境风险评价技术导则》</w:t>
            </w:r>
            <w:r>
              <w:rPr>
                <w:rFonts w:hint="eastAsia"/>
                <w:b w:val="0"/>
                <w:bCs w:val="0"/>
                <w:color w:val="auto"/>
                <w:sz w:val="24"/>
                <w:szCs w:val="24"/>
                <w:highlight w:val="none"/>
                <w:lang w:eastAsia="zh-CN"/>
              </w:rPr>
              <w:t>（</w:t>
            </w:r>
            <w:r>
              <w:rPr>
                <w:rFonts w:hint="eastAsia" w:ascii="Times New Roman" w:hAnsi="Times New Roman" w:eastAsia="宋体"/>
                <w:b w:val="0"/>
                <w:bCs w:val="0"/>
                <w:color w:val="auto"/>
                <w:sz w:val="24"/>
                <w:szCs w:val="24"/>
                <w:highlight w:val="none"/>
              </w:rPr>
              <w:t>HJ169-2018</w:t>
            </w:r>
            <w:r>
              <w:rPr>
                <w:rFonts w:hint="eastAsia"/>
                <w:b w:val="0"/>
                <w:bCs w:val="0"/>
                <w:color w:val="auto"/>
                <w:sz w:val="24"/>
                <w:szCs w:val="24"/>
                <w:highlight w:val="none"/>
                <w:lang w:eastAsia="zh-CN"/>
              </w:rPr>
              <w:t>）</w:t>
            </w:r>
            <w:r>
              <w:rPr>
                <w:rFonts w:hint="eastAsia" w:ascii="Times New Roman" w:hAnsi="Times New Roman" w:eastAsia="宋体"/>
                <w:b w:val="0"/>
                <w:bCs w:val="0"/>
                <w:color w:val="auto"/>
                <w:sz w:val="24"/>
                <w:szCs w:val="24"/>
                <w:highlight w:val="none"/>
              </w:rPr>
              <w:t>，风险识别主要包括物质危险性识别、生产系统危险性识别和危险物质向环境转移的途径识别。</w:t>
            </w:r>
          </w:p>
          <w:p>
            <w:pPr>
              <w:spacing w:line="360" w:lineRule="auto"/>
              <w:ind w:firstLine="480" w:firstLineChars="200"/>
              <w:rPr>
                <w:rFonts w:hint="eastAsia" w:ascii="Times New Roman" w:hAnsi="Times New Roman" w:eastAsia="宋体"/>
                <w:b w:val="0"/>
                <w:bCs w:val="0"/>
                <w:color w:val="auto"/>
                <w:sz w:val="24"/>
                <w:szCs w:val="24"/>
                <w:highlight w:val="none"/>
              </w:rPr>
            </w:pPr>
            <w:r>
              <w:rPr>
                <w:rFonts w:hint="eastAsia"/>
                <w:b w:val="0"/>
                <w:bCs w:val="0"/>
                <w:color w:val="auto"/>
                <w:sz w:val="24"/>
                <w:szCs w:val="24"/>
                <w:highlight w:val="none"/>
                <w:lang w:val="en-US" w:eastAsia="zh-CN"/>
              </w:rPr>
              <w:t>①</w:t>
            </w:r>
            <w:r>
              <w:rPr>
                <w:rFonts w:hint="eastAsia" w:ascii="Times New Roman" w:hAnsi="Times New Roman" w:eastAsia="宋体"/>
                <w:b w:val="0"/>
                <w:bCs w:val="0"/>
                <w:color w:val="auto"/>
                <w:sz w:val="24"/>
                <w:szCs w:val="24"/>
                <w:highlight w:val="none"/>
              </w:rPr>
              <w:t>物质危险性识别</w:t>
            </w:r>
          </w:p>
          <w:p>
            <w:pPr>
              <w:spacing w:line="360" w:lineRule="auto"/>
              <w:ind w:firstLine="480" w:firstLineChars="200"/>
              <w:rPr>
                <w:rFonts w:hint="eastAsia" w:ascii="Times New Roman" w:hAnsi="Times New Roman" w:eastAsia="宋体"/>
                <w:b w:val="0"/>
                <w:bCs w:val="0"/>
                <w:color w:val="auto"/>
                <w:sz w:val="24"/>
                <w:szCs w:val="24"/>
                <w:highlight w:val="none"/>
              </w:rPr>
            </w:pPr>
            <w:r>
              <w:rPr>
                <w:rFonts w:hint="eastAsia" w:ascii="Times New Roman" w:hAnsi="Times New Roman" w:eastAsia="宋体"/>
                <w:b w:val="0"/>
                <w:bCs w:val="0"/>
                <w:color w:val="auto"/>
                <w:sz w:val="24"/>
                <w:szCs w:val="24"/>
                <w:highlight w:val="none"/>
              </w:rPr>
              <w:t>根据《建设项目环境风险评价技术导则》</w:t>
            </w:r>
            <w:r>
              <w:rPr>
                <w:rFonts w:hint="eastAsia"/>
                <w:b w:val="0"/>
                <w:bCs w:val="0"/>
                <w:color w:val="auto"/>
                <w:sz w:val="24"/>
                <w:szCs w:val="24"/>
                <w:highlight w:val="none"/>
                <w:lang w:eastAsia="zh-CN"/>
              </w:rPr>
              <w:t>（</w:t>
            </w:r>
            <w:r>
              <w:rPr>
                <w:rFonts w:hint="eastAsia" w:ascii="Times New Roman" w:hAnsi="Times New Roman" w:eastAsia="宋体"/>
                <w:b w:val="0"/>
                <w:bCs w:val="0"/>
                <w:color w:val="auto"/>
                <w:sz w:val="24"/>
                <w:szCs w:val="24"/>
                <w:highlight w:val="none"/>
              </w:rPr>
              <w:t>HJ169-2018</w:t>
            </w:r>
            <w:r>
              <w:rPr>
                <w:rFonts w:hint="eastAsia"/>
                <w:b w:val="0"/>
                <w:bCs w:val="0"/>
                <w:color w:val="auto"/>
                <w:sz w:val="24"/>
                <w:szCs w:val="24"/>
                <w:highlight w:val="none"/>
                <w:lang w:eastAsia="zh-CN"/>
              </w:rPr>
              <w:t>）</w:t>
            </w:r>
            <w:r>
              <w:rPr>
                <w:rFonts w:hint="eastAsia" w:ascii="Times New Roman" w:hAnsi="Times New Roman" w:eastAsia="宋体"/>
                <w:b w:val="0"/>
                <w:bCs w:val="0"/>
                <w:color w:val="auto"/>
                <w:sz w:val="24"/>
                <w:szCs w:val="24"/>
                <w:highlight w:val="none"/>
              </w:rPr>
              <w:t>附录B，本项目涉及附录表格中的危险物质</w:t>
            </w:r>
            <w:r>
              <w:rPr>
                <w:rFonts w:hint="eastAsia"/>
                <w:b w:val="0"/>
                <w:bCs w:val="0"/>
                <w:color w:val="auto"/>
                <w:sz w:val="24"/>
                <w:szCs w:val="24"/>
                <w:highlight w:val="none"/>
                <w:lang w:eastAsia="zh-CN"/>
              </w:rPr>
              <w:t>：</w:t>
            </w:r>
            <w:r>
              <w:rPr>
                <w:rFonts w:hint="eastAsia"/>
                <w:b w:val="0"/>
                <w:bCs w:val="0"/>
                <w:color w:val="auto"/>
                <w:sz w:val="24"/>
                <w:szCs w:val="24"/>
                <w:highlight w:val="none"/>
                <w:lang w:val="en-US" w:eastAsia="zh-CN"/>
              </w:rPr>
              <w:t>废机油</w:t>
            </w:r>
            <w:r>
              <w:rPr>
                <w:rFonts w:hint="eastAsia" w:ascii="Times New Roman" w:hAnsi="Times New Roman" w:eastAsia="宋体"/>
                <w:b w:val="0"/>
                <w:bCs w:val="0"/>
                <w:color w:val="auto"/>
                <w:sz w:val="24"/>
                <w:szCs w:val="24"/>
                <w:highlight w:val="none"/>
              </w:rPr>
              <w:t>。</w:t>
            </w:r>
          </w:p>
          <w:p>
            <w:pPr>
              <w:spacing w:line="360" w:lineRule="auto"/>
              <w:ind w:firstLine="480" w:firstLineChars="200"/>
              <w:rPr>
                <w:rFonts w:hint="eastAsia" w:ascii="Times New Roman" w:hAnsi="Times New Roman" w:eastAsia="宋体"/>
                <w:b w:val="0"/>
                <w:bCs w:val="0"/>
                <w:color w:val="auto"/>
                <w:sz w:val="24"/>
                <w:szCs w:val="24"/>
                <w:highlight w:val="none"/>
              </w:rPr>
            </w:pPr>
            <w:r>
              <w:rPr>
                <w:rFonts w:hint="eastAsia"/>
                <w:b w:val="0"/>
                <w:bCs w:val="0"/>
                <w:color w:val="auto"/>
                <w:sz w:val="24"/>
                <w:szCs w:val="24"/>
                <w:highlight w:val="none"/>
                <w:lang w:val="en-US" w:eastAsia="zh-CN"/>
              </w:rPr>
              <w:t>②</w:t>
            </w:r>
            <w:r>
              <w:rPr>
                <w:rFonts w:hint="eastAsia" w:ascii="Times New Roman" w:hAnsi="Times New Roman" w:eastAsia="宋体"/>
                <w:b w:val="0"/>
                <w:bCs w:val="0"/>
                <w:color w:val="auto"/>
                <w:sz w:val="24"/>
                <w:szCs w:val="24"/>
                <w:highlight w:val="none"/>
              </w:rPr>
              <w:t>生产系统危险性识别</w:t>
            </w:r>
          </w:p>
          <w:p>
            <w:pPr>
              <w:spacing w:line="360" w:lineRule="auto"/>
              <w:ind w:firstLine="480" w:firstLineChars="200"/>
              <w:rPr>
                <w:rFonts w:hint="eastAsia" w:ascii="Times New Roman" w:hAnsi="Times New Roman" w:eastAsia="宋体"/>
                <w:b w:val="0"/>
                <w:bCs w:val="0"/>
                <w:color w:val="auto"/>
                <w:sz w:val="24"/>
                <w:szCs w:val="24"/>
                <w:highlight w:val="none"/>
              </w:rPr>
            </w:pPr>
            <w:r>
              <w:rPr>
                <w:rFonts w:hint="eastAsia" w:ascii="Times New Roman" w:hAnsi="Times New Roman" w:eastAsia="宋体"/>
                <w:b w:val="0"/>
                <w:bCs w:val="0"/>
                <w:color w:val="auto"/>
                <w:sz w:val="24"/>
                <w:szCs w:val="24"/>
                <w:highlight w:val="none"/>
              </w:rPr>
              <w:t>本项目为石材加工项目，生产系统风险源为废水沉淀池垮塌导致废水事故排放</w:t>
            </w:r>
            <w:r>
              <w:rPr>
                <w:rFonts w:hint="eastAsia"/>
                <w:b w:val="0"/>
                <w:bCs w:val="0"/>
                <w:color w:val="auto"/>
                <w:sz w:val="24"/>
                <w:szCs w:val="24"/>
                <w:highlight w:val="none"/>
                <w:lang w:eastAsia="zh-CN"/>
              </w:rPr>
              <w:t>；</w:t>
            </w:r>
            <w:r>
              <w:rPr>
                <w:rFonts w:hint="eastAsia"/>
                <w:b w:val="0"/>
                <w:bCs w:val="0"/>
                <w:color w:val="auto"/>
                <w:sz w:val="24"/>
                <w:szCs w:val="24"/>
                <w:highlight w:val="none"/>
                <w:lang w:val="en-US" w:eastAsia="zh-CN"/>
              </w:rPr>
              <w:t>用电不当导致火灾发生等</w:t>
            </w:r>
            <w:r>
              <w:rPr>
                <w:rFonts w:hint="eastAsia" w:ascii="Times New Roman" w:hAnsi="Times New Roman" w:eastAsia="宋体"/>
                <w:b w:val="0"/>
                <w:bCs w:val="0"/>
                <w:color w:val="auto"/>
                <w:sz w:val="24"/>
                <w:szCs w:val="24"/>
                <w:highlight w:val="none"/>
              </w:rPr>
              <w:t>。</w:t>
            </w:r>
          </w:p>
          <w:p>
            <w:pPr>
              <w:spacing w:line="360" w:lineRule="auto"/>
              <w:ind w:firstLine="480" w:firstLineChars="200"/>
              <w:rPr>
                <w:rFonts w:hint="eastAsia" w:ascii="Times New Roman" w:hAnsi="Times New Roman" w:eastAsia="宋体"/>
                <w:b w:val="0"/>
                <w:bCs w:val="0"/>
                <w:color w:val="0000FF"/>
                <w:sz w:val="24"/>
                <w:szCs w:val="24"/>
                <w:highlight w:val="none"/>
              </w:rPr>
            </w:pPr>
            <w:r>
              <w:rPr>
                <w:rFonts w:hint="eastAsia"/>
                <w:b w:val="0"/>
                <w:bCs w:val="0"/>
                <w:color w:val="0000FF"/>
                <w:sz w:val="24"/>
                <w:szCs w:val="24"/>
                <w:highlight w:val="none"/>
                <w:lang w:val="en-US" w:eastAsia="zh-CN"/>
              </w:rPr>
              <w:t>③</w:t>
            </w:r>
            <w:r>
              <w:rPr>
                <w:rFonts w:hint="eastAsia" w:ascii="Times New Roman" w:hAnsi="Times New Roman" w:eastAsia="宋体"/>
                <w:b w:val="0"/>
                <w:bCs w:val="0"/>
                <w:color w:val="0000FF"/>
                <w:sz w:val="24"/>
                <w:szCs w:val="24"/>
                <w:highlight w:val="none"/>
              </w:rPr>
              <w:t>危险物质向环境转移途径识别</w:t>
            </w:r>
          </w:p>
          <w:p>
            <w:pPr>
              <w:spacing w:line="360" w:lineRule="auto"/>
              <w:ind w:firstLine="480" w:firstLineChars="200"/>
              <w:rPr>
                <w:rFonts w:hint="eastAsia" w:ascii="Times New Roman" w:hAnsi="Times New Roman" w:eastAsia="宋体"/>
                <w:b w:val="0"/>
                <w:bCs w:val="0"/>
                <w:color w:val="0000FF"/>
                <w:sz w:val="24"/>
                <w:szCs w:val="24"/>
                <w:highlight w:val="none"/>
              </w:rPr>
            </w:pPr>
            <w:r>
              <w:rPr>
                <w:rFonts w:hint="eastAsia" w:ascii="Times New Roman" w:hAnsi="Times New Roman" w:eastAsia="宋体"/>
                <w:b w:val="0"/>
                <w:bCs w:val="0"/>
                <w:color w:val="0000FF"/>
                <w:sz w:val="24"/>
                <w:szCs w:val="24"/>
                <w:highlight w:val="none"/>
              </w:rPr>
              <w:t>本项目生产过程涉及危险物质</w:t>
            </w:r>
            <w:r>
              <w:rPr>
                <w:rFonts w:hint="eastAsia"/>
                <w:b w:val="0"/>
                <w:bCs w:val="0"/>
                <w:color w:val="0000FF"/>
                <w:sz w:val="24"/>
                <w:szCs w:val="24"/>
                <w:highlight w:val="none"/>
                <w:lang w:eastAsia="zh-CN"/>
              </w:rPr>
              <w:t>：</w:t>
            </w:r>
            <w:r>
              <w:rPr>
                <w:rFonts w:hint="eastAsia"/>
                <w:b w:val="0"/>
                <w:bCs w:val="0"/>
                <w:color w:val="0000FF"/>
                <w:sz w:val="24"/>
                <w:szCs w:val="24"/>
                <w:highlight w:val="none"/>
                <w:lang w:val="en-US" w:eastAsia="zh-CN"/>
              </w:rPr>
              <w:t>废机油</w:t>
            </w:r>
            <w:r>
              <w:rPr>
                <w:rFonts w:hint="eastAsia" w:ascii="Times New Roman" w:hAnsi="Times New Roman" w:eastAsia="宋体"/>
                <w:b w:val="0"/>
                <w:bCs w:val="0"/>
                <w:color w:val="0000FF"/>
                <w:sz w:val="24"/>
                <w:szCs w:val="24"/>
                <w:highlight w:val="none"/>
              </w:rPr>
              <w:t>。</w:t>
            </w:r>
          </w:p>
          <w:p>
            <w:pPr>
              <w:spacing w:line="360" w:lineRule="auto"/>
              <w:ind w:firstLine="482" w:firstLineChars="200"/>
              <w:rPr>
                <w:rFonts w:hint="eastAsia"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w:t>
            </w:r>
            <w:r>
              <w:rPr>
                <w:rFonts w:hint="eastAsia"/>
                <w:b/>
                <w:bCs/>
                <w:color w:val="auto"/>
                <w:sz w:val="24"/>
                <w:szCs w:val="24"/>
                <w:highlight w:val="none"/>
                <w:lang w:val="en-US" w:eastAsia="zh-CN"/>
              </w:rPr>
              <w:t>4</w:t>
            </w:r>
            <w:r>
              <w:rPr>
                <w:rFonts w:hint="eastAsia" w:ascii="Times New Roman" w:hAnsi="Times New Roman" w:eastAsia="宋体"/>
                <w:b/>
                <w:bCs/>
                <w:color w:val="auto"/>
                <w:sz w:val="24"/>
                <w:szCs w:val="24"/>
                <w:highlight w:val="none"/>
              </w:rPr>
              <w:t>）环境风险防范措施及应急要求</w:t>
            </w:r>
          </w:p>
          <w:p>
            <w:pPr>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①</w:t>
            </w:r>
            <w:r>
              <w:rPr>
                <w:rFonts w:hint="eastAsia" w:ascii="Times New Roman" w:hAnsi="Times New Roman" w:eastAsia="宋体"/>
                <w:b w:val="0"/>
                <w:bCs w:val="0"/>
                <w:color w:val="auto"/>
                <w:sz w:val="24"/>
                <w:szCs w:val="24"/>
                <w:highlight w:val="none"/>
              </w:rPr>
              <w:t>沉淀池垮塌</w:t>
            </w:r>
            <w:r>
              <w:rPr>
                <w:rFonts w:hint="eastAsia" w:ascii="Times New Roman" w:hAnsi="Times New Roman" w:eastAsia="宋体"/>
                <w:color w:val="auto"/>
                <w:sz w:val="24"/>
                <w:szCs w:val="24"/>
                <w:highlight w:val="none"/>
              </w:rPr>
              <w:t>事故防范措施</w:t>
            </w:r>
          </w:p>
          <w:p>
            <w:pPr>
              <w:spacing w:line="360" w:lineRule="auto"/>
              <w:ind w:firstLine="480" w:firstLineChars="200"/>
              <w:rPr>
                <w:rFonts w:hint="default"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1）将三级沉淀池修建为地下式，四周及池底为砖混结构，并采取防渗漏处理。</w:t>
            </w:r>
          </w:p>
          <w:p>
            <w:pPr>
              <w:spacing w:line="360" w:lineRule="auto"/>
              <w:ind w:firstLine="480" w:firstLineChars="200"/>
              <w:rPr>
                <w:rFonts w:hint="eastAsia"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2）</w:t>
            </w:r>
            <w:r>
              <w:rPr>
                <w:rFonts w:hint="eastAsia" w:ascii="Times New Roman" w:hAnsi="Times New Roman" w:eastAsia="宋体"/>
                <w:color w:val="auto"/>
                <w:sz w:val="24"/>
                <w:szCs w:val="24"/>
                <w:highlight w:val="none"/>
                <w:lang w:val="en-US" w:eastAsia="zh-CN"/>
              </w:rPr>
              <w:t>沉淀</w:t>
            </w:r>
            <w:r>
              <w:rPr>
                <w:rFonts w:hint="eastAsia"/>
                <w:color w:val="auto"/>
                <w:sz w:val="24"/>
                <w:szCs w:val="24"/>
                <w:highlight w:val="none"/>
                <w:lang w:val="en-US" w:eastAsia="zh-CN"/>
              </w:rPr>
              <w:t>沉渣</w:t>
            </w:r>
            <w:r>
              <w:rPr>
                <w:rFonts w:hint="eastAsia" w:ascii="Times New Roman" w:hAnsi="Times New Roman" w:eastAsia="宋体"/>
                <w:color w:val="auto"/>
                <w:sz w:val="24"/>
                <w:szCs w:val="24"/>
                <w:highlight w:val="none"/>
                <w:lang w:val="en-US" w:eastAsia="zh-CN"/>
              </w:rPr>
              <w:t>清掏作业尽量安排专人进行操作指导，避免误操作损坏池体围堰，发生事故排放。</w:t>
            </w:r>
          </w:p>
          <w:p>
            <w:pPr>
              <w:spacing w:line="360" w:lineRule="auto"/>
              <w:ind w:firstLine="480" w:firstLineChars="200"/>
              <w:rPr>
                <w:rFonts w:hint="eastAsia"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3）其他防范措施：为能在事故发生后，迅速准确，有条不紊地处理事故，尽可能减少事故造成的损失，平时必须做好应急救援的准备工作落实岗位责任制和各项制度。</w:t>
            </w:r>
          </w:p>
          <w:p>
            <w:pPr>
              <w:spacing w:line="360" w:lineRule="auto"/>
              <w:ind w:firstLine="480" w:firstLineChars="200"/>
              <w:rPr>
                <w:rFonts w:hint="eastAsia" w:ascii="Times New Roman" w:hAnsi="Times New Roman" w:eastAsia="宋体"/>
                <w:color w:val="auto"/>
                <w:sz w:val="24"/>
                <w:szCs w:val="24"/>
                <w:highlight w:val="none"/>
              </w:rPr>
            </w:pPr>
            <w:r>
              <w:rPr>
                <w:rFonts w:hint="eastAsia"/>
                <w:color w:val="auto"/>
                <w:sz w:val="24"/>
                <w:szCs w:val="24"/>
                <w:highlight w:val="none"/>
                <w:lang w:val="en-US" w:eastAsia="zh-CN"/>
              </w:rPr>
              <w:t>②</w:t>
            </w:r>
            <w:r>
              <w:rPr>
                <w:rFonts w:hint="eastAsia" w:ascii="Times New Roman" w:hAnsi="Times New Roman" w:eastAsia="宋体"/>
                <w:color w:val="auto"/>
                <w:sz w:val="24"/>
                <w:szCs w:val="24"/>
                <w:highlight w:val="none"/>
              </w:rPr>
              <w:t>火灾事故防范措施</w:t>
            </w:r>
          </w:p>
          <w:p>
            <w:pPr>
              <w:spacing w:line="360" w:lineRule="auto"/>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1）对工作人员进行火灾事态时的报警培训，成立环境风险事故应急救援领导小组和应急救援专业队伍。</w:t>
            </w:r>
          </w:p>
          <w:p>
            <w:pPr>
              <w:spacing w:line="360" w:lineRule="auto"/>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2）加强日常消防设施的管理，确保事故时消防设施能够正常使用，并针对可能出现的火灾事故进行消防演练。</w:t>
            </w:r>
          </w:p>
          <w:p>
            <w:pPr>
              <w:spacing w:line="360" w:lineRule="auto"/>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3）严格明火管理，严禁吸烟、动火。消除电气火花。严格按照《中华人民共和国爆炸危险场所安全规程》和现行有关标准、规程要求进行执行。</w:t>
            </w:r>
          </w:p>
          <w:p>
            <w:pPr>
              <w:spacing w:line="360" w:lineRule="auto"/>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4）消防器材应在明显和便于取用的地点，周围不准堆放物品和杂物。消防设施、器材，应当由专人进行管理，负责检查，维修，保养，更换和添置，保证完好有效，严禁圈占、埋压和挪用。配备消防器材和消防设施；标识明确，使用方便；厂房内配备灭火器。同时电气设备火灾易发处配备干粉灭火器。</w:t>
            </w:r>
          </w:p>
          <w:p>
            <w:pPr>
              <w:spacing w:line="360" w:lineRule="auto"/>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5）定期进行电气检修，电路检查，消除安全隐患。</w:t>
            </w:r>
          </w:p>
          <w:p>
            <w:pPr>
              <w:spacing w:line="360" w:lineRule="auto"/>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6）出现火灾时及时将可燃物品搬离，远离火源。</w:t>
            </w:r>
          </w:p>
          <w:p>
            <w:pPr>
              <w:spacing w:line="360" w:lineRule="auto"/>
              <w:ind w:firstLine="480" w:firstLineChars="200"/>
              <w:rPr>
                <w:rFonts w:hint="eastAsia" w:ascii="Times New Roman" w:hAnsi="Times New Roman" w:eastAsia="宋体"/>
                <w:color w:val="0000FF"/>
                <w:sz w:val="24"/>
                <w:szCs w:val="24"/>
                <w:highlight w:val="none"/>
              </w:rPr>
            </w:pPr>
            <w:r>
              <w:rPr>
                <w:rFonts w:hint="eastAsia"/>
                <w:color w:val="0000FF"/>
                <w:sz w:val="24"/>
                <w:szCs w:val="24"/>
                <w:highlight w:val="none"/>
                <w:lang w:val="en-US" w:eastAsia="zh-CN"/>
              </w:rPr>
              <w:t>③</w:t>
            </w:r>
            <w:r>
              <w:rPr>
                <w:rFonts w:hint="eastAsia" w:ascii="Times New Roman" w:hAnsi="Times New Roman" w:eastAsia="宋体"/>
                <w:color w:val="0000FF"/>
                <w:sz w:val="24"/>
                <w:szCs w:val="24"/>
                <w:highlight w:val="none"/>
              </w:rPr>
              <w:t>危险废物的暂存要求</w:t>
            </w:r>
          </w:p>
          <w:p>
            <w:pPr>
              <w:spacing w:line="360" w:lineRule="auto"/>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0000FF"/>
                <w:sz w:val="24"/>
                <w:szCs w:val="24"/>
                <w:highlight w:val="none"/>
              </w:rPr>
              <w:t>危险废物须与一般物料分开储存，项目设置单独的危废暂存间，危废暂存间按照《危险废物贮存污染控制标准》（GB18598-2023）的要求，危废间地面进行重点防渗处理，地面进行重点防渗处理，废机油桶装收集储存，并设置不锈钢托盘，发生泄漏事故，立即将泄露的机油风险物质转移至收集桶，再由有资质单位进行处置。</w:t>
            </w:r>
            <w:r>
              <w:rPr>
                <w:rFonts w:hint="eastAsia" w:ascii="Times New Roman" w:hAnsi="Times New Roman" w:eastAsia="宋体"/>
                <w:color w:val="auto"/>
                <w:sz w:val="24"/>
                <w:szCs w:val="24"/>
                <w:highlight w:val="none"/>
              </w:rPr>
              <w:t>减少对周围环境的影响。</w:t>
            </w:r>
          </w:p>
          <w:p>
            <w:pPr>
              <w:spacing w:line="360" w:lineRule="auto"/>
              <w:ind w:firstLine="482" w:firstLineChars="200"/>
              <w:rPr>
                <w:rFonts w:hint="eastAsia"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lang w:val="en-US" w:eastAsia="zh-CN"/>
              </w:rPr>
              <w:t>（</w:t>
            </w:r>
            <w:r>
              <w:rPr>
                <w:rFonts w:hint="eastAsia"/>
                <w:b/>
                <w:bCs/>
                <w:color w:val="auto"/>
                <w:sz w:val="24"/>
                <w:szCs w:val="24"/>
                <w:highlight w:val="none"/>
                <w:lang w:val="en-US" w:eastAsia="zh-CN"/>
              </w:rPr>
              <w:t>5</w:t>
            </w:r>
            <w:r>
              <w:rPr>
                <w:rFonts w:hint="eastAsia" w:ascii="Times New Roman" w:hAnsi="Times New Roman" w:eastAsia="宋体"/>
                <w:b/>
                <w:bCs/>
                <w:color w:val="auto"/>
                <w:sz w:val="24"/>
                <w:szCs w:val="24"/>
                <w:highlight w:val="none"/>
                <w:lang w:val="en-US" w:eastAsia="zh-CN"/>
              </w:rPr>
              <w:t>）</w:t>
            </w:r>
            <w:r>
              <w:rPr>
                <w:rFonts w:hint="eastAsia" w:ascii="Times New Roman" w:hAnsi="Times New Roman" w:eastAsia="宋体"/>
                <w:b/>
                <w:bCs/>
                <w:color w:val="auto"/>
                <w:sz w:val="24"/>
                <w:szCs w:val="24"/>
                <w:highlight w:val="none"/>
              </w:rPr>
              <w:t>管理对策措施</w:t>
            </w:r>
          </w:p>
          <w:p>
            <w:pPr>
              <w:spacing w:line="360" w:lineRule="auto"/>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1）加强员工的安全、环保知识和风险事故安全教育，提高职工的风险意识，减少风险发生的概率。</w:t>
            </w:r>
          </w:p>
          <w:p>
            <w:pPr>
              <w:spacing w:line="360" w:lineRule="auto"/>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2）企业建设环境风险管理机构，建立健全各项管理制度，制定环境管理实施计划，对各项污染物、污染源进行定期监测，记录运行及监测数据，规范厂区排污口，设置明显的标志；吸取同类企业先进操作经验和污染控制技术，建立信息反馈中心，对生产中环保问题及时反馈。</w:t>
            </w:r>
          </w:p>
          <w:p>
            <w:pPr>
              <w:spacing w:line="360" w:lineRule="auto"/>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项目风险处于可接受的水平，风险防范措施及应急预案可靠可行。在认真落实各类安全措施和对策后，可将工程的风险发生概率降到最低。</w:t>
            </w:r>
          </w:p>
          <w:p>
            <w:pPr>
              <w:spacing w:line="360" w:lineRule="auto"/>
              <w:ind w:firstLine="361" w:firstLineChars="150"/>
              <w:rPr>
                <w:b/>
                <w:color w:val="auto"/>
                <w:sz w:val="24"/>
                <w:szCs w:val="24"/>
                <w:highlight w:val="none"/>
              </w:rPr>
            </w:pPr>
            <w:r>
              <w:rPr>
                <w:rFonts w:hint="eastAsia"/>
                <w:b/>
                <w:color w:val="auto"/>
                <w:sz w:val="24"/>
                <w:szCs w:val="24"/>
                <w:highlight w:val="none"/>
              </w:rPr>
              <w:t>（</w:t>
            </w:r>
            <w:r>
              <w:rPr>
                <w:rFonts w:hint="eastAsia"/>
                <w:b/>
                <w:color w:val="auto"/>
                <w:sz w:val="24"/>
                <w:szCs w:val="24"/>
                <w:highlight w:val="none"/>
                <w:lang w:val="en-US" w:eastAsia="zh-CN"/>
              </w:rPr>
              <w:t>6</w:t>
            </w:r>
            <w:r>
              <w:rPr>
                <w:rFonts w:hint="eastAsia"/>
                <w:b/>
                <w:color w:val="auto"/>
                <w:sz w:val="24"/>
                <w:szCs w:val="24"/>
                <w:highlight w:val="none"/>
              </w:rPr>
              <w:t>）环境风险分析结论</w:t>
            </w:r>
          </w:p>
          <w:p>
            <w:pPr>
              <w:spacing w:line="360" w:lineRule="auto"/>
              <w:ind w:firstLine="480" w:firstLineChars="200"/>
              <w:rPr>
                <w:color w:val="auto"/>
                <w:sz w:val="24"/>
                <w:szCs w:val="24"/>
                <w:highlight w:val="none"/>
              </w:rPr>
            </w:pPr>
            <w:r>
              <w:rPr>
                <w:rFonts w:hint="eastAsia"/>
                <w:color w:val="auto"/>
                <w:sz w:val="24"/>
                <w:szCs w:val="24"/>
                <w:highlight w:val="none"/>
              </w:rPr>
              <w:t>本项目环境风险简单分析内容见表</w:t>
            </w:r>
            <w:r>
              <w:rPr>
                <w:color w:val="auto"/>
                <w:sz w:val="24"/>
                <w:szCs w:val="24"/>
                <w:highlight w:val="none"/>
              </w:rPr>
              <w:t>4</w:t>
            </w:r>
            <w:r>
              <w:rPr>
                <w:rFonts w:hint="eastAsia"/>
                <w:color w:val="auto"/>
                <w:sz w:val="24"/>
                <w:szCs w:val="24"/>
                <w:highlight w:val="none"/>
              </w:rPr>
              <w:t>-</w:t>
            </w:r>
            <w:r>
              <w:rPr>
                <w:rFonts w:hint="eastAsia"/>
                <w:color w:val="auto"/>
                <w:sz w:val="24"/>
                <w:szCs w:val="24"/>
                <w:highlight w:val="none"/>
                <w:lang w:val="en-US" w:eastAsia="zh-CN"/>
              </w:rPr>
              <w:t>22</w:t>
            </w:r>
            <w:r>
              <w:rPr>
                <w:rFonts w:hint="eastAsia"/>
                <w:color w:val="auto"/>
                <w:sz w:val="24"/>
                <w:szCs w:val="24"/>
                <w:highlight w:val="none"/>
              </w:rPr>
              <w:t>。</w:t>
            </w:r>
          </w:p>
          <w:p>
            <w:pPr>
              <w:spacing w:line="360" w:lineRule="auto"/>
              <w:jc w:val="center"/>
              <w:rPr>
                <w:rFonts w:hint="eastAsia"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表4-</w:t>
            </w:r>
            <w:r>
              <w:rPr>
                <w:rFonts w:hint="eastAsia"/>
                <w:b/>
                <w:bCs/>
                <w:color w:val="auto"/>
                <w:sz w:val="24"/>
                <w:szCs w:val="24"/>
                <w:highlight w:val="none"/>
                <w:lang w:val="en-US" w:eastAsia="zh-CN"/>
              </w:rPr>
              <w:t>22</w:t>
            </w:r>
            <w:r>
              <w:rPr>
                <w:rFonts w:hint="eastAsia" w:ascii="Times New Roman" w:hAnsi="Times New Roman" w:eastAsia="宋体"/>
                <w:b/>
                <w:bCs/>
                <w:color w:val="auto"/>
                <w:sz w:val="24"/>
                <w:szCs w:val="24"/>
                <w:highlight w:val="none"/>
              </w:rPr>
              <w:t xml:space="preserve">  建设项目环境风险简单分析内容表</w:t>
            </w:r>
          </w:p>
          <w:tbl>
            <w:tblPr>
              <w:tblStyle w:val="24"/>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8"/>
              <w:gridCol w:w="1260"/>
              <w:gridCol w:w="1949"/>
              <w:gridCol w:w="1382"/>
              <w:gridCol w:w="18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5" w:type="pct"/>
                  <w:tcBorders>
                    <w:tl2br w:val="nil"/>
                    <w:tr2bl w:val="nil"/>
                  </w:tcBorders>
                  <w:vAlign w:val="center"/>
                </w:tcPr>
                <w:p>
                  <w:pPr>
                    <w:spacing w:line="240" w:lineRule="auto"/>
                    <w:jc w:val="center"/>
                    <w:rPr>
                      <w:rFonts w:cstheme="minorHAnsi"/>
                      <w:color w:val="auto"/>
                      <w:sz w:val="21"/>
                      <w:szCs w:val="21"/>
                      <w:highlight w:val="none"/>
                    </w:rPr>
                  </w:pPr>
                  <w:r>
                    <w:rPr>
                      <w:rFonts w:cstheme="minorHAnsi"/>
                      <w:color w:val="auto"/>
                      <w:sz w:val="21"/>
                      <w:szCs w:val="21"/>
                      <w:highlight w:val="none"/>
                    </w:rPr>
                    <w:t>建设项目名称</w:t>
                  </w:r>
                </w:p>
              </w:tc>
              <w:tc>
                <w:tcPr>
                  <w:tcW w:w="3634" w:type="pct"/>
                  <w:gridSpan w:val="4"/>
                  <w:tcBorders>
                    <w:tl2br w:val="nil"/>
                    <w:tr2bl w:val="nil"/>
                  </w:tcBorders>
                  <w:vAlign w:val="center"/>
                </w:tcPr>
                <w:p>
                  <w:pPr>
                    <w:spacing w:line="240" w:lineRule="auto"/>
                    <w:jc w:val="center"/>
                    <w:rPr>
                      <w:rFonts w:cstheme="minorHAnsi"/>
                      <w:color w:val="auto"/>
                      <w:sz w:val="21"/>
                      <w:szCs w:val="21"/>
                      <w:highlight w:val="none"/>
                    </w:rPr>
                  </w:pPr>
                  <w:r>
                    <w:rPr>
                      <w:rFonts w:hint="eastAsia" w:cstheme="minorHAnsi"/>
                      <w:color w:val="auto"/>
                      <w:sz w:val="21"/>
                      <w:szCs w:val="21"/>
                      <w:highlight w:val="none"/>
                    </w:rPr>
                    <w:t>大竹旭晟石材厂石材切割雕刻加工项目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5" w:type="pct"/>
                  <w:tcBorders>
                    <w:tl2br w:val="nil"/>
                    <w:tr2bl w:val="nil"/>
                  </w:tcBorders>
                  <w:vAlign w:val="center"/>
                </w:tcPr>
                <w:p>
                  <w:pPr>
                    <w:spacing w:line="240" w:lineRule="auto"/>
                    <w:jc w:val="center"/>
                    <w:rPr>
                      <w:rFonts w:cstheme="minorHAnsi"/>
                      <w:color w:val="auto"/>
                      <w:sz w:val="21"/>
                      <w:szCs w:val="21"/>
                      <w:highlight w:val="none"/>
                    </w:rPr>
                  </w:pPr>
                  <w:r>
                    <w:rPr>
                      <w:rFonts w:cstheme="minorHAnsi"/>
                      <w:color w:val="auto"/>
                      <w:sz w:val="21"/>
                      <w:szCs w:val="21"/>
                      <w:highlight w:val="none"/>
                    </w:rPr>
                    <w:t>建设地点</w:t>
                  </w:r>
                </w:p>
              </w:tc>
              <w:tc>
                <w:tcPr>
                  <w:tcW w:w="837" w:type="pct"/>
                  <w:tcBorders>
                    <w:tl2br w:val="nil"/>
                    <w:tr2bl w:val="nil"/>
                  </w:tcBorders>
                  <w:vAlign w:val="center"/>
                </w:tcPr>
                <w:p>
                  <w:pPr>
                    <w:spacing w:line="240" w:lineRule="auto"/>
                    <w:jc w:val="center"/>
                    <w:rPr>
                      <w:rFonts w:cstheme="minorHAnsi"/>
                      <w:color w:val="auto"/>
                      <w:sz w:val="21"/>
                      <w:szCs w:val="21"/>
                      <w:highlight w:val="none"/>
                    </w:rPr>
                  </w:pPr>
                  <w:r>
                    <w:rPr>
                      <w:rFonts w:hint="eastAsia" w:cstheme="minorHAnsi"/>
                      <w:color w:val="auto"/>
                      <w:sz w:val="21"/>
                      <w:szCs w:val="21"/>
                      <w:highlight w:val="none"/>
                    </w:rPr>
                    <w:t>四川省</w:t>
                  </w:r>
                </w:p>
              </w:tc>
              <w:tc>
                <w:tcPr>
                  <w:tcW w:w="980" w:type="pct"/>
                  <w:tcBorders>
                    <w:tl2br w:val="nil"/>
                    <w:tr2bl w:val="nil"/>
                  </w:tcBorders>
                  <w:vAlign w:val="center"/>
                </w:tcPr>
                <w:p>
                  <w:pPr>
                    <w:spacing w:line="240" w:lineRule="auto"/>
                    <w:jc w:val="center"/>
                    <w:rPr>
                      <w:rFonts w:hint="eastAsia" w:eastAsia="宋体" w:cstheme="minorHAnsi"/>
                      <w:color w:val="auto"/>
                      <w:sz w:val="21"/>
                      <w:szCs w:val="21"/>
                      <w:highlight w:val="none"/>
                      <w:lang w:eastAsia="zh-CN"/>
                    </w:rPr>
                  </w:pPr>
                  <w:r>
                    <w:rPr>
                      <w:rFonts w:hint="eastAsia" w:cstheme="minorHAnsi"/>
                      <w:color w:val="auto"/>
                      <w:sz w:val="21"/>
                      <w:szCs w:val="21"/>
                      <w:highlight w:val="none"/>
                      <w:lang w:val="en-US" w:eastAsia="zh-CN"/>
                    </w:rPr>
                    <w:t>达州市</w:t>
                  </w:r>
                </w:p>
              </w:tc>
              <w:tc>
                <w:tcPr>
                  <w:tcW w:w="908" w:type="pct"/>
                  <w:tcBorders>
                    <w:tl2br w:val="nil"/>
                    <w:tr2bl w:val="nil"/>
                  </w:tcBorders>
                  <w:vAlign w:val="center"/>
                </w:tcPr>
                <w:p>
                  <w:pPr>
                    <w:spacing w:line="240" w:lineRule="auto"/>
                    <w:jc w:val="center"/>
                    <w:rPr>
                      <w:rFonts w:hint="eastAsia" w:eastAsia="宋体" w:cstheme="minorHAnsi"/>
                      <w:color w:val="auto"/>
                      <w:sz w:val="21"/>
                      <w:szCs w:val="21"/>
                      <w:highlight w:val="none"/>
                      <w:lang w:eastAsia="zh-CN"/>
                    </w:rPr>
                  </w:pPr>
                  <w:r>
                    <w:rPr>
                      <w:rFonts w:hint="eastAsia" w:cstheme="minorHAnsi"/>
                      <w:color w:val="auto"/>
                      <w:sz w:val="21"/>
                      <w:szCs w:val="21"/>
                      <w:highlight w:val="none"/>
                      <w:lang w:val="en-US" w:eastAsia="zh-CN"/>
                    </w:rPr>
                    <w:t>大竹县</w:t>
                  </w:r>
                </w:p>
              </w:tc>
              <w:tc>
                <w:tcPr>
                  <w:tcW w:w="907" w:type="pct"/>
                  <w:tcBorders>
                    <w:tl2br w:val="nil"/>
                    <w:tr2bl w:val="nil"/>
                  </w:tcBorders>
                  <w:vAlign w:val="center"/>
                </w:tcPr>
                <w:p>
                  <w:pPr>
                    <w:spacing w:line="240" w:lineRule="auto"/>
                    <w:jc w:val="center"/>
                    <w:rPr>
                      <w:rFonts w:cstheme="minorHAnsi"/>
                      <w:color w:val="auto"/>
                      <w:sz w:val="21"/>
                      <w:szCs w:val="21"/>
                      <w:highlight w:val="none"/>
                    </w:rPr>
                  </w:pPr>
                  <w:r>
                    <w:rPr>
                      <w:rFonts w:hint="eastAsia" w:cstheme="minorHAnsi"/>
                      <w:color w:val="auto"/>
                      <w:sz w:val="21"/>
                      <w:szCs w:val="21"/>
                      <w:highlight w:val="none"/>
                    </w:rPr>
                    <w:t>文星镇龙门村8组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5" w:type="pct"/>
                  <w:tcBorders>
                    <w:tl2br w:val="nil"/>
                    <w:tr2bl w:val="nil"/>
                  </w:tcBorders>
                  <w:vAlign w:val="center"/>
                </w:tcPr>
                <w:p>
                  <w:pPr>
                    <w:spacing w:line="240" w:lineRule="auto"/>
                    <w:jc w:val="center"/>
                    <w:rPr>
                      <w:rFonts w:cstheme="minorHAnsi"/>
                      <w:color w:val="auto"/>
                      <w:sz w:val="21"/>
                      <w:szCs w:val="21"/>
                      <w:highlight w:val="none"/>
                    </w:rPr>
                  </w:pPr>
                  <w:r>
                    <w:rPr>
                      <w:rFonts w:cstheme="minorHAnsi"/>
                      <w:color w:val="auto"/>
                      <w:sz w:val="21"/>
                      <w:szCs w:val="21"/>
                      <w:highlight w:val="none"/>
                    </w:rPr>
                    <w:t>地理坐标</w:t>
                  </w:r>
                </w:p>
              </w:tc>
              <w:tc>
                <w:tcPr>
                  <w:tcW w:w="837" w:type="pct"/>
                  <w:tcBorders>
                    <w:tl2br w:val="nil"/>
                    <w:tr2bl w:val="nil"/>
                  </w:tcBorders>
                  <w:vAlign w:val="center"/>
                </w:tcPr>
                <w:p>
                  <w:pPr>
                    <w:spacing w:line="240" w:lineRule="auto"/>
                    <w:jc w:val="center"/>
                    <w:rPr>
                      <w:rFonts w:cstheme="minorHAnsi"/>
                      <w:color w:val="auto"/>
                      <w:sz w:val="21"/>
                      <w:szCs w:val="21"/>
                      <w:highlight w:val="none"/>
                    </w:rPr>
                  </w:pPr>
                  <w:r>
                    <w:rPr>
                      <w:rFonts w:cstheme="minorHAnsi"/>
                      <w:color w:val="auto"/>
                      <w:sz w:val="21"/>
                      <w:szCs w:val="21"/>
                      <w:highlight w:val="none"/>
                    </w:rPr>
                    <w:t>经度</w:t>
                  </w:r>
                </w:p>
              </w:tc>
              <w:tc>
                <w:tcPr>
                  <w:tcW w:w="980" w:type="pct"/>
                  <w:tcBorders>
                    <w:tl2br w:val="nil"/>
                    <w:tr2bl w:val="nil"/>
                  </w:tcBorders>
                  <w:vAlign w:val="center"/>
                </w:tcPr>
                <w:p>
                  <w:pPr>
                    <w:spacing w:line="240" w:lineRule="auto"/>
                    <w:jc w:val="center"/>
                    <w:rPr>
                      <w:rFonts w:cstheme="minorHAnsi"/>
                      <w:color w:val="auto"/>
                      <w:sz w:val="21"/>
                      <w:szCs w:val="21"/>
                      <w:highlight w:val="none"/>
                    </w:rPr>
                  </w:pPr>
                  <w:r>
                    <w:rPr>
                      <w:rFonts w:hint="eastAsia" w:cstheme="minorHAnsi"/>
                      <w:color w:val="auto"/>
                      <w:sz w:val="21"/>
                      <w:szCs w:val="21"/>
                      <w:highlight w:val="none"/>
                    </w:rPr>
                    <w:t>107°15′23.770″</w:t>
                  </w:r>
                </w:p>
              </w:tc>
              <w:tc>
                <w:tcPr>
                  <w:tcW w:w="908" w:type="pct"/>
                  <w:tcBorders>
                    <w:tl2br w:val="nil"/>
                    <w:tr2bl w:val="nil"/>
                  </w:tcBorders>
                  <w:vAlign w:val="center"/>
                </w:tcPr>
                <w:p>
                  <w:pPr>
                    <w:spacing w:line="240" w:lineRule="auto"/>
                    <w:jc w:val="center"/>
                    <w:rPr>
                      <w:rFonts w:cstheme="minorHAnsi"/>
                      <w:color w:val="auto"/>
                      <w:sz w:val="21"/>
                      <w:szCs w:val="21"/>
                      <w:highlight w:val="none"/>
                    </w:rPr>
                  </w:pPr>
                  <w:r>
                    <w:rPr>
                      <w:rFonts w:cstheme="minorHAnsi"/>
                      <w:color w:val="auto"/>
                      <w:sz w:val="21"/>
                      <w:szCs w:val="21"/>
                      <w:highlight w:val="none"/>
                    </w:rPr>
                    <w:t>纬度</w:t>
                  </w:r>
                </w:p>
              </w:tc>
              <w:tc>
                <w:tcPr>
                  <w:tcW w:w="907" w:type="pct"/>
                  <w:tcBorders>
                    <w:tl2br w:val="nil"/>
                    <w:tr2bl w:val="nil"/>
                  </w:tcBorders>
                  <w:vAlign w:val="center"/>
                </w:tcPr>
                <w:p>
                  <w:pPr>
                    <w:spacing w:line="240" w:lineRule="auto"/>
                    <w:jc w:val="center"/>
                    <w:rPr>
                      <w:rFonts w:cstheme="minorHAnsi"/>
                      <w:color w:val="auto"/>
                      <w:sz w:val="21"/>
                      <w:szCs w:val="21"/>
                      <w:highlight w:val="none"/>
                    </w:rPr>
                  </w:pPr>
                  <w:r>
                    <w:rPr>
                      <w:rFonts w:hint="eastAsia" w:cstheme="minorHAnsi"/>
                      <w:color w:val="auto"/>
                      <w:sz w:val="21"/>
                      <w:szCs w:val="21"/>
                      <w:highlight w:val="none"/>
                    </w:rPr>
                    <w:t>30°29′44.15</w:t>
                  </w:r>
                  <w:r>
                    <w:rPr>
                      <w:rFonts w:hint="eastAsia" w:cstheme="minorHAnsi"/>
                      <w:color w:val="auto"/>
                      <w:sz w:val="21"/>
                      <w:szCs w:val="21"/>
                      <w:highlight w:val="none"/>
                      <w:lang w:val="en-US" w:eastAsia="zh-CN"/>
                    </w:rPr>
                    <w:t>0</w:t>
                  </w:r>
                  <w:r>
                    <w:rPr>
                      <w:rFonts w:hint="eastAsia" w:cstheme="minorHAnsi"/>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5" w:type="pct"/>
                  <w:tcBorders>
                    <w:tl2br w:val="nil"/>
                    <w:tr2bl w:val="nil"/>
                  </w:tcBorders>
                  <w:vAlign w:val="center"/>
                </w:tcPr>
                <w:p>
                  <w:pPr>
                    <w:spacing w:line="240" w:lineRule="auto"/>
                    <w:jc w:val="center"/>
                    <w:rPr>
                      <w:rFonts w:cstheme="minorHAnsi"/>
                      <w:color w:val="auto"/>
                      <w:sz w:val="21"/>
                      <w:szCs w:val="21"/>
                      <w:highlight w:val="none"/>
                    </w:rPr>
                  </w:pPr>
                  <w:r>
                    <w:rPr>
                      <w:rFonts w:cstheme="minorHAnsi"/>
                      <w:color w:val="auto"/>
                      <w:sz w:val="21"/>
                      <w:szCs w:val="21"/>
                      <w:highlight w:val="none"/>
                    </w:rPr>
                    <w:t>主要危险物质及分布</w:t>
                  </w:r>
                </w:p>
              </w:tc>
              <w:tc>
                <w:tcPr>
                  <w:tcW w:w="3634" w:type="pct"/>
                  <w:gridSpan w:val="4"/>
                  <w:tcBorders>
                    <w:tl2br w:val="nil"/>
                    <w:tr2bl w:val="nil"/>
                  </w:tcBorders>
                  <w:vAlign w:val="center"/>
                </w:tcPr>
                <w:p>
                  <w:pPr>
                    <w:spacing w:line="240" w:lineRule="auto"/>
                    <w:rPr>
                      <w:rFonts w:hint="default" w:eastAsia="宋体" w:cstheme="minorHAnsi"/>
                      <w:color w:val="auto"/>
                      <w:sz w:val="21"/>
                      <w:szCs w:val="21"/>
                      <w:highlight w:val="none"/>
                      <w:lang w:val="en-US" w:eastAsia="zh-CN"/>
                    </w:rPr>
                  </w:pPr>
                  <w:r>
                    <w:rPr>
                      <w:rFonts w:hint="eastAsia" w:cstheme="minorHAnsi"/>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5" w:type="pct"/>
                  <w:tcBorders>
                    <w:tl2br w:val="nil"/>
                    <w:tr2bl w:val="nil"/>
                  </w:tcBorders>
                  <w:vAlign w:val="center"/>
                </w:tcPr>
                <w:p>
                  <w:pPr>
                    <w:spacing w:line="240" w:lineRule="auto"/>
                    <w:jc w:val="center"/>
                    <w:rPr>
                      <w:rFonts w:cstheme="minorHAnsi"/>
                      <w:color w:val="auto"/>
                      <w:sz w:val="21"/>
                      <w:szCs w:val="21"/>
                      <w:highlight w:val="none"/>
                    </w:rPr>
                  </w:pPr>
                  <w:r>
                    <w:rPr>
                      <w:rFonts w:cstheme="minorHAnsi"/>
                      <w:color w:val="auto"/>
                      <w:sz w:val="21"/>
                      <w:szCs w:val="21"/>
                      <w:highlight w:val="none"/>
                    </w:rPr>
                    <w:t>环境影响途径及危害后果</w:t>
                  </w:r>
                </w:p>
                <w:p>
                  <w:pPr>
                    <w:spacing w:line="240" w:lineRule="auto"/>
                    <w:jc w:val="center"/>
                    <w:rPr>
                      <w:rFonts w:cstheme="minorHAnsi"/>
                      <w:color w:val="auto"/>
                      <w:sz w:val="21"/>
                      <w:szCs w:val="21"/>
                      <w:highlight w:val="none"/>
                    </w:rPr>
                  </w:pPr>
                  <w:r>
                    <w:rPr>
                      <w:rFonts w:hint="eastAsia" w:cstheme="minorHAnsi"/>
                      <w:color w:val="auto"/>
                      <w:sz w:val="21"/>
                      <w:szCs w:val="21"/>
                      <w:highlight w:val="none"/>
                    </w:rPr>
                    <w:t>（</w:t>
                  </w:r>
                  <w:r>
                    <w:rPr>
                      <w:rFonts w:cstheme="minorHAnsi"/>
                      <w:color w:val="auto"/>
                      <w:sz w:val="21"/>
                      <w:szCs w:val="21"/>
                      <w:highlight w:val="none"/>
                    </w:rPr>
                    <w:t>大气</w:t>
                  </w:r>
                  <w:r>
                    <w:rPr>
                      <w:rFonts w:hint="eastAsia" w:cstheme="minorHAnsi"/>
                      <w:color w:val="auto"/>
                      <w:sz w:val="21"/>
                      <w:szCs w:val="21"/>
                      <w:highlight w:val="none"/>
                    </w:rPr>
                    <w:t>、</w:t>
                  </w:r>
                  <w:r>
                    <w:rPr>
                      <w:rFonts w:cstheme="minorHAnsi"/>
                      <w:color w:val="auto"/>
                      <w:sz w:val="21"/>
                      <w:szCs w:val="21"/>
                      <w:highlight w:val="none"/>
                    </w:rPr>
                    <w:t>地表水</w:t>
                  </w:r>
                  <w:r>
                    <w:rPr>
                      <w:rFonts w:hint="eastAsia" w:cstheme="minorHAnsi"/>
                      <w:color w:val="auto"/>
                      <w:sz w:val="21"/>
                      <w:szCs w:val="21"/>
                      <w:highlight w:val="none"/>
                    </w:rPr>
                    <w:t>、</w:t>
                  </w:r>
                  <w:r>
                    <w:rPr>
                      <w:rFonts w:cstheme="minorHAnsi"/>
                      <w:color w:val="auto"/>
                      <w:sz w:val="21"/>
                      <w:szCs w:val="21"/>
                      <w:highlight w:val="none"/>
                    </w:rPr>
                    <w:t>地下水等</w:t>
                  </w:r>
                  <w:r>
                    <w:rPr>
                      <w:rFonts w:hint="eastAsia" w:cstheme="minorHAnsi"/>
                      <w:color w:val="auto"/>
                      <w:sz w:val="21"/>
                      <w:szCs w:val="21"/>
                      <w:highlight w:val="none"/>
                    </w:rPr>
                    <w:t>）</w:t>
                  </w:r>
                </w:p>
              </w:tc>
              <w:tc>
                <w:tcPr>
                  <w:tcW w:w="3634" w:type="pct"/>
                  <w:gridSpan w:val="4"/>
                  <w:tcBorders>
                    <w:tl2br w:val="nil"/>
                    <w:tr2bl w:val="nil"/>
                  </w:tcBorders>
                  <w:vAlign w:val="center"/>
                </w:tcPr>
                <w:p>
                  <w:pPr>
                    <w:spacing w:line="240" w:lineRule="auto"/>
                    <w:rPr>
                      <w:rFonts w:cstheme="minorHAnsi"/>
                      <w:color w:val="auto"/>
                      <w:sz w:val="21"/>
                      <w:szCs w:val="21"/>
                      <w:highlight w:val="none"/>
                    </w:rPr>
                  </w:pPr>
                  <w:r>
                    <w:rPr>
                      <w:rFonts w:hint="eastAsia" w:cstheme="minorHAnsi"/>
                      <w:color w:val="auto"/>
                      <w:sz w:val="21"/>
                      <w:szCs w:val="21"/>
                      <w:highlight w:val="none"/>
                    </w:rPr>
                    <w:t>地表水环境：</w:t>
                  </w:r>
                  <w:r>
                    <w:rPr>
                      <w:rFonts w:hint="eastAsia" w:cstheme="minorHAnsi"/>
                      <w:color w:val="auto"/>
                      <w:sz w:val="21"/>
                      <w:szCs w:val="21"/>
                      <w:highlight w:val="none"/>
                      <w:lang w:val="en-US" w:eastAsia="zh-CN"/>
                    </w:rPr>
                    <w:t>生产废水</w:t>
                  </w:r>
                  <w:r>
                    <w:rPr>
                      <w:rFonts w:hint="eastAsia" w:cstheme="minorHAnsi"/>
                      <w:color w:val="0000FF"/>
                      <w:sz w:val="21"/>
                      <w:szCs w:val="21"/>
                      <w:highlight w:val="none"/>
                      <w:lang w:val="en-US" w:eastAsia="zh-CN"/>
                    </w:rPr>
                    <w:t>、废机油</w:t>
                  </w:r>
                  <w:r>
                    <w:rPr>
                      <w:rFonts w:hint="eastAsia" w:cstheme="minorHAnsi"/>
                      <w:color w:val="auto"/>
                      <w:sz w:val="21"/>
                      <w:szCs w:val="21"/>
                      <w:highlight w:val="none"/>
                      <w:lang w:val="en-US" w:eastAsia="zh-CN"/>
                    </w:rPr>
                    <w:t>等</w:t>
                  </w:r>
                  <w:r>
                    <w:rPr>
                      <w:rFonts w:hint="eastAsia" w:cstheme="minorHAnsi"/>
                      <w:color w:val="auto"/>
                      <w:sz w:val="21"/>
                      <w:szCs w:val="21"/>
                      <w:highlight w:val="none"/>
                    </w:rPr>
                    <w:t>泄漏通过地表径流或雨水管道进入地表水环境，火灾消防过程废水通过地表径流或雨水管网排入地表水环境；</w:t>
                  </w:r>
                </w:p>
                <w:p>
                  <w:pPr>
                    <w:spacing w:line="240" w:lineRule="auto"/>
                    <w:rPr>
                      <w:rFonts w:cstheme="minorHAnsi"/>
                      <w:color w:val="auto"/>
                      <w:sz w:val="21"/>
                      <w:szCs w:val="21"/>
                      <w:highlight w:val="none"/>
                    </w:rPr>
                  </w:pPr>
                  <w:r>
                    <w:rPr>
                      <w:rFonts w:cstheme="minorHAnsi"/>
                      <w:color w:val="auto"/>
                      <w:sz w:val="21"/>
                      <w:szCs w:val="21"/>
                      <w:highlight w:val="none"/>
                    </w:rPr>
                    <w:t>地下水环境或土壤环境</w:t>
                  </w:r>
                  <w:r>
                    <w:rPr>
                      <w:rFonts w:hint="eastAsia" w:cstheme="minorHAnsi"/>
                      <w:color w:val="auto"/>
                      <w:sz w:val="21"/>
                      <w:szCs w:val="21"/>
                      <w:highlight w:val="none"/>
                    </w:rPr>
                    <w:t>：</w:t>
                  </w:r>
                  <w:r>
                    <w:rPr>
                      <w:rFonts w:hint="eastAsia" w:cstheme="minorHAnsi"/>
                      <w:color w:val="auto"/>
                      <w:sz w:val="21"/>
                      <w:szCs w:val="21"/>
                      <w:highlight w:val="none"/>
                      <w:lang w:val="en-US" w:eastAsia="zh-CN"/>
                    </w:rPr>
                    <w:t>生产废水</w:t>
                  </w:r>
                  <w:r>
                    <w:rPr>
                      <w:rFonts w:hint="eastAsia" w:cstheme="minorHAnsi"/>
                      <w:color w:val="0000FF"/>
                      <w:sz w:val="21"/>
                      <w:szCs w:val="21"/>
                      <w:highlight w:val="none"/>
                      <w:lang w:val="en-US" w:eastAsia="zh-CN"/>
                    </w:rPr>
                    <w:t>、废机油等</w:t>
                  </w:r>
                  <w:r>
                    <w:rPr>
                      <w:rFonts w:hint="eastAsia" w:cstheme="minorHAnsi"/>
                      <w:color w:val="auto"/>
                      <w:sz w:val="21"/>
                      <w:szCs w:val="21"/>
                      <w:highlight w:val="none"/>
                    </w:rPr>
                    <w:t>泄漏通过垂直渗透进入地下水环境或土壤环境。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5" w:type="pct"/>
                  <w:tcBorders>
                    <w:tl2br w:val="nil"/>
                    <w:tr2bl w:val="nil"/>
                  </w:tcBorders>
                  <w:vAlign w:val="center"/>
                </w:tcPr>
                <w:p>
                  <w:pPr>
                    <w:spacing w:line="240" w:lineRule="auto"/>
                    <w:jc w:val="center"/>
                    <w:rPr>
                      <w:rFonts w:cstheme="minorHAnsi"/>
                      <w:color w:val="auto"/>
                      <w:sz w:val="21"/>
                      <w:szCs w:val="21"/>
                      <w:highlight w:val="none"/>
                    </w:rPr>
                  </w:pPr>
                  <w:r>
                    <w:rPr>
                      <w:rFonts w:cstheme="minorHAnsi"/>
                      <w:color w:val="auto"/>
                      <w:sz w:val="21"/>
                      <w:szCs w:val="21"/>
                      <w:highlight w:val="none"/>
                    </w:rPr>
                    <w:t>风险防范措施要求</w:t>
                  </w:r>
                </w:p>
              </w:tc>
              <w:tc>
                <w:tcPr>
                  <w:tcW w:w="3634" w:type="pct"/>
                  <w:gridSpan w:val="4"/>
                  <w:tcBorders>
                    <w:tl2br w:val="nil"/>
                    <w:tr2bl w:val="nil"/>
                  </w:tcBorders>
                  <w:vAlign w:val="center"/>
                </w:tcPr>
                <w:p>
                  <w:pPr>
                    <w:spacing w:line="240" w:lineRule="auto"/>
                    <w:rPr>
                      <w:rFonts w:hint="eastAsia" w:eastAsia="宋体" w:cstheme="minorHAnsi"/>
                      <w:color w:val="auto"/>
                      <w:sz w:val="21"/>
                      <w:szCs w:val="21"/>
                      <w:highlight w:val="none"/>
                      <w:lang w:eastAsia="zh-CN"/>
                    </w:rPr>
                  </w:pPr>
                  <w:r>
                    <w:rPr>
                      <w:rFonts w:hint="eastAsia" w:cstheme="minorHAnsi"/>
                      <w:color w:val="auto"/>
                      <w:sz w:val="21"/>
                      <w:szCs w:val="21"/>
                      <w:highlight w:val="none"/>
                    </w:rPr>
                    <w:t>①</w:t>
                  </w:r>
                  <w:r>
                    <w:rPr>
                      <w:rFonts w:hint="eastAsia" w:cstheme="minorHAnsi"/>
                      <w:color w:val="auto"/>
                      <w:sz w:val="21"/>
                      <w:szCs w:val="21"/>
                      <w:highlight w:val="none"/>
                      <w:lang w:val="en-US" w:eastAsia="zh-CN"/>
                    </w:rPr>
                    <w:t>将三级沉淀池修建为地下式，四周及池底为砖混结构，并采取防渗漏处理</w:t>
                  </w:r>
                  <w:r>
                    <w:rPr>
                      <w:rFonts w:hint="eastAsia" w:cstheme="minorHAnsi"/>
                      <w:color w:val="auto"/>
                      <w:sz w:val="21"/>
                      <w:szCs w:val="21"/>
                      <w:highlight w:val="none"/>
                      <w:lang w:eastAsia="zh-CN"/>
                    </w:rPr>
                    <w:t>；</w:t>
                  </w:r>
                </w:p>
                <w:p>
                  <w:pPr>
                    <w:spacing w:line="240" w:lineRule="auto"/>
                    <w:rPr>
                      <w:rFonts w:hint="eastAsia" w:cstheme="minorHAnsi"/>
                      <w:color w:val="auto"/>
                      <w:sz w:val="21"/>
                      <w:szCs w:val="21"/>
                      <w:highlight w:val="none"/>
                    </w:rPr>
                  </w:pPr>
                  <w:r>
                    <w:rPr>
                      <w:rFonts w:hint="eastAsia" w:cstheme="minorHAnsi"/>
                      <w:color w:val="auto"/>
                      <w:sz w:val="21"/>
                      <w:szCs w:val="21"/>
                      <w:highlight w:val="none"/>
                    </w:rPr>
                    <w:t>②沉淀沉渣清掏作业尽量安排专人进行操作指导，避免误操作损坏池体围堰，发生事故排放</w:t>
                  </w:r>
                </w:p>
                <w:p>
                  <w:pPr>
                    <w:spacing w:line="240" w:lineRule="auto"/>
                    <w:rPr>
                      <w:rFonts w:hint="eastAsia" w:cstheme="minorHAnsi"/>
                      <w:color w:val="auto"/>
                      <w:sz w:val="21"/>
                      <w:szCs w:val="21"/>
                      <w:highlight w:val="none"/>
                      <w:lang w:eastAsia="zh-CN"/>
                    </w:rPr>
                  </w:pPr>
                  <w:r>
                    <w:rPr>
                      <w:rFonts w:hint="eastAsia" w:cstheme="minorHAnsi"/>
                      <w:color w:val="auto"/>
                      <w:sz w:val="21"/>
                      <w:szCs w:val="21"/>
                      <w:highlight w:val="none"/>
                      <w:lang w:val="en-US" w:eastAsia="zh-CN"/>
                    </w:rPr>
                    <w:t>③</w:t>
                  </w:r>
                  <w:r>
                    <w:rPr>
                      <w:rFonts w:hint="eastAsia" w:cstheme="minorHAnsi"/>
                      <w:color w:val="auto"/>
                      <w:sz w:val="21"/>
                      <w:szCs w:val="21"/>
                      <w:highlight w:val="none"/>
                    </w:rPr>
                    <w:t>设置警示标识，配备相应数量灭火器，开展员工安全培训；加强污染防治设施管理和维护</w:t>
                  </w:r>
                  <w:r>
                    <w:rPr>
                      <w:rFonts w:hint="eastAsia" w:cstheme="minorHAnsi"/>
                      <w:color w:val="auto"/>
                      <w:sz w:val="21"/>
                      <w:szCs w:val="21"/>
                      <w:highlight w:val="none"/>
                      <w:lang w:eastAsia="zh-CN"/>
                    </w:rPr>
                    <w:t>。</w:t>
                  </w:r>
                </w:p>
                <w:p>
                  <w:pPr>
                    <w:spacing w:line="240" w:lineRule="auto"/>
                    <w:rPr>
                      <w:rFonts w:hint="eastAsia" w:eastAsia="宋体" w:cstheme="minorHAnsi"/>
                      <w:color w:val="auto"/>
                      <w:sz w:val="21"/>
                      <w:szCs w:val="21"/>
                      <w:highlight w:val="none"/>
                      <w:lang w:eastAsia="zh-CN"/>
                    </w:rPr>
                  </w:pPr>
                  <w:r>
                    <w:rPr>
                      <w:rFonts w:hint="eastAsia" w:cstheme="minorHAnsi"/>
                      <w:color w:val="0000FF"/>
                      <w:sz w:val="21"/>
                      <w:szCs w:val="21"/>
                      <w:highlight w:val="none"/>
                      <w:lang w:val="en-US" w:eastAsia="zh-CN"/>
                    </w:rPr>
                    <w:t>④</w:t>
                  </w:r>
                  <w:r>
                    <w:rPr>
                      <w:rFonts w:hint="eastAsia" w:cstheme="minorHAnsi"/>
                      <w:color w:val="0000FF"/>
                      <w:sz w:val="21"/>
                      <w:szCs w:val="21"/>
                      <w:highlight w:val="none"/>
                      <w:lang w:eastAsia="zh-CN"/>
                    </w:rPr>
                    <w:t>危废暂存间做好地面防渗、防漏措施，设置防渗托盘，设置备用收容设施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tcBorders>
                    <w:tl2br w:val="nil"/>
                    <w:tr2bl w:val="nil"/>
                  </w:tcBorders>
                  <w:vAlign w:val="center"/>
                </w:tcPr>
                <w:p>
                  <w:pPr>
                    <w:spacing w:line="240" w:lineRule="auto"/>
                    <w:rPr>
                      <w:rFonts w:hint="eastAsia" w:eastAsia="宋体" w:cstheme="minorHAnsi"/>
                      <w:color w:val="auto"/>
                      <w:sz w:val="21"/>
                      <w:szCs w:val="21"/>
                      <w:highlight w:val="none"/>
                      <w:lang w:val="en-US" w:eastAsia="zh-CN"/>
                    </w:rPr>
                  </w:pPr>
                  <w:r>
                    <w:rPr>
                      <w:rFonts w:cstheme="minorHAnsi"/>
                      <w:color w:val="auto"/>
                      <w:sz w:val="21"/>
                      <w:szCs w:val="21"/>
                      <w:highlight w:val="none"/>
                    </w:rPr>
                    <w:t>填表说明</w:t>
                  </w:r>
                  <w:r>
                    <w:rPr>
                      <w:rFonts w:hint="eastAsia" w:cstheme="minorHAnsi"/>
                      <w:color w:val="auto"/>
                      <w:sz w:val="21"/>
                      <w:szCs w:val="21"/>
                      <w:highlight w:val="none"/>
                    </w:rPr>
                    <w:t>（</w:t>
                  </w:r>
                  <w:r>
                    <w:rPr>
                      <w:rFonts w:cstheme="minorHAnsi"/>
                      <w:color w:val="auto"/>
                      <w:sz w:val="21"/>
                      <w:szCs w:val="21"/>
                      <w:highlight w:val="none"/>
                    </w:rPr>
                    <w:t>列出项目相关信息及评价说明</w:t>
                  </w:r>
                  <w:r>
                    <w:rPr>
                      <w:rFonts w:hint="eastAsia" w:cstheme="minorHAnsi"/>
                      <w:color w:val="auto"/>
                      <w:sz w:val="21"/>
                      <w:szCs w:val="21"/>
                      <w:highlight w:val="none"/>
                    </w:rPr>
                    <w:t>）：</w:t>
                  </w:r>
                </w:p>
                <w:p>
                  <w:pPr>
                    <w:spacing w:line="240" w:lineRule="auto"/>
                    <w:ind w:firstLine="420" w:firstLineChars="200"/>
                    <w:rPr>
                      <w:rFonts w:cstheme="minorHAnsi"/>
                      <w:color w:val="auto"/>
                      <w:sz w:val="21"/>
                      <w:szCs w:val="21"/>
                      <w:highlight w:val="none"/>
                    </w:rPr>
                  </w:pPr>
                  <w:r>
                    <w:rPr>
                      <w:rFonts w:hint="eastAsia" w:cstheme="minorHAnsi"/>
                      <w:color w:val="auto"/>
                      <w:sz w:val="21"/>
                      <w:szCs w:val="21"/>
                      <w:highlight w:val="none"/>
                      <w:lang w:val="en-US" w:eastAsia="zh-CN"/>
                    </w:rPr>
                    <w:t>本</w:t>
                  </w:r>
                  <w:r>
                    <w:rPr>
                      <w:rFonts w:hint="eastAsia" w:cstheme="minorHAnsi"/>
                      <w:color w:val="auto"/>
                      <w:sz w:val="21"/>
                      <w:szCs w:val="21"/>
                      <w:highlight w:val="none"/>
                    </w:rPr>
                    <w:t>项目环境风险潜势为I，评价等级为简单分析，在落实环评提出的风险防范措施后，环境风险可控。</w:t>
                  </w:r>
                </w:p>
              </w:tc>
            </w:tr>
          </w:tbl>
          <w:p>
            <w:pPr>
              <w:spacing w:line="360" w:lineRule="auto"/>
              <w:ind w:firstLine="480"/>
              <w:rPr>
                <w:rFonts w:hint="eastAsia" w:cs="Calibri"/>
                <w:color w:val="auto"/>
                <w:sz w:val="24"/>
                <w:szCs w:val="24"/>
                <w:highlight w:val="none"/>
              </w:rPr>
            </w:pPr>
            <w:r>
              <w:rPr>
                <w:rFonts w:hint="eastAsia" w:cs="Calibri"/>
                <w:color w:val="auto"/>
                <w:sz w:val="24"/>
                <w:szCs w:val="24"/>
                <w:highlight w:val="none"/>
              </w:rPr>
              <w:t>综上所述，本项目环境风险潜势为I，营运期落实本报告提出的各项措施、建立和落实各项风险预警防范措施和事故应急计划，杜绝重大安全事故和重大环境污染事故的发生，可使项目建成后风险水平处于可接受程度。</w:t>
            </w:r>
          </w:p>
          <w:p>
            <w:pPr>
              <w:spacing w:line="360" w:lineRule="auto"/>
              <w:rPr>
                <w:rFonts w:hint="eastAsia" w:eastAsia="宋体"/>
                <w:color w:val="auto"/>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Pr>
          <w:p>
            <w:pPr>
              <w:spacing w:line="360" w:lineRule="auto"/>
              <w:jc w:val="center"/>
              <w:rPr>
                <w:color w:val="auto"/>
                <w:sz w:val="24"/>
                <w:szCs w:val="24"/>
                <w:highlight w:val="none"/>
                <w:vertAlign w:val="baseline"/>
              </w:rPr>
            </w:pPr>
            <w:r>
              <w:rPr>
                <w:rFonts w:hint="eastAsia" w:cs="Times New Roman"/>
                <w:color w:val="auto"/>
                <w:sz w:val="24"/>
                <w:szCs w:val="24"/>
                <w:highlight w:val="none"/>
              </w:rPr>
              <w:t>环保投资</w:t>
            </w:r>
          </w:p>
        </w:tc>
        <w:tc>
          <w:tcPr>
            <w:tcW w:w="8819" w:type="dxa"/>
          </w:tcPr>
          <w:p>
            <w:pPr>
              <w:spacing w:line="360" w:lineRule="auto"/>
              <w:ind w:firstLine="480" w:firstLineChars="200"/>
              <w:rPr>
                <w:color w:val="auto"/>
                <w:sz w:val="24"/>
                <w:szCs w:val="24"/>
                <w:highlight w:val="none"/>
              </w:rPr>
            </w:pPr>
            <w:r>
              <w:rPr>
                <w:rFonts w:hint="eastAsia"/>
                <w:color w:val="auto"/>
                <w:sz w:val="24"/>
                <w:szCs w:val="24"/>
                <w:highlight w:val="none"/>
              </w:rPr>
              <w:t>本项目总投资</w:t>
            </w:r>
            <w:r>
              <w:rPr>
                <w:rFonts w:hint="eastAsia"/>
                <w:color w:val="auto"/>
                <w:sz w:val="24"/>
                <w:szCs w:val="24"/>
                <w:highlight w:val="none"/>
                <w:lang w:val="en-US" w:eastAsia="zh-CN"/>
              </w:rPr>
              <w:t>100</w:t>
            </w:r>
            <w:r>
              <w:rPr>
                <w:rFonts w:hint="eastAsia"/>
                <w:color w:val="auto"/>
                <w:sz w:val="24"/>
                <w:szCs w:val="24"/>
                <w:highlight w:val="none"/>
              </w:rPr>
              <w:t>万元，环保投资约</w:t>
            </w:r>
            <w:r>
              <w:rPr>
                <w:rFonts w:hint="eastAsia" w:cs="Times New Roman"/>
                <w:color w:val="auto"/>
                <w:sz w:val="24"/>
                <w:szCs w:val="24"/>
                <w:highlight w:val="none"/>
                <w:lang w:val="en-US" w:eastAsia="zh-CN"/>
              </w:rPr>
              <w:t>41.7</w:t>
            </w:r>
            <w:r>
              <w:rPr>
                <w:rFonts w:hint="eastAsia"/>
                <w:color w:val="auto"/>
                <w:sz w:val="24"/>
                <w:szCs w:val="24"/>
                <w:highlight w:val="none"/>
              </w:rPr>
              <w:t>万元，占总投资的</w:t>
            </w:r>
            <w:r>
              <w:rPr>
                <w:rFonts w:hint="eastAsia"/>
                <w:color w:val="auto"/>
                <w:sz w:val="24"/>
                <w:szCs w:val="24"/>
                <w:highlight w:val="none"/>
                <w:lang w:val="en-US" w:eastAsia="zh-CN"/>
              </w:rPr>
              <w:t>41.7</w:t>
            </w:r>
            <w:r>
              <w:rPr>
                <w:rFonts w:hint="eastAsia"/>
                <w:color w:val="auto"/>
                <w:sz w:val="24"/>
                <w:szCs w:val="24"/>
                <w:highlight w:val="none"/>
              </w:rPr>
              <w:t>%，主要环保措施及投资估算见表</w:t>
            </w:r>
            <w:r>
              <w:rPr>
                <w:color w:val="auto"/>
                <w:sz w:val="24"/>
                <w:szCs w:val="24"/>
                <w:highlight w:val="none"/>
              </w:rPr>
              <w:t>4</w:t>
            </w:r>
            <w:r>
              <w:rPr>
                <w:rFonts w:hint="eastAsia"/>
                <w:color w:val="auto"/>
                <w:sz w:val="24"/>
                <w:szCs w:val="24"/>
                <w:highlight w:val="none"/>
              </w:rPr>
              <w:t>-</w:t>
            </w:r>
            <w:r>
              <w:rPr>
                <w:rFonts w:hint="eastAsia"/>
                <w:color w:val="auto"/>
                <w:sz w:val="24"/>
                <w:szCs w:val="24"/>
                <w:highlight w:val="none"/>
                <w:lang w:val="en-US" w:eastAsia="zh-CN"/>
              </w:rPr>
              <w:t>23</w:t>
            </w:r>
            <w:r>
              <w:rPr>
                <w:rFonts w:hint="eastAsia"/>
                <w:color w:val="auto"/>
                <w:sz w:val="24"/>
                <w:szCs w:val="24"/>
                <w:highlight w:val="none"/>
              </w:rPr>
              <w:t>。</w:t>
            </w:r>
          </w:p>
          <w:p>
            <w:pPr>
              <w:spacing w:line="360" w:lineRule="auto"/>
              <w:jc w:val="center"/>
              <w:rPr>
                <w:rFonts w:hint="eastAsia"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表4-</w:t>
            </w:r>
            <w:r>
              <w:rPr>
                <w:rFonts w:hint="eastAsia"/>
                <w:b/>
                <w:bCs/>
                <w:color w:val="auto"/>
                <w:sz w:val="24"/>
                <w:szCs w:val="24"/>
                <w:highlight w:val="none"/>
                <w:lang w:val="en-US" w:eastAsia="zh-CN"/>
              </w:rPr>
              <w:t>23</w:t>
            </w:r>
            <w:r>
              <w:rPr>
                <w:rFonts w:hint="eastAsia" w:ascii="Times New Roman" w:hAnsi="Times New Roman" w:eastAsia="宋体"/>
                <w:b/>
                <w:bCs/>
                <w:color w:val="auto"/>
                <w:sz w:val="24"/>
                <w:szCs w:val="24"/>
                <w:highlight w:val="none"/>
              </w:rPr>
              <w:t xml:space="preserve">  环保投资估算一览表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981"/>
              <w:gridCol w:w="5251"/>
              <w:gridCol w:w="12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3622" w:type="pct"/>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内容</w:t>
                  </w:r>
                </w:p>
              </w:tc>
              <w:tc>
                <w:tcPr>
                  <w:tcW w:w="74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投资</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万元</w:t>
                  </w:r>
                  <w:r>
                    <w:rPr>
                      <w:rFonts w:hint="default" w:ascii="Times New Roman" w:hAnsi="Times New Roman" w:cs="Times New Roman"/>
                      <w:b/>
                      <w:bCs/>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废气治理</w:t>
                  </w:r>
                </w:p>
              </w:tc>
              <w:tc>
                <w:tcPr>
                  <w:tcW w:w="570"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施工期</w:t>
                  </w:r>
                </w:p>
              </w:tc>
              <w:tc>
                <w:tcPr>
                  <w:tcW w:w="3051" w:type="pct"/>
                  <w:tcBorders>
                    <w:tl2br w:val="nil"/>
                    <w:tr2bl w:val="nil"/>
                  </w:tcBorders>
                  <w:noWrap w:val="0"/>
                  <w:vAlign w:val="center"/>
                </w:tcPr>
                <w:p>
                  <w:pPr>
                    <w:pStyle w:val="46"/>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封闭施工，主要道路硬化，洒水抑尘，设置喷淋、冲洗等降尘措施</w:t>
                  </w:r>
                </w:p>
              </w:tc>
              <w:tc>
                <w:tcPr>
                  <w:tcW w:w="74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r>
                    <w:rPr>
                      <w:rFonts w:hint="default" w:ascii="Times New Roman" w:hAnsi="Times New Roman" w:cs="Times New Roman"/>
                      <w:b w:val="0"/>
                      <w:bCs w:val="0"/>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5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val="0"/>
                      <w:bCs w:val="0"/>
                      <w:color w:val="auto"/>
                      <w:sz w:val="21"/>
                      <w:szCs w:val="21"/>
                      <w:highlight w:val="none"/>
                      <w:lang w:val="en-US" w:eastAsia="zh-CN"/>
                    </w:rPr>
                  </w:pPr>
                </w:p>
              </w:tc>
              <w:tc>
                <w:tcPr>
                  <w:tcW w:w="3051" w:type="pct"/>
                  <w:tcBorders>
                    <w:tl2br w:val="nil"/>
                    <w:tr2bl w:val="nil"/>
                  </w:tcBorders>
                  <w:noWrap w:val="0"/>
                  <w:vAlign w:val="center"/>
                </w:tcPr>
                <w:p>
                  <w:pPr>
                    <w:pStyle w:val="46"/>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禁止使用高排放非道路移动机械，制定施工现场非道路移动机械管理制度</w:t>
                  </w:r>
                </w:p>
              </w:tc>
              <w:tc>
                <w:tcPr>
                  <w:tcW w:w="74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570"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营运期</w:t>
                  </w:r>
                </w:p>
              </w:tc>
              <w:tc>
                <w:tcPr>
                  <w:tcW w:w="305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kern w:val="0"/>
                      <w:sz w:val="21"/>
                      <w:szCs w:val="21"/>
                      <w:highlight w:val="none"/>
                      <w:lang w:val="en-US" w:eastAsia="zh-CN"/>
                    </w:rPr>
                    <w:t>石料</w:t>
                  </w:r>
                  <w:r>
                    <w:rPr>
                      <w:rFonts w:hint="default" w:ascii="Times New Roman" w:hAnsi="Times New Roman" w:eastAsia="宋体" w:cs="Times New Roman"/>
                      <w:bCs/>
                      <w:color w:val="auto"/>
                      <w:kern w:val="0"/>
                      <w:sz w:val="21"/>
                      <w:szCs w:val="21"/>
                      <w:highlight w:val="none"/>
                      <w:lang w:val="en-US" w:eastAsia="zh-CN"/>
                    </w:rPr>
                    <w:t>加工粉尘</w:t>
                  </w:r>
                  <w:r>
                    <w:rPr>
                      <w:rFonts w:hint="eastAsia" w:ascii="Times New Roman" w:hAnsi="Times New Roman" w:eastAsia="宋体" w:cs="Times New Roman"/>
                      <w:bCs/>
                      <w:color w:val="auto"/>
                      <w:kern w:val="0"/>
                      <w:sz w:val="21"/>
                      <w:szCs w:val="21"/>
                      <w:highlight w:val="none"/>
                      <w:lang w:val="en-US" w:eastAsia="zh-CN"/>
                    </w:rPr>
                    <w:t>：</w:t>
                  </w:r>
                  <w:r>
                    <w:rPr>
                      <w:rFonts w:hint="eastAsia" w:cs="Times New Roman"/>
                      <w:bCs/>
                      <w:color w:val="auto"/>
                      <w:kern w:val="0"/>
                      <w:sz w:val="21"/>
                      <w:szCs w:val="21"/>
                      <w:highlight w:val="none"/>
                      <w:lang w:val="en-US" w:eastAsia="zh-CN"/>
                    </w:rPr>
                    <w:t>石料</w:t>
                  </w:r>
                  <w:r>
                    <w:rPr>
                      <w:rFonts w:hint="default" w:ascii="Times New Roman" w:hAnsi="Times New Roman" w:eastAsia="宋体" w:cs="Times New Roman"/>
                      <w:color w:val="auto"/>
                      <w:sz w:val="21"/>
                      <w:szCs w:val="21"/>
                      <w:highlight w:val="none"/>
                      <w:lang w:eastAsia="zh-CN"/>
                    </w:rPr>
                    <w:t>加工生产线</w:t>
                  </w:r>
                  <w:r>
                    <w:rPr>
                      <w:rFonts w:hint="default" w:ascii="Times New Roman" w:hAnsi="Times New Roman" w:eastAsia="宋体" w:cs="Times New Roman"/>
                      <w:color w:val="auto"/>
                      <w:sz w:val="21"/>
                      <w:szCs w:val="21"/>
                      <w:highlight w:val="none"/>
                      <w:lang w:val="en-US" w:eastAsia="zh-CN"/>
                    </w:rPr>
                    <w:t>设置于加工</w:t>
                  </w:r>
                  <w:r>
                    <w:rPr>
                      <w:rFonts w:hint="eastAsia" w:cs="Times New Roman"/>
                      <w:color w:val="auto"/>
                      <w:sz w:val="21"/>
                      <w:szCs w:val="21"/>
                      <w:highlight w:val="none"/>
                      <w:lang w:val="en-US" w:eastAsia="zh-CN"/>
                    </w:rPr>
                    <w:t>厂房</w:t>
                  </w:r>
                  <w:r>
                    <w:rPr>
                      <w:rFonts w:hint="default" w:ascii="Times New Roman" w:hAnsi="Times New Roman" w:eastAsia="宋体" w:cs="Times New Roman"/>
                      <w:color w:val="auto"/>
                      <w:sz w:val="21"/>
                      <w:szCs w:val="21"/>
                      <w:highlight w:val="none"/>
                    </w:rPr>
                    <w:t>内</w:t>
                  </w:r>
                  <w:r>
                    <w:rPr>
                      <w:rFonts w:hint="eastAsia" w:cs="Times New Roman"/>
                      <w:color w:val="auto"/>
                      <w:sz w:val="21"/>
                      <w:szCs w:val="21"/>
                      <w:highlight w:val="none"/>
                      <w:lang w:eastAsia="zh-CN"/>
                    </w:rPr>
                    <w:t>（</w:t>
                  </w:r>
                  <w:r>
                    <w:rPr>
                      <w:rFonts w:hint="eastAsia" w:cs="Times New Roman"/>
                      <w:color w:val="0000FF"/>
                      <w:sz w:val="21"/>
                      <w:szCs w:val="21"/>
                      <w:highlight w:val="none"/>
                      <w:lang w:val="en-US" w:eastAsia="zh-CN"/>
                    </w:rPr>
                    <w:t>三面围挡+顶部加盖</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切割、切边及雕刻工序均设喷水设施，湿法作业</w:t>
                  </w:r>
                </w:p>
              </w:tc>
              <w:tc>
                <w:tcPr>
                  <w:tcW w:w="74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5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305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Cs/>
                      <w:color w:val="auto"/>
                      <w:sz w:val="21"/>
                      <w:szCs w:val="21"/>
                      <w:highlight w:val="none"/>
                    </w:rPr>
                    <w:t>车辆运输起尘</w:t>
                  </w:r>
                  <w:r>
                    <w:rPr>
                      <w:rFonts w:hint="eastAsia"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厂区路面硬化，洒水降尘，车辆加盖篷布密闭运输，禁止超速、超载行驶</w:t>
                  </w:r>
                </w:p>
              </w:tc>
              <w:tc>
                <w:tcPr>
                  <w:tcW w:w="74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5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305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bidi="ar"/>
                    </w:rPr>
                    <w:t>食堂油烟：</w:t>
                  </w:r>
                  <w:r>
                    <w:rPr>
                      <w:rFonts w:hint="default" w:ascii="Times New Roman" w:hAnsi="Times New Roman" w:eastAsia="宋体" w:cs="Times New Roman"/>
                      <w:color w:val="auto"/>
                      <w:sz w:val="21"/>
                      <w:szCs w:val="21"/>
                      <w:highlight w:val="none"/>
                      <w:lang w:val="en-US" w:eastAsia="zh-CN" w:bidi="ar"/>
                    </w:rPr>
                    <w:t>安</w:t>
                  </w:r>
                  <w:r>
                    <w:rPr>
                      <w:rFonts w:hint="default" w:ascii="Times New Roman" w:hAnsi="Times New Roman" w:eastAsia="宋体" w:cs="Times New Roman"/>
                      <w:color w:val="auto"/>
                      <w:sz w:val="21"/>
                      <w:szCs w:val="21"/>
                      <w:highlight w:val="none"/>
                      <w:lang w:bidi="ar"/>
                    </w:rPr>
                    <w:t>装1</w:t>
                  </w:r>
                  <w:r>
                    <w:rPr>
                      <w:rFonts w:hint="eastAsia" w:cs="Times New Roman"/>
                      <w:color w:val="auto"/>
                      <w:sz w:val="21"/>
                      <w:szCs w:val="21"/>
                      <w:highlight w:val="none"/>
                      <w:lang w:val="en-US" w:eastAsia="zh-CN" w:bidi="ar"/>
                    </w:rPr>
                    <w:t>台</w:t>
                  </w:r>
                  <w:r>
                    <w:rPr>
                      <w:rFonts w:hint="default" w:ascii="Times New Roman" w:hAnsi="Times New Roman" w:cs="Times New Roman"/>
                      <w:color w:val="auto"/>
                      <w:sz w:val="21"/>
                      <w:szCs w:val="21"/>
                      <w:highlight w:val="none"/>
                      <w:lang w:bidi="ar"/>
                    </w:rPr>
                    <w:t>自带油烟净化功能的</w:t>
                  </w:r>
                  <w:r>
                    <w:rPr>
                      <w:rFonts w:hint="eastAsia" w:cs="Times New Roman"/>
                      <w:color w:val="auto"/>
                      <w:sz w:val="21"/>
                      <w:szCs w:val="21"/>
                      <w:highlight w:val="none"/>
                      <w:lang w:val="en-US" w:eastAsia="zh-CN" w:bidi="ar"/>
                    </w:rPr>
                    <w:t>抽油烟机</w:t>
                  </w:r>
                  <w:r>
                    <w:rPr>
                      <w:rFonts w:hint="default" w:ascii="Times New Roman" w:hAnsi="Times New Roman" w:eastAsia="宋体" w:cs="Times New Roman"/>
                      <w:bCs/>
                      <w:color w:val="auto"/>
                      <w:sz w:val="21"/>
                      <w:szCs w:val="21"/>
                      <w:highlight w:val="none"/>
                    </w:rPr>
                    <w:t>处理食堂油烟</w:t>
                  </w:r>
                </w:p>
              </w:tc>
              <w:tc>
                <w:tcPr>
                  <w:tcW w:w="74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废水治理</w:t>
                  </w:r>
                </w:p>
              </w:tc>
              <w:tc>
                <w:tcPr>
                  <w:tcW w:w="570"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施工期</w:t>
                  </w:r>
                </w:p>
              </w:tc>
              <w:tc>
                <w:tcPr>
                  <w:tcW w:w="305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生活污水经</w:t>
                  </w:r>
                  <w:r>
                    <w:rPr>
                      <w:rFonts w:hint="eastAsia" w:cs="Times New Roman"/>
                      <w:color w:val="auto"/>
                      <w:sz w:val="21"/>
                      <w:szCs w:val="21"/>
                      <w:highlight w:val="none"/>
                      <w:lang w:val="en-US" w:eastAsia="zh-CN"/>
                    </w:rPr>
                    <w:t>旱厕</w:t>
                  </w:r>
                  <w:r>
                    <w:rPr>
                      <w:rFonts w:hint="default" w:ascii="Times New Roman" w:hAnsi="Times New Roman" w:cs="Times New Roman"/>
                      <w:color w:val="auto"/>
                      <w:sz w:val="21"/>
                      <w:szCs w:val="21"/>
                      <w:highlight w:val="none"/>
                      <w:lang w:val="en-US" w:eastAsia="zh-CN"/>
                    </w:rPr>
                    <w:t>处理后农肥</w:t>
                  </w:r>
                </w:p>
              </w:tc>
              <w:tc>
                <w:tcPr>
                  <w:tcW w:w="74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5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3051"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设沉淀池设施及配套排水沟</w:t>
                  </w:r>
                </w:p>
              </w:tc>
              <w:tc>
                <w:tcPr>
                  <w:tcW w:w="74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570"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营运期</w:t>
                  </w:r>
                </w:p>
              </w:tc>
              <w:tc>
                <w:tcPr>
                  <w:tcW w:w="3051" w:type="pct"/>
                  <w:tcBorders>
                    <w:tl2br w:val="nil"/>
                    <w:tr2bl w:val="nil"/>
                  </w:tcBorders>
                  <w:noWrap w:val="0"/>
                  <w:vAlign w:val="center"/>
                </w:tcPr>
                <w:p>
                  <w:pPr>
                    <w:pStyle w:val="46"/>
                    <w:spacing w:line="240" w:lineRule="auto"/>
                    <w:jc w:val="left"/>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cs="Times New Roman"/>
                      <w:color w:val="0000FF"/>
                      <w:kern w:val="2"/>
                      <w:sz w:val="21"/>
                      <w:szCs w:val="21"/>
                      <w:highlight w:val="none"/>
                      <w:lang w:val="en-US" w:eastAsia="zh-CN" w:bidi="ar-SA"/>
                    </w:rPr>
                    <w:t>厂区内修建有一个三级沉淀池（</w:t>
                  </w:r>
                  <w:r>
                    <w:rPr>
                      <w:rFonts w:hint="default" w:ascii="Times New Roman" w:hAnsi="Times New Roman" w:cs="Times New Roman"/>
                      <w:color w:val="0000FF"/>
                      <w:kern w:val="24"/>
                      <w:sz w:val="21"/>
                      <w:szCs w:val="21"/>
                      <w:highlight w:val="none"/>
                      <w:lang w:val="en-US" w:eastAsia="zh-CN"/>
                    </w:rPr>
                    <w:t>784m</w:t>
                  </w:r>
                  <w:r>
                    <w:rPr>
                      <w:rFonts w:hint="default" w:ascii="Times New Roman" w:hAnsi="Times New Roman" w:cs="Times New Roman"/>
                      <w:color w:val="0000FF"/>
                      <w:kern w:val="24"/>
                      <w:sz w:val="21"/>
                      <w:szCs w:val="21"/>
                      <w:highlight w:val="none"/>
                      <w:vertAlign w:val="superscript"/>
                      <w:lang w:val="en-US" w:eastAsia="zh-CN"/>
                    </w:rPr>
                    <w:t>3</w:t>
                  </w:r>
                  <w:r>
                    <w:rPr>
                      <w:rFonts w:hint="default" w:ascii="Times New Roman" w:hAnsi="Times New Roman" w:cs="Times New Roman"/>
                      <w:color w:val="0000FF"/>
                      <w:kern w:val="2"/>
                      <w:sz w:val="21"/>
                      <w:szCs w:val="21"/>
                      <w:highlight w:val="none"/>
                      <w:lang w:val="en-US" w:eastAsia="zh-CN" w:bidi="ar-SA"/>
                    </w:rPr>
                    <w:t>），长×宽×高=28</w:t>
                  </w:r>
                  <w:r>
                    <w:rPr>
                      <w:rFonts w:hint="eastAsia" w:ascii="Times New Roman" w:hAnsi="Times New Roman" w:cs="Times New Roman"/>
                      <w:color w:val="0000FF"/>
                      <w:kern w:val="2"/>
                      <w:sz w:val="21"/>
                      <w:szCs w:val="21"/>
                      <w:highlight w:val="none"/>
                      <w:lang w:val="en-US" w:eastAsia="zh-CN" w:bidi="ar-SA"/>
                    </w:rPr>
                    <w:t>m</w:t>
                  </w:r>
                  <w:r>
                    <w:rPr>
                      <w:rFonts w:hint="default" w:ascii="Times New Roman" w:hAnsi="Times New Roman" w:cs="Times New Roman"/>
                      <w:color w:val="0000FF"/>
                      <w:kern w:val="2"/>
                      <w:sz w:val="21"/>
                      <w:szCs w:val="21"/>
                      <w:highlight w:val="none"/>
                      <w:lang w:val="en-US" w:eastAsia="zh-CN" w:bidi="ar-SA"/>
                    </w:rPr>
                    <w:t>×8</w:t>
                  </w:r>
                  <w:r>
                    <w:rPr>
                      <w:rFonts w:hint="eastAsia" w:ascii="Times New Roman" w:hAnsi="Times New Roman" w:cs="Times New Roman"/>
                      <w:color w:val="0000FF"/>
                      <w:kern w:val="2"/>
                      <w:sz w:val="21"/>
                      <w:szCs w:val="21"/>
                      <w:highlight w:val="none"/>
                      <w:lang w:val="en-US" w:eastAsia="zh-CN" w:bidi="ar-SA"/>
                    </w:rPr>
                    <w:t>m</w:t>
                  </w:r>
                  <w:r>
                    <w:rPr>
                      <w:rFonts w:hint="default" w:ascii="Times New Roman" w:hAnsi="Times New Roman" w:cs="Times New Roman"/>
                      <w:color w:val="0000FF"/>
                      <w:kern w:val="2"/>
                      <w:sz w:val="21"/>
                      <w:szCs w:val="21"/>
                      <w:highlight w:val="none"/>
                      <w:lang w:val="en-US" w:eastAsia="zh-CN" w:bidi="ar-SA"/>
                    </w:rPr>
                    <w:t>×3.5</w:t>
                  </w:r>
                  <w:r>
                    <w:rPr>
                      <w:rFonts w:hint="eastAsia" w:ascii="Times New Roman" w:hAnsi="Times New Roman" w:cs="Times New Roman"/>
                      <w:color w:val="0000FF"/>
                      <w:kern w:val="2"/>
                      <w:sz w:val="21"/>
                      <w:szCs w:val="21"/>
                      <w:highlight w:val="none"/>
                      <w:lang w:val="en-US" w:eastAsia="zh-CN" w:bidi="ar-SA"/>
                    </w:rPr>
                    <w:t>m</w:t>
                  </w:r>
                </w:p>
              </w:tc>
              <w:tc>
                <w:tcPr>
                  <w:tcW w:w="74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5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3051" w:type="pct"/>
                  <w:tcBorders>
                    <w:tl2br w:val="nil"/>
                    <w:tr2bl w:val="nil"/>
                  </w:tcBorders>
                  <w:noWrap w:val="0"/>
                  <w:vAlign w:val="center"/>
                </w:tcPr>
                <w:p>
                  <w:pPr>
                    <w:pStyle w:val="46"/>
                    <w:spacing w:line="240" w:lineRule="auto"/>
                    <w:jc w:val="left"/>
                    <w:rPr>
                      <w:rFonts w:hint="default" w:ascii="Times New Roman" w:hAnsi="Times New Roman" w:cs="Times New Roman"/>
                      <w:snapToGrid w:val="0"/>
                      <w:color w:val="0000FF"/>
                      <w:kern w:val="0"/>
                      <w:sz w:val="21"/>
                      <w:szCs w:val="21"/>
                      <w:highlight w:val="none"/>
                      <w:lang w:val="en-US" w:eastAsia="zh-CN" w:bidi="ar-SA"/>
                    </w:rPr>
                  </w:pPr>
                  <w:r>
                    <w:rPr>
                      <w:rFonts w:hint="eastAsia" w:cs="Times New Roman"/>
                      <w:color w:val="0000FF"/>
                      <w:kern w:val="2"/>
                      <w:sz w:val="21"/>
                      <w:szCs w:val="21"/>
                      <w:highlight w:val="none"/>
                      <w:lang w:val="en-US" w:eastAsia="zh-CN" w:bidi="ar-SA"/>
                    </w:rPr>
                    <w:t>螺旋绞砂机</w:t>
                  </w:r>
                </w:p>
              </w:tc>
              <w:tc>
                <w:tcPr>
                  <w:tcW w:w="74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p>
                  <w:pPr>
                    <w:pStyle w:val="2"/>
                    <w:rPr>
                      <w:rFonts w:hint="default"/>
                    </w:rPr>
                  </w:pPr>
                </w:p>
              </w:tc>
              <w:tc>
                <w:tcPr>
                  <w:tcW w:w="5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3051" w:type="pct"/>
                  <w:tcBorders>
                    <w:tl2br w:val="nil"/>
                    <w:tr2bl w:val="nil"/>
                  </w:tcBorders>
                  <w:noWrap w:val="0"/>
                  <w:vAlign w:val="center"/>
                </w:tcPr>
                <w:p>
                  <w:pPr>
                    <w:pStyle w:val="46"/>
                    <w:spacing w:line="240" w:lineRule="auto"/>
                    <w:jc w:val="left"/>
                    <w:rPr>
                      <w:rFonts w:hint="default"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板框压滤机，且上方设置防雨顶棚</w:t>
                  </w:r>
                </w:p>
              </w:tc>
              <w:tc>
                <w:tcPr>
                  <w:tcW w:w="74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5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3051" w:type="pct"/>
                  <w:tcBorders>
                    <w:tl2br w:val="nil"/>
                    <w:tr2bl w:val="nil"/>
                  </w:tcBorders>
                  <w:noWrap w:val="0"/>
                  <w:vAlign w:val="center"/>
                </w:tcPr>
                <w:p>
                  <w:pPr>
                    <w:pStyle w:val="46"/>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生活污水：</w:t>
                  </w:r>
                  <w:r>
                    <w:rPr>
                      <w:rFonts w:hint="default" w:ascii="Times New Roman" w:hAnsi="Times New Roman" w:eastAsia="宋体" w:cs="Times New Roman"/>
                      <w:color w:val="auto"/>
                      <w:sz w:val="21"/>
                      <w:szCs w:val="21"/>
                      <w:highlight w:val="none"/>
                    </w:rPr>
                    <w:t>设1个</w:t>
                  </w:r>
                  <w:r>
                    <w:rPr>
                      <w:rFonts w:hint="eastAsia" w:eastAsia="宋体" w:cs="Times New Roman"/>
                      <w:color w:val="auto"/>
                      <w:sz w:val="21"/>
                      <w:szCs w:val="21"/>
                      <w:highlight w:val="none"/>
                      <w:lang w:val="en-US" w:eastAsia="zh-CN"/>
                    </w:rPr>
                    <w:t>旱厕</w:t>
                  </w:r>
                  <w:r>
                    <w:rPr>
                      <w:rFonts w:hint="default" w:ascii="Times New Roman" w:hAnsi="Times New Roman" w:eastAsia="宋体" w:cs="Times New Roman"/>
                      <w:color w:val="auto"/>
                      <w:sz w:val="21"/>
                      <w:szCs w:val="21"/>
                      <w:highlight w:val="none"/>
                    </w:rPr>
                    <w:t>（容积</w:t>
                  </w:r>
                  <w:r>
                    <w:rPr>
                      <w:rFonts w:hint="eastAsia"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eastAsia="zh-CN"/>
                    </w:rPr>
                    <w:t>，</w:t>
                  </w:r>
                  <w:r>
                    <w:rPr>
                      <w:rFonts w:hint="eastAsia" w:eastAsia="宋体" w:cs="Times New Roman"/>
                      <w:color w:val="auto"/>
                      <w:sz w:val="21"/>
                      <w:szCs w:val="21"/>
                      <w:highlight w:val="none"/>
                      <w:lang w:val="en-US" w:eastAsia="zh-CN"/>
                    </w:rPr>
                    <w:t>食堂废水经</w:t>
                  </w:r>
                  <w:r>
                    <w:rPr>
                      <w:rFonts w:hint="eastAsia" w:cs="Times New Roman"/>
                      <w:color w:val="auto"/>
                      <w:sz w:val="21"/>
                      <w:szCs w:val="21"/>
                      <w:highlight w:val="none"/>
                      <w:lang w:val="en-US" w:eastAsia="zh-CN"/>
                    </w:rPr>
                    <w:t>隔油池</w:t>
                  </w:r>
                  <w:r>
                    <w:rPr>
                      <w:rFonts w:hint="eastAsia" w:eastAsia="宋体" w:cs="Times New Roman"/>
                      <w:color w:val="auto"/>
                      <w:sz w:val="21"/>
                      <w:szCs w:val="21"/>
                      <w:highlight w:val="none"/>
                      <w:lang w:val="en-US" w:eastAsia="zh-CN"/>
                    </w:rPr>
                    <w:t>除油后同生活污水一同进入旱厕，用于周边农肥</w:t>
                  </w:r>
                </w:p>
              </w:tc>
              <w:tc>
                <w:tcPr>
                  <w:tcW w:w="74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噪声治理</w:t>
                  </w:r>
                </w:p>
              </w:tc>
              <w:tc>
                <w:tcPr>
                  <w:tcW w:w="57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施工期</w:t>
                  </w:r>
                </w:p>
              </w:tc>
              <w:tc>
                <w:tcPr>
                  <w:tcW w:w="3051" w:type="pct"/>
                  <w:tcBorders>
                    <w:tl2br w:val="nil"/>
                    <w:tr2bl w:val="nil"/>
                  </w:tcBorders>
                  <w:noWrap w:val="0"/>
                  <w:vAlign w:val="center"/>
                </w:tcPr>
                <w:p>
                  <w:pPr>
                    <w:pStyle w:val="46"/>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选低噪声设备，合理安排施工时间，文明施工，合理布置施工平面，车辆限速、禁鸣等</w:t>
                  </w:r>
                </w:p>
              </w:tc>
              <w:tc>
                <w:tcPr>
                  <w:tcW w:w="74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570"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营运期</w:t>
                  </w:r>
                </w:p>
              </w:tc>
              <w:tc>
                <w:tcPr>
                  <w:tcW w:w="305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Cs w:val="21"/>
                      <w:highlight w:val="none"/>
                    </w:rPr>
                    <w:t>选用低噪声设备，合理布局、采取减震措施</w:t>
                  </w:r>
                </w:p>
              </w:tc>
              <w:tc>
                <w:tcPr>
                  <w:tcW w:w="74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5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305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加强车辆进出管理，设置减速、禁鸣等提示标志</w:t>
                  </w:r>
                </w:p>
              </w:tc>
              <w:tc>
                <w:tcPr>
                  <w:tcW w:w="74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57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施工期</w:t>
                  </w:r>
                </w:p>
              </w:tc>
              <w:tc>
                <w:tcPr>
                  <w:tcW w:w="3051"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土方回填，建筑废物分类处置，生活垃圾日产日清</w:t>
                  </w:r>
                </w:p>
              </w:tc>
              <w:tc>
                <w:tcPr>
                  <w:tcW w:w="74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570"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营运期</w:t>
                  </w:r>
                </w:p>
              </w:tc>
              <w:tc>
                <w:tcPr>
                  <w:tcW w:w="305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沉渣</w:t>
                  </w:r>
                  <w:r>
                    <w:rPr>
                      <w:rFonts w:hint="default" w:ascii="Times New Roman" w:hAnsi="Times New Roman" w:cs="Times New Roman"/>
                      <w:color w:val="auto"/>
                      <w:sz w:val="21"/>
                      <w:szCs w:val="21"/>
                      <w:highlight w:val="none"/>
                    </w:rPr>
                    <w:t>经</w:t>
                  </w:r>
                  <w:r>
                    <w:rPr>
                      <w:rFonts w:hint="default" w:ascii="Times New Roman" w:hAnsi="Times New Roman" w:cs="Times New Roman"/>
                      <w:color w:val="auto"/>
                      <w:sz w:val="21"/>
                      <w:szCs w:val="21"/>
                      <w:highlight w:val="none"/>
                      <w:lang w:val="en-US" w:eastAsia="zh-CN"/>
                    </w:rPr>
                    <w:t>收集后外售制砖</w:t>
                  </w:r>
                </w:p>
              </w:tc>
              <w:tc>
                <w:tcPr>
                  <w:tcW w:w="74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5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305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生活垃圾经袋装收集后定期交由环卫部门统一清运</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0000FF"/>
                      <w:sz w:val="21"/>
                      <w:szCs w:val="21"/>
                      <w:highlight w:val="none"/>
                    </w:rPr>
                    <w:t>经</w:t>
                  </w:r>
                  <w:r>
                    <w:rPr>
                      <w:rFonts w:hint="default" w:ascii="Times New Roman" w:hAnsi="Times New Roman" w:cs="Times New Roman"/>
                      <w:color w:val="0000FF"/>
                      <w:sz w:val="21"/>
                      <w:szCs w:val="21"/>
                      <w:highlight w:val="none"/>
                      <w:lang w:val="en-US" w:eastAsia="zh-CN"/>
                    </w:rPr>
                    <w:t>压滤机压滤后</w:t>
                  </w:r>
                  <w:r>
                    <w:rPr>
                      <w:rFonts w:hint="eastAsia" w:cs="Times New Roman"/>
                      <w:color w:val="0000FF"/>
                      <w:sz w:val="21"/>
                      <w:szCs w:val="21"/>
                      <w:highlight w:val="none"/>
                      <w:lang w:val="en-US" w:eastAsia="zh-CN"/>
                    </w:rPr>
                    <w:t>的泥饼</w:t>
                  </w:r>
                  <w:r>
                    <w:rPr>
                      <w:rFonts w:hint="eastAsia"/>
                      <w:color w:val="0000FF"/>
                      <w:lang w:val="en-US" w:eastAsia="zh-CN"/>
                    </w:rPr>
                    <w:t>直接掉入下方车中运走</w:t>
                  </w:r>
                  <w:r>
                    <w:rPr>
                      <w:rFonts w:hint="eastAsia" w:cs="Times New Roman"/>
                      <w:color w:val="0000FF"/>
                      <w:sz w:val="21"/>
                      <w:szCs w:val="21"/>
                      <w:highlight w:val="none"/>
                      <w:lang w:val="en-US" w:eastAsia="zh-CN"/>
                    </w:rPr>
                    <w:t>，</w:t>
                  </w:r>
                  <w:r>
                    <w:rPr>
                      <w:rFonts w:hint="default" w:ascii="Times New Roman" w:hAnsi="Times New Roman" w:cs="Times New Roman"/>
                      <w:color w:val="auto"/>
                      <w:sz w:val="21"/>
                      <w:szCs w:val="21"/>
                      <w:highlight w:val="none"/>
                      <w:lang w:val="en-US" w:eastAsia="zh-CN"/>
                    </w:rPr>
                    <w:t>外售制砖；边角石料送至砂厂制砂</w:t>
                  </w:r>
                  <w:r>
                    <w:rPr>
                      <w:rFonts w:hint="eastAsia" w:cs="Times New Roman"/>
                      <w:color w:val="auto"/>
                      <w:sz w:val="21"/>
                      <w:szCs w:val="21"/>
                      <w:highlight w:val="none"/>
                      <w:lang w:val="en-US" w:eastAsia="zh-CN"/>
                    </w:rPr>
                    <w:t>；</w:t>
                  </w:r>
                  <w:r>
                    <w:rPr>
                      <w:rFonts w:hint="default" w:ascii="Times New Roman" w:hAnsi="Times New Roman" w:cs="Times New Roman"/>
                      <w:color w:val="0000FF"/>
                      <w:sz w:val="21"/>
                      <w:szCs w:val="21"/>
                      <w:highlight w:val="none"/>
                      <w:lang w:val="en-US" w:eastAsia="zh-CN"/>
                    </w:rPr>
                    <w:t>螺旋绞砂机</w:t>
                  </w:r>
                  <w:r>
                    <w:rPr>
                      <w:rFonts w:hint="eastAsia" w:cs="Times New Roman"/>
                      <w:color w:val="0000FF"/>
                      <w:sz w:val="21"/>
                      <w:szCs w:val="21"/>
                      <w:highlight w:val="none"/>
                      <w:lang w:val="en-US" w:eastAsia="zh-CN"/>
                    </w:rPr>
                    <w:t>选出的砂外售</w:t>
                  </w:r>
                  <w:r>
                    <w:rPr>
                      <w:rFonts w:hint="default" w:ascii="Times New Roman" w:hAnsi="Times New Roman" w:eastAsia="宋体" w:cs="Times New Roman"/>
                      <w:color w:val="auto"/>
                      <w:kern w:val="2"/>
                      <w:sz w:val="21"/>
                      <w:szCs w:val="21"/>
                      <w:highlight w:val="none"/>
                      <w:lang w:val="en-US" w:eastAsia="zh-CN" w:bidi="ar-SA"/>
                    </w:rPr>
                    <w:t>。</w:t>
                  </w:r>
                </w:p>
              </w:tc>
              <w:tc>
                <w:tcPr>
                  <w:tcW w:w="74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5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p>
              </w:tc>
              <w:tc>
                <w:tcPr>
                  <w:tcW w:w="305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0000FF"/>
                      <w:sz w:val="21"/>
                      <w:szCs w:val="21"/>
                      <w:highlight w:val="none"/>
                      <w:lang w:val="en-US" w:eastAsia="zh-CN"/>
                    </w:rPr>
                    <w:t>危废暂存间</w:t>
                  </w:r>
                  <w:r>
                    <w:rPr>
                      <w:rFonts w:hint="eastAsia" w:cs="Times New Roman"/>
                      <w:color w:val="0000FF"/>
                      <w:sz w:val="21"/>
                      <w:szCs w:val="21"/>
                      <w:highlight w:val="none"/>
                      <w:lang w:val="en-US" w:eastAsia="zh-CN"/>
                    </w:rPr>
                    <w:t>：</w:t>
                  </w:r>
                  <w:r>
                    <w:rPr>
                      <w:rFonts w:hint="default" w:ascii="Times New Roman" w:hAnsi="Times New Roman" w:eastAsia="宋体" w:cs="Times New Roman"/>
                      <w:color w:val="0000FF"/>
                      <w:sz w:val="21"/>
                      <w:szCs w:val="21"/>
                      <w:highlight w:val="none"/>
                      <w:lang w:bidi="ar"/>
                    </w:rPr>
                    <w:t>设置1间建筑面积</w:t>
                  </w:r>
                  <w:r>
                    <w:rPr>
                      <w:rFonts w:hint="eastAsia" w:cs="Times New Roman"/>
                      <w:color w:val="0000FF"/>
                      <w:sz w:val="21"/>
                      <w:szCs w:val="21"/>
                      <w:highlight w:val="none"/>
                      <w:lang w:val="en-US" w:eastAsia="zh-CN" w:bidi="ar"/>
                    </w:rPr>
                    <w:t>3</w:t>
                  </w:r>
                  <w:r>
                    <w:rPr>
                      <w:rFonts w:hint="default" w:ascii="Times New Roman" w:hAnsi="Times New Roman" w:eastAsia="宋体" w:cs="Times New Roman"/>
                      <w:color w:val="0000FF"/>
                      <w:sz w:val="21"/>
                      <w:szCs w:val="21"/>
                      <w:highlight w:val="none"/>
                      <w:lang w:bidi="ar"/>
                    </w:rPr>
                    <w:t>m</w:t>
                  </w:r>
                  <w:r>
                    <w:rPr>
                      <w:rFonts w:hint="default" w:ascii="Times New Roman" w:hAnsi="Times New Roman" w:eastAsia="宋体" w:cs="Times New Roman"/>
                      <w:color w:val="0000FF"/>
                      <w:sz w:val="21"/>
                      <w:szCs w:val="21"/>
                      <w:highlight w:val="none"/>
                      <w:vertAlign w:val="superscript"/>
                      <w:lang w:bidi="ar"/>
                    </w:rPr>
                    <w:t>2</w:t>
                  </w:r>
                  <w:r>
                    <w:rPr>
                      <w:rFonts w:hint="default" w:ascii="Times New Roman" w:hAnsi="Times New Roman" w:eastAsia="宋体" w:cs="Times New Roman"/>
                      <w:color w:val="0000FF"/>
                      <w:sz w:val="21"/>
                      <w:szCs w:val="21"/>
                      <w:highlight w:val="none"/>
                      <w:lang w:bidi="ar"/>
                    </w:rPr>
                    <w:t>的危废暂存间，用于危险废物暂存</w:t>
                  </w:r>
                  <w:r>
                    <w:rPr>
                      <w:rFonts w:hint="default" w:ascii="Times New Roman" w:hAnsi="Times New Roman" w:eastAsia="宋体" w:cs="Times New Roman"/>
                      <w:color w:val="0000FF"/>
                      <w:sz w:val="21"/>
                      <w:szCs w:val="21"/>
                      <w:highlight w:val="none"/>
                      <w:lang w:eastAsia="zh-CN" w:bidi="ar"/>
                    </w:rPr>
                    <w:t>。</w:t>
                  </w:r>
                  <w:r>
                    <w:rPr>
                      <w:rFonts w:hint="eastAsia" w:cs="Times New Roman"/>
                      <w:color w:val="0000FF"/>
                      <w:sz w:val="21"/>
                      <w:szCs w:val="21"/>
                      <w:highlight w:val="none"/>
                      <w:lang w:val="en-US" w:eastAsia="zh-CN" w:bidi="ar"/>
                    </w:rPr>
                    <w:t>产生的废机油交由有资质的单位进行处理。</w:t>
                  </w:r>
                </w:p>
              </w:tc>
              <w:tc>
                <w:tcPr>
                  <w:tcW w:w="74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0000FF"/>
                      <w:sz w:val="21"/>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地下水</w:t>
                  </w:r>
                </w:p>
              </w:tc>
              <w:tc>
                <w:tcPr>
                  <w:tcW w:w="3622" w:type="pct"/>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分区防渗措施：</w:t>
                  </w:r>
                  <w:r>
                    <w:rPr>
                      <w:rFonts w:hint="default" w:ascii="Times New Roman" w:hAnsi="Times New Roman" w:cs="Times New Roman"/>
                      <w:color w:val="auto"/>
                      <w:sz w:val="21"/>
                      <w:szCs w:val="21"/>
                      <w:highlight w:val="none"/>
                    </w:rPr>
                    <w:t>重点防渗</w:t>
                  </w:r>
                  <w:r>
                    <w:rPr>
                      <w:rFonts w:hint="default" w:ascii="Times New Roman" w:hAnsi="Times New Roman" w:cs="Times New Roman"/>
                      <w:color w:val="auto"/>
                      <w:sz w:val="21"/>
                      <w:szCs w:val="21"/>
                      <w:highlight w:val="none"/>
                      <w:lang w:val="en-US" w:eastAsia="zh-CN"/>
                    </w:rPr>
                    <w:t>区</w:t>
                  </w:r>
                  <w:r>
                    <w:rPr>
                      <w:rFonts w:hint="default" w:ascii="Times New Roman" w:hAnsi="Times New Roman" w:cs="Times New Roman"/>
                      <w:color w:val="auto"/>
                      <w:sz w:val="21"/>
                      <w:szCs w:val="21"/>
                      <w:highlight w:val="none"/>
                    </w:rPr>
                    <w:t>采用C30防渗混凝土+黏土防渗层，一般防渗区采用C30防渗混凝土+黏土防渗层，简单防渗区采取水泥地面硬化</w:t>
                  </w:r>
                </w:p>
              </w:tc>
              <w:tc>
                <w:tcPr>
                  <w:tcW w:w="74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tcBorders>
                    <w:tl2br w:val="nil"/>
                    <w:tr2bl w:val="nil"/>
                  </w:tcBorders>
                  <w:noWrap w:val="0"/>
                  <w:vAlign w:val="center"/>
                </w:tcPr>
                <w:p>
                  <w:pPr>
                    <w:pStyle w:val="46"/>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环境监测</w:t>
                  </w:r>
                </w:p>
              </w:tc>
              <w:tc>
                <w:tcPr>
                  <w:tcW w:w="3622" w:type="pct"/>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制定自行监测方案，定期开展污染源监测</w:t>
                  </w:r>
                </w:p>
              </w:tc>
              <w:tc>
                <w:tcPr>
                  <w:tcW w:w="74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3622" w:type="pct"/>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74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41.7</w:t>
                  </w:r>
                </w:p>
              </w:tc>
            </w:tr>
          </w:tbl>
          <w:p>
            <w:pPr>
              <w:spacing w:line="360" w:lineRule="auto"/>
              <w:ind w:firstLine="480"/>
              <w:rPr>
                <w:rFonts w:hint="eastAsia" w:cs="Calibri"/>
                <w:color w:val="auto"/>
                <w:sz w:val="24"/>
                <w:szCs w:val="24"/>
                <w:highlight w:val="none"/>
                <w:lang w:val="en-US" w:eastAsia="zh-CN"/>
              </w:rPr>
            </w:pPr>
          </w:p>
          <w:p>
            <w:pPr>
              <w:spacing w:line="360" w:lineRule="auto"/>
              <w:ind w:firstLine="480"/>
              <w:rPr>
                <w:rFonts w:hint="eastAsia" w:cs="Calibri"/>
                <w:color w:val="auto"/>
                <w:sz w:val="24"/>
                <w:szCs w:val="24"/>
                <w:highlight w:val="none"/>
                <w:lang w:val="en-US" w:eastAsia="zh-CN"/>
              </w:rPr>
            </w:pPr>
          </w:p>
          <w:p>
            <w:pPr>
              <w:spacing w:line="360" w:lineRule="auto"/>
              <w:ind w:firstLine="480"/>
              <w:rPr>
                <w:rFonts w:hint="eastAsia" w:cs="Calibri"/>
                <w:color w:val="auto"/>
                <w:sz w:val="24"/>
                <w:szCs w:val="24"/>
                <w:highlight w:val="none"/>
                <w:lang w:val="en-US" w:eastAsia="zh-CN"/>
              </w:rPr>
            </w:pPr>
          </w:p>
          <w:p>
            <w:pPr>
              <w:spacing w:line="360" w:lineRule="auto"/>
              <w:ind w:firstLine="480"/>
              <w:rPr>
                <w:rFonts w:hint="eastAsia" w:cs="Calibri"/>
                <w:color w:val="auto"/>
                <w:sz w:val="24"/>
                <w:szCs w:val="24"/>
                <w:highlight w:val="none"/>
                <w:lang w:val="en-US" w:eastAsia="zh-CN"/>
              </w:rPr>
            </w:pPr>
          </w:p>
          <w:p>
            <w:pPr>
              <w:spacing w:line="360" w:lineRule="auto"/>
              <w:ind w:firstLine="480"/>
              <w:rPr>
                <w:rFonts w:hint="eastAsia" w:cs="Calibri"/>
                <w:color w:val="auto"/>
                <w:sz w:val="24"/>
                <w:szCs w:val="24"/>
                <w:highlight w:val="none"/>
                <w:lang w:val="en-US" w:eastAsia="zh-CN"/>
              </w:rPr>
            </w:pPr>
          </w:p>
          <w:p>
            <w:pPr>
              <w:spacing w:line="360" w:lineRule="auto"/>
              <w:ind w:firstLine="480"/>
              <w:rPr>
                <w:rFonts w:hint="eastAsia" w:cs="Calibri"/>
                <w:color w:val="auto"/>
                <w:sz w:val="24"/>
                <w:szCs w:val="24"/>
                <w:highlight w:val="none"/>
                <w:lang w:val="en-US" w:eastAsia="zh-CN"/>
              </w:rPr>
            </w:pPr>
          </w:p>
          <w:p>
            <w:pPr>
              <w:spacing w:line="360" w:lineRule="auto"/>
              <w:ind w:firstLine="480"/>
              <w:rPr>
                <w:rFonts w:hint="eastAsia" w:cs="Calibri"/>
                <w:color w:val="auto"/>
                <w:sz w:val="24"/>
                <w:szCs w:val="24"/>
                <w:highlight w:val="none"/>
                <w:lang w:val="en-US" w:eastAsia="zh-CN"/>
              </w:rPr>
            </w:pPr>
          </w:p>
          <w:p>
            <w:pPr>
              <w:spacing w:line="360" w:lineRule="auto"/>
              <w:ind w:firstLine="480"/>
              <w:rPr>
                <w:rFonts w:hint="eastAsia" w:cs="Calibri"/>
                <w:color w:val="auto"/>
                <w:sz w:val="24"/>
                <w:szCs w:val="24"/>
                <w:highlight w:val="none"/>
                <w:lang w:val="en-US" w:eastAsia="zh-CN"/>
              </w:rPr>
            </w:pPr>
          </w:p>
          <w:p>
            <w:pPr>
              <w:spacing w:line="360" w:lineRule="auto"/>
              <w:ind w:firstLine="480"/>
              <w:rPr>
                <w:rFonts w:hint="eastAsia" w:cs="Calibri"/>
                <w:color w:val="auto"/>
                <w:sz w:val="24"/>
                <w:szCs w:val="24"/>
                <w:highlight w:val="none"/>
                <w:lang w:val="en-US" w:eastAsia="zh-CN"/>
              </w:rPr>
            </w:pPr>
          </w:p>
          <w:p>
            <w:pPr>
              <w:spacing w:line="360" w:lineRule="auto"/>
              <w:ind w:firstLine="480"/>
              <w:rPr>
                <w:rFonts w:hint="eastAsia" w:cs="Calibri"/>
                <w:color w:val="auto"/>
                <w:sz w:val="24"/>
                <w:szCs w:val="24"/>
                <w:highlight w:val="none"/>
                <w:lang w:val="en-US" w:eastAsia="zh-CN"/>
              </w:rPr>
            </w:pPr>
          </w:p>
          <w:p>
            <w:pPr>
              <w:spacing w:line="360" w:lineRule="auto"/>
              <w:rPr>
                <w:color w:val="auto"/>
                <w:sz w:val="24"/>
                <w:szCs w:val="24"/>
                <w:highlight w:val="none"/>
                <w:vertAlign w:val="baseline"/>
              </w:rPr>
            </w:pPr>
          </w:p>
        </w:tc>
      </w:tr>
    </w:tbl>
    <w:p>
      <w:pPr>
        <w:spacing w:line="276" w:lineRule="auto"/>
        <w:ind w:firstLine="420" w:firstLineChars="200"/>
        <w:rPr>
          <w:color w:val="auto"/>
          <w:szCs w:val="21"/>
          <w:highlight w:val="none"/>
        </w:rPr>
      </w:pPr>
    </w:p>
    <w:p>
      <w:pPr>
        <w:spacing w:line="276" w:lineRule="auto"/>
        <w:ind w:firstLine="420" w:firstLineChars="200"/>
        <w:rPr>
          <w:rFonts w:hint="eastAsia"/>
          <w:color w:val="auto"/>
          <w:szCs w:val="21"/>
          <w:highlight w:val="none"/>
          <w:lang w:eastAsia="zh-CN"/>
        </w:rPr>
        <w:sectPr>
          <w:pgSz w:w="11906" w:h="16838"/>
          <w:pgMar w:top="1134" w:right="1418" w:bottom="1134" w:left="1134" w:header="851" w:footer="992" w:gutter="0"/>
          <w:pgBorders>
            <w:top w:val="none" w:sz="0" w:space="0"/>
            <w:left w:val="none" w:sz="0" w:space="0"/>
            <w:bottom w:val="none" w:sz="0" w:space="0"/>
            <w:right w:val="none" w:sz="0" w:space="0"/>
          </w:pgBorders>
          <w:cols w:space="720" w:num="1"/>
          <w:docGrid w:type="lines" w:linePitch="312" w:charSpace="0"/>
        </w:sectPr>
      </w:pPr>
    </w:p>
    <w:p>
      <w:pPr>
        <w:pStyle w:val="55"/>
        <w:jc w:val="center"/>
        <w:rPr>
          <w:rFonts w:ascii="黑体" w:hAnsi="黑体" w:eastAsia="黑体"/>
          <w:b w:val="0"/>
          <w:color w:val="auto"/>
          <w:sz w:val="30"/>
          <w:szCs w:val="30"/>
          <w:highlight w:val="none"/>
        </w:rPr>
      </w:pPr>
      <w:r>
        <w:rPr>
          <w:rFonts w:hint="eastAsia" w:ascii="黑体" w:hAnsi="黑体" w:eastAsia="黑体"/>
          <w:b w:val="0"/>
          <w:color w:val="auto"/>
          <w:sz w:val="30"/>
          <w:szCs w:val="30"/>
          <w:highlight w:val="none"/>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394335</wp:posOffset>
                </wp:positionV>
                <wp:extent cx="875030" cy="463550"/>
                <wp:effectExtent l="2540" t="4445" r="17780" b="8255"/>
                <wp:wrapNone/>
                <wp:docPr id="45" name="直接连接符 45"/>
                <wp:cNvGraphicFramePr/>
                <a:graphic xmlns:a="http://schemas.openxmlformats.org/drawingml/2006/main">
                  <a:graphicData uri="http://schemas.microsoft.com/office/word/2010/wordprocessingShape">
                    <wps:wsp>
                      <wps:cNvCnPr/>
                      <wps:spPr>
                        <a:xfrm>
                          <a:off x="0" y="0"/>
                          <a:ext cx="875030" cy="463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5pt;margin-top:31.05pt;height:36.5pt;width:68.9pt;z-index:251659264;mso-width-relative:page;mso-height-relative:page;" filled="f" stroked="t" coordsize="21600,21600" o:gfxdata="UEsDBAoAAAAAAIdO4kAAAAAAAAAAAAAAAAAEAAAAZHJzL1BLAwQUAAAACACHTuJAHJ0JSdcAAAAJ&#10;AQAADwAAAGRycy9kb3ducmV2LnhtbE2PzU7DMBCE70h9B2srcalaO4laoRCnh5bcuFCKuG7jJYmI&#10;12ns/sDT43KB26xmNPNtsb7aXpxp9J1jDclCgSCunem40bB/reYPIHxANtg7Jg1f5GFdTu4KzI27&#10;8Audd6ERsYR9jhraEIZcSl+3ZNEv3EAcvQ83WgzxHBtpRrzEctvLVKmVtNhxXGhxoE1L9efuZDX4&#10;6o2O1fesnqn3rHGUHrfPT6j1/TRRjyACXcNfGG74ER3KyHRwJzZe9BrmaRaTGlZpAuLmZ8sliMOv&#10;SECWhfz/QfkDUEsDBBQAAAAIAIdO4kBkVBma3wEAAKADAAAOAAAAZHJzL2Uyb0RvYy54bWytU81u&#10;EzEQviPxDpbvZLdpt5RVNj00KhcEkYAHcLzeXUv+04ybTV6CF0DiBieO3HkbymMwdrZpKZceyMEZ&#10;z3z+xt/n2cXlzhq2VYDau4afzErOlJO+1a5v+McP1y8uOMMoXCuMd6rhe4X8cvn82WIMtZr7wZtW&#10;ASMSh/UYGj7EGOqiQDkoK3Dmg3JU7DxYEWkLfdGCGIndmmJelufF6KEN4KVCpOzqUOQTIzyF0Hed&#10;lmrl5Y1VLh5YQRkRSRIOOiBf5tt2nZLxXdehisw0nJTGvFITijdpLZYLUfcgwqDldAXxlCs80mSF&#10;dtT0SLUSUbAb0P9QWS3Bo+/iTHpbHIRkR0jFSfnIm/eDCCprIasxHE3H/0cr327XwHTb8LOKMycs&#10;vfjt5x+/Pn39/fMLrbffvzGqkE1jwJrQV24N0w7DGpLmXQc2/ZMatsvW7o/Wql1kkpIXL6vylEyX&#10;VDo7P62qbH1xfzgAxtfKW5aChhvtknJRi+0bjNSQoHeQlHb+WhuTX884Njb8VTUnAVLQRHY0CRTa&#10;QKrQ9ZwJ09OoywiZEb3RbTqdeBD6zZUBthVpQPIviaVuf8FS65XA4YDLpQlmHKGTNwc3UrTx7T6b&#10;lPP0cJlvGrI0GQ/3+fT9h7X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ydCUnXAAAACQEAAA8A&#10;AAAAAAAAAQAgAAAAIgAAAGRycy9kb3ducmV2LnhtbFBLAQIUABQAAAAIAIdO4kBkVBma3wEAAKAD&#10;AAAOAAAAAAAAAAEAIAAAACYBAABkcnMvZTJvRG9jLnhtbFBLBQYAAAAABgAGAFkBAAB3BQAAAAA=&#10;">
                <v:fill on="f" focussize="0,0"/>
                <v:stroke color="#000000 [3213]" joinstyle="round"/>
                <v:imagedata o:title=""/>
                <o:lock v:ext="edit" aspectratio="f"/>
              </v:line>
            </w:pict>
          </mc:Fallback>
        </mc:AlternateContent>
      </w:r>
      <w:r>
        <w:rPr>
          <w:rFonts w:hint="eastAsia" w:ascii="黑体" w:hAnsi="黑体" w:eastAsia="黑体"/>
          <w:b w:val="0"/>
          <w:color w:val="auto"/>
          <w:sz w:val="30"/>
          <w:szCs w:val="30"/>
          <w:highlight w:val="none"/>
        </w:rPr>
        <w:t>五、环境保护措施监督检查清单</w:t>
      </w:r>
    </w:p>
    <w:tbl>
      <w:tblPr>
        <w:tblStyle w:val="23"/>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362"/>
        <w:gridCol w:w="1716"/>
        <w:gridCol w:w="1059"/>
        <w:gridCol w:w="3471"/>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Align w:val="center"/>
          </w:tcPr>
          <w:p>
            <w:pPr>
              <w:spacing w:line="276" w:lineRule="auto"/>
              <w:jc w:val="right"/>
              <w:rPr>
                <w:rFonts w:cs="Times New Roman" w:eastAsiaTheme="minorEastAsia"/>
                <w:b/>
                <w:bCs/>
                <w:color w:val="auto"/>
                <w:sz w:val="21"/>
                <w:szCs w:val="21"/>
                <w:highlight w:val="none"/>
              </w:rPr>
            </w:pPr>
            <w:r>
              <w:rPr>
                <w:rFonts w:cs="Times New Roman" w:eastAsiaTheme="minorEastAsia"/>
                <w:b/>
                <w:bCs/>
                <w:color w:val="auto"/>
                <w:sz w:val="21"/>
                <w:szCs w:val="21"/>
                <w:highlight w:val="none"/>
              </w:rPr>
              <w:t>内容</w:t>
            </w:r>
          </w:p>
          <w:p>
            <w:pPr>
              <w:spacing w:line="276" w:lineRule="auto"/>
              <w:rPr>
                <w:rFonts w:cs="Times New Roman" w:eastAsiaTheme="minorEastAsia"/>
                <w:b/>
                <w:bCs/>
                <w:color w:val="auto"/>
                <w:sz w:val="21"/>
                <w:szCs w:val="21"/>
                <w:highlight w:val="none"/>
              </w:rPr>
            </w:pPr>
            <w:r>
              <w:rPr>
                <w:rFonts w:hint="eastAsia" w:cs="Times New Roman" w:eastAsiaTheme="minorEastAsia"/>
                <w:b/>
                <w:bCs/>
                <w:color w:val="auto"/>
                <w:sz w:val="21"/>
                <w:szCs w:val="21"/>
                <w:highlight w:val="none"/>
              </w:rPr>
              <w:t>要素</w:t>
            </w:r>
          </w:p>
        </w:tc>
        <w:tc>
          <w:tcPr>
            <w:tcW w:w="1716" w:type="dxa"/>
            <w:vAlign w:val="center"/>
          </w:tcPr>
          <w:p>
            <w:pPr>
              <w:spacing w:line="276" w:lineRule="auto"/>
              <w:jc w:val="center"/>
              <w:rPr>
                <w:rFonts w:cs="Times New Roman" w:eastAsiaTheme="minorEastAsia"/>
                <w:b/>
                <w:bCs/>
                <w:color w:val="auto"/>
                <w:sz w:val="21"/>
                <w:szCs w:val="21"/>
                <w:highlight w:val="none"/>
              </w:rPr>
            </w:pPr>
            <w:r>
              <w:rPr>
                <w:rFonts w:cs="Times New Roman" w:eastAsiaTheme="minorEastAsia"/>
                <w:b/>
                <w:bCs/>
                <w:color w:val="auto"/>
                <w:sz w:val="21"/>
                <w:szCs w:val="21"/>
                <w:highlight w:val="none"/>
              </w:rPr>
              <w:t>排放口</w:t>
            </w:r>
            <w:r>
              <w:rPr>
                <w:rFonts w:hint="eastAsia" w:cs="Times New Roman" w:eastAsiaTheme="minorEastAsia"/>
                <w:b/>
                <w:bCs/>
                <w:color w:val="auto"/>
                <w:sz w:val="21"/>
                <w:szCs w:val="21"/>
                <w:highlight w:val="none"/>
              </w:rPr>
              <w:t>（</w:t>
            </w:r>
            <w:r>
              <w:rPr>
                <w:rFonts w:cs="Times New Roman" w:eastAsiaTheme="minorEastAsia"/>
                <w:b/>
                <w:bCs/>
                <w:color w:val="auto"/>
                <w:sz w:val="21"/>
                <w:szCs w:val="21"/>
                <w:highlight w:val="none"/>
              </w:rPr>
              <w:t>编号</w:t>
            </w:r>
            <w:r>
              <w:rPr>
                <w:rFonts w:hint="eastAsia" w:cs="Times New Roman" w:eastAsiaTheme="minorEastAsia"/>
                <w:b/>
                <w:bCs/>
                <w:color w:val="auto"/>
                <w:sz w:val="21"/>
                <w:szCs w:val="21"/>
                <w:highlight w:val="none"/>
              </w:rPr>
              <w:t>、</w:t>
            </w:r>
            <w:r>
              <w:rPr>
                <w:rFonts w:cs="Times New Roman" w:eastAsiaTheme="minorEastAsia"/>
                <w:b/>
                <w:bCs/>
                <w:color w:val="auto"/>
                <w:sz w:val="21"/>
                <w:szCs w:val="21"/>
                <w:highlight w:val="none"/>
              </w:rPr>
              <w:t>名称</w:t>
            </w:r>
            <w:r>
              <w:rPr>
                <w:rFonts w:hint="eastAsia" w:cs="Times New Roman" w:eastAsiaTheme="minorEastAsia"/>
                <w:b/>
                <w:bCs/>
                <w:color w:val="auto"/>
                <w:sz w:val="21"/>
                <w:szCs w:val="21"/>
                <w:highlight w:val="none"/>
              </w:rPr>
              <w:t>）/污染源</w:t>
            </w:r>
          </w:p>
        </w:tc>
        <w:tc>
          <w:tcPr>
            <w:tcW w:w="1059" w:type="dxa"/>
            <w:vAlign w:val="center"/>
          </w:tcPr>
          <w:p>
            <w:pPr>
              <w:spacing w:line="276" w:lineRule="auto"/>
              <w:jc w:val="center"/>
              <w:rPr>
                <w:rFonts w:cs="Times New Roman" w:eastAsiaTheme="minorEastAsia"/>
                <w:b/>
                <w:bCs/>
                <w:color w:val="auto"/>
                <w:sz w:val="21"/>
                <w:szCs w:val="21"/>
                <w:highlight w:val="none"/>
              </w:rPr>
            </w:pPr>
            <w:r>
              <w:rPr>
                <w:rFonts w:cs="Times New Roman" w:eastAsiaTheme="minorEastAsia"/>
                <w:b/>
                <w:bCs/>
                <w:color w:val="auto"/>
                <w:sz w:val="21"/>
                <w:szCs w:val="21"/>
                <w:highlight w:val="none"/>
              </w:rPr>
              <w:t>污染物项目</w:t>
            </w:r>
          </w:p>
        </w:tc>
        <w:tc>
          <w:tcPr>
            <w:tcW w:w="3471" w:type="dxa"/>
            <w:vAlign w:val="center"/>
          </w:tcPr>
          <w:p>
            <w:pPr>
              <w:spacing w:line="276" w:lineRule="auto"/>
              <w:jc w:val="center"/>
              <w:rPr>
                <w:rFonts w:cs="Times New Roman" w:eastAsiaTheme="minorEastAsia"/>
                <w:b/>
                <w:bCs/>
                <w:color w:val="auto"/>
                <w:sz w:val="21"/>
                <w:szCs w:val="21"/>
                <w:highlight w:val="none"/>
              </w:rPr>
            </w:pPr>
            <w:r>
              <w:rPr>
                <w:rFonts w:cs="Times New Roman" w:eastAsiaTheme="minorEastAsia"/>
                <w:b/>
                <w:bCs/>
                <w:color w:val="auto"/>
                <w:sz w:val="21"/>
                <w:szCs w:val="21"/>
                <w:highlight w:val="none"/>
              </w:rPr>
              <w:t>环境保护措施</w:t>
            </w:r>
          </w:p>
        </w:tc>
        <w:tc>
          <w:tcPr>
            <w:tcW w:w="1741" w:type="dxa"/>
            <w:vAlign w:val="center"/>
          </w:tcPr>
          <w:p>
            <w:pPr>
              <w:spacing w:line="276" w:lineRule="auto"/>
              <w:jc w:val="center"/>
              <w:rPr>
                <w:rFonts w:cs="Times New Roman" w:eastAsiaTheme="minorEastAsia"/>
                <w:b/>
                <w:bCs/>
                <w:color w:val="auto"/>
                <w:sz w:val="21"/>
                <w:szCs w:val="21"/>
                <w:highlight w:val="none"/>
              </w:rPr>
            </w:pPr>
            <w:r>
              <w:rPr>
                <w:rFonts w:hint="eastAsia" w:cs="Times New Roman" w:eastAsiaTheme="minorEastAsia"/>
                <w:b/>
                <w:bCs/>
                <w:color w:val="auto"/>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Merge w:val="restart"/>
            <w:vAlign w:val="center"/>
          </w:tcPr>
          <w:p>
            <w:pPr>
              <w:spacing w:line="276" w:lineRule="auto"/>
              <w:jc w:val="center"/>
              <w:rPr>
                <w:rFonts w:cs="Times New Roman" w:eastAsiaTheme="minorEastAsia"/>
                <w:color w:val="auto"/>
                <w:sz w:val="21"/>
                <w:szCs w:val="21"/>
                <w:highlight w:val="none"/>
              </w:rPr>
            </w:pPr>
            <w:r>
              <w:rPr>
                <w:rFonts w:cs="Times New Roman" w:eastAsiaTheme="minorEastAsia"/>
                <w:color w:val="auto"/>
                <w:sz w:val="21"/>
                <w:szCs w:val="21"/>
                <w:highlight w:val="none"/>
              </w:rPr>
              <w:t>大气环境</w:t>
            </w:r>
          </w:p>
        </w:tc>
        <w:tc>
          <w:tcPr>
            <w:tcW w:w="1716" w:type="dxa"/>
            <w:vAlign w:val="center"/>
          </w:tcPr>
          <w:p>
            <w:pPr>
              <w:keepNext w:val="0"/>
              <w:keepLines w:val="0"/>
              <w:pageBreakBefore w:val="0"/>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石料</w:t>
            </w:r>
            <w:r>
              <w:rPr>
                <w:rFonts w:hint="default" w:ascii="Times New Roman" w:hAnsi="Times New Roman" w:eastAsia="宋体" w:cs="Times New Roman"/>
                <w:bCs/>
                <w:color w:val="auto"/>
                <w:kern w:val="0"/>
                <w:sz w:val="21"/>
                <w:szCs w:val="21"/>
                <w:highlight w:val="none"/>
                <w:lang w:val="en-US" w:eastAsia="zh-CN"/>
              </w:rPr>
              <w:t>加工粉尘</w:t>
            </w:r>
          </w:p>
        </w:tc>
        <w:tc>
          <w:tcPr>
            <w:tcW w:w="10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2"/>
                <w:sz w:val="21"/>
                <w:szCs w:val="21"/>
                <w:highlight w:val="none"/>
                <w:lang w:val="en-US" w:eastAsia="zh-CN" w:bidi="ar-SA"/>
              </w:rPr>
            </w:pPr>
            <w:r>
              <w:rPr>
                <w:rFonts w:eastAsia="宋体" w:cs="Times New Roman"/>
                <w:color w:val="auto"/>
                <w:sz w:val="21"/>
                <w:szCs w:val="21"/>
                <w:highlight w:val="none"/>
              </w:rPr>
              <w:t>颗粒物</w:t>
            </w:r>
          </w:p>
        </w:tc>
        <w:tc>
          <w:tcPr>
            <w:tcW w:w="3471" w:type="dxa"/>
            <w:vAlign w:val="center"/>
          </w:tcPr>
          <w:p>
            <w:pPr>
              <w:keepNext w:val="0"/>
              <w:keepLines w:val="0"/>
              <w:pageBreakBefore w:val="0"/>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0"/>
                <w:sz w:val="21"/>
                <w:szCs w:val="21"/>
                <w:highlight w:val="none"/>
                <w:lang w:val="en-US" w:eastAsia="zh-CN"/>
              </w:rPr>
              <w:t>石料</w:t>
            </w:r>
            <w:r>
              <w:rPr>
                <w:rFonts w:hint="default" w:ascii="Times New Roman" w:hAnsi="Times New Roman" w:eastAsia="宋体" w:cs="Times New Roman"/>
                <w:color w:val="auto"/>
                <w:sz w:val="21"/>
                <w:szCs w:val="21"/>
                <w:highlight w:val="none"/>
                <w:lang w:eastAsia="zh-CN"/>
              </w:rPr>
              <w:t>加工生产线</w:t>
            </w:r>
            <w:r>
              <w:rPr>
                <w:rFonts w:hint="default" w:ascii="Times New Roman" w:hAnsi="Times New Roman" w:eastAsia="宋体" w:cs="Times New Roman"/>
                <w:color w:val="auto"/>
                <w:sz w:val="21"/>
                <w:szCs w:val="21"/>
                <w:highlight w:val="none"/>
                <w:lang w:val="en-US" w:eastAsia="zh-CN"/>
              </w:rPr>
              <w:t>设置于加工</w:t>
            </w:r>
            <w:r>
              <w:rPr>
                <w:rFonts w:hint="eastAsia" w:cs="Times New Roman"/>
                <w:color w:val="auto"/>
                <w:sz w:val="21"/>
                <w:szCs w:val="21"/>
                <w:highlight w:val="none"/>
                <w:lang w:val="en-US" w:eastAsia="zh-CN"/>
              </w:rPr>
              <w:t>厂房</w:t>
            </w:r>
            <w:r>
              <w:rPr>
                <w:rFonts w:hint="default" w:ascii="Times New Roman" w:hAnsi="Times New Roman" w:eastAsia="宋体" w:cs="Times New Roman"/>
                <w:color w:val="auto"/>
                <w:sz w:val="21"/>
                <w:szCs w:val="21"/>
                <w:highlight w:val="none"/>
              </w:rPr>
              <w:t>内</w:t>
            </w:r>
            <w:r>
              <w:rPr>
                <w:rFonts w:hint="eastAsia" w:cs="Times New Roman"/>
                <w:color w:val="auto"/>
                <w:sz w:val="21"/>
                <w:szCs w:val="21"/>
                <w:highlight w:val="none"/>
                <w:lang w:eastAsia="zh-CN"/>
              </w:rPr>
              <w:t>（</w:t>
            </w:r>
            <w:r>
              <w:rPr>
                <w:rFonts w:hint="eastAsia" w:cs="Times New Roman"/>
                <w:color w:val="0000FF"/>
                <w:sz w:val="21"/>
                <w:szCs w:val="21"/>
                <w:highlight w:val="none"/>
                <w:lang w:val="en-US" w:eastAsia="zh-CN"/>
              </w:rPr>
              <w:t>三面围挡+顶部加盖</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切割、切边及雕刻工序均设喷水设施，湿法作业</w:t>
            </w:r>
          </w:p>
        </w:tc>
        <w:tc>
          <w:tcPr>
            <w:tcW w:w="1741" w:type="dxa"/>
            <w:vMerge w:val="restart"/>
            <w:vAlign w:val="center"/>
          </w:tcPr>
          <w:p>
            <w:pPr>
              <w:spacing w:line="276" w:lineRule="auto"/>
              <w:jc w:val="center"/>
              <w:rPr>
                <w:rFonts w:cs="Times New Roman" w:eastAsiaTheme="minorEastAsia"/>
                <w:color w:val="auto"/>
                <w:sz w:val="21"/>
                <w:szCs w:val="21"/>
                <w:highlight w:val="none"/>
              </w:rPr>
            </w:pPr>
            <w:r>
              <w:rPr>
                <w:rFonts w:hint="eastAsia" w:cs="Times New Roman" w:eastAsiaTheme="minorEastAsia"/>
                <w:color w:val="auto"/>
                <w:sz w:val="21"/>
                <w:szCs w:val="21"/>
                <w:highlight w:val="non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Merge w:val="continue"/>
            <w:vAlign w:val="center"/>
          </w:tcPr>
          <w:p>
            <w:pPr>
              <w:spacing w:line="276" w:lineRule="auto"/>
              <w:jc w:val="center"/>
              <w:rPr>
                <w:rFonts w:cs="Times New Roman" w:eastAsiaTheme="minorEastAsia"/>
                <w:color w:val="auto"/>
                <w:sz w:val="21"/>
                <w:szCs w:val="21"/>
                <w:highlight w:val="none"/>
              </w:rPr>
            </w:pPr>
          </w:p>
        </w:tc>
        <w:tc>
          <w:tcPr>
            <w:tcW w:w="1716" w:type="dxa"/>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车辆运输起尘</w:t>
            </w:r>
          </w:p>
        </w:tc>
        <w:tc>
          <w:tcPr>
            <w:tcW w:w="10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黑体"/>
                <w:color w:val="auto"/>
                <w:kern w:val="2"/>
                <w:sz w:val="21"/>
                <w:szCs w:val="21"/>
                <w:highlight w:val="none"/>
                <w:lang w:val="en-US" w:eastAsia="zh-CN" w:bidi="ar-SA"/>
              </w:rPr>
            </w:pPr>
            <w:r>
              <w:rPr>
                <w:rFonts w:eastAsia="宋体" w:cs="Times New Roman"/>
                <w:color w:val="auto"/>
                <w:sz w:val="21"/>
                <w:szCs w:val="21"/>
                <w:highlight w:val="none"/>
              </w:rPr>
              <w:t>颗粒物</w:t>
            </w:r>
          </w:p>
        </w:tc>
        <w:tc>
          <w:tcPr>
            <w:tcW w:w="3471" w:type="dxa"/>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厂区路面硬化，洒水降尘，车辆加盖篷布密闭运输，禁止超速、超载行驶</w:t>
            </w:r>
          </w:p>
        </w:tc>
        <w:tc>
          <w:tcPr>
            <w:tcW w:w="1741" w:type="dxa"/>
            <w:vMerge w:val="continue"/>
            <w:vAlign w:val="center"/>
          </w:tcPr>
          <w:p>
            <w:pPr>
              <w:spacing w:line="276" w:lineRule="auto"/>
              <w:jc w:val="center"/>
              <w:rPr>
                <w:rFonts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Merge w:val="continue"/>
            <w:vAlign w:val="center"/>
          </w:tcPr>
          <w:p>
            <w:pPr>
              <w:spacing w:line="276" w:lineRule="auto"/>
              <w:jc w:val="center"/>
              <w:rPr>
                <w:rFonts w:cs="Times New Roman" w:eastAsiaTheme="minorEastAsia"/>
                <w:color w:val="auto"/>
                <w:sz w:val="21"/>
                <w:szCs w:val="21"/>
                <w:highlight w:val="none"/>
              </w:rPr>
            </w:pPr>
          </w:p>
        </w:tc>
        <w:tc>
          <w:tcPr>
            <w:tcW w:w="1716" w:type="dxa"/>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食堂油烟</w:t>
            </w:r>
          </w:p>
        </w:tc>
        <w:tc>
          <w:tcPr>
            <w:tcW w:w="10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宋体" w:cs="Times New Roman"/>
                <w:color w:val="auto"/>
                <w:sz w:val="21"/>
                <w:szCs w:val="21"/>
                <w:highlight w:val="none"/>
              </w:rPr>
            </w:pPr>
            <w:r>
              <w:rPr>
                <w:rFonts w:hint="eastAsia" w:cs="黑体"/>
                <w:color w:val="auto"/>
                <w:kern w:val="2"/>
                <w:sz w:val="21"/>
                <w:szCs w:val="21"/>
                <w:highlight w:val="none"/>
                <w:lang w:val="en-US" w:eastAsia="zh-CN" w:bidi="ar-SA"/>
              </w:rPr>
              <w:t>油烟</w:t>
            </w:r>
          </w:p>
        </w:tc>
        <w:tc>
          <w:tcPr>
            <w:tcW w:w="3471" w:type="dxa"/>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
              </w:rPr>
              <w:t>安</w:t>
            </w:r>
            <w:r>
              <w:rPr>
                <w:rFonts w:hint="default" w:ascii="Times New Roman" w:hAnsi="Times New Roman" w:cs="Times New Roman"/>
                <w:color w:val="auto"/>
                <w:sz w:val="21"/>
                <w:szCs w:val="21"/>
                <w:highlight w:val="none"/>
                <w:lang w:bidi="ar"/>
              </w:rPr>
              <w:t>装1套自带油烟净化功能的</w:t>
            </w:r>
            <w:r>
              <w:rPr>
                <w:rFonts w:hint="eastAsia" w:cs="Times New Roman"/>
                <w:color w:val="auto"/>
                <w:sz w:val="21"/>
                <w:szCs w:val="21"/>
                <w:highlight w:val="none"/>
                <w:lang w:val="en-US" w:eastAsia="zh-CN" w:bidi="ar"/>
              </w:rPr>
              <w:t>抽油烟机</w:t>
            </w:r>
            <w:r>
              <w:rPr>
                <w:rFonts w:hint="default" w:ascii="Times New Roman" w:hAnsi="Times New Roman" w:cs="Times New Roman"/>
                <w:bCs/>
                <w:color w:val="auto"/>
                <w:sz w:val="21"/>
                <w:szCs w:val="21"/>
                <w:highlight w:val="none"/>
              </w:rPr>
              <w:t>处理食堂油烟</w:t>
            </w:r>
            <w:r>
              <w:rPr>
                <w:rFonts w:hint="eastAsia" w:ascii="Times New Roman" w:hAnsi="Times New Roman" w:cs="Times New Roman"/>
                <w:bCs/>
                <w:color w:val="auto"/>
                <w:sz w:val="21"/>
                <w:szCs w:val="21"/>
                <w:highlight w:val="none"/>
                <w:lang w:eastAsia="zh-CN"/>
              </w:rPr>
              <w:t>，</w:t>
            </w:r>
            <w:r>
              <w:rPr>
                <w:rFonts w:hint="eastAsia" w:ascii="Times New Roman" w:hAnsi="Times New Roman" w:cs="Times New Roman"/>
                <w:bCs/>
                <w:color w:val="auto"/>
                <w:sz w:val="21"/>
                <w:szCs w:val="21"/>
                <w:highlight w:val="none"/>
                <w:lang w:val="en-US" w:eastAsia="zh-CN"/>
              </w:rPr>
              <w:t>处理后外排</w:t>
            </w:r>
          </w:p>
        </w:tc>
        <w:tc>
          <w:tcPr>
            <w:tcW w:w="1741" w:type="dxa"/>
            <w:vAlign w:val="center"/>
          </w:tcPr>
          <w:p>
            <w:pPr>
              <w:spacing w:line="276" w:lineRule="auto"/>
              <w:jc w:val="center"/>
              <w:rPr>
                <w:rFonts w:cs="Times New Roman" w:eastAsiaTheme="minorEastAsia"/>
                <w:color w:val="auto"/>
                <w:sz w:val="21"/>
                <w:szCs w:val="21"/>
                <w:highlight w:val="none"/>
              </w:rPr>
            </w:pPr>
            <w:r>
              <w:rPr>
                <w:rFonts w:hint="eastAsia" w:cs="Times New Roman" w:eastAsiaTheme="minorEastAsia"/>
                <w:color w:val="auto"/>
                <w:sz w:val="21"/>
                <w:szCs w:val="21"/>
                <w:highlight w:val="none"/>
              </w:rPr>
              <w:t>《饮食业油烟排放标准》（GB18483-2001）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Merge w:val="restart"/>
            <w:vAlign w:val="center"/>
          </w:tcPr>
          <w:p>
            <w:pPr>
              <w:spacing w:line="276" w:lineRule="auto"/>
              <w:jc w:val="center"/>
              <w:rPr>
                <w:rFonts w:cs="Times New Roman" w:eastAsiaTheme="minorEastAsia"/>
                <w:color w:val="auto"/>
                <w:sz w:val="21"/>
                <w:szCs w:val="21"/>
                <w:highlight w:val="none"/>
              </w:rPr>
            </w:pPr>
            <w:r>
              <w:rPr>
                <w:rFonts w:cs="Times New Roman" w:eastAsiaTheme="minorEastAsia"/>
                <w:color w:val="auto"/>
                <w:sz w:val="21"/>
                <w:szCs w:val="21"/>
                <w:highlight w:val="none"/>
              </w:rPr>
              <w:t>地表水环境</w:t>
            </w:r>
          </w:p>
        </w:tc>
        <w:tc>
          <w:tcPr>
            <w:tcW w:w="1716" w:type="dxa"/>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生活污水</w:t>
            </w:r>
          </w:p>
        </w:tc>
        <w:tc>
          <w:tcPr>
            <w:tcW w:w="1059" w:type="dxa"/>
            <w:vMerge w:val="restart"/>
            <w:vAlign w:val="center"/>
          </w:tcPr>
          <w:p>
            <w:pPr>
              <w:spacing w:line="276" w:lineRule="auto"/>
              <w:jc w:val="center"/>
              <w:rPr>
                <w:rFonts w:cs="Times New Roman" w:eastAsiaTheme="minorEastAsia"/>
                <w:color w:val="auto"/>
                <w:sz w:val="21"/>
                <w:szCs w:val="21"/>
                <w:highlight w:val="none"/>
              </w:rPr>
            </w:pPr>
            <w:r>
              <w:rPr>
                <w:color w:val="auto"/>
                <w:szCs w:val="21"/>
                <w:highlight w:val="none"/>
              </w:rPr>
              <w:t>pH、COD、BOD</w:t>
            </w:r>
            <w:r>
              <w:rPr>
                <w:color w:val="auto"/>
                <w:szCs w:val="21"/>
                <w:highlight w:val="none"/>
                <w:vertAlign w:val="subscript"/>
              </w:rPr>
              <w:t>5</w:t>
            </w:r>
            <w:r>
              <w:rPr>
                <w:color w:val="auto"/>
                <w:szCs w:val="21"/>
                <w:highlight w:val="none"/>
              </w:rPr>
              <w:t>、NH</w:t>
            </w:r>
            <w:r>
              <w:rPr>
                <w:color w:val="auto"/>
                <w:szCs w:val="21"/>
                <w:highlight w:val="none"/>
                <w:vertAlign w:val="subscript"/>
              </w:rPr>
              <w:t>3</w:t>
            </w:r>
            <w:r>
              <w:rPr>
                <w:color w:val="auto"/>
                <w:szCs w:val="21"/>
                <w:highlight w:val="none"/>
              </w:rPr>
              <w:t>-N</w:t>
            </w:r>
            <w:r>
              <w:rPr>
                <w:rFonts w:hint="eastAsia"/>
                <w:color w:val="auto"/>
                <w:szCs w:val="21"/>
                <w:highlight w:val="none"/>
                <w:lang w:eastAsia="zh-CN"/>
              </w:rPr>
              <w:t>、</w:t>
            </w:r>
            <w:r>
              <w:rPr>
                <w:rFonts w:hint="eastAsia"/>
                <w:color w:val="auto"/>
                <w:szCs w:val="21"/>
                <w:highlight w:val="none"/>
                <w:lang w:val="en-US" w:eastAsia="zh-CN"/>
              </w:rPr>
              <w:t>动植物油</w:t>
            </w:r>
          </w:p>
        </w:tc>
        <w:tc>
          <w:tcPr>
            <w:tcW w:w="3471" w:type="dxa"/>
            <w:vMerge w:val="restart"/>
            <w:vAlign w:val="center"/>
          </w:tcPr>
          <w:p>
            <w:pPr>
              <w:spacing w:line="276" w:lineRule="auto"/>
              <w:jc w:val="center"/>
              <w:rPr>
                <w:rFonts w:hint="default" w:cs="Times New Roman" w:eastAsiaTheme="minorEastAsia"/>
                <w:color w:val="auto"/>
                <w:sz w:val="21"/>
                <w:szCs w:val="21"/>
                <w:highlight w:val="none"/>
                <w:lang w:val="en-US" w:eastAsia="zh-CN"/>
              </w:rPr>
            </w:pPr>
            <w:r>
              <w:rPr>
                <w:rFonts w:hint="eastAsia" w:cs="Times New Roman"/>
                <w:bCs/>
                <w:color w:val="auto"/>
                <w:sz w:val="21"/>
                <w:szCs w:val="21"/>
                <w:highlight w:val="none"/>
                <w:lang w:val="en-US" w:eastAsia="zh-CN"/>
              </w:rPr>
              <w:t>食堂废水经</w:t>
            </w:r>
            <w:r>
              <w:rPr>
                <w:rFonts w:hint="eastAsia" w:cs="Times New Roman"/>
                <w:color w:val="auto"/>
                <w:sz w:val="21"/>
                <w:szCs w:val="21"/>
                <w:highlight w:val="none"/>
                <w:lang w:val="en-US" w:eastAsia="zh-CN"/>
              </w:rPr>
              <w:t>隔油池</w:t>
            </w:r>
            <w:r>
              <w:rPr>
                <w:rFonts w:hint="eastAsia" w:cs="Times New Roman"/>
                <w:bCs/>
                <w:color w:val="auto"/>
                <w:sz w:val="21"/>
                <w:szCs w:val="21"/>
                <w:highlight w:val="none"/>
                <w:lang w:val="en-US" w:eastAsia="zh-CN"/>
              </w:rPr>
              <w:t>处理后同生活污水一同进入旱厕（容积约4m</w:t>
            </w:r>
            <w:r>
              <w:rPr>
                <w:rFonts w:hint="eastAsia" w:cs="Times New Roman"/>
                <w:bCs/>
                <w:color w:val="auto"/>
                <w:sz w:val="21"/>
                <w:szCs w:val="21"/>
                <w:highlight w:val="none"/>
                <w:vertAlign w:val="superscript"/>
                <w:lang w:val="en-US" w:eastAsia="zh-CN"/>
              </w:rPr>
              <w:t>3</w:t>
            </w:r>
            <w:r>
              <w:rPr>
                <w:rFonts w:hint="eastAsia" w:cs="Times New Roman"/>
                <w:bCs/>
                <w:color w:val="auto"/>
                <w:sz w:val="21"/>
                <w:szCs w:val="21"/>
                <w:highlight w:val="none"/>
                <w:lang w:val="en-US" w:eastAsia="zh-CN"/>
              </w:rPr>
              <w:t>）</w:t>
            </w:r>
            <w:r>
              <w:rPr>
                <w:rFonts w:hint="default" w:ascii="Times New Roman" w:hAnsi="Times New Roman" w:cs="Times New Roman"/>
                <w:color w:val="auto"/>
                <w:szCs w:val="21"/>
                <w:highlight w:val="none"/>
                <w:lang w:val="en-US" w:eastAsia="zh-CN"/>
              </w:rPr>
              <w:t>处理后用于农肥</w:t>
            </w:r>
          </w:p>
        </w:tc>
        <w:tc>
          <w:tcPr>
            <w:tcW w:w="1741" w:type="dxa"/>
            <w:vMerge w:val="restart"/>
            <w:vAlign w:val="center"/>
          </w:tcPr>
          <w:p>
            <w:pPr>
              <w:spacing w:line="276" w:lineRule="auto"/>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Merge w:val="continue"/>
            <w:vAlign w:val="center"/>
          </w:tcPr>
          <w:p>
            <w:pPr>
              <w:spacing w:line="276" w:lineRule="auto"/>
              <w:jc w:val="center"/>
              <w:rPr>
                <w:rFonts w:cs="Times New Roman" w:eastAsiaTheme="minorEastAsia"/>
                <w:color w:val="auto"/>
                <w:sz w:val="21"/>
                <w:szCs w:val="21"/>
                <w:highlight w:val="none"/>
              </w:rPr>
            </w:pPr>
          </w:p>
        </w:tc>
        <w:tc>
          <w:tcPr>
            <w:tcW w:w="1716" w:type="dxa"/>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食堂废水</w:t>
            </w:r>
          </w:p>
        </w:tc>
        <w:tc>
          <w:tcPr>
            <w:tcW w:w="1059" w:type="dxa"/>
            <w:vMerge w:val="continue"/>
            <w:vAlign w:val="center"/>
          </w:tcPr>
          <w:p>
            <w:pPr>
              <w:spacing w:line="276" w:lineRule="auto"/>
              <w:jc w:val="center"/>
              <w:rPr>
                <w:rFonts w:cs="Times New Roman" w:eastAsiaTheme="minorEastAsia"/>
                <w:color w:val="auto"/>
                <w:sz w:val="21"/>
                <w:szCs w:val="21"/>
                <w:highlight w:val="none"/>
              </w:rPr>
            </w:pPr>
          </w:p>
        </w:tc>
        <w:tc>
          <w:tcPr>
            <w:tcW w:w="3471" w:type="dxa"/>
            <w:vMerge w:val="continue"/>
            <w:vAlign w:val="center"/>
          </w:tcPr>
          <w:p>
            <w:pPr>
              <w:spacing w:line="276" w:lineRule="auto"/>
              <w:jc w:val="center"/>
              <w:rPr>
                <w:rFonts w:cs="Times New Roman" w:eastAsiaTheme="minorEastAsia"/>
                <w:color w:val="auto"/>
                <w:sz w:val="21"/>
                <w:szCs w:val="21"/>
                <w:highlight w:val="none"/>
              </w:rPr>
            </w:pPr>
          </w:p>
        </w:tc>
        <w:tc>
          <w:tcPr>
            <w:tcW w:w="1741" w:type="dxa"/>
            <w:vMerge w:val="continue"/>
            <w:vAlign w:val="center"/>
          </w:tcPr>
          <w:p>
            <w:pPr>
              <w:spacing w:line="276" w:lineRule="auto"/>
              <w:jc w:val="center"/>
              <w:rPr>
                <w:rFonts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Merge w:val="continue"/>
            <w:vAlign w:val="center"/>
          </w:tcPr>
          <w:p>
            <w:pPr>
              <w:spacing w:line="276" w:lineRule="auto"/>
              <w:jc w:val="center"/>
              <w:rPr>
                <w:rFonts w:cs="Times New Roman" w:eastAsiaTheme="minorEastAsia"/>
                <w:color w:val="auto"/>
                <w:sz w:val="21"/>
                <w:szCs w:val="21"/>
                <w:highlight w:val="none"/>
              </w:rPr>
            </w:pPr>
          </w:p>
        </w:tc>
        <w:tc>
          <w:tcPr>
            <w:tcW w:w="1716" w:type="dxa"/>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snapToGrid w:val="0"/>
                <w:color w:val="auto"/>
                <w:kern w:val="0"/>
                <w:sz w:val="21"/>
                <w:szCs w:val="21"/>
                <w:highlight w:val="none"/>
                <w:lang w:val="en-US" w:eastAsia="zh-CN" w:bidi="ar-SA"/>
              </w:rPr>
              <w:t>生产废水</w:t>
            </w:r>
          </w:p>
        </w:tc>
        <w:tc>
          <w:tcPr>
            <w:tcW w:w="1059" w:type="dxa"/>
            <w:vAlign w:val="center"/>
          </w:tcPr>
          <w:p>
            <w:pPr>
              <w:spacing w:line="276"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SS</w:t>
            </w:r>
          </w:p>
        </w:tc>
        <w:tc>
          <w:tcPr>
            <w:tcW w:w="3471" w:type="dxa"/>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0000FF"/>
                <w:kern w:val="2"/>
                <w:sz w:val="21"/>
                <w:szCs w:val="21"/>
                <w:highlight w:val="none"/>
                <w:lang w:val="en-US" w:eastAsia="zh-CN" w:bidi="ar-SA"/>
              </w:rPr>
              <w:t>废水经</w:t>
            </w:r>
            <w:r>
              <w:rPr>
                <w:rFonts w:hint="default" w:ascii="Times New Roman" w:hAnsi="Times New Roman" w:cs="Times New Roman"/>
                <w:color w:val="0000FF"/>
                <w:sz w:val="21"/>
                <w:szCs w:val="21"/>
                <w:highlight w:val="none"/>
                <w:lang w:val="en-US" w:eastAsia="zh-CN"/>
              </w:rPr>
              <w:t>螺旋绞砂机处理后</w:t>
            </w:r>
            <w:r>
              <w:rPr>
                <w:rFonts w:hint="eastAsia" w:cs="Times New Roman"/>
                <w:color w:val="0000FF"/>
                <w:sz w:val="21"/>
                <w:szCs w:val="21"/>
                <w:highlight w:val="none"/>
                <w:lang w:val="en-US" w:eastAsia="zh-CN"/>
              </w:rPr>
              <w:t>，进入三级沉淀池处理，剩余污泥经板框压滤机压成泥饼，</w:t>
            </w:r>
            <w:r>
              <w:rPr>
                <w:rFonts w:hint="default" w:ascii="Times New Roman" w:hAnsi="Times New Roman" w:cs="Times New Roman"/>
                <w:color w:val="auto"/>
                <w:kern w:val="2"/>
                <w:sz w:val="21"/>
                <w:szCs w:val="21"/>
                <w:highlight w:val="none"/>
                <w:lang w:val="en-US" w:eastAsia="zh-CN" w:bidi="ar-SA"/>
              </w:rPr>
              <w:t>废水</w:t>
            </w:r>
            <w:r>
              <w:rPr>
                <w:rFonts w:hint="eastAsia" w:cs="Times New Roman"/>
                <w:color w:val="auto"/>
                <w:kern w:val="2"/>
                <w:sz w:val="21"/>
                <w:szCs w:val="21"/>
                <w:highlight w:val="none"/>
                <w:lang w:val="en-US" w:eastAsia="zh-CN" w:bidi="ar-SA"/>
              </w:rPr>
              <w:t>处理</w:t>
            </w:r>
            <w:r>
              <w:rPr>
                <w:rFonts w:hint="default" w:ascii="Times New Roman" w:hAnsi="Times New Roman" w:cs="Times New Roman"/>
                <w:color w:val="auto"/>
                <w:kern w:val="2"/>
                <w:sz w:val="21"/>
                <w:szCs w:val="21"/>
                <w:highlight w:val="none"/>
                <w:lang w:val="en-US" w:eastAsia="zh-CN" w:bidi="ar-SA"/>
              </w:rPr>
              <w:t>后循环使用，不外排</w:t>
            </w:r>
          </w:p>
        </w:tc>
        <w:tc>
          <w:tcPr>
            <w:tcW w:w="1741" w:type="dxa"/>
            <w:vAlign w:val="center"/>
          </w:tcPr>
          <w:p>
            <w:pPr>
              <w:spacing w:line="276" w:lineRule="auto"/>
              <w:jc w:val="center"/>
              <w:rPr>
                <w:rFonts w:cs="Times New Roman" w:eastAsiaTheme="minorEastAsia"/>
                <w:color w:val="auto"/>
                <w:sz w:val="21"/>
                <w:szCs w:val="21"/>
                <w:highlight w:val="none"/>
              </w:rPr>
            </w:pPr>
            <w:r>
              <w:rPr>
                <w:rFonts w:cs="Times New Roman" w:eastAsiaTheme="minorEastAsia"/>
                <w:color w:val="auto"/>
                <w:sz w:val="21"/>
                <w:szCs w:val="21"/>
                <w:highlight w:val="none"/>
              </w:rPr>
              <w:t>循环使用</w:t>
            </w:r>
            <w:r>
              <w:rPr>
                <w:rFonts w:hint="eastAsia" w:cs="Times New Roman" w:eastAsiaTheme="minorEastAsia"/>
                <w:color w:val="auto"/>
                <w:sz w:val="21"/>
                <w:szCs w:val="21"/>
                <w:highlight w:val="none"/>
              </w:rPr>
              <w:t>，</w:t>
            </w:r>
            <w:r>
              <w:rPr>
                <w:rFonts w:cs="Times New Roman" w:eastAsiaTheme="minorEastAsia"/>
                <w:color w:val="auto"/>
                <w:sz w:val="21"/>
                <w:szCs w:val="21"/>
                <w:highlight w:val="none"/>
              </w:rPr>
              <w:t>严禁外排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Merge w:val="restart"/>
            <w:vAlign w:val="center"/>
          </w:tcPr>
          <w:p>
            <w:pPr>
              <w:spacing w:line="276" w:lineRule="auto"/>
              <w:jc w:val="center"/>
              <w:rPr>
                <w:rFonts w:cs="Times New Roman" w:eastAsiaTheme="minorEastAsia"/>
                <w:color w:val="auto"/>
                <w:sz w:val="21"/>
                <w:szCs w:val="21"/>
                <w:highlight w:val="none"/>
              </w:rPr>
            </w:pPr>
            <w:r>
              <w:rPr>
                <w:rFonts w:cs="Times New Roman" w:eastAsiaTheme="minorEastAsia"/>
                <w:color w:val="auto"/>
                <w:sz w:val="21"/>
                <w:szCs w:val="21"/>
                <w:highlight w:val="none"/>
              </w:rPr>
              <w:t>声环境</w:t>
            </w:r>
          </w:p>
        </w:tc>
        <w:tc>
          <w:tcPr>
            <w:tcW w:w="1716" w:type="dxa"/>
            <w:vAlign w:val="center"/>
          </w:tcPr>
          <w:p>
            <w:pPr>
              <w:spacing w:line="276" w:lineRule="auto"/>
              <w:jc w:val="center"/>
              <w:rPr>
                <w:rFonts w:cs="Times New Roman" w:eastAsiaTheme="minorEastAsia"/>
                <w:color w:val="auto"/>
                <w:sz w:val="21"/>
                <w:szCs w:val="21"/>
                <w:highlight w:val="none"/>
              </w:rPr>
            </w:pPr>
            <w:r>
              <w:rPr>
                <w:rFonts w:cs="Times New Roman" w:eastAsiaTheme="minorEastAsia"/>
                <w:color w:val="auto"/>
                <w:sz w:val="21"/>
                <w:szCs w:val="21"/>
                <w:highlight w:val="none"/>
              </w:rPr>
              <w:t>车辆噪声</w:t>
            </w:r>
          </w:p>
        </w:tc>
        <w:tc>
          <w:tcPr>
            <w:tcW w:w="1059" w:type="dxa"/>
            <w:vAlign w:val="center"/>
          </w:tcPr>
          <w:p>
            <w:pPr>
              <w:spacing w:line="276" w:lineRule="auto"/>
              <w:jc w:val="center"/>
              <w:rPr>
                <w:rFonts w:cs="Times New Roman" w:eastAsiaTheme="minorEastAsia"/>
                <w:color w:val="auto"/>
                <w:sz w:val="21"/>
                <w:szCs w:val="21"/>
                <w:highlight w:val="none"/>
              </w:rPr>
            </w:pPr>
            <w:r>
              <w:rPr>
                <w:rFonts w:cs="Times New Roman" w:eastAsiaTheme="minorEastAsia"/>
                <w:color w:val="auto"/>
                <w:sz w:val="21"/>
                <w:szCs w:val="21"/>
                <w:highlight w:val="none"/>
              </w:rPr>
              <w:t>噪声</w:t>
            </w:r>
          </w:p>
        </w:tc>
        <w:tc>
          <w:tcPr>
            <w:tcW w:w="3471" w:type="dxa"/>
            <w:vAlign w:val="center"/>
          </w:tcPr>
          <w:p>
            <w:pPr>
              <w:spacing w:line="276" w:lineRule="auto"/>
              <w:jc w:val="center"/>
              <w:rPr>
                <w:rFonts w:cs="Times New Roman" w:eastAsiaTheme="minorEastAsia"/>
                <w:color w:val="auto"/>
                <w:sz w:val="21"/>
                <w:szCs w:val="21"/>
                <w:highlight w:val="none"/>
              </w:rPr>
            </w:pPr>
            <w:r>
              <w:rPr>
                <w:rFonts w:hint="eastAsia" w:cs="Times New Roman" w:eastAsiaTheme="minorEastAsia"/>
                <w:color w:val="auto"/>
                <w:sz w:val="21"/>
                <w:szCs w:val="21"/>
                <w:highlight w:val="none"/>
              </w:rPr>
              <w:t>禁止超速、超载，减速慢行</w:t>
            </w:r>
          </w:p>
        </w:tc>
        <w:tc>
          <w:tcPr>
            <w:tcW w:w="1741" w:type="dxa"/>
            <w:vMerge w:val="restart"/>
            <w:vAlign w:val="center"/>
          </w:tcPr>
          <w:p>
            <w:pPr>
              <w:spacing w:line="276" w:lineRule="auto"/>
              <w:jc w:val="center"/>
              <w:rPr>
                <w:rFonts w:cs="Times New Roman" w:eastAsiaTheme="minorEastAsia"/>
                <w:color w:val="auto"/>
                <w:sz w:val="21"/>
                <w:szCs w:val="21"/>
                <w:highlight w:val="none"/>
              </w:rPr>
            </w:pPr>
            <w:r>
              <w:rPr>
                <w:rFonts w:hint="eastAsia" w:cs="Times New Roman" w:eastAsiaTheme="minorEastAsia"/>
                <w:color w:val="auto"/>
                <w:sz w:val="21"/>
                <w:szCs w:val="21"/>
                <w:highlight w:val="none"/>
              </w:rPr>
              <w:t>《工业企业厂界环境噪声排放标准》（GB12348-2008）</w:t>
            </w:r>
            <w:r>
              <w:rPr>
                <w:rFonts w:hint="eastAsia" w:cs="Times New Roman" w:eastAsiaTheme="minorEastAsia"/>
                <w:color w:val="auto"/>
                <w:sz w:val="21"/>
                <w:szCs w:val="21"/>
                <w:highlight w:val="none"/>
                <w:lang w:val="en-US" w:eastAsia="zh-CN"/>
              </w:rPr>
              <w:t>2</w:t>
            </w:r>
            <w:r>
              <w:rPr>
                <w:rFonts w:hint="eastAsia" w:cs="Times New Roman" w:eastAsiaTheme="minorEastAsia"/>
                <w:color w:val="auto"/>
                <w:sz w:val="21"/>
                <w:szCs w:val="21"/>
                <w:highlight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Merge w:val="continue"/>
            <w:vAlign w:val="center"/>
          </w:tcPr>
          <w:p>
            <w:pPr>
              <w:spacing w:line="276" w:lineRule="auto"/>
              <w:jc w:val="center"/>
              <w:rPr>
                <w:rFonts w:cs="Times New Roman" w:eastAsiaTheme="minorEastAsia"/>
                <w:color w:val="auto"/>
                <w:sz w:val="21"/>
                <w:szCs w:val="21"/>
                <w:highlight w:val="none"/>
              </w:rPr>
            </w:pPr>
          </w:p>
        </w:tc>
        <w:tc>
          <w:tcPr>
            <w:tcW w:w="1716" w:type="dxa"/>
            <w:vAlign w:val="center"/>
          </w:tcPr>
          <w:p>
            <w:pPr>
              <w:spacing w:line="276" w:lineRule="auto"/>
              <w:jc w:val="center"/>
              <w:rPr>
                <w:rFonts w:cs="Times New Roman" w:eastAsiaTheme="minorEastAsia"/>
                <w:color w:val="auto"/>
                <w:sz w:val="21"/>
                <w:szCs w:val="21"/>
                <w:highlight w:val="none"/>
              </w:rPr>
            </w:pPr>
            <w:r>
              <w:rPr>
                <w:rFonts w:cs="Times New Roman" w:eastAsiaTheme="minorEastAsia"/>
                <w:color w:val="auto"/>
                <w:sz w:val="21"/>
                <w:szCs w:val="21"/>
                <w:highlight w:val="none"/>
              </w:rPr>
              <w:t>设备噪声</w:t>
            </w:r>
          </w:p>
        </w:tc>
        <w:tc>
          <w:tcPr>
            <w:tcW w:w="1059" w:type="dxa"/>
            <w:vAlign w:val="center"/>
          </w:tcPr>
          <w:p>
            <w:pPr>
              <w:spacing w:line="276" w:lineRule="auto"/>
              <w:jc w:val="center"/>
              <w:rPr>
                <w:rFonts w:cs="Times New Roman" w:eastAsiaTheme="minorEastAsia"/>
                <w:color w:val="auto"/>
                <w:sz w:val="21"/>
                <w:szCs w:val="21"/>
                <w:highlight w:val="none"/>
              </w:rPr>
            </w:pPr>
            <w:r>
              <w:rPr>
                <w:rFonts w:cs="Times New Roman" w:eastAsiaTheme="minorEastAsia"/>
                <w:color w:val="auto"/>
                <w:sz w:val="21"/>
                <w:szCs w:val="21"/>
                <w:highlight w:val="none"/>
              </w:rPr>
              <w:t>噪声</w:t>
            </w:r>
          </w:p>
        </w:tc>
        <w:tc>
          <w:tcPr>
            <w:tcW w:w="3471" w:type="dxa"/>
            <w:vAlign w:val="center"/>
          </w:tcPr>
          <w:p>
            <w:pPr>
              <w:spacing w:line="276" w:lineRule="auto"/>
              <w:jc w:val="center"/>
              <w:rPr>
                <w:rFonts w:cs="Times New Roman" w:eastAsiaTheme="minorEastAsia"/>
                <w:color w:val="auto"/>
                <w:sz w:val="21"/>
                <w:szCs w:val="21"/>
                <w:highlight w:val="none"/>
              </w:rPr>
            </w:pPr>
            <w:r>
              <w:rPr>
                <w:rFonts w:hint="eastAsia" w:cs="Times New Roman" w:eastAsiaTheme="minorEastAsia"/>
                <w:color w:val="auto"/>
                <w:sz w:val="21"/>
                <w:szCs w:val="21"/>
                <w:highlight w:val="none"/>
              </w:rPr>
              <w:t>选低噪声设备，采取基础减振、隔声措施</w:t>
            </w:r>
          </w:p>
        </w:tc>
        <w:tc>
          <w:tcPr>
            <w:tcW w:w="1741" w:type="dxa"/>
            <w:vMerge w:val="continue"/>
            <w:vAlign w:val="center"/>
          </w:tcPr>
          <w:p>
            <w:pPr>
              <w:spacing w:line="276" w:lineRule="auto"/>
              <w:jc w:val="center"/>
              <w:rPr>
                <w:rFonts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Align w:val="center"/>
          </w:tcPr>
          <w:p>
            <w:pPr>
              <w:spacing w:line="276" w:lineRule="auto"/>
              <w:jc w:val="center"/>
              <w:rPr>
                <w:rFonts w:cs="Times New Roman" w:eastAsiaTheme="minorEastAsia"/>
                <w:color w:val="auto"/>
                <w:sz w:val="21"/>
                <w:szCs w:val="21"/>
                <w:highlight w:val="none"/>
              </w:rPr>
            </w:pPr>
            <w:r>
              <w:rPr>
                <w:rFonts w:hint="eastAsia" w:cs="Times New Roman" w:eastAsiaTheme="minorEastAsia"/>
                <w:color w:val="auto"/>
                <w:sz w:val="21"/>
                <w:szCs w:val="21"/>
                <w:highlight w:val="none"/>
              </w:rPr>
              <w:t>电磁辐射</w:t>
            </w:r>
          </w:p>
        </w:tc>
        <w:tc>
          <w:tcPr>
            <w:tcW w:w="1716" w:type="dxa"/>
            <w:vAlign w:val="center"/>
          </w:tcPr>
          <w:p>
            <w:pPr>
              <w:spacing w:line="276" w:lineRule="auto"/>
              <w:jc w:val="center"/>
              <w:rPr>
                <w:rFonts w:cs="Times New Roman" w:eastAsiaTheme="minorEastAsia"/>
                <w:color w:val="auto"/>
                <w:sz w:val="21"/>
                <w:szCs w:val="21"/>
                <w:highlight w:val="none"/>
              </w:rPr>
            </w:pPr>
            <w:r>
              <w:rPr>
                <w:rFonts w:hint="eastAsia" w:cs="Times New Roman" w:eastAsiaTheme="minorEastAsia"/>
                <w:color w:val="auto"/>
                <w:sz w:val="21"/>
                <w:szCs w:val="21"/>
                <w:highlight w:val="none"/>
              </w:rPr>
              <w:t>/</w:t>
            </w:r>
          </w:p>
        </w:tc>
        <w:tc>
          <w:tcPr>
            <w:tcW w:w="1059" w:type="dxa"/>
            <w:vAlign w:val="center"/>
          </w:tcPr>
          <w:p>
            <w:pPr>
              <w:spacing w:line="276" w:lineRule="auto"/>
              <w:jc w:val="center"/>
              <w:rPr>
                <w:rFonts w:cs="Times New Roman" w:eastAsiaTheme="minorEastAsia"/>
                <w:color w:val="auto"/>
                <w:sz w:val="21"/>
                <w:szCs w:val="21"/>
                <w:highlight w:val="none"/>
              </w:rPr>
            </w:pPr>
            <w:r>
              <w:rPr>
                <w:rFonts w:hint="eastAsia" w:cs="Times New Roman" w:eastAsiaTheme="minorEastAsia"/>
                <w:color w:val="auto"/>
                <w:sz w:val="21"/>
                <w:szCs w:val="21"/>
                <w:highlight w:val="none"/>
              </w:rPr>
              <w:t>/</w:t>
            </w:r>
          </w:p>
        </w:tc>
        <w:tc>
          <w:tcPr>
            <w:tcW w:w="3471" w:type="dxa"/>
            <w:vAlign w:val="center"/>
          </w:tcPr>
          <w:p>
            <w:pPr>
              <w:spacing w:line="276" w:lineRule="auto"/>
              <w:jc w:val="center"/>
              <w:rPr>
                <w:rFonts w:cs="Times New Roman" w:eastAsiaTheme="minorEastAsia"/>
                <w:color w:val="auto"/>
                <w:sz w:val="21"/>
                <w:szCs w:val="21"/>
                <w:highlight w:val="none"/>
              </w:rPr>
            </w:pPr>
            <w:r>
              <w:rPr>
                <w:rFonts w:hint="eastAsia" w:cs="Times New Roman" w:eastAsiaTheme="minorEastAsia"/>
                <w:color w:val="auto"/>
                <w:sz w:val="21"/>
                <w:szCs w:val="21"/>
                <w:highlight w:val="none"/>
              </w:rPr>
              <w:t>/</w:t>
            </w:r>
          </w:p>
        </w:tc>
        <w:tc>
          <w:tcPr>
            <w:tcW w:w="1741" w:type="dxa"/>
            <w:vAlign w:val="center"/>
          </w:tcPr>
          <w:p>
            <w:pPr>
              <w:spacing w:line="276" w:lineRule="auto"/>
              <w:jc w:val="center"/>
              <w:rPr>
                <w:rFonts w:cs="Times New Roman" w:eastAsiaTheme="minorEastAsia"/>
                <w:color w:val="auto"/>
                <w:sz w:val="21"/>
                <w:szCs w:val="21"/>
                <w:highlight w:val="none"/>
              </w:rPr>
            </w:pPr>
            <w:r>
              <w:rPr>
                <w:rFonts w:hint="eastAsia" w:cs="Times New Roman"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Align w:val="center"/>
          </w:tcPr>
          <w:p>
            <w:pPr>
              <w:spacing w:line="276" w:lineRule="auto"/>
              <w:jc w:val="center"/>
              <w:rPr>
                <w:rFonts w:cs="Times New Roman" w:eastAsiaTheme="minorEastAsia"/>
                <w:color w:val="auto"/>
                <w:sz w:val="21"/>
                <w:szCs w:val="21"/>
                <w:highlight w:val="none"/>
              </w:rPr>
            </w:pPr>
            <w:r>
              <w:rPr>
                <w:rFonts w:hint="eastAsia" w:cs="Times New Roman" w:eastAsiaTheme="minorEastAsia"/>
                <w:color w:val="auto"/>
                <w:sz w:val="21"/>
                <w:szCs w:val="21"/>
                <w:highlight w:val="none"/>
              </w:rPr>
              <w:t>固体废物</w:t>
            </w:r>
          </w:p>
        </w:tc>
        <w:tc>
          <w:tcPr>
            <w:tcW w:w="7987" w:type="dxa"/>
            <w:gridSpan w:val="4"/>
            <w:vAlign w:val="center"/>
          </w:tcPr>
          <w:p>
            <w:pPr>
              <w:spacing w:line="276" w:lineRule="auto"/>
              <w:ind w:firstLine="420" w:firstLineChars="200"/>
              <w:rPr>
                <w:rFonts w:hint="default" w:cs="Times New Roman" w:eastAsiaTheme="minorEastAsia"/>
                <w:color w:val="auto"/>
                <w:sz w:val="21"/>
                <w:szCs w:val="21"/>
                <w:highlight w:val="none"/>
                <w:lang w:val="en-US"/>
              </w:rPr>
            </w:pPr>
            <w:r>
              <w:rPr>
                <w:rFonts w:hint="default" w:ascii="Times New Roman" w:hAnsi="Times New Roman" w:cs="Times New Roman"/>
                <w:color w:val="auto"/>
                <w:sz w:val="21"/>
                <w:szCs w:val="21"/>
                <w:highlight w:val="none"/>
              </w:rPr>
              <w:t>生活垃圾经袋装收集后定期交由环卫部门统一清运</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0000FF"/>
                <w:sz w:val="21"/>
                <w:szCs w:val="21"/>
                <w:highlight w:val="none"/>
              </w:rPr>
              <w:t>经</w:t>
            </w:r>
            <w:r>
              <w:rPr>
                <w:rFonts w:hint="default" w:ascii="Times New Roman" w:hAnsi="Times New Roman" w:cs="Times New Roman"/>
                <w:color w:val="0000FF"/>
                <w:sz w:val="21"/>
                <w:szCs w:val="21"/>
                <w:highlight w:val="none"/>
                <w:lang w:val="en-US" w:eastAsia="zh-CN"/>
              </w:rPr>
              <w:t>压滤机压滤后</w:t>
            </w:r>
            <w:r>
              <w:rPr>
                <w:rFonts w:hint="eastAsia" w:cs="Times New Roman"/>
                <w:color w:val="0000FF"/>
                <w:sz w:val="21"/>
                <w:szCs w:val="21"/>
                <w:highlight w:val="none"/>
                <w:lang w:val="en-US" w:eastAsia="zh-CN"/>
              </w:rPr>
              <w:t>的泥饼</w:t>
            </w:r>
            <w:r>
              <w:rPr>
                <w:rFonts w:hint="eastAsia"/>
                <w:color w:val="0000FF"/>
                <w:lang w:val="en-US" w:eastAsia="zh-CN"/>
              </w:rPr>
              <w:t>直接掉入下方车中运走</w:t>
            </w:r>
            <w:r>
              <w:rPr>
                <w:rFonts w:hint="eastAsia" w:cs="Times New Roman"/>
                <w:color w:val="0000FF"/>
                <w:sz w:val="21"/>
                <w:szCs w:val="21"/>
                <w:highlight w:val="none"/>
                <w:lang w:val="en-US" w:eastAsia="zh-CN"/>
              </w:rPr>
              <w:t>，</w:t>
            </w:r>
            <w:r>
              <w:rPr>
                <w:rFonts w:hint="default" w:ascii="Times New Roman" w:hAnsi="Times New Roman" w:cs="Times New Roman"/>
                <w:color w:val="auto"/>
                <w:sz w:val="21"/>
                <w:szCs w:val="21"/>
                <w:highlight w:val="none"/>
                <w:lang w:val="en-US" w:eastAsia="zh-CN"/>
              </w:rPr>
              <w:t>外售制砖；边角石料送至砂厂制砂</w:t>
            </w:r>
            <w:r>
              <w:rPr>
                <w:rFonts w:hint="eastAsia" w:cs="Times New Roman"/>
                <w:color w:val="auto"/>
                <w:sz w:val="21"/>
                <w:szCs w:val="21"/>
                <w:highlight w:val="none"/>
                <w:lang w:val="en-US" w:eastAsia="zh-CN"/>
              </w:rPr>
              <w:t>；</w:t>
            </w:r>
            <w:r>
              <w:rPr>
                <w:rFonts w:hint="default" w:ascii="Times New Roman" w:hAnsi="Times New Roman" w:cs="Times New Roman"/>
                <w:color w:val="0000FF"/>
                <w:sz w:val="21"/>
                <w:szCs w:val="21"/>
                <w:highlight w:val="none"/>
                <w:lang w:val="en-US" w:eastAsia="zh-CN"/>
              </w:rPr>
              <w:t>螺旋绞砂机</w:t>
            </w:r>
            <w:r>
              <w:rPr>
                <w:rFonts w:hint="eastAsia" w:cs="Times New Roman"/>
                <w:color w:val="0000FF"/>
                <w:sz w:val="21"/>
                <w:szCs w:val="21"/>
                <w:highlight w:val="none"/>
                <w:lang w:val="en-US" w:eastAsia="zh-CN"/>
              </w:rPr>
              <w:t>选出的砂外售</w:t>
            </w:r>
            <w:r>
              <w:rPr>
                <w:rFonts w:hint="default" w:ascii="Times New Roman" w:hAnsi="Times New Roman" w:eastAsia="宋体" w:cs="Times New Roman"/>
                <w:color w:val="auto"/>
                <w:kern w:val="2"/>
                <w:sz w:val="21"/>
                <w:szCs w:val="21"/>
                <w:highlight w:val="none"/>
                <w:lang w:val="en-US" w:eastAsia="zh-CN" w:bidi="ar-SA"/>
              </w:rPr>
              <w:t>。</w:t>
            </w:r>
            <w:r>
              <w:rPr>
                <w:rFonts w:hint="eastAsia" w:cs="Times New Roman"/>
                <w:color w:val="0000FF"/>
                <w:kern w:val="2"/>
                <w:sz w:val="21"/>
                <w:szCs w:val="21"/>
                <w:highlight w:val="none"/>
                <w:lang w:val="en-US" w:eastAsia="zh-CN" w:bidi="ar-SA"/>
              </w:rPr>
              <w:t>废机油暂存于危废暂存间，定期交由有资质的单位进行处理。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Align w:val="center"/>
          </w:tcPr>
          <w:p>
            <w:pPr>
              <w:spacing w:line="276" w:lineRule="auto"/>
              <w:jc w:val="center"/>
              <w:rPr>
                <w:rFonts w:cs="Times New Roman" w:eastAsiaTheme="minorEastAsia"/>
                <w:color w:val="auto"/>
                <w:sz w:val="21"/>
                <w:szCs w:val="21"/>
                <w:highlight w:val="none"/>
              </w:rPr>
            </w:pPr>
            <w:r>
              <w:rPr>
                <w:rFonts w:hint="eastAsia" w:cs="Times New Roman" w:eastAsiaTheme="minorEastAsia"/>
                <w:color w:val="auto"/>
                <w:sz w:val="21"/>
                <w:szCs w:val="21"/>
                <w:highlight w:val="none"/>
              </w:rPr>
              <w:t>土壤及地下水污染防治措施</w:t>
            </w:r>
          </w:p>
        </w:tc>
        <w:tc>
          <w:tcPr>
            <w:tcW w:w="7987" w:type="dxa"/>
            <w:gridSpan w:val="4"/>
            <w:vAlign w:val="center"/>
          </w:tcPr>
          <w:p>
            <w:pPr>
              <w:spacing w:line="276" w:lineRule="auto"/>
              <w:ind w:firstLine="420" w:firstLineChars="200"/>
              <w:rPr>
                <w:rFonts w:hint="eastAsia" w:cs="Times New Roman" w:eastAsiaTheme="minorEastAsia"/>
                <w:color w:val="auto"/>
                <w:sz w:val="21"/>
                <w:szCs w:val="21"/>
                <w:highlight w:val="none"/>
                <w:lang w:eastAsia="zh-CN"/>
              </w:rPr>
            </w:pPr>
            <w:r>
              <w:rPr>
                <w:rFonts w:hint="eastAsia" w:cs="Times New Roman" w:eastAsiaTheme="minorEastAsia"/>
                <w:color w:val="auto"/>
                <w:sz w:val="21"/>
                <w:szCs w:val="21"/>
                <w:highlight w:val="none"/>
              </w:rPr>
              <w:t>重点防渗区</w:t>
            </w:r>
            <w:r>
              <w:rPr>
                <w:color w:val="auto"/>
                <w:kern w:val="2"/>
                <w:highlight w:val="none"/>
              </w:rPr>
              <w:t>采用</w:t>
            </w:r>
            <w:r>
              <w:rPr>
                <w:rFonts w:hint="default" w:ascii="Times New Roman" w:hAnsi="Times New Roman" w:cs="Times New Roman"/>
                <w:color w:val="auto"/>
                <w:sz w:val="21"/>
                <w:szCs w:val="21"/>
                <w:highlight w:val="none"/>
                <w:lang w:val="en-US" w:eastAsia="zh-CN" w:bidi="ar"/>
              </w:rPr>
              <w:t>25cmC30</w:t>
            </w:r>
            <w:r>
              <w:rPr>
                <w:rFonts w:hint="eastAsia" w:cs="Times New Roman" w:eastAsiaTheme="minorEastAsia"/>
                <w:color w:val="auto"/>
                <w:sz w:val="21"/>
                <w:szCs w:val="21"/>
                <w:highlight w:val="none"/>
              </w:rPr>
              <w:t>防渗混凝土+黏土防渗层，一般防渗区采用</w:t>
            </w:r>
            <w:r>
              <w:rPr>
                <w:rFonts w:hint="default" w:ascii="Times New Roman" w:hAnsi="Times New Roman" w:cs="Times New Roman"/>
                <w:color w:val="auto"/>
                <w:sz w:val="21"/>
                <w:szCs w:val="21"/>
                <w:highlight w:val="none"/>
                <w:lang w:val="en-US" w:eastAsia="zh-CN" w:bidi="ar"/>
              </w:rPr>
              <w:t>25cmC30</w:t>
            </w:r>
            <w:r>
              <w:rPr>
                <w:rFonts w:hint="eastAsia" w:cs="Times New Roman" w:eastAsiaTheme="minorEastAsia"/>
                <w:color w:val="auto"/>
                <w:sz w:val="21"/>
                <w:szCs w:val="21"/>
                <w:highlight w:val="none"/>
              </w:rPr>
              <w:t>防渗混凝土+黏土防渗层，简单防渗区采取水泥地面硬化</w:t>
            </w:r>
            <w:r>
              <w:rPr>
                <w:rFonts w:hint="eastAsia" w:cs="Times New Roman" w:eastAsiaTheme="minorEastAsia"/>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Align w:val="center"/>
          </w:tcPr>
          <w:p>
            <w:pPr>
              <w:spacing w:line="276" w:lineRule="auto"/>
              <w:jc w:val="center"/>
              <w:rPr>
                <w:rFonts w:cs="Times New Roman" w:eastAsiaTheme="minorEastAsia"/>
                <w:color w:val="auto"/>
                <w:sz w:val="21"/>
                <w:szCs w:val="21"/>
                <w:highlight w:val="none"/>
              </w:rPr>
            </w:pPr>
            <w:r>
              <w:rPr>
                <w:rFonts w:hint="eastAsia" w:cs="Times New Roman" w:eastAsiaTheme="minorEastAsia"/>
                <w:color w:val="auto"/>
                <w:sz w:val="21"/>
                <w:szCs w:val="21"/>
                <w:highlight w:val="none"/>
              </w:rPr>
              <w:t>生态保护措施</w:t>
            </w:r>
          </w:p>
        </w:tc>
        <w:tc>
          <w:tcPr>
            <w:tcW w:w="7987" w:type="dxa"/>
            <w:gridSpan w:val="4"/>
            <w:vAlign w:val="center"/>
          </w:tcPr>
          <w:p>
            <w:pPr>
              <w:spacing w:line="276" w:lineRule="auto"/>
              <w:jc w:val="center"/>
              <w:rPr>
                <w:rFonts w:cs="Times New Roman" w:eastAsiaTheme="minorEastAsia"/>
                <w:color w:val="auto"/>
                <w:sz w:val="21"/>
                <w:szCs w:val="21"/>
                <w:highlight w:val="none"/>
              </w:rPr>
            </w:pPr>
            <w:r>
              <w:rPr>
                <w:rFonts w:hint="eastAsia" w:cs="Times New Roman"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Align w:val="center"/>
          </w:tcPr>
          <w:p>
            <w:pPr>
              <w:spacing w:line="276" w:lineRule="auto"/>
              <w:jc w:val="center"/>
              <w:rPr>
                <w:rFonts w:cs="Times New Roman" w:eastAsiaTheme="minorEastAsia"/>
                <w:color w:val="auto"/>
                <w:sz w:val="21"/>
                <w:szCs w:val="21"/>
                <w:highlight w:val="none"/>
              </w:rPr>
            </w:pPr>
            <w:r>
              <w:rPr>
                <w:rFonts w:hint="eastAsia" w:cs="Times New Roman" w:eastAsiaTheme="minorEastAsia"/>
                <w:color w:val="auto"/>
                <w:sz w:val="21"/>
                <w:szCs w:val="21"/>
                <w:highlight w:val="none"/>
              </w:rPr>
              <w:t>环境风险</w:t>
            </w:r>
          </w:p>
          <w:p>
            <w:pPr>
              <w:spacing w:line="276" w:lineRule="auto"/>
              <w:jc w:val="center"/>
              <w:rPr>
                <w:rFonts w:cs="Times New Roman" w:eastAsiaTheme="minorEastAsia"/>
                <w:color w:val="auto"/>
                <w:sz w:val="21"/>
                <w:szCs w:val="21"/>
                <w:highlight w:val="none"/>
              </w:rPr>
            </w:pPr>
            <w:r>
              <w:rPr>
                <w:rFonts w:hint="eastAsia" w:cs="Times New Roman" w:eastAsiaTheme="minorEastAsia"/>
                <w:color w:val="auto"/>
                <w:sz w:val="21"/>
                <w:szCs w:val="21"/>
                <w:highlight w:val="none"/>
              </w:rPr>
              <w:t>防范措施</w:t>
            </w:r>
          </w:p>
        </w:tc>
        <w:tc>
          <w:tcPr>
            <w:tcW w:w="7987" w:type="dxa"/>
            <w:gridSpan w:val="4"/>
            <w:vAlign w:val="center"/>
          </w:tcPr>
          <w:p>
            <w:pPr>
              <w:spacing w:line="276" w:lineRule="auto"/>
              <w:ind w:left="0" w:leftChars="0" w:firstLine="0" w:firstLineChars="0"/>
              <w:jc w:val="center"/>
              <w:rPr>
                <w:rFonts w:cs="Times New Roman" w:eastAsiaTheme="minorEastAsia"/>
                <w:color w:val="auto"/>
                <w:sz w:val="21"/>
                <w:szCs w:val="21"/>
                <w:highlight w:val="none"/>
              </w:rPr>
            </w:pPr>
            <w:r>
              <w:rPr>
                <w:rFonts w:hint="eastAsia" w:cs="Times New Roman" w:eastAsiaTheme="minorEastAsia"/>
                <w:color w:val="auto"/>
                <w:sz w:val="21"/>
                <w:szCs w:val="21"/>
                <w:highlight w:val="none"/>
              </w:rPr>
              <w:t>将三级沉淀池修建为地下式，四周及池底为砖混结构，并采取防渗漏处理；沉淀沉渣清掏作业尽量安排专人进行操作指导，避免误操作损坏池体围堰，发生事故排放</w:t>
            </w:r>
            <w:r>
              <w:rPr>
                <w:rFonts w:hint="eastAsia" w:cs="Times New Roman" w:eastAsiaTheme="minorEastAsia"/>
                <w:color w:val="auto"/>
                <w:sz w:val="21"/>
                <w:szCs w:val="21"/>
                <w:highlight w:val="none"/>
                <w:lang w:eastAsia="zh-CN"/>
              </w:rPr>
              <w:t>；</w:t>
            </w:r>
            <w:r>
              <w:rPr>
                <w:rFonts w:hint="eastAsia" w:cs="Times New Roman" w:eastAsiaTheme="minorEastAsia"/>
                <w:color w:val="auto"/>
                <w:sz w:val="21"/>
                <w:szCs w:val="21"/>
                <w:highlight w:val="none"/>
              </w:rPr>
              <w:t>设置警示标识，配备相应数量灭火器，开展员工安全培训；加强污染防治设施管理和维护</w:t>
            </w:r>
            <w:r>
              <w:rPr>
                <w:rFonts w:hint="eastAsia" w:cs="Times New Roman" w:eastAsiaTheme="minorEastAsia"/>
                <w:color w:val="auto"/>
                <w:sz w:val="21"/>
                <w:szCs w:val="21"/>
                <w:highlight w:val="none"/>
                <w:lang w:eastAsia="zh-CN"/>
              </w:rPr>
              <w:t>；</w:t>
            </w:r>
            <w:r>
              <w:rPr>
                <w:rFonts w:hint="eastAsia" w:cstheme="minorHAnsi"/>
                <w:color w:val="0000FF"/>
                <w:sz w:val="21"/>
                <w:szCs w:val="21"/>
                <w:highlight w:val="none"/>
                <w:lang w:eastAsia="zh-CN"/>
              </w:rPr>
              <w:t>危废暂存间做好地面防渗、防漏措施，设置防渗托盘，设置备用收容设施</w:t>
            </w:r>
            <w:r>
              <w:rPr>
                <w:rFonts w:hint="eastAsia" w:cs="Times New Roman"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62" w:type="dxa"/>
            <w:vAlign w:val="center"/>
          </w:tcPr>
          <w:p>
            <w:pPr>
              <w:spacing w:line="276" w:lineRule="auto"/>
              <w:jc w:val="center"/>
              <w:rPr>
                <w:rFonts w:cs="Times New Roman" w:eastAsiaTheme="minorEastAsia"/>
                <w:color w:val="auto"/>
                <w:sz w:val="21"/>
                <w:szCs w:val="21"/>
                <w:highlight w:val="none"/>
              </w:rPr>
            </w:pPr>
            <w:r>
              <w:rPr>
                <w:rFonts w:hint="eastAsia" w:cs="Times New Roman" w:eastAsiaTheme="minorEastAsia"/>
                <w:color w:val="auto"/>
                <w:sz w:val="21"/>
                <w:szCs w:val="21"/>
                <w:highlight w:val="none"/>
              </w:rPr>
              <w:t>其他环境</w:t>
            </w:r>
          </w:p>
          <w:p>
            <w:pPr>
              <w:spacing w:line="276" w:lineRule="auto"/>
              <w:jc w:val="center"/>
              <w:rPr>
                <w:rFonts w:cs="Times New Roman" w:eastAsiaTheme="minorEastAsia"/>
                <w:color w:val="auto"/>
                <w:sz w:val="21"/>
                <w:szCs w:val="21"/>
                <w:highlight w:val="none"/>
              </w:rPr>
            </w:pPr>
            <w:r>
              <w:rPr>
                <w:rFonts w:hint="eastAsia" w:cs="Times New Roman" w:eastAsiaTheme="minorEastAsia"/>
                <w:color w:val="auto"/>
                <w:sz w:val="21"/>
                <w:szCs w:val="21"/>
                <w:highlight w:val="none"/>
              </w:rPr>
              <w:t>管理要求</w:t>
            </w:r>
          </w:p>
        </w:tc>
        <w:tc>
          <w:tcPr>
            <w:tcW w:w="7987" w:type="dxa"/>
            <w:gridSpan w:val="4"/>
            <w:vAlign w:val="center"/>
          </w:tcPr>
          <w:p>
            <w:pPr>
              <w:spacing w:line="276"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w:t>
            </w:r>
          </w:p>
        </w:tc>
      </w:tr>
    </w:tbl>
    <w:p>
      <w:pPr>
        <w:spacing w:line="360" w:lineRule="auto"/>
        <w:rPr>
          <w:b/>
          <w:color w:val="auto"/>
          <w:sz w:val="28"/>
          <w:szCs w:val="28"/>
          <w:highlight w:val="none"/>
        </w:rPr>
        <w:sectPr>
          <w:pgSz w:w="11906" w:h="16838"/>
          <w:pgMar w:top="1134" w:right="1134" w:bottom="1134" w:left="1418" w:header="851" w:footer="992" w:gutter="0"/>
          <w:pgBorders>
            <w:top w:val="none" w:sz="0" w:space="0"/>
            <w:left w:val="none" w:sz="0" w:space="0"/>
            <w:bottom w:val="none" w:sz="0" w:space="0"/>
            <w:right w:val="none" w:sz="0" w:space="0"/>
          </w:pgBorders>
          <w:cols w:space="720" w:num="1"/>
          <w:docGrid w:type="lines" w:linePitch="312" w:charSpace="0"/>
        </w:sectPr>
      </w:pPr>
    </w:p>
    <w:p>
      <w:pPr>
        <w:pStyle w:val="55"/>
        <w:jc w:val="center"/>
        <w:rPr>
          <w:rFonts w:ascii="黑体" w:hAnsi="黑体" w:eastAsia="黑体"/>
          <w:b w:val="0"/>
          <w:color w:val="auto"/>
          <w:sz w:val="30"/>
          <w:szCs w:val="30"/>
          <w:highlight w:val="none"/>
        </w:rPr>
      </w:pPr>
      <w:r>
        <w:rPr>
          <w:rFonts w:hint="eastAsia" w:ascii="黑体" w:hAnsi="黑体" w:eastAsia="黑体"/>
          <w:b w:val="0"/>
          <w:color w:val="auto"/>
          <w:sz w:val="30"/>
          <w:szCs w:val="30"/>
          <w:highlight w:val="none"/>
        </w:rPr>
        <w:t>六、结论</w:t>
      </w:r>
    </w:p>
    <w:tbl>
      <w:tblPr>
        <w:tblStyle w:val="2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34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344" w:type="dxa"/>
            <w:shd w:val="clear" w:color="auto" w:fill="auto"/>
          </w:tcPr>
          <w:p>
            <w:pPr>
              <w:spacing w:line="360" w:lineRule="auto"/>
              <w:ind w:firstLine="482" w:firstLineChars="200"/>
              <w:rPr>
                <w:rFonts w:hint="eastAsia" w:cs="Times New Roman"/>
                <w:b/>
                <w:bCs/>
                <w:color w:val="auto"/>
                <w:sz w:val="24"/>
                <w:szCs w:val="24"/>
                <w:highlight w:val="none"/>
              </w:rPr>
            </w:pPr>
            <w:r>
              <w:rPr>
                <w:rFonts w:hint="eastAsia" w:cs="Times New Roman"/>
                <w:b/>
                <w:bCs/>
                <w:color w:val="auto"/>
                <w:sz w:val="24"/>
                <w:szCs w:val="24"/>
                <w:highlight w:val="none"/>
              </w:rPr>
              <w:t>1、建设项目环境可行性结论</w:t>
            </w:r>
          </w:p>
          <w:p>
            <w:pPr>
              <w:spacing w:line="360" w:lineRule="auto"/>
              <w:ind w:firstLine="480" w:firstLineChars="200"/>
              <w:rPr>
                <w:rFonts w:hint="eastAsia" w:cs="Times New Roman"/>
                <w:color w:val="auto"/>
                <w:sz w:val="24"/>
                <w:szCs w:val="24"/>
                <w:highlight w:val="none"/>
              </w:rPr>
            </w:pPr>
            <w:r>
              <w:rPr>
                <w:rFonts w:hint="eastAsia" w:cs="Times New Roman"/>
                <w:color w:val="auto"/>
                <w:sz w:val="24"/>
                <w:szCs w:val="24"/>
                <w:highlight w:val="none"/>
              </w:rPr>
              <w:t>大竹旭晟石材厂石材切割雕刻加工项目建设符合国家产业政策，符合当地</w:t>
            </w:r>
            <w:r>
              <w:rPr>
                <w:rFonts w:hint="eastAsia" w:cs="Times New Roman"/>
                <w:color w:val="auto"/>
                <w:sz w:val="24"/>
                <w:szCs w:val="24"/>
                <w:highlight w:val="none"/>
                <w:lang w:val="en-US" w:eastAsia="zh-CN"/>
              </w:rPr>
              <w:t>用地</w:t>
            </w:r>
            <w:r>
              <w:rPr>
                <w:rFonts w:hint="eastAsia" w:cs="Times New Roman"/>
                <w:color w:val="auto"/>
                <w:sz w:val="24"/>
                <w:szCs w:val="24"/>
                <w:highlight w:val="none"/>
              </w:rPr>
              <w:t>规划，项目建设区域无明显环境制约因素，选址合理，总图布置合理；废水、废气、噪声、固体废物采取的污染防治措施技术可靠、经济可行。建设单位认真落实本报告中提出的各项污染防治措施和有关管理措施，保证环境保护措施的有效运行，可确保污染物稳定达标排放。从环保角度而言，本项目的建设是可行的。</w:t>
            </w:r>
          </w:p>
          <w:p>
            <w:pPr>
              <w:spacing w:line="360" w:lineRule="auto"/>
              <w:ind w:firstLine="482" w:firstLineChars="200"/>
              <w:rPr>
                <w:rFonts w:hint="eastAsia" w:cs="Times New Roman"/>
                <w:b/>
                <w:bCs/>
                <w:color w:val="auto"/>
                <w:sz w:val="24"/>
                <w:szCs w:val="24"/>
                <w:highlight w:val="none"/>
              </w:rPr>
            </w:pPr>
            <w:r>
              <w:rPr>
                <w:rFonts w:hint="eastAsia" w:cs="Times New Roman"/>
                <w:b/>
                <w:bCs/>
                <w:color w:val="auto"/>
                <w:sz w:val="24"/>
                <w:szCs w:val="24"/>
                <w:highlight w:val="none"/>
              </w:rPr>
              <w:t>2、建议</w:t>
            </w:r>
          </w:p>
          <w:p>
            <w:pPr>
              <w:spacing w:line="360" w:lineRule="auto"/>
              <w:ind w:firstLine="480" w:firstLineChars="200"/>
              <w:rPr>
                <w:rFonts w:hint="eastAsia" w:cs="Times New Roman"/>
                <w:color w:val="auto"/>
                <w:sz w:val="24"/>
                <w:szCs w:val="24"/>
                <w:highlight w:val="none"/>
              </w:rPr>
            </w:pPr>
            <w:r>
              <w:rPr>
                <w:rFonts w:hint="eastAsia" w:cs="Times New Roman"/>
                <w:color w:val="auto"/>
                <w:sz w:val="24"/>
                <w:szCs w:val="24"/>
                <w:highlight w:val="none"/>
              </w:rPr>
              <w:t>（1）加强生产设施的日常管理工作及设施的维修、保养，确保生产的正常运行，避免因生产事故而对环境造成影响。</w:t>
            </w:r>
          </w:p>
          <w:p>
            <w:pPr>
              <w:spacing w:line="360" w:lineRule="auto"/>
              <w:ind w:firstLine="480" w:firstLineChars="200"/>
              <w:rPr>
                <w:rFonts w:hint="eastAsia" w:cs="Times New Roman"/>
                <w:color w:val="auto"/>
                <w:sz w:val="24"/>
                <w:szCs w:val="24"/>
                <w:highlight w:val="none"/>
              </w:rPr>
            </w:pPr>
            <w:r>
              <w:rPr>
                <w:rFonts w:hint="eastAsia" w:cs="Times New Roman"/>
                <w:color w:val="auto"/>
                <w:sz w:val="24"/>
                <w:szCs w:val="24"/>
                <w:highlight w:val="none"/>
              </w:rPr>
              <w:t>（2）建立污染物管理档案，确保足够的环保资金，以实施污染物治理措施，确保废气、废水、厂界噪声达标排放。</w:t>
            </w:r>
          </w:p>
          <w:p>
            <w:pPr>
              <w:spacing w:line="360" w:lineRule="auto"/>
              <w:ind w:firstLine="480" w:firstLineChars="200"/>
              <w:rPr>
                <w:rFonts w:cs="Times New Roman"/>
                <w:color w:val="auto"/>
                <w:sz w:val="24"/>
                <w:szCs w:val="24"/>
                <w:highlight w:val="none"/>
              </w:rPr>
            </w:pPr>
          </w:p>
          <w:p>
            <w:pPr>
              <w:spacing w:line="360" w:lineRule="auto"/>
              <w:ind w:firstLine="480" w:firstLineChars="200"/>
              <w:rPr>
                <w:rFonts w:cs="Times New Roman"/>
                <w:color w:val="auto"/>
                <w:sz w:val="24"/>
                <w:szCs w:val="24"/>
                <w:highlight w:val="none"/>
              </w:rPr>
            </w:pPr>
          </w:p>
          <w:p>
            <w:pPr>
              <w:spacing w:line="360" w:lineRule="auto"/>
              <w:ind w:firstLine="480" w:firstLineChars="200"/>
              <w:rPr>
                <w:rFonts w:cs="Times New Roman"/>
                <w:color w:val="auto"/>
                <w:sz w:val="24"/>
                <w:szCs w:val="24"/>
                <w:highlight w:val="none"/>
              </w:rPr>
            </w:pPr>
          </w:p>
          <w:p>
            <w:pPr>
              <w:spacing w:line="360" w:lineRule="auto"/>
              <w:ind w:firstLine="480" w:firstLineChars="200"/>
              <w:rPr>
                <w:rFonts w:cs="Times New Roman"/>
                <w:color w:val="auto"/>
                <w:sz w:val="24"/>
                <w:szCs w:val="24"/>
                <w:highlight w:val="none"/>
              </w:rPr>
            </w:pPr>
          </w:p>
          <w:p>
            <w:pPr>
              <w:spacing w:line="360" w:lineRule="auto"/>
              <w:ind w:firstLine="480" w:firstLineChars="200"/>
              <w:rPr>
                <w:rFonts w:cs="Times New Roman"/>
                <w:color w:val="auto"/>
                <w:sz w:val="24"/>
                <w:szCs w:val="24"/>
                <w:highlight w:val="none"/>
              </w:rPr>
            </w:pPr>
          </w:p>
          <w:p>
            <w:pPr>
              <w:spacing w:line="360" w:lineRule="auto"/>
              <w:ind w:firstLine="480" w:firstLineChars="200"/>
              <w:rPr>
                <w:rFonts w:cs="Times New Roman"/>
                <w:color w:val="auto"/>
                <w:sz w:val="24"/>
                <w:szCs w:val="24"/>
                <w:highlight w:val="none"/>
              </w:rPr>
            </w:pPr>
          </w:p>
          <w:p>
            <w:pPr>
              <w:spacing w:line="360" w:lineRule="auto"/>
              <w:ind w:firstLine="480" w:firstLineChars="200"/>
              <w:rPr>
                <w:rFonts w:hint="eastAsia" w:cs="Times New Roman"/>
                <w:color w:val="auto"/>
                <w:sz w:val="24"/>
                <w:szCs w:val="24"/>
                <w:highlight w:val="none"/>
                <w:lang w:eastAsia="zh-CN"/>
              </w:rPr>
            </w:pPr>
          </w:p>
          <w:p>
            <w:pPr>
              <w:spacing w:line="360" w:lineRule="auto"/>
              <w:ind w:firstLine="480" w:firstLineChars="200"/>
              <w:rPr>
                <w:rFonts w:hint="eastAsia" w:eastAsia="宋体" w:cs="Times New Roman"/>
                <w:color w:val="auto"/>
                <w:sz w:val="24"/>
                <w:szCs w:val="24"/>
                <w:highlight w:val="none"/>
                <w:lang w:eastAsia="zh-CN"/>
              </w:rPr>
            </w:pPr>
          </w:p>
          <w:p>
            <w:pPr>
              <w:spacing w:line="360" w:lineRule="auto"/>
              <w:ind w:firstLine="480" w:firstLineChars="200"/>
              <w:rPr>
                <w:rFonts w:cs="Times New Roman"/>
                <w:color w:val="auto"/>
                <w:sz w:val="24"/>
                <w:szCs w:val="24"/>
                <w:highlight w:val="none"/>
              </w:rPr>
            </w:pPr>
          </w:p>
          <w:p>
            <w:pPr>
              <w:spacing w:line="360" w:lineRule="auto"/>
              <w:ind w:firstLine="480" w:firstLineChars="200"/>
              <w:rPr>
                <w:rFonts w:cs="Times New Roman"/>
                <w:color w:val="auto"/>
                <w:sz w:val="24"/>
                <w:szCs w:val="24"/>
                <w:highlight w:val="none"/>
              </w:rPr>
            </w:pPr>
          </w:p>
          <w:p>
            <w:pPr>
              <w:spacing w:line="360" w:lineRule="auto"/>
              <w:ind w:firstLine="480" w:firstLineChars="200"/>
              <w:rPr>
                <w:rFonts w:cs="Times New Roman"/>
                <w:color w:val="auto"/>
                <w:sz w:val="24"/>
                <w:szCs w:val="24"/>
                <w:highlight w:val="none"/>
              </w:rPr>
            </w:pPr>
          </w:p>
          <w:p>
            <w:pPr>
              <w:spacing w:line="360" w:lineRule="auto"/>
              <w:ind w:firstLine="480" w:firstLineChars="200"/>
              <w:rPr>
                <w:rFonts w:cs="Times New Roman"/>
                <w:color w:val="auto"/>
                <w:sz w:val="24"/>
                <w:szCs w:val="24"/>
                <w:highlight w:val="none"/>
              </w:rPr>
            </w:pPr>
          </w:p>
          <w:p>
            <w:pPr>
              <w:spacing w:line="360" w:lineRule="auto"/>
              <w:ind w:firstLine="480" w:firstLineChars="200"/>
              <w:rPr>
                <w:rFonts w:cs="Times New Roman"/>
                <w:color w:val="auto"/>
                <w:sz w:val="24"/>
                <w:szCs w:val="24"/>
                <w:highlight w:val="none"/>
              </w:rPr>
            </w:pPr>
          </w:p>
          <w:p>
            <w:pPr>
              <w:spacing w:line="360" w:lineRule="auto"/>
              <w:ind w:firstLine="480" w:firstLineChars="200"/>
              <w:rPr>
                <w:rFonts w:cs="Times New Roman"/>
                <w:color w:val="auto"/>
                <w:sz w:val="24"/>
                <w:szCs w:val="24"/>
                <w:highlight w:val="none"/>
              </w:rPr>
            </w:pPr>
          </w:p>
          <w:p>
            <w:pPr>
              <w:spacing w:line="360" w:lineRule="auto"/>
              <w:ind w:firstLine="480" w:firstLineChars="200"/>
              <w:rPr>
                <w:rFonts w:cs="Times New Roman"/>
                <w:color w:val="auto"/>
                <w:sz w:val="24"/>
                <w:szCs w:val="24"/>
                <w:highlight w:val="none"/>
              </w:rPr>
            </w:pPr>
          </w:p>
          <w:p>
            <w:pPr>
              <w:spacing w:line="360" w:lineRule="auto"/>
              <w:ind w:firstLine="480" w:firstLineChars="200"/>
              <w:rPr>
                <w:rFonts w:cs="Times New Roman"/>
                <w:color w:val="auto"/>
                <w:sz w:val="24"/>
                <w:szCs w:val="24"/>
                <w:highlight w:val="none"/>
              </w:rPr>
            </w:pPr>
          </w:p>
          <w:p>
            <w:pPr>
              <w:spacing w:line="360" w:lineRule="auto"/>
              <w:ind w:firstLine="480" w:firstLineChars="200"/>
              <w:rPr>
                <w:rFonts w:cs="Times New Roman"/>
                <w:color w:val="auto"/>
                <w:sz w:val="24"/>
                <w:szCs w:val="24"/>
                <w:highlight w:val="none"/>
              </w:rPr>
            </w:pPr>
          </w:p>
          <w:p>
            <w:pPr>
              <w:spacing w:line="360" w:lineRule="auto"/>
              <w:ind w:firstLine="480" w:firstLineChars="200"/>
              <w:rPr>
                <w:rFonts w:cs="Times New Roman"/>
                <w:color w:val="auto"/>
                <w:sz w:val="24"/>
                <w:szCs w:val="24"/>
                <w:highlight w:val="none"/>
              </w:rPr>
            </w:pPr>
          </w:p>
        </w:tc>
      </w:tr>
    </w:tbl>
    <w:p>
      <w:pPr>
        <w:rPr>
          <w:rFonts w:ascii="宋体" w:hAnsi="宋体"/>
          <w:color w:val="auto"/>
          <w:sz w:val="24"/>
          <w:szCs w:val="24"/>
          <w:highlight w:val="none"/>
        </w:rPr>
        <w:sectPr>
          <w:pgSz w:w="11906" w:h="16838"/>
          <w:pgMar w:top="1134" w:right="1134" w:bottom="1134" w:left="1418" w:header="851" w:footer="992" w:gutter="0"/>
          <w:pgBorders>
            <w:top w:val="none" w:sz="0" w:space="0"/>
            <w:left w:val="none" w:sz="0" w:space="0"/>
            <w:bottom w:val="none" w:sz="0" w:space="0"/>
            <w:right w:val="none" w:sz="0" w:space="0"/>
          </w:pgBorders>
          <w:cols w:space="720" w:num="1"/>
          <w:docGrid w:type="lines" w:linePitch="312" w:charSpace="0"/>
        </w:sectPr>
      </w:pPr>
    </w:p>
    <w:p>
      <w:pPr>
        <w:pStyle w:val="55"/>
        <w:spacing w:line="240" w:lineRule="auto"/>
        <w:rPr>
          <w:rFonts w:ascii="黑体" w:hAnsi="黑体" w:eastAsia="黑体"/>
          <w:b w:val="0"/>
          <w:color w:val="auto"/>
          <w:sz w:val="30"/>
          <w:szCs w:val="30"/>
          <w:highlight w:val="none"/>
        </w:rPr>
      </w:pPr>
      <w:r>
        <w:rPr>
          <w:rFonts w:hint="eastAsia" w:ascii="黑体" w:hAnsi="黑体" w:eastAsia="黑体"/>
          <w:b w:val="0"/>
          <w:color w:val="auto"/>
          <w:sz w:val="30"/>
          <w:szCs w:val="30"/>
          <w:highlight w:val="none"/>
        </w:rPr>
        <w:t>附表</w:t>
      </w:r>
    </w:p>
    <w:p>
      <w:pPr>
        <w:spacing w:line="240" w:lineRule="auto"/>
        <w:jc w:val="center"/>
        <w:rPr>
          <w:rFonts w:ascii="方正小标宋_GBK" w:hAnsi="宋体" w:eastAsia="方正小标宋_GBK"/>
          <w:color w:val="auto"/>
          <w:sz w:val="36"/>
          <w:szCs w:val="36"/>
          <w:highlight w:val="none"/>
        </w:rPr>
      </w:pPr>
      <w:r>
        <w:rPr>
          <w:rFonts w:hint="eastAsia" w:ascii="方正小标宋_GBK" w:hAnsi="宋体" w:eastAsia="方正小标宋_GBK"/>
          <w:color w:val="auto"/>
          <w:sz w:val="36"/>
          <w:szCs w:val="36"/>
          <w:highlight w:val="none"/>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598805</wp:posOffset>
                </wp:positionV>
                <wp:extent cx="640715" cy="690880"/>
                <wp:effectExtent l="3175" t="3175" r="3810" b="10795"/>
                <wp:wrapNone/>
                <wp:docPr id="1" name="直接连接符 1"/>
                <wp:cNvGraphicFramePr/>
                <a:graphic xmlns:a="http://schemas.openxmlformats.org/drawingml/2006/main">
                  <a:graphicData uri="http://schemas.microsoft.com/office/word/2010/wordprocessingShape">
                    <wps:wsp>
                      <wps:cNvCnPr/>
                      <wps:spPr>
                        <a:xfrm>
                          <a:off x="0" y="0"/>
                          <a:ext cx="640715" cy="690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3pt;margin-top:47.15pt;height:54.4pt;width:50.45pt;z-index:251660288;mso-width-relative:page;mso-height-relative:page;" filled="f" stroked="t" coordsize="21600,21600" o:gfxdata="UEsDBAoAAAAAAIdO4kAAAAAAAAAAAAAAAAAEAAAAZHJzL1BLAwQUAAAACACHTuJA+65NZ9UAAAAH&#10;AQAADwAAAGRycy9kb3ducmV2LnhtbE2OPU/DQBBEeyT+w2mRaKLkzjZEYLxOAbijIRDRbuzFtvDt&#10;Ob7LB/x6LhWUoxm9ecXqZAd14Mn3ThCShQHFUrumlxbh/a2a34HygaShwQkjfLOHVXl5UVDeuKO8&#10;8mEdWhUh4nNC6EIYc6193bElv3AjS+w+3WQpxDi1upnoGOF20KkxS22pl/jQ0ciPHddf671F8NWG&#10;d9XPrJ6Zj6x1nO6eXp4J8foqMQ+gAp/C3xjO+lEdyui0dXtpvBoQlnGHcH+TgTq3JrkFtUVITZaA&#10;Lgv937/8BVBLAwQUAAAACACHTuJAuGMoZNwBAACeAwAADgAAAGRycy9lMm9Eb2MueG1srVPNjtMw&#10;EL4j8Q6W7zRpxZZu1HQPWy0XBJWAB5g6TmLJf/J4m/YleAEkbnDiyJ23YXkMxk7ownLZAz2445nx&#10;N/4+f1lfHY1mBxlQOVvz+azkTFrhGmW7mr9/d/NsxRlGsA1oZ2XNTxL51ebpk/XgK7lwvdONDIxA&#10;LFaDr3kfo6+KAkUvDeDMeWmp2LpgINI2dEUTYCB0o4tFWS6LwYXGByckImW3Y5FPiOExgK5tlZBb&#10;J26NtHFEDVJDJErYK498k2/btlLEN22LMjJdc2Ia80pDKN6ntdisoeoC+F6J6QrwmCs84GRAWRp6&#10;htpCBHYb1D9QRong0LVxJpwpRiJZEWIxLx9o87YHLzMXkhr9WXT8f7Di9WEXmGrICZxZMPTgdx+/&#10;/fjw+ef3T7Teff3C5kmkwWNFvdd2F6Yd+l1IjI9tMOmfuLBjFvZ0FlYeIxOUXD4vX8wvOBNUWl6W&#10;q1UWvrg/7APGl9IZloKaa2UTb6jg8AojDaTW3y0pbd2N0jq/nbZsqPnlxSLBA/mxJR9QaDxxQttx&#10;Brojo4sYMiI6rZp0OuFg6PbXOrADJHvkXyJL0/5qS6O3gP3Yl0tTm7bUnbQZ1UjR3jWnLFLO07Nl&#10;vMliyRd/7vPp+89q8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7rk1n1QAAAAcBAAAPAAAAAAAA&#10;AAEAIAAAACIAAABkcnMvZG93bnJldi54bWxQSwECFAAUAAAACACHTuJAuGMoZNwBAACeAwAADgAA&#10;AAAAAAABACAAAAAkAQAAZHJzL2Uyb0RvYy54bWxQSwUGAAAAAAYABgBZAQAAcgUAAAAA&#10;">
                <v:fill on="f" focussize="0,0"/>
                <v:stroke color="#000000 [3213]" joinstyle="round"/>
                <v:imagedata o:title=""/>
                <o:lock v:ext="edit" aspectratio="f"/>
              </v:line>
            </w:pict>
          </mc:Fallback>
        </mc:AlternateContent>
      </w:r>
      <w:r>
        <w:rPr>
          <w:rFonts w:hint="eastAsia" w:ascii="方正小标宋_GBK" w:hAnsi="宋体" w:eastAsia="方正小标宋_GBK"/>
          <w:color w:val="auto"/>
          <w:sz w:val="36"/>
          <w:szCs w:val="36"/>
          <w:highlight w:val="none"/>
        </w:rPr>
        <w:t>建设项目污染物排放量汇总表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1960"/>
        <w:gridCol w:w="1782"/>
        <w:gridCol w:w="1778"/>
        <w:gridCol w:w="1782"/>
        <w:gridCol w:w="1783"/>
        <w:gridCol w:w="1655"/>
        <w:gridCol w:w="1912"/>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Align w:val="center"/>
          </w:tcPr>
          <w:p>
            <w:pPr>
              <w:spacing w:line="276" w:lineRule="auto"/>
              <w:jc w:val="right"/>
              <w:rPr>
                <w:rFonts w:cs="Times New Roman"/>
                <w:color w:val="auto"/>
                <w:szCs w:val="21"/>
                <w:highlight w:val="none"/>
              </w:rPr>
            </w:pPr>
            <w:r>
              <w:rPr>
                <w:rFonts w:cs="Times New Roman"/>
                <w:color w:val="auto"/>
                <w:szCs w:val="21"/>
                <w:highlight w:val="none"/>
              </w:rPr>
              <w:t>项目</w:t>
            </w:r>
          </w:p>
          <w:p>
            <w:pPr>
              <w:spacing w:line="276" w:lineRule="auto"/>
              <w:rPr>
                <w:rFonts w:cs="Times New Roman"/>
                <w:color w:val="auto"/>
                <w:szCs w:val="21"/>
                <w:highlight w:val="none"/>
              </w:rPr>
            </w:pPr>
            <w:r>
              <w:rPr>
                <w:rFonts w:cs="Times New Roman"/>
                <w:color w:val="auto"/>
                <w:szCs w:val="21"/>
                <w:highlight w:val="none"/>
              </w:rPr>
              <w:t>分类</w:t>
            </w:r>
          </w:p>
        </w:tc>
        <w:tc>
          <w:tcPr>
            <w:tcW w:w="1960" w:type="dxa"/>
            <w:vAlign w:val="center"/>
          </w:tcPr>
          <w:p>
            <w:pPr>
              <w:spacing w:line="276" w:lineRule="auto"/>
              <w:jc w:val="center"/>
              <w:rPr>
                <w:rFonts w:cs="Times New Roman"/>
                <w:color w:val="auto"/>
                <w:szCs w:val="21"/>
                <w:highlight w:val="none"/>
              </w:rPr>
            </w:pPr>
            <w:r>
              <w:rPr>
                <w:rFonts w:cs="Times New Roman"/>
                <w:color w:val="auto"/>
                <w:szCs w:val="21"/>
                <w:highlight w:val="none"/>
              </w:rPr>
              <w:t>污染物名称</w:t>
            </w:r>
          </w:p>
        </w:tc>
        <w:tc>
          <w:tcPr>
            <w:tcW w:w="1782" w:type="dxa"/>
            <w:vAlign w:val="center"/>
          </w:tcPr>
          <w:p>
            <w:pPr>
              <w:spacing w:line="276" w:lineRule="auto"/>
              <w:jc w:val="center"/>
              <w:rPr>
                <w:rFonts w:cs="Times New Roman"/>
                <w:color w:val="auto"/>
                <w:szCs w:val="21"/>
                <w:highlight w:val="none"/>
              </w:rPr>
            </w:pPr>
            <w:r>
              <w:rPr>
                <w:rFonts w:cs="Times New Roman"/>
                <w:color w:val="auto"/>
                <w:szCs w:val="21"/>
                <w:highlight w:val="none"/>
              </w:rPr>
              <w:t>现有工程</w:t>
            </w:r>
          </w:p>
          <w:p>
            <w:pPr>
              <w:spacing w:line="276" w:lineRule="auto"/>
              <w:jc w:val="center"/>
              <w:rPr>
                <w:rFonts w:cs="Times New Roman"/>
                <w:color w:val="auto"/>
                <w:szCs w:val="21"/>
                <w:highlight w:val="none"/>
              </w:rPr>
            </w:pPr>
            <w:r>
              <w:rPr>
                <w:rFonts w:cs="Times New Roman"/>
                <w:color w:val="auto"/>
                <w:szCs w:val="21"/>
                <w:highlight w:val="none"/>
              </w:rPr>
              <w:t>排放量（固体废物产生量）</w:t>
            </w:r>
            <w:r>
              <w:rPr>
                <w:rFonts w:hint="eastAsia" w:ascii="宋体" w:hAnsi="宋体" w:cs="宋体"/>
                <w:color w:val="auto"/>
                <w:szCs w:val="21"/>
                <w:highlight w:val="none"/>
              </w:rPr>
              <w:t>①</w:t>
            </w:r>
          </w:p>
        </w:tc>
        <w:tc>
          <w:tcPr>
            <w:tcW w:w="1778" w:type="dxa"/>
            <w:vAlign w:val="center"/>
          </w:tcPr>
          <w:p>
            <w:pPr>
              <w:spacing w:line="276" w:lineRule="auto"/>
              <w:jc w:val="center"/>
              <w:rPr>
                <w:rFonts w:cs="Times New Roman"/>
                <w:color w:val="auto"/>
                <w:szCs w:val="21"/>
                <w:highlight w:val="none"/>
              </w:rPr>
            </w:pPr>
            <w:r>
              <w:rPr>
                <w:rFonts w:cs="Times New Roman"/>
                <w:color w:val="auto"/>
                <w:szCs w:val="21"/>
                <w:highlight w:val="none"/>
              </w:rPr>
              <w:t>现有工程</w:t>
            </w:r>
          </w:p>
          <w:p>
            <w:pPr>
              <w:spacing w:line="276" w:lineRule="auto"/>
              <w:jc w:val="center"/>
              <w:rPr>
                <w:rFonts w:cs="Times New Roman"/>
                <w:color w:val="auto"/>
                <w:szCs w:val="21"/>
                <w:highlight w:val="none"/>
              </w:rPr>
            </w:pPr>
            <w:r>
              <w:rPr>
                <w:rFonts w:cs="Times New Roman"/>
                <w:color w:val="auto"/>
                <w:szCs w:val="21"/>
                <w:highlight w:val="none"/>
              </w:rPr>
              <w:t>许可排放量</w:t>
            </w:r>
            <w:r>
              <w:rPr>
                <w:rFonts w:hint="eastAsia" w:ascii="宋体" w:hAnsi="宋体" w:cs="宋体"/>
                <w:color w:val="auto"/>
                <w:szCs w:val="21"/>
                <w:highlight w:val="none"/>
              </w:rPr>
              <w:t>②</w:t>
            </w:r>
          </w:p>
        </w:tc>
        <w:tc>
          <w:tcPr>
            <w:tcW w:w="1782" w:type="dxa"/>
            <w:vAlign w:val="center"/>
          </w:tcPr>
          <w:p>
            <w:pPr>
              <w:spacing w:line="276" w:lineRule="auto"/>
              <w:jc w:val="center"/>
              <w:rPr>
                <w:rFonts w:cs="Times New Roman"/>
                <w:color w:val="auto"/>
                <w:szCs w:val="21"/>
                <w:highlight w:val="none"/>
              </w:rPr>
            </w:pPr>
            <w:r>
              <w:rPr>
                <w:rFonts w:cs="Times New Roman"/>
                <w:color w:val="auto"/>
                <w:szCs w:val="21"/>
                <w:highlight w:val="none"/>
              </w:rPr>
              <w:t>在建工程</w:t>
            </w:r>
          </w:p>
          <w:p>
            <w:pPr>
              <w:spacing w:line="276" w:lineRule="auto"/>
              <w:jc w:val="center"/>
              <w:rPr>
                <w:rFonts w:cs="Times New Roman"/>
                <w:color w:val="auto"/>
                <w:szCs w:val="21"/>
                <w:highlight w:val="none"/>
              </w:rPr>
            </w:pPr>
            <w:r>
              <w:rPr>
                <w:rFonts w:cs="Times New Roman"/>
                <w:color w:val="auto"/>
                <w:szCs w:val="21"/>
                <w:highlight w:val="none"/>
              </w:rPr>
              <w:t>排放量（固体废物产生量）</w:t>
            </w:r>
            <w:r>
              <w:rPr>
                <w:rFonts w:hint="eastAsia" w:ascii="宋体" w:hAnsi="宋体" w:cs="宋体"/>
                <w:color w:val="auto"/>
                <w:szCs w:val="21"/>
                <w:highlight w:val="none"/>
              </w:rPr>
              <w:t>③</w:t>
            </w:r>
          </w:p>
        </w:tc>
        <w:tc>
          <w:tcPr>
            <w:tcW w:w="1783" w:type="dxa"/>
            <w:vAlign w:val="center"/>
          </w:tcPr>
          <w:p>
            <w:pPr>
              <w:spacing w:line="276" w:lineRule="auto"/>
              <w:jc w:val="center"/>
              <w:rPr>
                <w:rFonts w:cs="Times New Roman"/>
                <w:color w:val="auto"/>
                <w:szCs w:val="21"/>
                <w:highlight w:val="none"/>
              </w:rPr>
            </w:pPr>
            <w:r>
              <w:rPr>
                <w:rFonts w:cs="Times New Roman"/>
                <w:color w:val="auto"/>
                <w:szCs w:val="21"/>
                <w:highlight w:val="none"/>
              </w:rPr>
              <w:t>本项目</w:t>
            </w:r>
          </w:p>
          <w:p>
            <w:pPr>
              <w:spacing w:line="276" w:lineRule="auto"/>
              <w:jc w:val="center"/>
              <w:rPr>
                <w:rFonts w:cs="Times New Roman"/>
                <w:color w:val="auto"/>
                <w:szCs w:val="21"/>
                <w:highlight w:val="none"/>
              </w:rPr>
            </w:pPr>
            <w:r>
              <w:rPr>
                <w:rFonts w:cs="Times New Roman"/>
                <w:color w:val="auto"/>
                <w:szCs w:val="21"/>
                <w:highlight w:val="none"/>
              </w:rPr>
              <w:t>排放量（固体废物产生量）</w:t>
            </w:r>
            <w:r>
              <w:rPr>
                <w:rFonts w:hint="eastAsia" w:ascii="宋体" w:hAnsi="宋体" w:cs="宋体"/>
                <w:color w:val="auto"/>
                <w:szCs w:val="21"/>
                <w:highlight w:val="none"/>
              </w:rPr>
              <w:t>④</w:t>
            </w:r>
          </w:p>
        </w:tc>
        <w:tc>
          <w:tcPr>
            <w:tcW w:w="1655" w:type="dxa"/>
            <w:vAlign w:val="center"/>
          </w:tcPr>
          <w:p>
            <w:pPr>
              <w:spacing w:line="276" w:lineRule="auto"/>
              <w:jc w:val="center"/>
              <w:rPr>
                <w:rFonts w:cs="Times New Roman"/>
                <w:color w:val="auto"/>
                <w:szCs w:val="21"/>
                <w:highlight w:val="none"/>
              </w:rPr>
            </w:pPr>
            <w:r>
              <w:rPr>
                <w:rFonts w:cs="Times New Roman"/>
                <w:color w:val="auto"/>
                <w:szCs w:val="21"/>
                <w:highlight w:val="none"/>
              </w:rPr>
              <w:t>以新带老削减量（新建项目不填）</w:t>
            </w:r>
            <w:r>
              <w:rPr>
                <w:rFonts w:hint="eastAsia" w:ascii="宋体" w:hAnsi="宋体" w:cs="宋体"/>
                <w:color w:val="auto"/>
                <w:szCs w:val="21"/>
                <w:highlight w:val="none"/>
              </w:rPr>
              <w:t>⑤</w:t>
            </w:r>
          </w:p>
        </w:tc>
        <w:tc>
          <w:tcPr>
            <w:tcW w:w="1912" w:type="dxa"/>
            <w:vAlign w:val="center"/>
          </w:tcPr>
          <w:p>
            <w:pPr>
              <w:spacing w:line="276" w:lineRule="auto"/>
              <w:jc w:val="center"/>
              <w:rPr>
                <w:rFonts w:cs="Times New Roman"/>
                <w:color w:val="auto"/>
                <w:szCs w:val="21"/>
                <w:highlight w:val="none"/>
              </w:rPr>
            </w:pPr>
            <w:r>
              <w:rPr>
                <w:rFonts w:cs="Times New Roman"/>
                <w:color w:val="auto"/>
                <w:szCs w:val="21"/>
                <w:highlight w:val="none"/>
              </w:rPr>
              <w:t>本项目建成后</w:t>
            </w:r>
          </w:p>
          <w:p>
            <w:pPr>
              <w:spacing w:line="276" w:lineRule="auto"/>
              <w:rPr>
                <w:rFonts w:cs="Times New Roman"/>
                <w:color w:val="auto"/>
                <w:szCs w:val="21"/>
                <w:highlight w:val="none"/>
              </w:rPr>
            </w:pPr>
            <w:r>
              <w:rPr>
                <w:rFonts w:cs="Times New Roman"/>
                <w:color w:val="auto"/>
                <w:szCs w:val="21"/>
                <w:highlight w:val="none"/>
              </w:rPr>
              <w:t>全厂排放量（固体废物产生量）</w:t>
            </w:r>
            <w:r>
              <w:rPr>
                <w:rFonts w:hint="eastAsia" w:ascii="宋体" w:hAnsi="宋体" w:cs="宋体"/>
                <w:color w:val="auto"/>
                <w:szCs w:val="21"/>
                <w:highlight w:val="none"/>
              </w:rPr>
              <w:t>⑥</w:t>
            </w:r>
          </w:p>
        </w:tc>
        <w:tc>
          <w:tcPr>
            <w:tcW w:w="1011" w:type="dxa"/>
            <w:vAlign w:val="center"/>
          </w:tcPr>
          <w:p>
            <w:pPr>
              <w:spacing w:line="276" w:lineRule="auto"/>
              <w:jc w:val="center"/>
              <w:rPr>
                <w:rFonts w:cs="Times New Roman"/>
                <w:color w:val="auto"/>
                <w:szCs w:val="21"/>
                <w:highlight w:val="none"/>
              </w:rPr>
            </w:pPr>
            <w:r>
              <w:rPr>
                <w:rFonts w:cs="Times New Roman"/>
                <w:color w:val="auto"/>
                <w:szCs w:val="21"/>
                <w:highlight w:val="none"/>
              </w:rPr>
              <w:t>变化量</w:t>
            </w:r>
          </w:p>
          <w:p>
            <w:pPr>
              <w:spacing w:line="276" w:lineRule="auto"/>
              <w:jc w:val="center"/>
              <w:rPr>
                <w:rFonts w:cs="Times New Roman"/>
                <w:color w:val="auto"/>
                <w:szCs w:val="21"/>
                <w:highlight w:val="none"/>
              </w:rPr>
            </w:pPr>
            <w:r>
              <w:rPr>
                <w:rFonts w:hint="eastAsia" w:ascii="宋体" w:hAnsi="宋体" w:cs="宋体"/>
                <w:color w:val="auto"/>
                <w:szCs w:val="21"/>
                <w:highlight w:val="none"/>
              </w:rPr>
              <w:t>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restart"/>
            <w:vAlign w:val="center"/>
          </w:tcPr>
          <w:p>
            <w:pPr>
              <w:spacing w:line="276" w:lineRule="auto"/>
              <w:jc w:val="center"/>
              <w:rPr>
                <w:rFonts w:cs="Times New Roman"/>
                <w:color w:val="auto"/>
                <w:szCs w:val="21"/>
                <w:highlight w:val="none"/>
              </w:rPr>
            </w:pPr>
            <w:r>
              <w:rPr>
                <w:rFonts w:cs="Times New Roman"/>
                <w:color w:val="auto"/>
                <w:szCs w:val="21"/>
                <w:highlight w:val="none"/>
              </w:rPr>
              <w:t>废气</w:t>
            </w:r>
          </w:p>
        </w:tc>
        <w:tc>
          <w:tcPr>
            <w:tcW w:w="1960" w:type="dxa"/>
            <w:vAlign w:val="center"/>
          </w:tcPr>
          <w:p>
            <w:pPr>
              <w:spacing w:line="276" w:lineRule="auto"/>
              <w:jc w:val="center"/>
              <w:rPr>
                <w:rFonts w:cs="Times New Roman"/>
                <w:color w:val="auto"/>
                <w:szCs w:val="21"/>
                <w:highlight w:val="none"/>
              </w:rPr>
            </w:pPr>
            <w:r>
              <w:rPr>
                <w:rFonts w:cs="Times New Roman"/>
                <w:color w:val="auto"/>
                <w:szCs w:val="21"/>
                <w:highlight w:val="none"/>
              </w:rPr>
              <w:t>颗粒物</w:t>
            </w:r>
          </w:p>
        </w:tc>
        <w:tc>
          <w:tcPr>
            <w:tcW w:w="1782" w:type="dxa"/>
            <w:vAlign w:val="center"/>
          </w:tcPr>
          <w:p>
            <w:pPr>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778"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782"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783" w:type="dxa"/>
            <w:vAlign w:val="center"/>
          </w:tcPr>
          <w:p>
            <w:pPr>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b w:val="0"/>
                <w:bCs w:val="0"/>
                <w:color w:val="auto"/>
                <w:sz w:val="21"/>
                <w:szCs w:val="21"/>
                <w:highlight w:val="none"/>
                <w:lang w:val="en-US" w:eastAsia="zh-CN"/>
              </w:rPr>
              <w:t>0.642</w:t>
            </w:r>
          </w:p>
        </w:tc>
        <w:tc>
          <w:tcPr>
            <w:tcW w:w="1655"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912" w:type="dxa"/>
            <w:vAlign w:val="center"/>
          </w:tcPr>
          <w:p>
            <w:pPr>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b w:val="0"/>
                <w:bCs w:val="0"/>
                <w:color w:val="auto"/>
                <w:sz w:val="21"/>
                <w:szCs w:val="21"/>
                <w:highlight w:val="none"/>
                <w:lang w:val="en-US" w:eastAsia="zh-CN"/>
              </w:rPr>
              <w:t>0.642</w:t>
            </w:r>
          </w:p>
        </w:tc>
        <w:tc>
          <w:tcPr>
            <w:tcW w:w="1011" w:type="dxa"/>
            <w:vAlign w:val="center"/>
          </w:tcPr>
          <w:p>
            <w:pPr>
              <w:spacing w:line="276" w:lineRule="auto"/>
              <w:jc w:val="center"/>
              <w:rPr>
                <w:rFonts w:hint="eastAsia" w:eastAsia="宋体" w:cs="Times New Roman"/>
                <w:color w:val="auto"/>
                <w:szCs w:val="21"/>
                <w:highlight w:val="none"/>
                <w:lang w:val="en-US" w:eastAsia="zh-CN"/>
              </w:rPr>
            </w:pPr>
            <w:r>
              <w:rPr>
                <w:rFonts w:hint="eastAsia"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color w:val="auto"/>
                <w:szCs w:val="21"/>
                <w:highlight w:val="none"/>
              </w:rPr>
            </w:pPr>
          </w:p>
        </w:tc>
        <w:tc>
          <w:tcPr>
            <w:tcW w:w="1960" w:type="dxa"/>
            <w:vAlign w:val="center"/>
          </w:tcPr>
          <w:p>
            <w:pPr>
              <w:spacing w:line="276"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二氧化硫</w:t>
            </w:r>
          </w:p>
        </w:tc>
        <w:tc>
          <w:tcPr>
            <w:tcW w:w="1782" w:type="dxa"/>
            <w:vAlign w:val="center"/>
          </w:tcPr>
          <w:p>
            <w:pPr>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778"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782"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783" w:type="dxa"/>
            <w:vAlign w:val="center"/>
          </w:tcPr>
          <w:p>
            <w:pPr>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655"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912" w:type="dxa"/>
            <w:vAlign w:val="center"/>
          </w:tcPr>
          <w:p>
            <w:pPr>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011"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color w:val="auto"/>
                <w:szCs w:val="21"/>
                <w:highlight w:val="none"/>
              </w:rPr>
            </w:pPr>
          </w:p>
        </w:tc>
        <w:tc>
          <w:tcPr>
            <w:tcW w:w="1960" w:type="dxa"/>
            <w:vAlign w:val="center"/>
          </w:tcPr>
          <w:p>
            <w:pPr>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氮氧化物</w:t>
            </w:r>
          </w:p>
        </w:tc>
        <w:tc>
          <w:tcPr>
            <w:tcW w:w="1782" w:type="dxa"/>
            <w:vAlign w:val="center"/>
          </w:tcPr>
          <w:p>
            <w:pPr>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778"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782"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783" w:type="dxa"/>
            <w:vAlign w:val="center"/>
          </w:tcPr>
          <w:p>
            <w:pPr>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655"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912" w:type="dxa"/>
            <w:vAlign w:val="center"/>
          </w:tcPr>
          <w:p>
            <w:pPr>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011"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color w:val="auto"/>
                <w:szCs w:val="21"/>
                <w:highlight w:val="none"/>
              </w:rPr>
            </w:pPr>
          </w:p>
        </w:tc>
        <w:tc>
          <w:tcPr>
            <w:tcW w:w="1960" w:type="dxa"/>
            <w:vAlign w:val="center"/>
          </w:tcPr>
          <w:p>
            <w:pPr>
              <w:spacing w:line="276"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VOCs</w:t>
            </w:r>
          </w:p>
        </w:tc>
        <w:tc>
          <w:tcPr>
            <w:tcW w:w="1782" w:type="dxa"/>
            <w:vAlign w:val="center"/>
          </w:tcPr>
          <w:p>
            <w:pPr>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778"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782"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783" w:type="dxa"/>
            <w:vAlign w:val="center"/>
          </w:tcPr>
          <w:p>
            <w:pPr>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655"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912" w:type="dxa"/>
            <w:vAlign w:val="center"/>
          </w:tcPr>
          <w:p>
            <w:pPr>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011"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restart"/>
            <w:vAlign w:val="center"/>
          </w:tcPr>
          <w:p>
            <w:pPr>
              <w:spacing w:line="276" w:lineRule="auto"/>
              <w:jc w:val="center"/>
              <w:rPr>
                <w:rFonts w:cs="Times New Roman"/>
                <w:color w:val="auto"/>
                <w:szCs w:val="21"/>
                <w:highlight w:val="none"/>
              </w:rPr>
            </w:pPr>
            <w:r>
              <w:rPr>
                <w:rFonts w:cs="Times New Roman"/>
                <w:color w:val="auto"/>
                <w:szCs w:val="21"/>
                <w:highlight w:val="none"/>
              </w:rPr>
              <w:t>废水</w:t>
            </w:r>
          </w:p>
        </w:tc>
        <w:tc>
          <w:tcPr>
            <w:tcW w:w="1960" w:type="dxa"/>
            <w:vAlign w:val="center"/>
          </w:tcPr>
          <w:p>
            <w:pPr>
              <w:spacing w:line="276" w:lineRule="auto"/>
              <w:jc w:val="center"/>
              <w:rPr>
                <w:rFonts w:cs="Times New Roman"/>
                <w:color w:val="auto"/>
                <w:szCs w:val="21"/>
                <w:highlight w:val="none"/>
              </w:rPr>
            </w:pPr>
            <w:r>
              <w:rPr>
                <w:rFonts w:cs="Times New Roman"/>
                <w:color w:val="auto"/>
                <w:szCs w:val="21"/>
                <w:highlight w:val="none"/>
              </w:rPr>
              <w:t>COD</w:t>
            </w:r>
          </w:p>
        </w:tc>
        <w:tc>
          <w:tcPr>
            <w:tcW w:w="1782" w:type="dxa"/>
            <w:vAlign w:val="center"/>
          </w:tcPr>
          <w:p>
            <w:pPr>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778"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782"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783"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655"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912" w:type="dxa"/>
            <w:vAlign w:val="center"/>
          </w:tcPr>
          <w:p>
            <w:pPr>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011"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color w:val="auto"/>
                <w:szCs w:val="21"/>
                <w:highlight w:val="none"/>
              </w:rPr>
            </w:pPr>
          </w:p>
        </w:tc>
        <w:tc>
          <w:tcPr>
            <w:tcW w:w="1960" w:type="dxa"/>
            <w:vAlign w:val="center"/>
          </w:tcPr>
          <w:p>
            <w:pPr>
              <w:spacing w:line="276" w:lineRule="auto"/>
              <w:jc w:val="center"/>
              <w:rPr>
                <w:rFonts w:cs="Times New Roman"/>
                <w:color w:val="auto"/>
                <w:szCs w:val="21"/>
                <w:highlight w:val="none"/>
              </w:rPr>
            </w:pPr>
            <w:r>
              <w:rPr>
                <w:rFonts w:cs="Times New Roman"/>
                <w:color w:val="auto"/>
                <w:szCs w:val="21"/>
                <w:highlight w:val="none"/>
              </w:rPr>
              <w:t>NH</w:t>
            </w:r>
            <w:r>
              <w:rPr>
                <w:rFonts w:cs="Times New Roman"/>
                <w:color w:val="auto"/>
                <w:szCs w:val="21"/>
                <w:highlight w:val="none"/>
                <w:vertAlign w:val="subscript"/>
              </w:rPr>
              <w:t>3</w:t>
            </w:r>
            <w:r>
              <w:rPr>
                <w:rFonts w:hint="eastAsia" w:cs="Times New Roman"/>
                <w:color w:val="auto"/>
                <w:szCs w:val="21"/>
                <w:highlight w:val="none"/>
              </w:rPr>
              <w:t>-</w:t>
            </w:r>
            <w:r>
              <w:rPr>
                <w:rFonts w:cs="Times New Roman"/>
                <w:color w:val="auto"/>
                <w:szCs w:val="21"/>
                <w:highlight w:val="none"/>
              </w:rPr>
              <w:t>N</w:t>
            </w:r>
          </w:p>
        </w:tc>
        <w:tc>
          <w:tcPr>
            <w:tcW w:w="1782" w:type="dxa"/>
            <w:vAlign w:val="center"/>
          </w:tcPr>
          <w:p>
            <w:pPr>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778"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782"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783"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655"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912" w:type="dxa"/>
            <w:vAlign w:val="center"/>
          </w:tcPr>
          <w:p>
            <w:pPr>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011"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color w:val="auto"/>
                <w:szCs w:val="21"/>
                <w:highlight w:val="none"/>
              </w:rPr>
            </w:pPr>
          </w:p>
        </w:tc>
        <w:tc>
          <w:tcPr>
            <w:tcW w:w="1960" w:type="dxa"/>
            <w:vAlign w:val="center"/>
          </w:tcPr>
          <w:p>
            <w:pPr>
              <w:spacing w:line="276" w:lineRule="auto"/>
              <w:jc w:val="center"/>
              <w:rPr>
                <w:rFonts w:cs="Times New Roman"/>
                <w:color w:val="auto"/>
                <w:szCs w:val="21"/>
                <w:highlight w:val="none"/>
              </w:rPr>
            </w:pPr>
            <w:r>
              <w:rPr>
                <w:rFonts w:cs="Times New Roman"/>
                <w:color w:val="auto"/>
                <w:szCs w:val="21"/>
                <w:highlight w:val="none"/>
              </w:rPr>
              <w:t>TP</w:t>
            </w:r>
          </w:p>
        </w:tc>
        <w:tc>
          <w:tcPr>
            <w:tcW w:w="1782" w:type="dxa"/>
            <w:vAlign w:val="center"/>
          </w:tcPr>
          <w:p>
            <w:pPr>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778"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782"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783"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655"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912" w:type="dxa"/>
            <w:vAlign w:val="center"/>
          </w:tcPr>
          <w:p>
            <w:pPr>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011"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restart"/>
            <w:vAlign w:val="center"/>
          </w:tcPr>
          <w:p>
            <w:pPr>
              <w:spacing w:line="276" w:lineRule="auto"/>
              <w:jc w:val="center"/>
              <w:rPr>
                <w:rFonts w:cs="Times New Roman"/>
                <w:color w:val="auto"/>
                <w:szCs w:val="21"/>
                <w:highlight w:val="none"/>
              </w:rPr>
            </w:pPr>
            <w:r>
              <w:rPr>
                <w:rFonts w:cs="Times New Roman"/>
                <w:color w:val="auto"/>
                <w:szCs w:val="21"/>
                <w:highlight w:val="none"/>
              </w:rPr>
              <w:t>一般工业</w:t>
            </w:r>
          </w:p>
          <w:p>
            <w:pPr>
              <w:spacing w:line="276" w:lineRule="auto"/>
              <w:jc w:val="center"/>
              <w:rPr>
                <w:rFonts w:cs="Times New Roman"/>
                <w:color w:val="auto"/>
                <w:szCs w:val="21"/>
                <w:highlight w:val="none"/>
              </w:rPr>
            </w:pPr>
            <w:r>
              <w:rPr>
                <w:rFonts w:cs="Times New Roman"/>
                <w:color w:val="auto"/>
                <w:szCs w:val="21"/>
                <w:highlight w:val="none"/>
              </w:rPr>
              <w:t>固体废物</w:t>
            </w:r>
          </w:p>
        </w:tc>
        <w:tc>
          <w:tcPr>
            <w:tcW w:w="19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生活垃圾</w:t>
            </w:r>
          </w:p>
        </w:tc>
        <w:tc>
          <w:tcPr>
            <w:tcW w:w="17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黑体"/>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778"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782"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783" w:type="dxa"/>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0.9</w:t>
            </w:r>
          </w:p>
        </w:tc>
        <w:tc>
          <w:tcPr>
            <w:tcW w:w="1655"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912" w:type="dxa"/>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0.9</w:t>
            </w:r>
          </w:p>
        </w:tc>
        <w:tc>
          <w:tcPr>
            <w:tcW w:w="1011" w:type="dxa"/>
            <w:vAlign w:val="center"/>
          </w:tcPr>
          <w:p>
            <w:pPr>
              <w:spacing w:line="276" w:lineRule="auto"/>
              <w:jc w:val="center"/>
              <w:rPr>
                <w:rFonts w:hint="eastAsia" w:eastAsia="宋体" w:cs="Times New Roman"/>
                <w:color w:val="auto"/>
                <w:szCs w:val="21"/>
                <w:highlight w:val="none"/>
                <w:lang w:val="en-US" w:eastAsia="zh-CN"/>
              </w:rPr>
            </w:pPr>
            <w:r>
              <w:rPr>
                <w:rFonts w:hint="eastAsia"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color w:val="auto"/>
                <w:szCs w:val="21"/>
                <w:highlight w:val="none"/>
              </w:rPr>
            </w:pPr>
          </w:p>
        </w:tc>
        <w:tc>
          <w:tcPr>
            <w:tcW w:w="19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砂</w:t>
            </w:r>
          </w:p>
        </w:tc>
        <w:tc>
          <w:tcPr>
            <w:tcW w:w="17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黑体"/>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0</w:t>
            </w:r>
          </w:p>
        </w:tc>
        <w:tc>
          <w:tcPr>
            <w:tcW w:w="1778" w:type="dxa"/>
            <w:vAlign w:val="center"/>
          </w:tcPr>
          <w:p>
            <w:pPr>
              <w:spacing w:line="276" w:lineRule="auto"/>
              <w:jc w:val="center"/>
              <w:rPr>
                <w:rFonts w:cs="Times New Roman"/>
                <w:color w:val="0000FF"/>
                <w:szCs w:val="21"/>
                <w:highlight w:val="none"/>
              </w:rPr>
            </w:pPr>
            <w:r>
              <w:rPr>
                <w:rFonts w:hint="eastAsia" w:cs="Times New Roman"/>
                <w:color w:val="0000FF"/>
                <w:kern w:val="2"/>
                <w:sz w:val="21"/>
                <w:szCs w:val="21"/>
                <w:highlight w:val="none"/>
                <w:lang w:val="en-US" w:eastAsia="zh-CN" w:bidi="ar-SA"/>
              </w:rPr>
              <w:t>0</w:t>
            </w:r>
          </w:p>
        </w:tc>
        <w:tc>
          <w:tcPr>
            <w:tcW w:w="1782" w:type="dxa"/>
            <w:vAlign w:val="center"/>
          </w:tcPr>
          <w:p>
            <w:pPr>
              <w:spacing w:line="276" w:lineRule="auto"/>
              <w:jc w:val="center"/>
              <w:rPr>
                <w:rFonts w:cs="Times New Roman"/>
                <w:color w:val="0000FF"/>
                <w:szCs w:val="21"/>
                <w:highlight w:val="none"/>
              </w:rPr>
            </w:pPr>
            <w:r>
              <w:rPr>
                <w:rFonts w:hint="eastAsia" w:cs="Times New Roman"/>
                <w:color w:val="0000FF"/>
                <w:kern w:val="2"/>
                <w:sz w:val="21"/>
                <w:szCs w:val="21"/>
                <w:highlight w:val="none"/>
                <w:lang w:val="en-US" w:eastAsia="zh-CN" w:bidi="ar-SA"/>
              </w:rPr>
              <w:t>0</w:t>
            </w:r>
          </w:p>
        </w:tc>
        <w:tc>
          <w:tcPr>
            <w:tcW w:w="1783" w:type="dxa"/>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黑体"/>
                <w:color w:val="0000FF"/>
                <w:kern w:val="2"/>
                <w:sz w:val="21"/>
                <w:szCs w:val="21"/>
                <w:highlight w:val="none"/>
                <w:lang w:val="en-US" w:eastAsia="zh-CN" w:bidi="ar-SA"/>
              </w:rPr>
            </w:pPr>
            <w:r>
              <w:rPr>
                <w:rFonts w:hint="eastAsia"/>
                <w:color w:val="0000FF"/>
                <w:sz w:val="21"/>
                <w:szCs w:val="21"/>
                <w:highlight w:val="none"/>
                <w:lang w:val="en-US" w:eastAsia="zh-CN"/>
              </w:rPr>
              <w:t>10</w:t>
            </w:r>
          </w:p>
        </w:tc>
        <w:tc>
          <w:tcPr>
            <w:tcW w:w="1655" w:type="dxa"/>
            <w:vAlign w:val="center"/>
          </w:tcPr>
          <w:p>
            <w:pPr>
              <w:spacing w:line="276" w:lineRule="auto"/>
              <w:jc w:val="center"/>
              <w:rPr>
                <w:rFonts w:cs="Times New Roman"/>
                <w:color w:val="0000FF"/>
                <w:szCs w:val="21"/>
                <w:highlight w:val="none"/>
              </w:rPr>
            </w:pPr>
            <w:r>
              <w:rPr>
                <w:rFonts w:hint="eastAsia" w:cs="Times New Roman"/>
                <w:color w:val="0000FF"/>
                <w:kern w:val="2"/>
                <w:sz w:val="21"/>
                <w:szCs w:val="21"/>
                <w:highlight w:val="none"/>
                <w:lang w:val="en-US" w:eastAsia="zh-CN" w:bidi="ar-SA"/>
              </w:rPr>
              <w:t>0</w:t>
            </w:r>
          </w:p>
        </w:tc>
        <w:tc>
          <w:tcPr>
            <w:tcW w:w="1912" w:type="dxa"/>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黑体"/>
                <w:color w:val="0000FF"/>
                <w:kern w:val="2"/>
                <w:sz w:val="21"/>
                <w:szCs w:val="21"/>
                <w:highlight w:val="none"/>
                <w:lang w:val="en-US" w:eastAsia="zh-CN" w:bidi="ar-SA"/>
              </w:rPr>
            </w:pPr>
            <w:r>
              <w:rPr>
                <w:rFonts w:hint="eastAsia"/>
                <w:color w:val="0000FF"/>
                <w:sz w:val="21"/>
                <w:szCs w:val="21"/>
                <w:highlight w:val="none"/>
                <w:lang w:val="en-US" w:eastAsia="zh-CN"/>
              </w:rPr>
              <w:t>10</w:t>
            </w:r>
          </w:p>
        </w:tc>
        <w:tc>
          <w:tcPr>
            <w:tcW w:w="1011" w:type="dxa"/>
            <w:vAlign w:val="center"/>
          </w:tcPr>
          <w:p>
            <w:pPr>
              <w:spacing w:line="276" w:lineRule="auto"/>
              <w:jc w:val="center"/>
              <w:rPr>
                <w:rFonts w:cs="Times New Roman"/>
                <w:color w:val="0000FF"/>
                <w:szCs w:val="21"/>
                <w:highlight w:val="none"/>
              </w:rPr>
            </w:pPr>
            <w:r>
              <w:rPr>
                <w:rFonts w:hint="eastAsia" w:cs="Times New Roman"/>
                <w:color w:val="0000FF"/>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color w:val="auto"/>
                <w:szCs w:val="21"/>
                <w:highlight w:val="none"/>
              </w:rPr>
            </w:pPr>
          </w:p>
        </w:tc>
        <w:tc>
          <w:tcPr>
            <w:tcW w:w="19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沉渣</w:t>
            </w:r>
          </w:p>
        </w:tc>
        <w:tc>
          <w:tcPr>
            <w:tcW w:w="17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黑体"/>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778"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782"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783" w:type="dxa"/>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100</w:t>
            </w:r>
          </w:p>
        </w:tc>
        <w:tc>
          <w:tcPr>
            <w:tcW w:w="1655" w:type="dxa"/>
            <w:vAlign w:val="center"/>
          </w:tcPr>
          <w:p>
            <w:pPr>
              <w:spacing w:line="276" w:lineRule="auto"/>
              <w:jc w:val="center"/>
              <w:rPr>
                <w:rFonts w:cs="Times New Roman"/>
                <w:color w:val="auto"/>
                <w:szCs w:val="21"/>
                <w:highlight w:val="none"/>
              </w:rPr>
            </w:pPr>
            <w:r>
              <w:rPr>
                <w:rFonts w:hint="eastAsia" w:cs="Times New Roman"/>
                <w:color w:val="auto"/>
                <w:kern w:val="2"/>
                <w:sz w:val="21"/>
                <w:szCs w:val="21"/>
                <w:highlight w:val="none"/>
                <w:lang w:val="en-US" w:eastAsia="zh-CN" w:bidi="ar-SA"/>
              </w:rPr>
              <w:t>0</w:t>
            </w:r>
          </w:p>
        </w:tc>
        <w:tc>
          <w:tcPr>
            <w:tcW w:w="1912" w:type="dxa"/>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100</w:t>
            </w:r>
          </w:p>
        </w:tc>
        <w:tc>
          <w:tcPr>
            <w:tcW w:w="1011" w:type="dxa"/>
            <w:vAlign w:val="center"/>
          </w:tcPr>
          <w:p>
            <w:pPr>
              <w:spacing w:line="276" w:lineRule="auto"/>
              <w:jc w:val="center"/>
              <w:rPr>
                <w:rFonts w:hint="eastAsia" w:eastAsia="宋体" w:cs="Times New Roman"/>
                <w:color w:val="auto"/>
                <w:szCs w:val="21"/>
                <w:highlight w:val="none"/>
                <w:lang w:val="en-US" w:eastAsia="zh-CN"/>
              </w:rPr>
            </w:pPr>
            <w:r>
              <w:rPr>
                <w:rFonts w:hint="eastAsia"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color w:val="auto"/>
                <w:szCs w:val="21"/>
                <w:highlight w:val="none"/>
              </w:rPr>
            </w:pPr>
          </w:p>
        </w:tc>
        <w:tc>
          <w:tcPr>
            <w:tcW w:w="19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边角石料</w:t>
            </w:r>
          </w:p>
        </w:tc>
        <w:tc>
          <w:tcPr>
            <w:tcW w:w="17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778" w:type="dxa"/>
            <w:vAlign w:val="center"/>
          </w:tcPr>
          <w:p>
            <w:pPr>
              <w:spacing w:line="276"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782" w:type="dxa"/>
            <w:vAlign w:val="center"/>
          </w:tcPr>
          <w:p>
            <w:pPr>
              <w:spacing w:line="276"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783" w:type="dxa"/>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200</w:t>
            </w:r>
          </w:p>
        </w:tc>
        <w:tc>
          <w:tcPr>
            <w:tcW w:w="1655" w:type="dxa"/>
            <w:vAlign w:val="center"/>
          </w:tcPr>
          <w:p>
            <w:pPr>
              <w:spacing w:line="276"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912" w:type="dxa"/>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200</w:t>
            </w:r>
          </w:p>
        </w:tc>
        <w:tc>
          <w:tcPr>
            <w:tcW w:w="1011" w:type="dxa"/>
            <w:vAlign w:val="center"/>
          </w:tcPr>
          <w:p>
            <w:pPr>
              <w:spacing w:line="276"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color w:val="auto"/>
                <w:szCs w:val="21"/>
                <w:highlight w:val="none"/>
              </w:rPr>
            </w:pPr>
          </w:p>
        </w:tc>
        <w:tc>
          <w:tcPr>
            <w:tcW w:w="19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eastAsiaTheme="minorEastAsia"/>
                <w:color w:val="0000FF"/>
                <w:sz w:val="21"/>
                <w:szCs w:val="21"/>
                <w:highlight w:val="none"/>
                <w:lang w:val="en-US" w:eastAsia="zh-CN"/>
              </w:rPr>
            </w:pPr>
            <w:r>
              <w:rPr>
                <w:rFonts w:hint="eastAsia" w:cs="Times New Roman" w:eastAsiaTheme="minorEastAsia"/>
                <w:color w:val="0000FF"/>
                <w:sz w:val="21"/>
                <w:szCs w:val="21"/>
                <w:highlight w:val="none"/>
                <w:lang w:val="en-US" w:eastAsia="zh-CN"/>
              </w:rPr>
              <w:t>废机油</w:t>
            </w:r>
          </w:p>
        </w:tc>
        <w:tc>
          <w:tcPr>
            <w:tcW w:w="17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0</w:t>
            </w:r>
          </w:p>
        </w:tc>
        <w:tc>
          <w:tcPr>
            <w:tcW w:w="1778" w:type="dxa"/>
            <w:vAlign w:val="center"/>
          </w:tcPr>
          <w:p>
            <w:pPr>
              <w:spacing w:line="276" w:lineRule="auto"/>
              <w:jc w:val="center"/>
              <w:rPr>
                <w:rFonts w:hint="eastAsia"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0</w:t>
            </w:r>
          </w:p>
        </w:tc>
        <w:tc>
          <w:tcPr>
            <w:tcW w:w="1782" w:type="dxa"/>
            <w:vAlign w:val="center"/>
          </w:tcPr>
          <w:p>
            <w:pPr>
              <w:spacing w:line="276" w:lineRule="auto"/>
              <w:jc w:val="center"/>
              <w:rPr>
                <w:rFonts w:hint="eastAsia"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0</w:t>
            </w:r>
          </w:p>
        </w:tc>
        <w:tc>
          <w:tcPr>
            <w:tcW w:w="17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FF"/>
                <w:sz w:val="21"/>
                <w:szCs w:val="21"/>
                <w:highlight w:val="none"/>
                <w:lang w:val="en-US" w:eastAsia="zh-CN"/>
              </w:rPr>
            </w:pPr>
            <w:r>
              <w:rPr>
                <w:rFonts w:hint="eastAsia"/>
                <w:color w:val="0000FF"/>
                <w:sz w:val="21"/>
                <w:szCs w:val="21"/>
                <w:highlight w:val="none"/>
                <w:lang w:val="en-US" w:eastAsia="zh-CN"/>
              </w:rPr>
              <w:t>0.01</w:t>
            </w:r>
          </w:p>
        </w:tc>
        <w:tc>
          <w:tcPr>
            <w:tcW w:w="1655" w:type="dxa"/>
            <w:vAlign w:val="center"/>
          </w:tcPr>
          <w:p>
            <w:pPr>
              <w:spacing w:line="276" w:lineRule="auto"/>
              <w:jc w:val="center"/>
              <w:rPr>
                <w:rFonts w:hint="eastAsia"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0</w:t>
            </w:r>
          </w:p>
        </w:tc>
        <w:tc>
          <w:tcPr>
            <w:tcW w:w="191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FF"/>
                <w:sz w:val="21"/>
                <w:szCs w:val="21"/>
                <w:highlight w:val="none"/>
                <w:lang w:val="en-US" w:eastAsia="zh-CN"/>
              </w:rPr>
            </w:pPr>
            <w:r>
              <w:rPr>
                <w:rFonts w:hint="eastAsia"/>
                <w:color w:val="0000FF"/>
                <w:sz w:val="21"/>
                <w:szCs w:val="21"/>
                <w:highlight w:val="none"/>
                <w:lang w:val="en-US" w:eastAsia="zh-CN"/>
              </w:rPr>
              <w:t>0.01</w:t>
            </w:r>
          </w:p>
        </w:tc>
        <w:tc>
          <w:tcPr>
            <w:tcW w:w="1011" w:type="dxa"/>
            <w:vAlign w:val="center"/>
          </w:tcPr>
          <w:p>
            <w:pPr>
              <w:spacing w:line="276" w:lineRule="auto"/>
              <w:jc w:val="center"/>
              <w:rPr>
                <w:rFonts w:hint="eastAsia"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0</w:t>
            </w:r>
          </w:p>
        </w:tc>
      </w:tr>
    </w:tbl>
    <w:p>
      <w:pPr>
        <w:rPr>
          <w:rFonts w:ascii="宋体" w:hAnsi="宋体"/>
          <w:color w:val="auto"/>
          <w:szCs w:val="21"/>
          <w:highlight w:val="none"/>
        </w:rPr>
      </w:pPr>
      <w:r>
        <w:rPr>
          <w:rFonts w:hint="eastAsia" w:ascii="宋体" w:hAnsi="宋体"/>
          <w:color w:val="auto"/>
          <w:szCs w:val="21"/>
          <w:highlight w:val="none"/>
        </w:rPr>
        <w:t>注：⑥=①+③+④-⑤；⑦=⑥-①。</w:t>
      </w:r>
    </w:p>
    <w:sectPr>
      <w:pgSz w:w="16838" w:h="11906" w:orient="landscape"/>
      <w:pgMar w:top="1134" w:right="1134" w:bottom="1134" w:left="1134"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新宋体-18030">
    <w:altName w:val="宋体"/>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方正小标宋_GBK">
    <w:altName w:val="Arial Unicode MS"/>
    <w:panose1 w:val="00000000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roman"/>
    <w:pitch w:val="default"/>
    <w:sig w:usb0="00000000" w:usb1="00000000" w:usb2="00000000" w:usb3="00000000" w:csb0="00000001" w:csb1="00000000"/>
  </w:font>
  <w:font w:name="TTA2o00">
    <w:altName w:val="宋体"/>
    <w:panose1 w:val="00000000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fldChar w:fldCharType="begin"/>
    </w:r>
    <w:r>
      <w:instrText xml:space="preserve">PAGE   \* MERGEFORMAT</w:instrText>
    </w:r>
    <w:r>
      <w:fldChar w:fldCharType="separate"/>
    </w:r>
    <w:r>
      <w:rPr>
        <w:lang w:val="zh-CN"/>
      </w:rPr>
      <w:t>20</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249775"/>
    <w:multiLevelType w:val="singleLevel"/>
    <w:tmpl w:val="00249775"/>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Y4NGIzMjA4M2FhZWNjY2FiYTBlNWZlYTdmZWRmYzQifQ=="/>
  </w:docVars>
  <w:rsids>
    <w:rsidRoot w:val="00172A27"/>
    <w:rsid w:val="00000B5E"/>
    <w:rsid w:val="00000C0A"/>
    <w:rsid w:val="000014A6"/>
    <w:rsid w:val="00001EBA"/>
    <w:rsid w:val="00002A6D"/>
    <w:rsid w:val="00003162"/>
    <w:rsid w:val="00006ACA"/>
    <w:rsid w:val="00006F6D"/>
    <w:rsid w:val="000103CE"/>
    <w:rsid w:val="00011144"/>
    <w:rsid w:val="00013A3F"/>
    <w:rsid w:val="0001444C"/>
    <w:rsid w:val="00014B28"/>
    <w:rsid w:val="00014F13"/>
    <w:rsid w:val="0001552C"/>
    <w:rsid w:val="00016C99"/>
    <w:rsid w:val="00016D8D"/>
    <w:rsid w:val="00017226"/>
    <w:rsid w:val="00017D0D"/>
    <w:rsid w:val="000200E4"/>
    <w:rsid w:val="000207E9"/>
    <w:rsid w:val="000235FB"/>
    <w:rsid w:val="00024B9E"/>
    <w:rsid w:val="0002546F"/>
    <w:rsid w:val="00025610"/>
    <w:rsid w:val="00025C9E"/>
    <w:rsid w:val="00025EF3"/>
    <w:rsid w:val="0002610A"/>
    <w:rsid w:val="000307AB"/>
    <w:rsid w:val="00031C2C"/>
    <w:rsid w:val="00031D72"/>
    <w:rsid w:val="0003462F"/>
    <w:rsid w:val="00034DCC"/>
    <w:rsid w:val="00034DDA"/>
    <w:rsid w:val="00035AC5"/>
    <w:rsid w:val="00035EB5"/>
    <w:rsid w:val="00037C5C"/>
    <w:rsid w:val="00040855"/>
    <w:rsid w:val="00041755"/>
    <w:rsid w:val="0004272B"/>
    <w:rsid w:val="00043772"/>
    <w:rsid w:val="0004377D"/>
    <w:rsid w:val="000439DD"/>
    <w:rsid w:val="000447BD"/>
    <w:rsid w:val="00044D25"/>
    <w:rsid w:val="000452D7"/>
    <w:rsid w:val="00045304"/>
    <w:rsid w:val="0004673D"/>
    <w:rsid w:val="00046783"/>
    <w:rsid w:val="00050B9A"/>
    <w:rsid w:val="00050F56"/>
    <w:rsid w:val="00050FCF"/>
    <w:rsid w:val="0005183D"/>
    <w:rsid w:val="00051989"/>
    <w:rsid w:val="00051C97"/>
    <w:rsid w:val="00053455"/>
    <w:rsid w:val="00053EE1"/>
    <w:rsid w:val="000554A6"/>
    <w:rsid w:val="0005632A"/>
    <w:rsid w:val="0005647E"/>
    <w:rsid w:val="0005723F"/>
    <w:rsid w:val="000573CB"/>
    <w:rsid w:val="0005747E"/>
    <w:rsid w:val="00057875"/>
    <w:rsid w:val="00061654"/>
    <w:rsid w:val="0006592A"/>
    <w:rsid w:val="000668A4"/>
    <w:rsid w:val="00066A37"/>
    <w:rsid w:val="00067A22"/>
    <w:rsid w:val="00070A81"/>
    <w:rsid w:val="00071368"/>
    <w:rsid w:val="00071779"/>
    <w:rsid w:val="00074010"/>
    <w:rsid w:val="0007412D"/>
    <w:rsid w:val="00074317"/>
    <w:rsid w:val="00074D4F"/>
    <w:rsid w:val="000758A2"/>
    <w:rsid w:val="000758E5"/>
    <w:rsid w:val="000760E6"/>
    <w:rsid w:val="00077478"/>
    <w:rsid w:val="00077A0F"/>
    <w:rsid w:val="000813EA"/>
    <w:rsid w:val="00082F8F"/>
    <w:rsid w:val="00083098"/>
    <w:rsid w:val="00083188"/>
    <w:rsid w:val="000847F7"/>
    <w:rsid w:val="00084A07"/>
    <w:rsid w:val="00084D48"/>
    <w:rsid w:val="000858A9"/>
    <w:rsid w:val="00086637"/>
    <w:rsid w:val="00091E77"/>
    <w:rsid w:val="000929DD"/>
    <w:rsid w:val="00093154"/>
    <w:rsid w:val="00093367"/>
    <w:rsid w:val="0009339C"/>
    <w:rsid w:val="0009484A"/>
    <w:rsid w:val="0009642A"/>
    <w:rsid w:val="000964DC"/>
    <w:rsid w:val="00096636"/>
    <w:rsid w:val="00096A4D"/>
    <w:rsid w:val="00097315"/>
    <w:rsid w:val="000A02FB"/>
    <w:rsid w:val="000A0D5F"/>
    <w:rsid w:val="000A1CCE"/>
    <w:rsid w:val="000A2382"/>
    <w:rsid w:val="000A24F4"/>
    <w:rsid w:val="000A4136"/>
    <w:rsid w:val="000A5070"/>
    <w:rsid w:val="000A6411"/>
    <w:rsid w:val="000A712F"/>
    <w:rsid w:val="000A72C8"/>
    <w:rsid w:val="000B019A"/>
    <w:rsid w:val="000B0212"/>
    <w:rsid w:val="000B2352"/>
    <w:rsid w:val="000B23A4"/>
    <w:rsid w:val="000B47B9"/>
    <w:rsid w:val="000B4CD9"/>
    <w:rsid w:val="000B55FF"/>
    <w:rsid w:val="000B6672"/>
    <w:rsid w:val="000B6983"/>
    <w:rsid w:val="000B79A0"/>
    <w:rsid w:val="000C032C"/>
    <w:rsid w:val="000C1C38"/>
    <w:rsid w:val="000C1CDA"/>
    <w:rsid w:val="000C23BE"/>
    <w:rsid w:val="000C247E"/>
    <w:rsid w:val="000C2E30"/>
    <w:rsid w:val="000C37EB"/>
    <w:rsid w:val="000C5707"/>
    <w:rsid w:val="000C5B08"/>
    <w:rsid w:val="000C5F52"/>
    <w:rsid w:val="000C79F0"/>
    <w:rsid w:val="000C7FAC"/>
    <w:rsid w:val="000D0ADB"/>
    <w:rsid w:val="000D14C0"/>
    <w:rsid w:val="000D2AAA"/>
    <w:rsid w:val="000D318F"/>
    <w:rsid w:val="000D3928"/>
    <w:rsid w:val="000D46E2"/>
    <w:rsid w:val="000D4B06"/>
    <w:rsid w:val="000D50C0"/>
    <w:rsid w:val="000D5606"/>
    <w:rsid w:val="000D58C2"/>
    <w:rsid w:val="000D5C5F"/>
    <w:rsid w:val="000D5D22"/>
    <w:rsid w:val="000D7B34"/>
    <w:rsid w:val="000E0373"/>
    <w:rsid w:val="000E0CBE"/>
    <w:rsid w:val="000E123F"/>
    <w:rsid w:val="000E2B9F"/>
    <w:rsid w:val="000E3687"/>
    <w:rsid w:val="000E4316"/>
    <w:rsid w:val="000E46F4"/>
    <w:rsid w:val="000E6225"/>
    <w:rsid w:val="000E6C9F"/>
    <w:rsid w:val="000E7DAC"/>
    <w:rsid w:val="000F01A4"/>
    <w:rsid w:val="000F09DF"/>
    <w:rsid w:val="000F2090"/>
    <w:rsid w:val="000F2AFB"/>
    <w:rsid w:val="000F2C6D"/>
    <w:rsid w:val="000F3CE6"/>
    <w:rsid w:val="000F4022"/>
    <w:rsid w:val="000F4DC7"/>
    <w:rsid w:val="000F5DE7"/>
    <w:rsid w:val="000F639A"/>
    <w:rsid w:val="000F7CCB"/>
    <w:rsid w:val="00101C0A"/>
    <w:rsid w:val="00101D45"/>
    <w:rsid w:val="00101FE7"/>
    <w:rsid w:val="00102225"/>
    <w:rsid w:val="00102388"/>
    <w:rsid w:val="0010402E"/>
    <w:rsid w:val="001054EA"/>
    <w:rsid w:val="00106D98"/>
    <w:rsid w:val="00107266"/>
    <w:rsid w:val="00110740"/>
    <w:rsid w:val="00110ADB"/>
    <w:rsid w:val="00111FBC"/>
    <w:rsid w:val="00112CF4"/>
    <w:rsid w:val="001137C1"/>
    <w:rsid w:val="00113F84"/>
    <w:rsid w:val="00114D2C"/>
    <w:rsid w:val="001154A8"/>
    <w:rsid w:val="00115880"/>
    <w:rsid w:val="00115FD8"/>
    <w:rsid w:val="00116C46"/>
    <w:rsid w:val="0011732D"/>
    <w:rsid w:val="00117A17"/>
    <w:rsid w:val="0012069F"/>
    <w:rsid w:val="001207E6"/>
    <w:rsid w:val="00120E1C"/>
    <w:rsid w:val="00120F59"/>
    <w:rsid w:val="001217E4"/>
    <w:rsid w:val="001259AA"/>
    <w:rsid w:val="00125D9F"/>
    <w:rsid w:val="00125E98"/>
    <w:rsid w:val="0012683C"/>
    <w:rsid w:val="00127C82"/>
    <w:rsid w:val="00130AAF"/>
    <w:rsid w:val="0013238B"/>
    <w:rsid w:val="0013265F"/>
    <w:rsid w:val="00135DC0"/>
    <w:rsid w:val="001367D8"/>
    <w:rsid w:val="001378AA"/>
    <w:rsid w:val="00140613"/>
    <w:rsid w:val="00141069"/>
    <w:rsid w:val="00143010"/>
    <w:rsid w:val="001433E0"/>
    <w:rsid w:val="00145B98"/>
    <w:rsid w:val="0014630F"/>
    <w:rsid w:val="001473EB"/>
    <w:rsid w:val="00147683"/>
    <w:rsid w:val="00151185"/>
    <w:rsid w:val="001515B7"/>
    <w:rsid w:val="0015240B"/>
    <w:rsid w:val="001524BB"/>
    <w:rsid w:val="00152F00"/>
    <w:rsid w:val="0015377A"/>
    <w:rsid w:val="001556AA"/>
    <w:rsid w:val="001556F6"/>
    <w:rsid w:val="00157B75"/>
    <w:rsid w:val="0016016F"/>
    <w:rsid w:val="00161A8B"/>
    <w:rsid w:val="00162B9A"/>
    <w:rsid w:val="00162C48"/>
    <w:rsid w:val="00162E0F"/>
    <w:rsid w:val="0016321C"/>
    <w:rsid w:val="00164B95"/>
    <w:rsid w:val="00165EBA"/>
    <w:rsid w:val="00166183"/>
    <w:rsid w:val="00167113"/>
    <w:rsid w:val="00167852"/>
    <w:rsid w:val="00167FF0"/>
    <w:rsid w:val="00172388"/>
    <w:rsid w:val="00172630"/>
    <w:rsid w:val="00173501"/>
    <w:rsid w:val="0017455C"/>
    <w:rsid w:val="00174BBE"/>
    <w:rsid w:val="0017583B"/>
    <w:rsid w:val="001761FF"/>
    <w:rsid w:val="00176491"/>
    <w:rsid w:val="00177391"/>
    <w:rsid w:val="0017764F"/>
    <w:rsid w:val="00177D64"/>
    <w:rsid w:val="001800A3"/>
    <w:rsid w:val="00182CD4"/>
    <w:rsid w:val="00185663"/>
    <w:rsid w:val="00190211"/>
    <w:rsid w:val="00190C01"/>
    <w:rsid w:val="00192DE0"/>
    <w:rsid w:val="00192ECE"/>
    <w:rsid w:val="00193D19"/>
    <w:rsid w:val="00194D46"/>
    <w:rsid w:val="00194FBD"/>
    <w:rsid w:val="001950E3"/>
    <w:rsid w:val="001961A6"/>
    <w:rsid w:val="001963F0"/>
    <w:rsid w:val="00196F8D"/>
    <w:rsid w:val="0019760B"/>
    <w:rsid w:val="00197F59"/>
    <w:rsid w:val="001A0FF0"/>
    <w:rsid w:val="001A1620"/>
    <w:rsid w:val="001A1644"/>
    <w:rsid w:val="001A4240"/>
    <w:rsid w:val="001A5316"/>
    <w:rsid w:val="001A6F59"/>
    <w:rsid w:val="001A7E03"/>
    <w:rsid w:val="001B12B2"/>
    <w:rsid w:val="001B13D5"/>
    <w:rsid w:val="001B15E1"/>
    <w:rsid w:val="001B1E5A"/>
    <w:rsid w:val="001B2801"/>
    <w:rsid w:val="001B2B05"/>
    <w:rsid w:val="001B2D20"/>
    <w:rsid w:val="001B3265"/>
    <w:rsid w:val="001B3BDB"/>
    <w:rsid w:val="001B3D47"/>
    <w:rsid w:val="001B430F"/>
    <w:rsid w:val="001B4F4F"/>
    <w:rsid w:val="001B5E2A"/>
    <w:rsid w:val="001B6F59"/>
    <w:rsid w:val="001B7258"/>
    <w:rsid w:val="001B75BE"/>
    <w:rsid w:val="001B7A91"/>
    <w:rsid w:val="001C12DF"/>
    <w:rsid w:val="001C30B0"/>
    <w:rsid w:val="001C3302"/>
    <w:rsid w:val="001C5180"/>
    <w:rsid w:val="001C5980"/>
    <w:rsid w:val="001C606B"/>
    <w:rsid w:val="001C6610"/>
    <w:rsid w:val="001D1F8C"/>
    <w:rsid w:val="001D2028"/>
    <w:rsid w:val="001D213A"/>
    <w:rsid w:val="001D260C"/>
    <w:rsid w:val="001D43CE"/>
    <w:rsid w:val="001D515D"/>
    <w:rsid w:val="001D6BA0"/>
    <w:rsid w:val="001D7671"/>
    <w:rsid w:val="001D7E10"/>
    <w:rsid w:val="001E0ADF"/>
    <w:rsid w:val="001E10E1"/>
    <w:rsid w:val="001E1EB8"/>
    <w:rsid w:val="001E2B35"/>
    <w:rsid w:val="001E2F0C"/>
    <w:rsid w:val="001E3F64"/>
    <w:rsid w:val="001E4B3B"/>
    <w:rsid w:val="001E5E27"/>
    <w:rsid w:val="001E6B6C"/>
    <w:rsid w:val="001F27AD"/>
    <w:rsid w:val="001F2AAA"/>
    <w:rsid w:val="001F4003"/>
    <w:rsid w:val="001F5082"/>
    <w:rsid w:val="001F62A7"/>
    <w:rsid w:val="00201289"/>
    <w:rsid w:val="00203CDC"/>
    <w:rsid w:val="00204283"/>
    <w:rsid w:val="002043D6"/>
    <w:rsid w:val="00204AA1"/>
    <w:rsid w:val="002063C4"/>
    <w:rsid w:val="00207D07"/>
    <w:rsid w:val="0021038B"/>
    <w:rsid w:val="0021090C"/>
    <w:rsid w:val="00210E1B"/>
    <w:rsid w:val="00211066"/>
    <w:rsid w:val="00211387"/>
    <w:rsid w:val="00211574"/>
    <w:rsid w:val="00212532"/>
    <w:rsid w:val="00212A35"/>
    <w:rsid w:val="00212CF3"/>
    <w:rsid w:val="00213258"/>
    <w:rsid w:val="00213A11"/>
    <w:rsid w:val="00213B8B"/>
    <w:rsid w:val="00213D80"/>
    <w:rsid w:val="00214509"/>
    <w:rsid w:val="00216405"/>
    <w:rsid w:val="0021676F"/>
    <w:rsid w:val="00217984"/>
    <w:rsid w:val="00217D48"/>
    <w:rsid w:val="00220011"/>
    <w:rsid w:val="002208B0"/>
    <w:rsid w:val="00220B98"/>
    <w:rsid w:val="00221BE9"/>
    <w:rsid w:val="0022260A"/>
    <w:rsid w:val="0022462F"/>
    <w:rsid w:val="002254B8"/>
    <w:rsid w:val="0022656E"/>
    <w:rsid w:val="002266E1"/>
    <w:rsid w:val="00230307"/>
    <w:rsid w:val="002329BE"/>
    <w:rsid w:val="00232C82"/>
    <w:rsid w:val="00232DD8"/>
    <w:rsid w:val="002330D6"/>
    <w:rsid w:val="002339F9"/>
    <w:rsid w:val="00233CDD"/>
    <w:rsid w:val="00234DE9"/>
    <w:rsid w:val="002350BB"/>
    <w:rsid w:val="00236693"/>
    <w:rsid w:val="00236916"/>
    <w:rsid w:val="00236D7F"/>
    <w:rsid w:val="00236F89"/>
    <w:rsid w:val="002412AB"/>
    <w:rsid w:val="00241505"/>
    <w:rsid w:val="002424FA"/>
    <w:rsid w:val="002445A1"/>
    <w:rsid w:val="00244AA7"/>
    <w:rsid w:val="00244AAD"/>
    <w:rsid w:val="00244C42"/>
    <w:rsid w:val="0024551A"/>
    <w:rsid w:val="0024662B"/>
    <w:rsid w:val="00246D7E"/>
    <w:rsid w:val="00250999"/>
    <w:rsid w:val="00252432"/>
    <w:rsid w:val="002528B3"/>
    <w:rsid w:val="002546FF"/>
    <w:rsid w:val="002551D2"/>
    <w:rsid w:val="0025626A"/>
    <w:rsid w:val="00256B20"/>
    <w:rsid w:val="00260192"/>
    <w:rsid w:val="00261E4A"/>
    <w:rsid w:val="00262994"/>
    <w:rsid w:val="0026323D"/>
    <w:rsid w:val="00264331"/>
    <w:rsid w:val="00265204"/>
    <w:rsid w:val="0026636F"/>
    <w:rsid w:val="002730EA"/>
    <w:rsid w:val="002743E3"/>
    <w:rsid w:val="00274A0C"/>
    <w:rsid w:val="00274C12"/>
    <w:rsid w:val="002757CC"/>
    <w:rsid w:val="002770D7"/>
    <w:rsid w:val="00280005"/>
    <w:rsid w:val="00280235"/>
    <w:rsid w:val="00280384"/>
    <w:rsid w:val="00280804"/>
    <w:rsid w:val="00280B47"/>
    <w:rsid w:val="00283592"/>
    <w:rsid w:val="002841BD"/>
    <w:rsid w:val="00285C64"/>
    <w:rsid w:val="002866F1"/>
    <w:rsid w:val="00286C77"/>
    <w:rsid w:val="00290BC4"/>
    <w:rsid w:val="00290C11"/>
    <w:rsid w:val="00293586"/>
    <w:rsid w:val="0029457F"/>
    <w:rsid w:val="00294C29"/>
    <w:rsid w:val="00295469"/>
    <w:rsid w:val="002955ED"/>
    <w:rsid w:val="002972BD"/>
    <w:rsid w:val="002A08E1"/>
    <w:rsid w:val="002A0ED9"/>
    <w:rsid w:val="002A18D5"/>
    <w:rsid w:val="002A251E"/>
    <w:rsid w:val="002A2756"/>
    <w:rsid w:val="002A29B6"/>
    <w:rsid w:val="002A2A02"/>
    <w:rsid w:val="002A38D3"/>
    <w:rsid w:val="002A3AB3"/>
    <w:rsid w:val="002A4A0F"/>
    <w:rsid w:val="002A4F4B"/>
    <w:rsid w:val="002A5C84"/>
    <w:rsid w:val="002A5CD7"/>
    <w:rsid w:val="002A6528"/>
    <w:rsid w:val="002B0DF9"/>
    <w:rsid w:val="002B0E76"/>
    <w:rsid w:val="002B1311"/>
    <w:rsid w:val="002B201A"/>
    <w:rsid w:val="002B24B6"/>
    <w:rsid w:val="002B2C50"/>
    <w:rsid w:val="002B3289"/>
    <w:rsid w:val="002B39A6"/>
    <w:rsid w:val="002B40B3"/>
    <w:rsid w:val="002B411C"/>
    <w:rsid w:val="002B4489"/>
    <w:rsid w:val="002B4C4F"/>
    <w:rsid w:val="002B65F6"/>
    <w:rsid w:val="002C0B3C"/>
    <w:rsid w:val="002C1988"/>
    <w:rsid w:val="002C2AC4"/>
    <w:rsid w:val="002C3A74"/>
    <w:rsid w:val="002C3CE0"/>
    <w:rsid w:val="002C3F5E"/>
    <w:rsid w:val="002C45DD"/>
    <w:rsid w:val="002C4B56"/>
    <w:rsid w:val="002C4E1E"/>
    <w:rsid w:val="002C4E39"/>
    <w:rsid w:val="002C5BC6"/>
    <w:rsid w:val="002C5D05"/>
    <w:rsid w:val="002C7193"/>
    <w:rsid w:val="002D0013"/>
    <w:rsid w:val="002D0787"/>
    <w:rsid w:val="002D172E"/>
    <w:rsid w:val="002D1B29"/>
    <w:rsid w:val="002D2E53"/>
    <w:rsid w:val="002D2FBD"/>
    <w:rsid w:val="002D341A"/>
    <w:rsid w:val="002D42E3"/>
    <w:rsid w:val="002D4951"/>
    <w:rsid w:val="002D590C"/>
    <w:rsid w:val="002D70A5"/>
    <w:rsid w:val="002D79CD"/>
    <w:rsid w:val="002E012A"/>
    <w:rsid w:val="002E05E0"/>
    <w:rsid w:val="002E29AB"/>
    <w:rsid w:val="002E301A"/>
    <w:rsid w:val="002E3580"/>
    <w:rsid w:val="002E3595"/>
    <w:rsid w:val="002E3D54"/>
    <w:rsid w:val="002E3F36"/>
    <w:rsid w:val="002E512B"/>
    <w:rsid w:val="002E51FB"/>
    <w:rsid w:val="002E5228"/>
    <w:rsid w:val="002E563E"/>
    <w:rsid w:val="002E607A"/>
    <w:rsid w:val="002E70A6"/>
    <w:rsid w:val="002E75C1"/>
    <w:rsid w:val="002E7838"/>
    <w:rsid w:val="002F0A21"/>
    <w:rsid w:val="002F161E"/>
    <w:rsid w:val="002F1F9C"/>
    <w:rsid w:val="002F23D3"/>
    <w:rsid w:val="002F269A"/>
    <w:rsid w:val="002F3611"/>
    <w:rsid w:val="002F3F58"/>
    <w:rsid w:val="002F6DC8"/>
    <w:rsid w:val="002F6DD1"/>
    <w:rsid w:val="002F72C3"/>
    <w:rsid w:val="003010D2"/>
    <w:rsid w:val="0030122C"/>
    <w:rsid w:val="0030193C"/>
    <w:rsid w:val="00301B78"/>
    <w:rsid w:val="00302271"/>
    <w:rsid w:val="003034DC"/>
    <w:rsid w:val="00304899"/>
    <w:rsid w:val="00306FAA"/>
    <w:rsid w:val="0030760F"/>
    <w:rsid w:val="0031020C"/>
    <w:rsid w:val="00312F22"/>
    <w:rsid w:val="003131A0"/>
    <w:rsid w:val="00313C40"/>
    <w:rsid w:val="00313D1A"/>
    <w:rsid w:val="00314144"/>
    <w:rsid w:val="00314BDA"/>
    <w:rsid w:val="00314FE5"/>
    <w:rsid w:val="0031630B"/>
    <w:rsid w:val="00316AC4"/>
    <w:rsid w:val="00316FCB"/>
    <w:rsid w:val="00320F8F"/>
    <w:rsid w:val="003235DC"/>
    <w:rsid w:val="00323C50"/>
    <w:rsid w:val="00330230"/>
    <w:rsid w:val="0033072E"/>
    <w:rsid w:val="003311F2"/>
    <w:rsid w:val="00331682"/>
    <w:rsid w:val="003326E3"/>
    <w:rsid w:val="00332E63"/>
    <w:rsid w:val="003341ED"/>
    <w:rsid w:val="00335716"/>
    <w:rsid w:val="00335FCB"/>
    <w:rsid w:val="0033779A"/>
    <w:rsid w:val="00337FD8"/>
    <w:rsid w:val="00341AF7"/>
    <w:rsid w:val="003424E2"/>
    <w:rsid w:val="00343B2C"/>
    <w:rsid w:val="00343F97"/>
    <w:rsid w:val="00344193"/>
    <w:rsid w:val="003466D2"/>
    <w:rsid w:val="003468EC"/>
    <w:rsid w:val="00350258"/>
    <w:rsid w:val="00351729"/>
    <w:rsid w:val="0035279C"/>
    <w:rsid w:val="00352BE4"/>
    <w:rsid w:val="003539C3"/>
    <w:rsid w:val="003550AC"/>
    <w:rsid w:val="00355E36"/>
    <w:rsid w:val="00356DF0"/>
    <w:rsid w:val="003571C6"/>
    <w:rsid w:val="003608CD"/>
    <w:rsid w:val="003618A2"/>
    <w:rsid w:val="003619EF"/>
    <w:rsid w:val="00361A05"/>
    <w:rsid w:val="00363B46"/>
    <w:rsid w:val="00364E7A"/>
    <w:rsid w:val="0036523D"/>
    <w:rsid w:val="00365B74"/>
    <w:rsid w:val="003669E2"/>
    <w:rsid w:val="00366E22"/>
    <w:rsid w:val="0036774A"/>
    <w:rsid w:val="003706A4"/>
    <w:rsid w:val="00370AE5"/>
    <w:rsid w:val="0037127F"/>
    <w:rsid w:val="00371BD9"/>
    <w:rsid w:val="00371F9C"/>
    <w:rsid w:val="00372C4F"/>
    <w:rsid w:val="00373511"/>
    <w:rsid w:val="003745DF"/>
    <w:rsid w:val="00375980"/>
    <w:rsid w:val="00376CFB"/>
    <w:rsid w:val="0037774A"/>
    <w:rsid w:val="00377C58"/>
    <w:rsid w:val="003818B6"/>
    <w:rsid w:val="00381994"/>
    <w:rsid w:val="00382C42"/>
    <w:rsid w:val="003833C7"/>
    <w:rsid w:val="00385471"/>
    <w:rsid w:val="003854E5"/>
    <w:rsid w:val="00386D44"/>
    <w:rsid w:val="00386E2D"/>
    <w:rsid w:val="00387531"/>
    <w:rsid w:val="00391322"/>
    <w:rsid w:val="00391C44"/>
    <w:rsid w:val="003928B1"/>
    <w:rsid w:val="003936F8"/>
    <w:rsid w:val="003941F3"/>
    <w:rsid w:val="00394E7B"/>
    <w:rsid w:val="003950D0"/>
    <w:rsid w:val="00395477"/>
    <w:rsid w:val="00395626"/>
    <w:rsid w:val="00395F55"/>
    <w:rsid w:val="003A1F67"/>
    <w:rsid w:val="003A2456"/>
    <w:rsid w:val="003A249D"/>
    <w:rsid w:val="003A47EB"/>
    <w:rsid w:val="003A4B3B"/>
    <w:rsid w:val="003A5201"/>
    <w:rsid w:val="003A7449"/>
    <w:rsid w:val="003A783A"/>
    <w:rsid w:val="003B06C5"/>
    <w:rsid w:val="003B09E1"/>
    <w:rsid w:val="003B10DC"/>
    <w:rsid w:val="003B1C40"/>
    <w:rsid w:val="003B2158"/>
    <w:rsid w:val="003B2D28"/>
    <w:rsid w:val="003B3930"/>
    <w:rsid w:val="003B52D3"/>
    <w:rsid w:val="003B608E"/>
    <w:rsid w:val="003B7485"/>
    <w:rsid w:val="003B75F5"/>
    <w:rsid w:val="003C0B3B"/>
    <w:rsid w:val="003C29D9"/>
    <w:rsid w:val="003C2F6B"/>
    <w:rsid w:val="003C3813"/>
    <w:rsid w:val="003C3A3A"/>
    <w:rsid w:val="003C5973"/>
    <w:rsid w:val="003C5A0A"/>
    <w:rsid w:val="003C7148"/>
    <w:rsid w:val="003D05B4"/>
    <w:rsid w:val="003D156A"/>
    <w:rsid w:val="003D26CB"/>
    <w:rsid w:val="003D27F0"/>
    <w:rsid w:val="003D2B5C"/>
    <w:rsid w:val="003D5AFA"/>
    <w:rsid w:val="003D6101"/>
    <w:rsid w:val="003D61D2"/>
    <w:rsid w:val="003D774E"/>
    <w:rsid w:val="003D7B50"/>
    <w:rsid w:val="003E043C"/>
    <w:rsid w:val="003E0CFC"/>
    <w:rsid w:val="003E0DEF"/>
    <w:rsid w:val="003E1076"/>
    <w:rsid w:val="003E1502"/>
    <w:rsid w:val="003E31B6"/>
    <w:rsid w:val="003E36CD"/>
    <w:rsid w:val="003E4BA9"/>
    <w:rsid w:val="003E589B"/>
    <w:rsid w:val="003E5A78"/>
    <w:rsid w:val="003E5DF5"/>
    <w:rsid w:val="003E5F2A"/>
    <w:rsid w:val="003E771A"/>
    <w:rsid w:val="003F0853"/>
    <w:rsid w:val="003F1058"/>
    <w:rsid w:val="003F13C2"/>
    <w:rsid w:val="003F43EA"/>
    <w:rsid w:val="003F4CCE"/>
    <w:rsid w:val="003F6133"/>
    <w:rsid w:val="003F639F"/>
    <w:rsid w:val="003F7072"/>
    <w:rsid w:val="003F73FD"/>
    <w:rsid w:val="00400B49"/>
    <w:rsid w:val="00402497"/>
    <w:rsid w:val="00402913"/>
    <w:rsid w:val="00403062"/>
    <w:rsid w:val="0040377C"/>
    <w:rsid w:val="00404EA1"/>
    <w:rsid w:val="0040501C"/>
    <w:rsid w:val="0041017A"/>
    <w:rsid w:val="0041018F"/>
    <w:rsid w:val="00410827"/>
    <w:rsid w:val="00410AB1"/>
    <w:rsid w:val="0041262E"/>
    <w:rsid w:val="004149EF"/>
    <w:rsid w:val="004156B3"/>
    <w:rsid w:val="00415C33"/>
    <w:rsid w:val="004202F6"/>
    <w:rsid w:val="00420465"/>
    <w:rsid w:val="00421E47"/>
    <w:rsid w:val="00421E57"/>
    <w:rsid w:val="004227BC"/>
    <w:rsid w:val="004245BA"/>
    <w:rsid w:val="00424F5E"/>
    <w:rsid w:val="00425235"/>
    <w:rsid w:val="00427BFD"/>
    <w:rsid w:val="00431155"/>
    <w:rsid w:val="00431361"/>
    <w:rsid w:val="00431AB9"/>
    <w:rsid w:val="00432A00"/>
    <w:rsid w:val="00432DEE"/>
    <w:rsid w:val="00432EE3"/>
    <w:rsid w:val="00432FFC"/>
    <w:rsid w:val="0043420C"/>
    <w:rsid w:val="00434665"/>
    <w:rsid w:val="0043615D"/>
    <w:rsid w:val="004362F1"/>
    <w:rsid w:val="004366BD"/>
    <w:rsid w:val="00436B45"/>
    <w:rsid w:val="004376FC"/>
    <w:rsid w:val="00441FA4"/>
    <w:rsid w:val="004422AF"/>
    <w:rsid w:val="00443BAE"/>
    <w:rsid w:val="00443C5C"/>
    <w:rsid w:val="004452D4"/>
    <w:rsid w:val="00445940"/>
    <w:rsid w:val="00445C3E"/>
    <w:rsid w:val="00447692"/>
    <w:rsid w:val="00447AAB"/>
    <w:rsid w:val="00451499"/>
    <w:rsid w:val="0045444A"/>
    <w:rsid w:val="00455EA3"/>
    <w:rsid w:val="004565C6"/>
    <w:rsid w:val="004601E9"/>
    <w:rsid w:val="00461DD5"/>
    <w:rsid w:val="004639BC"/>
    <w:rsid w:val="00464211"/>
    <w:rsid w:val="00465D23"/>
    <w:rsid w:val="00465D7D"/>
    <w:rsid w:val="00465F0C"/>
    <w:rsid w:val="004662DD"/>
    <w:rsid w:val="0046733F"/>
    <w:rsid w:val="004706DE"/>
    <w:rsid w:val="00470AC7"/>
    <w:rsid w:val="00470E31"/>
    <w:rsid w:val="00471DB4"/>
    <w:rsid w:val="00471F4C"/>
    <w:rsid w:val="00472322"/>
    <w:rsid w:val="00473982"/>
    <w:rsid w:val="00474A2C"/>
    <w:rsid w:val="00474EF9"/>
    <w:rsid w:val="004764F1"/>
    <w:rsid w:val="00476797"/>
    <w:rsid w:val="00477BBE"/>
    <w:rsid w:val="004810CA"/>
    <w:rsid w:val="00481647"/>
    <w:rsid w:val="00481C22"/>
    <w:rsid w:val="00483018"/>
    <w:rsid w:val="0048339E"/>
    <w:rsid w:val="00483722"/>
    <w:rsid w:val="00487046"/>
    <w:rsid w:val="004910CB"/>
    <w:rsid w:val="00493A52"/>
    <w:rsid w:val="00494365"/>
    <w:rsid w:val="00494877"/>
    <w:rsid w:val="004950AC"/>
    <w:rsid w:val="00495E58"/>
    <w:rsid w:val="004A05A9"/>
    <w:rsid w:val="004A0782"/>
    <w:rsid w:val="004A0A90"/>
    <w:rsid w:val="004A0AD4"/>
    <w:rsid w:val="004A0E10"/>
    <w:rsid w:val="004A109D"/>
    <w:rsid w:val="004A1DC9"/>
    <w:rsid w:val="004A2181"/>
    <w:rsid w:val="004A315B"/>
    <w:rsid w:val="004A332C"/>
    <w:rsid w:val="004A35F2"/>
    <w:rsid w:val="004A3E21"/>
    <w:rsid w:val="004A3F66"/>
    <w:rsid w:val="004A4A7C"/>
    <w:rsid w:val="004A7534"/>
    <w:rsid w:val="004B0B3D"/>
    <w:rsid w:val="004B0EB9"/>
    <w:rsid w:val="004B1705"/>
    <w:rsid w:val="004B21FB"/>
    <w:rsid w:val="004B226F"/>
    <w:rsid w:val="004B3641"/>
    <w:rsid w:val="004B4AE3"/>
    <w:rsid w:val="004B4FCE"/>
    <w:rsid w:val="004B526B"/>
    <w:rsid w:val="004B6126"/>
    <w:rsid w:val="004B6B00"/>
    <w:rsid w:val="004B7320"/>
    <w:rsid w:val="004B7327"/>
    <w:rsid w:val="004B77FE"/>
    <w:rsid w:val="004B7C9D"/>
    <w:rsid w:val="004C005E"/>
    <w:rsid w:val="004C00CA"/>
    <w:rsid w:val="004C0E34"/>
    <w:rsid w:val="004C11EA"/>
    <w:rsid w:val="004C1A51"/>
    <w:rsid w:val="004C2B8B"/>
    <w:rsid w:val="004C4624"/>
    <w:rsid w:val="004C4788"/>
    <w:rsid w:val="004C4FA7"/>
    <w:rsid w:val="004C5182"/>
    <w:rsid w:val="004C5745"/>
    <w:rsid w:val="004C5A98"/>
    <w:rsid w:val="004C5D3A"/>
    <w:rsid w:val="004C60A8"/>
    <w:rsid w:val="004C6507"/>
    <w:rsid w:val="004C6978"/>
    <w:rsid w:val="004C7D36"/>
    <w:rsid w:val="004C7FCE"/>
    <w:rsid w:val="004D00B1"/>
    <w:rsid w:val="004D0245"/>
    <w:rsid w:val="004D1190"/>
    <w:rsid w:val="004D211F"/>
    <w:rsid w:val="004D27AC"/>
    <w:rsid w:val="004D4470"/>
    <w:rsid w:val="004D45EC"/>
    <w:rsid w:val="004D5AA8"/>
    <w:rsid w:val="004D66B6"/>
    <w:rsid w:val="004D72BF"/>
    <w:rsid w:val="004D7744"/>
    <w:rsid w:val="004D7F40"/>
    <w:rsid w:val="004E062B"/>
    <w:rsid w:val="004E0D32"/>
    <w:rsid w:val="004E143F"/>
    <w:rsid w:val="004E1519"/>
    <w:rsid w:val="004E1EEC"/>
    <w:rsid w:val="004E225F"/>
    <w:rsid w:val="004E3838"/>
    <w:rsid w:val="004E4831"/>
    <w:rsid w:val="004E646F"/>
    <w:rsid w:val="004E6BE8"/>
    <w:rsid w:val="004F148F"/>
    <w:rsid w:val="004F1E5D"/>
    <w:rsid w:val="004F315C"/>
    <w:rsid w:val="004F3710"/>
    <w:rsid w:val="004F3C08"/>
    <w:rsid w:val="004F6C0E"/>
    <w:rsid w:val="005009AE"/>
    <w:rsid w:val="0050222A"/>
    <w:rsid w:val="005027B8"/>
    <w:rsid w:val="00503A7F"/>
    <w:rsid w:val="00505B3A"/>
    <w:rsid w:val="00505B84"/>
    <w:rsid w:val="00506439"/>
    <w:rsid w:val="0050730E"/>
    <w:rsid w:val="0051015A"/>
    <w:rsid w:val="005104F4"/>
    <w:rsid w:val="00510A92"/>
    <w:rsid w:val="00511408"/>
    <w:rsid w:val="00512063"/>
    <w:rsid w:val="005134CB"/>
    <w:rsid w:val="005142B9"/>
    <w:rsid w:val="00514E3A"/>
    <w:rsid w:val="00515543"/>
    <w:rsid w:val="00515634"/>
    <w:rsid w:val="005168E4"/>
    <w:rsid w:val="0051691A"/>
    <w:rsid w:val="00516F05"/>
    <w:rsid w:val="00517795"/>
    <w:rsid w:val="00517BC6"/>
    <w:rsid w:val="00520EE7"/>
    <w:rsid w:val="00521550"/>
    <w:rsid w:val="00521907"/>
    <w:rsid w:val="00523A38"/>
    <w:rsid w:val="00524E29"/>
    <w:rsid w:val="0052503F"/>
    <w:rsid w:val="00526D7E"/>
    <w:rsid w:val="0052708C"/>
    <w:rsid w:val="005276A7"/>
    <w:rsid w:val="00530411"/>
    <w:rsid w:val="005327F2"/>
    <w:rsid w:val="00532FE6"/>
    <w:rsid w:val="00533BDE"/>
    <w:rsid w:val="00533D6F"/>
    <w:rsid w:val="00535B2F"/>
    <w:rsid w:val="00535E76"/>
    <w:rsid w:val="0053680C"/>
    <w:rsid w:val="00536BA5"/>
    <w:rsid w:val="00537843"/>
    <w:rsid w:val="00540220"/>
    <w:rsid w:val="00541060"/>
    <w:rsid w:val="005424F7"/>
    <w:rsid w:val="005442E0"/>
    <w:rsid w:val="00544F82"/>
    <w:rsid w:val="005457CE"/>
    <w:rsid w:val="00546715"/>
    <w:rsid w:val="00547161"/>
    <w:rsid w:val="00547427"/>
    <w:rsid w:val="0054788C"/>
    <w:rsid w:val="005479C7"/>
    <w:rsid w:val="005479DF"/>
    <w:rsid w:val="00550217"/>
    <w:rsid w:val="005508E0"/>
    <w:rsid w:val="00550CF5"/>
    <w:rsid w:val="005517AA"/>
    <w:rsid w:val="0055285D"/>
    <w:rsid w:val="00554A05"/>
    <w:rsid w:val="00555F5A"/>
    <w:rsid w:val="0055690B"/>
    <w:rsid w:val="00556BBD"/>
    <w:rsid w:val="00557FB1"/>
    <w:rsid w:val="005602CA"/>
    <w:rsid w:val="005609B4"/>
    <w:rsid w:val="00560DB9"/>
    <w:rsid w:val="00562BEA"/>
    <w:rsid w:val="00564299"/>
    <w:rsid w:val="00564628"/>
    <w:rsid w:val="00564DAE"/>
    <w:rsid w:val="00566178"/>
    <w:rsid w:val="0056664A"/>
    <w:rsid w:val="00567CD8"/>
    <w:rsid w:val="00567DF2"/>
    <w:rsid w:val="005709DF"/>
    <w:rsid w:val="005717EE"/>
    <w:rsid w:val="00571E2D"/>
    <w:rsid w:val="005739E1"/>
    <w:rsid w:val="00573CC5"/>
    <w:rsid w:val="005743A2"/>
    <w:rsid w:val="00574C59"/>
    <w:rsid w:val="00575255"/>
    <w:rsid w:val="005752A0"/>
    <w:rsid w:val="00575788"/>
    <w:rsid w:val="0057775C"/>
    <w:rsid w:val="00577DB9"/>
    <w:rsid w:val="00581559"/>
    <w:rsid w:val="00584F49"/>
    <w:rsid w:val="005852E4"/>
    <w:rsid w:val="005855E4"/>
    <w:rsid w:val="00585684"/>
    <w:rsid w:val="00586FC9"/>
    <w:rsid w:val="005870EC"/>
    <w:rsid w:val="00587CE2"/>
    <w:rsid w:val="00591B73"/>
    <w:rsid w:val="00592641"/>
    <w:rsid w:val="0059323E"/>
    <w:rsid w:val="00593691"/>
    <w:rsid w:val="00594625"/>
    <w:rsid w:val="00595CD2"/>
    <w:rsid w:val="00595FC8"/>
    <w:rsid w:val="00596333"/>
    <w:rsid w:val="005978DA"/>
    <w:rsid w:val="005A025D"/>
    <w:rsid w:val="005A1BA5"/>
    <w:rsid w:val="005A2769"/>
    <w:rsid w:val="005A2E4D"/>
    <w:rsid w:val="005A3E20"/>
    <w:rsid w:val="005A4B8C"/>
    <w:rsid w:val="005A6E1B"/>
    <w:rsid w:val="005A77DC"/>
    <w:rsid w:val="005B054E"/>
    <w:rsid w:val="005B2668"/>
    <w:rsid w:val="005B292D"/>
    <w:rsid w:val="005B3DA0"/>
    <w:rsid w:val="005B5290"/>
    <w:rsid w:val="005C166D"/>
    <w:rsid w:val="005C2622"/>
    <w:rsid w:val="005C303E"/>
    <w:rsid w:val="005C3655"/>
    <w:rsid w:val="005C397D"/>
    <w:rsid w:val="005C528D"/>
    <w:rsid w:val="005C6BDA"/>
    <w:rsid w:val="005C7C93"/>
    <w:rsid w:val="005D0906"/>
    <w:rsid w:val="005D0A2D"/>
    <w:rsid w:val="005D0D49"/>
    <w:rsid w:val="005D2AF4"/>
    <w:rsid w:val="005D3229"/>
    <w:rsid w:val="005D3B5F"/>
    <w:rsid w:val="005D6871"/>
    <w:rsid w:val="005D7B94"/>
    <w:rsid w:val="005E05DA"/>
    <w:rsid w:val="005E1180"/>
    <w:rsid w:val="005E1824"/>
    <w:rsid w:val="005E1826"/>
    <w:rsid w:val="005E2E89"/>
    <w:rsid w:val="005E3E58"/>
    <w:rsid w:val="005E406D"/>
    <w:rsid w:val="005E5434"/>
    <w:rsid w:val="005E5CCE"/>
    <w:rsid w:val="005E64D5"/>
    <w:rsid w:val="005E75AF"/>
    <w:rsid w:val="005E7CD6"/>
    <w:rsid w:val="005E7CF2"/>
    <w:rsid w:val="005F0D0D"/>
    <w:rsid w:val="005F1679"/>
    <w:rsid w:val="005F23F2"/>
    <w:rsid w:val="005F3973"/>
    <w:rsid w:val="005F444C"/>
    <w:rsid w:val="005F45D7"/>
    <w:rsid w:val="005F4856"/>
    <w:rsid w:val="005F7785"/>
    <w:rsid w:val="005F7A05"/>
    <w:rsid w:val="0060035F"/>
    <w:rsid w:val="006003BE"/>
    <w:rsid w:val="00600EBC"/>
    <w:rsid w:val="006020D1"/>
    <w:rsid w:val="0060216D"/>
    <w:rsid w:val="0060252B"/>
    <w:rsid w:val="00604A3C"/>
    <w:rsid w:val="00605673"/>
    <w:rsid w:val="00605700"/>
    <w:rsid w:val="00605C98"/>
    <w:rsid w:val="006075B4"/>
    <w:rsid w:val="00607B00"/>
    <w:rsid w:val="00611796"/>
    <w:rsid w:val="00611A47"/>
    <w:rsid w:val="00614FB8"/>
    <w:rsid w:val="006152D2"/>
    <w:rsid w:val="00616C0A"/>
    <w:rsid w:val="00616CF8"/>
    <w:rsid w:val="0061748F"/>
    <w:rsid w:val="0062084B"/>
    <w:rsid w:val="00620E5E"/>
    <w:rsid w:val="00620FBE"/>
    <w:rsid w:val="00621009"/>
    <w:rsid w:val="00621121"/>
    <w:rsid w:val="006212E6"/>
    <w:rsid w:val="00622389"/>
    <w:rsid w:val="006235EA"/>
    <w:rsid w:val="00625432"/>
    <w:rsid w:val="006265B5"/>
    <w:rsid w:val="00626814"/>
    <w:rsid w:val="00627E6B"/>
    <w:rsid w:val="0063036F"/>
    <w:rsid w:val="00633C6C"/>
    <w:rsid w:val="00634526"/>
    <w:rsid w:val="00634726"/>
    <w:rsid w:val="00635D10"/>
    <w:rsid w:val="00637142"/>
    <w:rsid w:val="00640F96"/>
    <w:rsid w:val="0064104D"/>
    <w:rsid w:val="00641897"/>
    <w:rsid w:val="00643ABB"/>
    <w:rsid w:val="006450A9"/>
    <w:rsid w:val="00645418"/>
    <w:rsid w:val="0064769B"/>
    <w:rsid w:val="006510E3"/>
    <w:rsid w:val="006518FC"/>
    <w:rsid w:val="00651C42"/>
    <w:rsid w:val="00651E1B"/>
    <w:rsid w:val="00651E3F"/>
    <w:rsid w:val="00653025"/>
    <w:rsid w:val="006537FA"/>
    <w:rsid w:val="00654F98"/>
    <w:rsid w:val="0065718F"/>
    <w:rsid w:val="00657309"/>
    <w:rsid w:val="006622A1"/>
    <w:rsid w:val="00663279"/>
    <w:rsid w:val="0066368B"/>
    <w:rsid w:val="00663D3F"/>
    <w:rsid w:val="00663D81"/>
    <w:rsid w:val="00666F66"/>
    <w:rsid w:val="006712DA"/>
    <w:rsid w:val="00672523"/>
    <w:rsid w:val="006725D8"/>
    <w:rsid w:val="00673B2E"/>
    <w:rsid w:val="00674728"/>
    <w:rsid w:val="00675EC0"/>
    <w:rsid w:val="00675EEB"/>
    <w:rsid w:val="00676500"/>
    <w:rsid w:val="0067695E"/>
    <w:rsid w:val="00676C6D"/>
    <w:rsid w:val="00681D65"/>
    <w:rsid w:val="00683AC2"/>
    <w:rsid w:val="00683D99"/>
    <w:rsid w:val="0068496F"/>
    <w:rsid w:val="006864EF"/>
    <w:rsid w:val="0068709D"/>
    <w:rsid w:val="00687A5D"/>
    <w:rsid w:val="0069169D"/>
    <w:rsid w:val="00692378"/>
    <w:rsid w:val="00692977"/>
    <w:rsid w:val="006929DF"/>
    <w:rsid w:val="006944C8"/>
    <w:rsid w:val="00695493"/>
    <w:rsid w:val="00695F04"/>
    <w:rsid w:val="0069608F"/>
    <w:rsid w:val="006963F8"/>
    <w:rsid w:val="0069699F"/>
    <w:rsid w:val="0069714B"/>
    <w:rsid w:val="00697E30"/>
    <w:rsid w:val="006A0265"/>
    <w:rsid w:val="006A1FFB"/>
    <w:rsid w:val="006A437D"/>
    <w:rsid w:val="006A449A"/>
    <w:rsid w:val="006A5852"/>
    <w:rsid w:val="006A6053"/>
    <w:rsid w:val="006A7CB3"/>
    <w:rsid w:val="006B0DC3"/>
    <w:rsid w:val="006B195D"/>
    <w:rsid w:val="006B1C9C"/>
    <w:rsid w:val="006B257F"/>
    <w:rsid w:val="006B262A"/>
    <w:rsid w:val="006B264D"/>
    <w:rsid w:val="006B3A40"/>
    <w:rsid w:val="006B4D3C"/>
    <w:rsid w:val="006B4EF7"/>
    <w:rsid w:val="006B5035"/>
    <w:rsid w:val="006B593D"/>
    <w:rsid w:val="006B5EFF"/>
    <w:rsid w:val="006B6C59"/>
    <w:rsid w:val="006B7C28"/>
    <w:rsid w:val="006C18CC"/>
    <w:rsid w:val="006C3DDB"/>
    <w:rsid w:val="006C5593"/>
    <w:rsid w:val="006C58A0"/>
    <w:rsid w:val="006C5F7A"/>
    <w:rsid w:val="006C68FE"/>
    <w:rsid w:val="006C700C"/>
    <w:rsid w:val="006D10D1"/>
    <w:rsid w:val="006D12AC"/>
    <w:rsid w:val="006D18E7"/>
    <w:rsid w:val="006D2FC2"/>
    <w:rsid w:val="006D3083"/>
    <w:rsid w:val="006D34C0"/>
    <w:rsid w:val="006D4166"/>
    <w:rsid w:val="006D523A"/>
    <w:rsid w:val="006D741C"/>
    <w:rsid w:val="006D75E2"/>
    <w:rsid w:val="006D775A"/>
    <w:rsid w:val="006D7773"/>
    <w:rsid w:val="006E0F01"/>
    <w:rsid w:val="006E1B95"/>
    <w:rsid w:val="006E34CE"/>
    <w:rsid w:val="006E4A3E"/>
    <w:rsid w:val="006E53AA"/>
    <w:rsid w:val="006E5EC9"/>
    <w:rsid w:val="006F03D3"/>
    <w:rsid w:val="006F1474"/>
    <w:rsid w:val="006F1FA0"/>
    <w:rsid w:val="006F3E5F"/>
    <w:rsid w:val="006F40B4"/>
    <w:rsid w:val="006F495F"/>
    <w:rsid w:val="006F5698"/>
    <w:rsid w:val="006F569A"/>
    <w:rsid w:val="006F64D4"/>
    <w:rsid w:val="006F74BD"/>
    <w:rsid w:val="006F79BA"/>
    <w:rsid w:val="00701B08"/>
    <w:rsid w:val="00702F3F"/>
    <w:rsid w:val="00703662"/>
    <w:rsid w:val="0070387B"/>
    <w:rsid w:val="00703B22"/>
    <w:rsid w:val="00704B22"/>
    <w:rsid w:val="00705536"/>
    <w:rsid w:val="00705544"/>
    <w:rsid w:val="00707706"/>
    <w:rsid w:val="0071198F"/>
    <w:rsid w:val="00711CFF"/>
    <w:rsid w:val="00712718"/>
    <w:rsid w:val="007128BF"/>
    <w:rsid w:val="00712A09"/>
    <w:rsid w:val="00712ADA"/>
    <w:rsid w:val="00714B64"/>
    <w:rsid w:val="00714C2E"/>
    <w:rsid w:val="00715040"/>
    <w:rsid w:val="00715D54"/>
    <w:rsid w:val="0071768D"/>
    <w:rsid w:val="00720423"/>
    <w:rsid w:val="007204F8"/>
    <w:rsid w:val="0072091A"/>
    <w:rsid w:val="0072195A"/>
    <w:rsid w:val="00722416"/>
    <w:rsid w:val="007227DD"/>
    <w:rsid w:val="00724918"/>
    <w:rsid w:val="00725381"/>
    <w:rsid w:val="00726300"/>
    <w:rsid w:val="007306D1"/>
    <w:rsid w:val="00730FC5"/>
    <w:rsid w:val="00732E4D"/>
    <w:rsid w:val="00733436"/>
    <w:rsid w:val="00734079"/>
    <w:rsid w:val="007342EF"/>
    <w:rsid w:val="007355F0"/>
    <w:rsid w:val="00735747"/>
    <w:rsid w:val="00736A3E"/>
    <w:rsid w:val="00736D9D"/>
    <w:rsid w:val="00736F53"/>
    <w:rsid w:val="00740279"/>
    <w:rsid w:val="00742E03"/>
    <w:rsid w:val="007441BE"/>
    <w:rsid w:val="00744CAE"/>
    <w:rsid w:val="00744DF5"/>
    <w:rsid w:val="0074699B"/>
    <w:rsid w:val="00747945"/>
    <w:rsid w:val="00750158"/>
    <w:rsid w:val="007514DC"/>
    <w:rsid w:val="007519C5"/>
    <w:rsid w:val="007521DD"/>
    <w:rsid w:val="00752CF5"/>
    <w:rsid w:val="00753190"/>
    <w:rsid w:val="007539D1"/>
    <w:rsid w:val="00754885"/>
    <w:rsid w:val="00755824"/>
    <w:rsid w:val="0075615A"/>
    <w:rsid w:val="00757A0C"/>
    <w:rsid w:val="00760752"/>
    <w:rsid w:val="0076147D"/>
    <w:rsid w:val="00762BE7"/>
    <w:rsid w:val="0076584C"/>
    <w:rsid w:val="00767079"/>
    <w:rsid w:val="007675DB"/>
    <w:rsid w:val="00770BA1"/>
    <w:rsid w:val="00772CEC"/>
    <w:rsid w:val="00773707"/>
    <w:rsid w:val="0077500B"/>
    <w:rsid w:val="007752E7"/>
    <w:rsid w:val="00775812"/>
    <w:rsid w:val="00775C25"/>
    <w:rsid w:val="00775EE4"/>
    <w:rsid w:val="007763CA"/>
    <w:rsid w:val="0077670C"/>
    <w:rsid w:val="00776F11"/>
    <w:rsid w:val="0077720A"/>
    <w:rsid w:val="00777D1B"/>
    <w:rsid w:val="00783E57"/>
    <w:rsid w:val="00783ECB"/>
    <w:rsid w:val="00784706"/>
    <w:rsid w:val="00787B4B"/>
    <w:rsid w:val="00787BAB"/>
    <w:rsid w:val="00790759"/>
    <w:rsid w:val="00791B94"/>
    <w:rsid w:val="00793208"/>
    <w:rsid w:val="007934F3"/>
    <w:rsid w:val="007939E9"/>
    <w:rsid w:val="00793E2A"/>
    <w:rsid w:val="007955E1"/>
    <w:rsid w:val="007958D4"/>
    <w:rsid w:val="00796562"/>
    <w:rsid w:val="007969FE"/>
    <w:rsid w:val="007A039B"/>
    <w:rsid w:val="007A0628"/>
    <w:rsid w:val="007A06DF"/>
    <w:rsid w:val="007A10E8"/>
    <w:rsid w:val="007A351F"/>
    <w:rsid w:val="007A3E90"/>
    <w:rsid w:val="007A4DDC"/>
    <w:rsid w:val="007A5B70"/>
    <w:rsid w:val="007A6F59"/>
    <w:rsid w:val="007A79A9"/>
    <w:rsid w:val="007A7B1A"/>
    <w:rsid w:val="007A7DFC"/>
    <w:rsid w:val="007A7F9A"/>
    <w:rsid w:val="007B01DD"/>
    <w:rsid w:val="007B193D"/>
    <w:rsid w:val="007B1CA5"/>
    <w:rsid w:val="007B205A"/>
    <w:rsid w:val="007B53C2"/>
    <w:rsid w:val="007B695D"/>
    <w:rsid w:val="007B755A"/>
    <w:rsid w:val="007C07C5"/>
    <w:rsid w:val="007C0D69"/>
    <w:rsid w:val="007C52BF"/>
    <w:rsid w:val="007C743D"/>
    <w:rsid w:val="007C77D4"/>
    <w:rsid w:val="007D079B"/>
    <w:rsid w:val="007D080A"/>
    <w:rsid w:val="007D0D61"/>
    <w:rsid w:val="007D1673"/>
    <w:rsid w:val="007D19FB"/>
    <w:rsid w:val="007D4B91"/>
    <w:rsid w:val="007D4C3C"/>
    <w:rsid w:val="007D5528"/>
    <w:rsid w:val="007D6211"/>
    <w:rsid w:val="007D6EC0"/>
    <w:rsid w:val="007D7497"/>
    <w:rsid w:val="007E0496"/>
    <w:rsid w:val="007E04C6"/>
    <w:rsid w:val="007E0677"/>
    <w:rsid w:val="007E0D2C"/>
    <w:rsid w:val="007E1DA7"/>
    <w:rsid w:val="007E2A5C"/>
    <w:rsid w:val="007E452E"/>
    <w:rsid w:val="007E4BAA"/>
    <w:rsid w:val="007E4F94"/>
    <w:rsid w:val="007E6E36"/>
    <w:rsid w:val="007E7343"/>
    <w:rsid w:val="007E7ED8"/>
    <w:rsid w:val="007F068A"/>
    <w:rsid w:val="007F2655"/>
    <w:rsid w:val="007F2E32"/>
    <w:rsid w:val="007F45A9"/>
    <w:rsid w:val="007F5FF0"/>
    <w:rsid w:val="007F6059"/>
    <w:rsid w:val="007F6670"/>
    <w:rsid w:val="007F67B6"/>
    <w:rsid w:val="007F706D"/>
    <w:rsid w:val="007F7835"/>
    <w:rsid w:val="007F7DC3"/>
    <w:rsid w:val="007F7E0F"/>
    <w:rsid w:val="00800F41"/>
    <w:rsid w:val="0080188C"/>
    <w:rsid w:val="00801D89"/>
    <w:rsid w:val="00802127"/>
    <w:rsid w:val="00802EF9"/>
    <w:rsid w:val="00805D86"/>
    <w:rsid w:val="00805EFE"/>
    <w:rsid w:val="00806C6F"/>
    <w:rsid w:val="00806D11"/>
    <w:rsid w:val="00806DD5"/>
    <w:rsid w:val="00806E96"/>
    <w:rsid w:val="00807395"/>
    <w:rsid w:val="008079D8"/>
    <w:rsid w:val="0081083F"/>
    <w:rsid w:val="00810960"/>
    <w:rsid w:val="00810D4C"/>
    <w:rsid w:val="008110D9"/>
    <w:rsid w:val="00811E55"/>
    <w:rsid w:val="00811E8F"/>
    <w:rsid w:val="0081206E"/>
    <w:rsid w:val="0081229B"/>
    <w:rsid w:val="00812361"/>
    <w:rsid w:val="00812F8E"/>
    <w:rsid w:val="00814FBA"/>
    <w:rsid w:val="0081518B"/>
    <w:rsid w:val="00816E6D"/>
    <w:rsid w:val="00820382"/>
    <w:rsid w:val="00820633"/>
    <w:rsid w:val="00821B69"/>
    <w:rsid w:val="00821F4E"/>
    <w:rsid w:val="00822C87"/>
    <w:rsid w:val="00823E69"/>
    <w:rsid w:val="00824405"/>
    <w:rsid w:val="0082441E"/>
    <w:rsid w:val="0082583B"/>
    <w:rsid w:val="00826B90"/>
    <w:rsid w:val="00832ACE"/>
    <w:rsid w:val="00832DA4"/>
    <w:rsid w:val="0083397A"/>
    <w:rsid w:val="0083636E"/>
    <w:rsid w:val="00836489"/>
    <w:rsid w:val="00836716"/>
    <w:rsid w:val="0083700F"/>
    <w:rsid w:val="008377F5"/>
    <w:rsid w:val="0084120F"/>
    <w:rsid w:val="00841989"/>
    <w:rsid w:val="00841AD1"/>
    <w:rsid w:val="0084447B"/>
    <w:rsid w:val="008468C8"/>
    <w:rsid w:val="00846AAA"/>
    <w:rsid w:val="00847609"/>
    <w:rsid w:val="008479E8"/>
    <w:rsid w:val="00850119"/>
    <w:rsid w:val="00851BAB"/>
    <w:rsid w:val="008520B0"/>
    <w:rsid w:val="00853B3C"/>
    <w:rsid w:val="00854018"/>
    <w:rsid w:val="00854099"/>
    <w:rsid w:val="00855646"/>
    <w:rsid w:val="008567AE"/>
    <w:rsid w:val="008578C3"/>
    <w:rsid w:val="008602F0"/>
    <w:rsid w:val="00860F22"/>
    <w:rsid w:val="00862A6E"/>
    <w:rsid w:val="0086387E"/>
    <w:rsid w:val="00864D47"/>
    <w:rsid w:val="0086535D"/>
    <w:rsid w:val="00867024"/>
    <w:rsid w:val="0086790C"/>
    <w:rsid w:val="0086794B"/>
    <w:rsid w:val="00867FE5"/>
    <w:rsid w:val="008704FB"/>
    <w:rsid w:val="00871ADE"/>
    <w:rsid w:val="00871B4A"/>
    <w:rsid w:val="00871E93"/>
    <w:rsid w:val="00872BE4"/>
    <w:rsid w:val="00873927"/>
    <w:rsid w:val="00874B6E"/>
    <w:rsid w:val="008755DC"/>
    <w:rsid w:val="0087751B"/>
    <w:rsid w:val="00877E22"/>
    <w:rsid w:val="00880D3F"/>
    <w:rsid w:val="00880ECE"/>
    <w:rsid w:val="00881702"/>
    <w:rsid w:val="00881D2A"/>
    <w:rsid w:val="00882C21"/>
    <w:rsid w:val="008831B9"/>
    <w:rsid w:val="00884A54"/>
    <w:rsid w:val="00885352"/>
    <w:rsid w:val="00886B90"/>
    <w:rsid w:val="00887DBC"/>
    <w:rsid w:val="008914BC"/>
    <w:rsid w:val="00893649"/>
    <w:rsid w:val="008943C3"/>
    <w:rsid w:val="00894939"/>
    <w:rsid w:val="00897D19"/>
    <w:rsid w:val="00897E23"/>
    <w:rsid w:val="00897FB3"/>
    <w:rsid w:val="008A0D6F"/>
    <w:rsid w:val="008A3197"/>
    <w:rsid w:val="008A3F09"/>
    <w:rsid w:val="008A4D07"/>
    <w:rsid w:val="008A54CE"/>
    <w:rsid w:val="008A5571"/>
    <w:rsid w:val="008A5A1E"/>
    <w:rsid w:val="008A5DE1"/>
    <w:rsid w:val="008A5F83"/>
    <w:rsid w:val="008A6622"/>
    <w:rsid w:val="008A6A8B"/>
    <w:rsid w:val="008B0024"/>
    <w:rsid w:val="008B0979"/>
    <w:rsid w:val="008B1029"/>
    <w:rsid w:val="008B15EA"/>
    <w:rsid w:val="008B16AD"/>
    <w:rsid w:val="008B2B90"/>
    <w:rsid w:val="008B3379"/>
    <w:rsid w:val="008B34EA"/>
    <w:rsid w:val="008B3A71"/>
    <w:rsid w:val="008B4AB8"/>
    <w:rsid w:val="008B4ADF"/>
    <w:rsid w:val="008B5D7B"/>
    <w:rsid w:val="008B6597"/>
    <w:rsid w:val="008B69CD"/>
    <w:rsid w:val="008B7670"/>
    <w:rsid w:val="008B793F"/>
    <w:rsid w:val="008B7B14"/>
    <w:rsid w:val="008C1646"/>
    <w:rsid w:val="008C2EA8"/>
    <w:rsid w:val="008C4FE1"/>
    <w:rsid w:val="008C5287"/>
    <w:rsid w:val="008C67E6"/>
    <w:rsid w:val="008C7031"/>
    <w:rsid w:val="008C7721"/>
    <w:rsid w:val="008C7D04"/>
    <w:rsid w:val="008D0657"/>
    <w:rsid w:val="008D0C12"/>
    <w:rsid w:val="008D1FF7"/>
    <w:rsid w:val="008D2671"/>
    <w:rsid w:val="008D4660"/>
    <w:rsid w:val="008D4C79"/>
    <w:rsid w:val="008D574C"/>
    <w:rsid w:val="008D591A"/>
    <w:rsid w:val="008D5A9B"/>
    <w:rsid w:val="008D5D02"/>
    <w:rsid w:val="008D6C31"/>
    <w:rsid w:val="008E0002"/>
    <w:rsid w:val="008E0A70"/>
    <w:rsid w:val="008E1368"/>
    <w:rsid w:val="008E1502"/>
    <w:rsid w:val="008E16A7"/>
    <w:rsid w:val="008E2AD9"/>
    <w:rsid w:val="008E4390"/>
    <w:rsid w:val="008E6DCA"/>
    <w:rsid w:val="008F0708"/>
    <w:rsid w:val="008F0E22"/>
    <w:rsid w:val="008F1A64"/>
    <w:rsid w:val="008F2070"/>
    <w:rsid w:val="008F3B0E"/>
    <w:rsid w:val="008F4229"/>
    <w:rsid w:val="008F57F4"/>
    <w:rsid w:val="008F5815"/>
    <w:rsid w:val="008F5CA6"/>
    <w:rsid w:val="008F5CE1"/>
    <w:rsid w:val="008F6011"/>
    <w:rsid w:val="008F65B5"/>
    <w:rsid w:val="008F6B2E"/>
    <w:rsid w:val="008F7C87"/>
    <w:rsid w:val="008F7F1A"/>
    <w:rsid w:val="00902476"/>
    <w:rsid w:val="00902D38"/>
    <w:rsid w:val="00904D4D"/>
    <w:rsid w:val="0090628A"/>
    <w:rsid w:val="00906D75"/>
    <w:rsid w:val="0090761F"/>
    <w:rsid w:val="00907EE0"/>
    <w:rsid w:val="00910131"/>
    <w:rsid w:val="00911142"/>
    <w:rsid w:val="0091187D"/>
    <w:rsid w:val="009130B6"/>
    <w:rsid w:val="0091328A"/>
    <w:rsid w:val="00913A18"/>
    <w:rsid w:val="0091477C"/>
    <w:rsid w:val="0091717D"/>
    <w:rsid w:val="00917980"/>
    <w:rsid w:val="00917ACA"/>
    <w:rsid w:val="00917DBB"/>
    <w:rsid w:val="00917FD0"/>
    <w:rsid w:val="009205DA"/>
    <w:rsid w:val="009215AF"/>
    <w:rsid w:val="009221EC"/>
    <w:rsid w:val="00923636"/>
    <w:rsid w:val="00925345"/>
    <w:rsid w:val="00925EC7"/>
    <w:rsid w:val="00926587"/>
    <w:rsid w:val="00927128"/>
    <w:rsid w:val="00930184"/>
    <w:rsid w:val="009305F6"/>
    <w:rsid w:val="0093077D"/>
    <w:rsid w:val="009312CB"/>
    <w:rsid w:val="00932A56"/>
    <w:rsid w:val="009339EB"/>
    <w:rsid w:val="00934700"/>
    <w:rsid w:val="00936C78"/>
    <w:rsid w:val="00940557"/>
    <w:rsid w:val="00941B22"/>
    <w:rsid w:val="00942E85"/>
    <w:rsid w:val="00942FA1"/>
    <w:rsid w:val="00943A94"/>
    <w:rsid w:val="00945C90"/>
    <w:rsid w:val="00945D6A"/>
    <w:rsid w:val="00946805"/>
    <w:rsid w:val="00947F42"/>
    <w:rsid w:val="0095003B"/>
    <w:rsid w:val="00950E36"/>
    <w:rsid w:val="009513D3"/>
    <w:rsid w:val="009521D6"/>
    <w:rsid w:val="009529D6"/>
    <w:rsid w:val="00952DC5"/>
    <w:rsid w:val="00953474"/>
    <w:rsid w:val="00953A1B"/>
    <w:rsid w:val="00953EDA"/>
    <w:rsid w:val="00954277"/>
    <w:rsid w:val="00956397"/>
    <w:rsid w:val="009567CF"/>
    <w:rsid w:val="00957F21"/>
    <w:rsid w:val="0096070B"/>
    <w:rsid w:val="009607BD"/>
    <w:rsid w:val="00962BF7"/>
    <w:rsid w:val="00962E7C"/>
    <w:rsid w:val="00962F00"/>
    <w:rsid w:val="00963F4D"/>
    <w:rsid w:val="0096478C"/>
    <w:rsid w:val="00965C6B"/>
    <w:rsid w:val="00971283"/>
    <w:rsid w:val="009727FF"/>
    <w:rsid w:val="00973014"/>
    <w:rsid w:val="009735A5"/>
    <w:rsid w:val="00973DFD"/>
    <w:rsid w:val="00974272"/>
    <w:rsid w:val="00977925"/>
    <w:rsid w:val="00980112"/>
    <w:rsid w:val="0098132B"/>
    <w:rsid w:val="00981B1F"/>
    <w:rsid w:val="00982295"/>
    <w:rsid w:val="0098385F"/>
    <w:rsid w:val="00983F63"/>
    <w:rsid w:val="009854B1"/>
    <w:rsid w:val="009855E3"/>
    <w:rsid w:val="009860E8"/>
    <w:rsid w:val="009868B1"/>
    <w:rsid w:val="00987803"/>
    <w:rsid w:val="00990032"/>
    <w:rsid w:val="00991B63"/>
    <w:rsid w:val="009932B5"/>
    <w:rsid w:val="009941E4"/>
    <w:rsid w:val="00994A90"/>
    <w:rsid w:val="009967C9"/>
    <w:rsid w:val="009970A8"/>
    <w:rsid w:val="00997A54"/>
    <w:rsid w:val="009A1339"/>
    <w:rsid w:val="009A1A6B"/>
    <w:rsid w:val="009A207C"/>
    <w:rsid w:val="009A4905"/>
    <w:rsid w:val="009A4954"/>
    <w:rsid w:val="009A4B15"/>
    <w:rsid w:val="009A5063"/>
    <w:rsid w:val="009A605D"/>
    <w:rsid w:val="009A6FD5"/>
    <w:rsid w:val="009A7041"/>
    <w:rsid w:val="009A7A3E"/>
    <w:rsid w:val="009B1276"/>
    <w:rsid w:val="009B12E5"/>
    <w:rsid w:val="009B2726"/>
    <w:rsid w:val="009B3A55"/>
    <w:rsid w:val="009B3D52"/>
    <w:rsid w:val="009B4C14"/>
    <w:rsid w:val="009B5477"/>
    <w:rsid w:val="009B5738"/>
    <w:rsid w:val="009B5E0E"/>
    <w:rsid w:val="009B6CB6"/>
    <w:rsid w:val="009B7881"/>
    <w:rsid w:val="009C075E"/>
    <w:rsid w:val="009C084B"/>
    <w:rsid w:val="009C123B"/>
    <w:rsid w:val="009C1614"/>
    <w:rsid w:val="009C1BD3"/>
    <w:rsid w:val="009C1D03"/>
    <w:rsid w:val="009C218C"/>
    <w:rsid w:val="009C2A5E"/>
    <w:rsid w:val="009C4480"/>
    <w:rsid w:val="009C44A1"/>
    <w:rsid w:val="009C44CA"/>
    <w:rsid w:val="009C4CEA"/>
    <w:rsid w:val="009D1CAA"/>
    <w:rsid w:val="009D34C3"/>
    <w:rsid w:val="009D3981"/>
    <w:rsid w:val="009D41A5"/>
    <w:rsid w:val="009D4F4D"/>
    <w:rsid w:val="009D56BF"/>
    <w:rsid w:val="009E1764"/>
    <w:rsid w:val="009E2C67"/>
    <w:rsid w:val="009E3DA2"/>
    <w:rsid w:val="009E43C7"/>
    <w:rsid w:val="009E5960"/>
    <w:rsid w:val="009E7E43"/>
    <w:rsid w:val="009F0087"/>
    <w:rsid w:val="009F0329"/>
    <w:rsid w:val="009F03A7"/>
    <w:rsid w:val="009F1838"/>
    <w:rsid w:val="009F1ED0"/>
    <w:rsid w:val="009F3EE1"/>
    <w:rsid w:val="009F44B8"/>
    <w:rsid w:val="009F4FCE"/>
    <w:rsid w:val="009F76C1"/>
    <w:rsid w:val="009F7FC2"/>
    <w:rsid w:val="00A00DB4"/>
    <w:rsid w:val="00A01BFD"/>
    <w:rsid w:val="00A05058"/>
    <w:rsid w:val="00A0527D"/>
    <w:rsid w:val="00A05320"/>
    <w:rsid w:val="00A056E8"/>
    <w:rsid w:val="00A07A39"/>
    <w:rsid w:val="00A07E98"/>
    <w:rsid w:val="00A11AE6"/>
    <w:rsid w:val="00A14830"/>
    <w:rsid w:val="00A14D3A"/>
    <w:rsid w:val="00A1508A"/>
    <w:rsid w:val="00A15790"/>
    <w:rsid w:val="00A15922"/>
    <w:rsid w:val="00A172FF"/>
    <w:rsid w:val="00A17C22"/>
    <w:rsid w:val="00A20318"/>
    <w:rsid w:val="00A235E2"/>
    <w:rsid w:val="00A25A4A"/>
    <w:rsid w:val="00A25C23"/>
    <w:rsid w:val="00A26230"/>
    <w:rsid w:val="00A271C7"/>
    <w:rsid w:val="00A27432"/>
    <w:rsid w:val="00A31DA6"/>
    <w:rsid w:val="00A3258B"/>
    <w:rsid w:val="00A34618"/>
    <w:rsid w:val="00A350E1"/>
    <w:rsid w:val="00A35194"/>
    <w:rsid w:val="00A35AB1"/>
    <w:rsid w:val="00A35E50"/>
    <w:rsid w:val="00A369E9"/>
    <w:rsid w:val="00A374DD"/>
    <w:rsid w:val="00A37598"/>
    <w:rsid w:val="00A37793"/>
    <w:rsid w:val="00A41741"/>
    <w:rsid w:val="00A4189E"/>
    <w:rsid w:val="00A456F2"/>
    <w:rsid w:val="00A462B2"/>
    <w:rsid w:val="00A47986"/>
    <w:rsid w:val="00A50F26"/>
    <w:rsid w:val="00A51C72"/>
    <w:rsid w:val="00A523F0"/>
    <w:rsid w:val="00A52409"/>
    <w:rsid w:val="00A52943"/>
    <w:rsid w:val="00A53758"/>
    <w:rsid w:val="00A53A7B"/>
    <w:rsid w:val="00A53F7B"/>
    <w:rsid w:val="00A5436B"/>
    <w:rsid w:val="00A5449E"/>
    <w:rsid w:val="00A54935"/>
    <w:rsid w:val="00A54C0E"/>
    <w:rsid w:val="00A560D1"/>
    <w:rsid w:val="00A565EA"/>
    <w:rsid w:val="00A56ADB"/>
    <w:rsid w:val="00A575D1"/>
    <w:rsid w:val="00A5779C"/>
    <w:rsid w:val="00A57C9C"/>
    <w:rsid w:val="00A61BBF"/>
    <w:rsid w:val="00A660AC"/>
    <w:rsid w:val="00A66EA2"/>
    <w:rsid w:val="00A67FD5"/>
    <w:rsid w:val="00A704DB"/>
    <w:rsid w:val="00A72243"/>
    <w:rsid w:val="00A729E4"/>
    <w:rsid w:val="00A72FA2"/>
    <w:rsid w:val="00A7305E"/>
    <w:rsid w:val="00A73FC7"/>
    <w:rsid w:val="00A7518E"/>
    <w:rsid w:val="00A764CC"/>
    <w:rsid w:val="00A76C52"/>
    <w:rsid w:val="00A80095"/>
    <w:rsid w:val="00A813AE"/>
    <w:rsid w:val="00A81A0E"/>
    <w:rsid w:val="00A81AD2"/>
    <w:rsid w:val="00A82356"/>
    <w:rsid w:val="00A82681"/>
    <w:rsid w:val="00A83108"/>
    <w:rsid w:val="00A853F8"/>
    <w:rsid w:val="00A85658"/>
    <w:rsid w:val="00A857CF"/>
    <w:rsid w:val="00A86B3F"/>
    <w:rsid w:val="00A872E8"/>
    <w:rsid w:val="00A87363"/>
    <w:rsid w:val="00A9280C"/>
    <w:rsid w:val="00A93C66"/>
    <w:rsid w:val="00A94075"/>
    <w:rsid w:val="00A94525"/>
    <w:rsid w:val="00A957AB"/>
    <w:rsid w:val="00A971BF"/>
    <w:rsid w:val="00A978C9"/>
    <w:rsid w:val="00AA035A"/>
    <w:rsid w:val="00AA09F8"/>
    <w:rsid w:val="00AA18FE"/>
    <w:rsid w:val="00AA1BB8"/>
    <w:rsid w:val="00AA2479"/>
    <w:rsid w:val="00AA3D56"/>
    <w:rsid w:val="00AA64CF"/>
    <w:rsid w:val="00AA67F2"/>
    <w:rsid w:val="00AA6BFD"/>
    <w:rsid w:val="00AB01C4"/>
    <w:rsid w:val="00AB109C"/>
    <w:rsid w:val="00AB115B"/>
    <w:rsid w:val="00AB1216"/>
    <w:rsid w:val="00AB19FC"/>
    <w:rsid w:val="00AB229A"/>
    <w:rsid w:val="00AB23EA"/>
    <w:rsid w:val="00AB30CB"/>
    <w:rsid w:val="00AB36C1"/>
    <w:rsid w:val="00AB3F62"/>
    <w:rsid w:val="00AB41D6"/>
    <w:rsid w:val="00AB5A0D"/>
    <w:rsid w:val="00AB66A7"/>
    <w:rsid w:val="00AB729D"/>
    <w:rsid w:val="00AC0AE4"/>
    <w:rsid w:val="00AC1341"/>
    <w:rsid w:val="00AC2754"/>
    <w:rsid w:val="00AC2894"/>
    <w:rsid w:val="00AC395A"/>
    <w:rsid w:val="00AC5170"/>
    <w:rsid w:val="00AC5A27"/>
    <w:rsid w:val="00AC5DC0"/>
    <w:rsid w:val="00AC76D2"/>
    <w:rsid w:val="00AC78BF"/>
    <w:rsid w:val="00AD0A71"/>
    <w:rsid w:val="00AD0ABA"/>
    <w:rsid w:val="00AD324B"/>
    <w:rsid w:val="00AD3881"/>
    <w:rsid w:val="00AD48BF"/>
    <w:rsid w:val="00AD4D1A"/>
    <w:rsid w:val="00AD585A"/>
    <w:rsid w:val="00AD60A4"/>
    <w:rsid w:val="00AD63F0"/>
    <w:rsid w:val="00AD695B"/>
    <w:rsid w:val="00AD6D37"/>
    <w:rsid w:val="00AE0061"/>
    <w:rsid w:val="00AE0065"/>
    <w:rsid w:val="00AE063A"/>
    <w:rsid w:val="00AE4CD1"/>
    <w:rsid w:val="00AE6350"/>
    <w:rsid w:val="00AE768D"/>
    <w:rsid w:val="00AF1127"/>
    <w:rsid w:val="00AF14FD"/>
    <w:rsid w:val="00AF1853"/>
    <w:rsid w:val="00AF2A5F"/>
    <w:rsid w:val="00AF3457"/>
    <w:rsid w:val="00AF3E62"/>
    <w:rsid w:val="00AF45FE"/>
    <w:rsid w:val="00AF4AAE"/>
    <w:rsid w:val="00AF5408"/>
    <w:rsid w:val="00AF55AC"/>
    <w:rsid w:val="00AF6526"/>
    <w:rsid w:val="00B003ED"/>
    <w:rsid w:val="00B0073C"/>
    <w:rsid w:val="00B0087C"/>
    <w:rsid w:val="00B011D7"/>
    <w:rsid w:val="00B012AB"/>
    <w:rsid w:val="00B01507"/>
    <w:rsid w:val="00B017E7"/>
    <w:rsid w:val="00B019D3"/>
    <w:rsid w:val="00B01EEE"/>
    <w:rsid w:val="00B01F31"/>
    <w:rsid w:val="00B06088"/>
    <w:rsid w:val="00B06605"/>
    <w:rsid w:val="00B112CF"/>
    <w:rsid w:val="00B11422"/>
    <w:rsid w:val="00B11E37"/>
    <w:rsid w:val="00B133A8"/>
    <w:rsid w:val="00B13A2B"/>
    <w:rsid w:val="00B13CB2"/>
    <w:rsid w:val="00B1406F"/>
    <w:rsid w:val="00B15768"/>
    <w:rsid w:val="00B15E6C"/>
    <w:rsid w:val="00B17845"/>
    <w:rsid w:val="00B20117"/>
    <w:rsid w:val="00B21540"/>
    <w:rsid w:val="00B220F1"/>
    <w:rsid w:val="00B22BA0"/>
    <w:rsid w:val="00B22CBB"/>
    <w:rsid w:val="00B23330"/>
    <w:rsid w:val="00B236D2"/>
    <w:rsid w:val="00B259BC"/>
    <w:rsid w:val="00B27731"/>
    <w:rsid w:val="00B27767"/>
    <w:rsid w:val="00B279A7"/>
    <w:rsid w:val="00B30543"/>
    <w:rsid w:val="00B30AAE"/>
    <w:rsid w:val="00B31BE5"/>
    <w:rsid w:val="00B32012"/>
    <w:rsid w:val="00B321AD"/>
    <w:rsid w:val="00B32244"/>
    <w:rsid w:val="00B329E9"/>
    <w:rsid w:val="00B33520"/>
    <w:rsid w:val="00B342FC"/>
    <w:rsid w:val="00B351CB"/>
    <w:rsid w:val="00B35467"/>
    <w:rsid w:val="00B35803"/>
    <w:rsid w:val="00B37FA6"/>
    <w:rsid w:val="00B40086"/>
    <w:rsid w:val="00B40399"/>
    <w:rsid w:val="00B406E7"/>
    <w:rsid w:val="00B413EC"/>
    <w:rsid w:val="00B4158F"/>
    <w:rsid w:val="00B41D9B"/>
    <w:rsid w:val="00B41F7F"/>
    <w:rsid w:val="00B42129"/>
    <w:rsid w:val="00B428E2"/>
    <w:rsid w:val="00B43610"/>
    <w:rsid w:val="00B4667F"/>
    <w:rsid w:val="00B46A81"/>
    <w:rsid w:val="00B46FB9"/>
    <w:rsid w:val="00B47A20"/>
    <w:rsid w:val="00B501D6"/>
    <w:rsid w:val="00B504F2"/>
    <w:rsid w:val="00B506F7"/>
    <w:rsid w:val="00B51FE8"/>
    <w:rsid w:val="00B5237B"/>
    <w:rsid w:val="00B5245F"/>
    <w:rsid w:val="00B52986"/>
    <w:rsid w:val="00B540F7"/>
    <w:rsid w:val="00B54D64"/>
    <w:rsid w:val="00B55BEA"/>
    <w:rsid w:val="00B57515"/>
    <w:rsid w:val="00B6050E"/>
    <w:rsid w:val="00B61D5C"/>
    <w:rsid w:val="00B6494B"/>
    <w:rsid w:val="00B6590F"/>
    <w:rsid w:val="00B66A0A"/>
    <w:rsid w:val="00B670B9"/>
    <w:rsid w:val="00B679A6"/>
    <w:rsid w:val="00B701C4"/>
    <w:rsid w:val="00B70308"/>
    <w:rsid w:val="00B731FC"/>
    <w:rsid w:val="00B7563C"/>
    <w:rsid w:val="00B762A4"/>
    <w:rsid w:val="00B76409"/>
    <w:rsid w:val="00B769FA"/>
    <w:rsid w:val="00B7751F"/>
    <w:rsid w:val="00B804BB"/>
    <w:rsid w:val="00B80609"/>
    <w:rsid w:val="00B80685"/>
    <w:rsid w:val="00B81860"/>
    <w:rsid w:val="00B82466"/>
    <w:rsid w:val="00B83AF6"/>
    <w:rsid w:val="00B84061"/>
    <w:rsid w:val="00B861DE"/>
    <w:rsid w:val="00B86825"/>
    <w:rsid w:val="00B86BB6"/>
    <w:rsid w:val="00B86DD7"/>
    <w:rsid w:val="00B87744"/>
    <w:rsid w:val="00B87A7C"/>
    <w:rsid w:val="00B87AB3"/>
    <w:rsid w:val="00B900AB"/>
    <w:rsid w:val="00B935A6"/>
    <w:rsid w:val="00B963AD"/>
    <w:rsid w:val="00B97132"/>
    <w:rsid w:val="00BA0682"/>
    <w:rsid w:val="00BA0EBA"/>
    <w:rsid w:val="00BA2337"/>
    <w:rsid w:val="00BA240E"/>
    <w:rsid w:val="00BA249C"/>
    <w:rsid w:val="00BA3580"/>
    <w:rsid w:val="00BA368D"/>
    <w:rsid w:val="00BA395E"/>
    <w:rsid w:val="00BA523B"/>
    <w:rsid w:val="00BA5341"/>
    <w:rsid w:val="00BA555B"/>
    <w:rsid w:val="00BA74D0"/>
    <w:rsid w:val="00BA7D20"/>
    <w:rsid w:val="00BB0C97"/>
    <w:rsid w:val="00BB21A0"/>
    <w:rsid w:val="00BB3369"/>
    <w:rsid w:val="00BB3A1B"/>
    <w:rsid w:val="00BB3BB6"/>
    <w:rsid w:val="00BB4ED9"/>
    <w:rsid w:val="00BB5DD5"/>
    <w:rsid w:val="00BB67C4"/>
    <w:rsid w:val="00BC07D6"/>
    <w:rsid w:val="00BC3C28"/>
    <w:rsid w:val="00BC40AC"/>
    <w:rsid w:val="00BC4173"/>
    <w:rsid w:val="00BC55AC"/>
    <w:rsid w:val="00BC55C4"/>
    <w:rsid w:val="00BC60C9"/>
    <w:rsid w:val="00BC66D2"/>
    <w:rsid w:val="00BC7D19"/>
    <w:rsid w:val="00BD07C3"/>
    <w:rsid w:val="00BD0D5E"/>
    <w:rsid w:val="00BD12C9"/>
    <w:rsid w:val="00BD1FA5"/>
    <w:rsid w:val="00BD43DC"/>
    <w:rsid w:val="00BD5D82"/>
    <w:rsid w:val="00BD66A8"/>
    <w:rsid w:val="00BE0733"/>
    <w:rsid w:val="00BE0A1F"/>
    <w:rsid w:val="00BE15A1"/>
    <w:rsid w:val="00BE2914"/>
    <w:rsid w:val="00BE3095"/>
    <w:rsid w:val="00BE3272"/>
    <w:rsid w:val="00BE4583"/>
    <w:rsid w:val="00BE4A84"/>
    <w:rsid w:val="00BE529F"/>
    <w:rsid w:val="00BE57C7"/>
    <w:rsid w:val="00BE600D"/>
    <w:rsid w:val="00BF1CEA"/>
    <w:rsid w:val="00BF31F5"/>
    <w:rsid w:val="00BF474E"/>
    <w:rsid w:val="00BF5101"/>
    <w:rsid w:val="00BF5269"/>
    <w:rsid w:val="00BF5FAB"/>
    <w:rsid w:val="00BF6A60"/>
    <w:rsid w:val="00C006CD"/>
    <w:rsid w:val="00C00A66"/>
    <w:rsid w:val="00C016F5"/>
    <w:rsid w:val="00C01F86"/>
    <w:rsid w:val="00C0252D"/>
    <w:rsid w:val="00C02902"/>
    <w:rsid w:val="00C02CA8"/>
    <w:rsid w:val="00C038DF"/>
    <w:rsid w:val="00C04F8B"/>
    <w:rsid w:val="00C05667"/>
    <w:rsid w:val="00C068F2"/>
    <w:rsid w:val="00C06F66"/>
    <w:rsid w:val="00C105EC"/>
    <w:rsid w:val="00C11D75"/>
    <w:rsid w:val="00C13587"/>
    <w:rsid w:val="00C135FA"/>
    <w:rsid w:val="00C1526A"/>
    <w:rsid w:val="00C155BF"/>
    <w:rsid w:val="00C15F13"/>
    <w:rsid w:val="00C16060"/>
    <w:rsid w:val="00C21C55"/>
    <w:rsid w:val="00C22F1A"/>
    <w:rsid w:val="00C23676"/>
    <w:rsid w:val="00C23EE6"/>
    <w:rsid w:val="00C24E18"/>
    <w:rsid w:val="00C25189"/>
    <w:rsid w:val="00C265C2"/>
    <w:rsid w:val="00C26802"/>
    <w:rsid w:val="00C3035E"/>
    <w:rsid w:val="00C31A5E"/>
    <w:rsid w:val="00C32201"/>
    <w:rsid w:val="00C324FB"/>
    <w:rsid w:val="00C3284F"/>
    <w:rsid w:val="00C35348"/>
    <w:rsid w:val="00C36350"/>
    <w:rsid w:val="00C367D0"/>
    <w:rsid w:val="00C3717D"/>
    <w:rsid w:val="00C37C54"/>
    <w:rsid w:val="00C37D6D"/>
    <w:rsid w:val="00C40012"/>
    <w:rsid w:val="00C401EE"/>
    <w:rsid w:val="00C415D7"/>
    <w:rsid w:val="00C418B9"/>
    <w:rsid w:val="00C41A0F"/>
    <w:rsid w:val="00C433F5"/>
    <w:rsid w:val="00C44147"/>
    <w:rsid w:val="00C44451"/>
    <w:rsid w:val="00C4465B"/>
    <w:rsid w:val="00C468DA"/>
    <w:rsid w:val="00C46ED0"/>
    <w:rsid w:val="00C508F9"/>
    <w:rsid w:val="00C51990"/>
    <w:rsid w:val="00C5199A"/>
    <w:rsid w:val="00C5207E"/>
    <w:rsid w:val="00C575F8"/>
    <w:rsid w:val="00C5791D"/>
    <w:rsid w:val="00C609DF"/>
    <w:rsid w:val="00C60D72"/>
    <w:rsid w:val="00C6163D"/>
    <w:rsid w:val="00C625EB"/>
    <w:rsid w:val="00C66614"/>
    <w:rsid w:val="00C679D3"/>
    <w:rsid w:val="00C67A3B"/>
    <w:rsid w:val="00C67F96"/>
    <w:rsid w:val="00C72D5E"/>
    <w:rsid w:val="00C74B03"/>
    <w:rsid w:val="00C74B89"/>
    <w:rsid w:val="00C74D80"/>
    <w:rsid w:val="00C74FF0"/>
    <w:rsid w:val="00C767C3"/>
    <w:rsid w:val="00C778ED"/>
    <w:rsid w:val="00C80A03"/>
    <w:rsid w:val="00C8182F"/>
    <w:rsid w:val="00C834CD"/>
    <w:rsid w:val="00C83B95"/>
    <w:rsid w:val="00C845DC"/>
    <w:rsid w:val="00C859AC"/>
    <w:rsid w:val="00C864FF"/>
    <w:rsid w:val="00C867A0"/>
    <w:rsid w:val="00C86C0F"/>
    <w:rsid w:val="00C87243"/>
    <w:rsid w:val="00C90118"/>
    <w:rsid w:val="00C91EF9"/>
    <w:rsid w:val="00C9227C"/>
    <w:rsid w:val="00C924D3"/>
    <w:rsid w:val="00C93F96"/>
    <w:rsid w:val="00C94500"/>
    <w:rsid w:val="00C97838"/>
    <w:rsid w:val="00C97CAE"/>
    <w:rsid w:val="00CA0BD1"/>
    <w:rsid w:val="00CA0F53"/>
    <w:rsid w:val="00CA27A0"/>
    <w:rsid w:val="00CA2C35"/>
    <w:rsid w:val="00CA39C1"/>
    <w:rsid w:val="00CA3C4A"/>
    <w:rsid w:val="00CB0887"/>
    <w:rsid w:val="00CB2498"/>
    <w:rsid w:val="00CB24FC"/>
    <w:rsid w:val="00CB4DD9"/>
    <w:rsid w:val="00CB58C0"/>
    <w:rsid w:val="00CB78CD"/>
    <w:rsid w:val="00CB79A1"/>
    <w:rsid w:val="00CC02B9"/>
    <w:rsid w:val="00CC066D"/>
    <w:rsid w:val="00CC15CF"/>
    <w:rsid w:val="00CC291D"/>
    <w:rsid w:val="00CC5FA2"/>
    <w:rsid w:val="00CC5FF0"/>
    <w:rsid w:val="00CC6847"/>
    <w:rsid w:val="00CC7A57"/>
    <w:rsid w:val="00CD0E35"/>
    <w:rsid w:val="00CD186B"/>
    <w:rsid w:val="00CD1C68"/>
    <w:rsid w:val="00CD1C9E"/>
    <w:rsid w:val="00CD272A"/>
    <w:rsid w:val="00CD3CC9"/>
    <w:rsid w:val="00CD6985"/>
    <w:rsid w:val="00CD71C2"/>
    <w:rsid w:val="00CE0405"/>
    <w:rsid w:val="00CE13B6"/>
    <w:rsid w:val="00CE1BFA"/>
    <w:rsid w:val="00CE2591"/>
    <w:rsid w:val="00CE2804"/>
    <w:rsid w:val="00CE2EA9"/>
    <w:rsid w:val="00CE32AC"/>
    <w:rsid w:val="00CE33AD"/>
    <w:rsid w:val="00CE3AB5"/>
    <w:rsid w:val="00CE4E80"/>
    <w:rsid w:val="00CE51B5"/>
    <w:rsid w:val="00CE5BD6"/>
    <w:rsid w:val="00CE5CA2"/>
    <w:rsid w:val="00CE691E"/>
    <w:rsid w:val="00CE77FE"/>
    <w:rsid w:val="00CF02D7"/>
    <w:rsid w:val="00CF0F26"/>
    <w:rsid w:val="00CF15FD"/>
    <w:rsid w:val="00CF1DB2"/>
    <w:rsid w:val="00CF482E"/>
    <w:rsid w:val="00CF4B0D"/>
    <w:rsid w:val="00CF4CF8"/>
    <w:rsid w:val="00CF5826"/>
    <w:rsid w:val="00CF5A6B"/>
    <w:rsid w:val="00CF5D8E"/>
    <w:rsid w:val="00CF793F"/>
    <w:rsid w:val="00CF7DE8"/>
    <w:rsid w:val="00D01962"/>
    <w:rsid w:val="00D02370"/>
    <w:rsid w:val="00D023A4"/>
    <w:rsid w:val="00D02989"/>
    <w:rsid w:val="00D04564"/>
    <w:rsid w:val="00D05B69"/>
    <w:rsid w:val="00D0711E"/>
    <w:rsid w:val="00D07676"/>
    <w:rsid w:val="00D07D36"/>
    <w:rsid w:val="00D10C5C"/>
    <w:rsid w:val="00D10F45"/>
    <w:rsid w:val="00D11888"/>
    <w:rsid w:val="00D11C3A"/>
    <w:rsid w:val="00D1213E"/>
    <w:rsid w:val="00D12311"/>
    <w:rsid w:val="00D128A4"/>
    <w:rsid w:val="00D12C0D"/>
    <w:rsid w:val="00D1364C"/>
    <w:rsid w:val="00D146DA"/>
    <w:rsid w:val="00D15EDC"/>
    <w:rsid w:val="00D2069D"/>
    <w:rsid w:val="00D208CA"/>
    <w:rsid w:val="00D2186A"/>
    <w:rsid w:val="00D223E9"/>
    <w:rsid w:val="00D22CBB"/>
    <w:rsid w:val="00D23EA4"/>
    <w:rsid w:val="00D23FAA"/>
    <w:rsid w:val="00D2471D"/>
    <w:rsid w:val="00D24DA5"/>
    <w:rsid w:val="00D25029"/>
    <w:rsid w:val="00D25965"/>
    <w:rsid w:val="00D25D01"/>
    <w:rsid w:val="00D26379"/>
    <w:rsid w:val="00D26E57"/>
    <w:rsid w:val="00D27B4E"/>
    <w:rsid w:val="00D30B03"/>
    <w:rsid w:val="00D3143C"/>
    <w:rsid w:val="00D32088"/>
    <w:rsid w:val="00D3240F"/>
    <w:rsid w:val="00D32720"/>
    <w:rsid w:val="00D33253"/>
    <w:rsid w:val="00D33294"/>
    <w:rsid w:val="00D35D91"/>
    <w:rsid w:val="00D378B8"/>
    <w:rsid w:val="00D37A75"/>
    <w:rsid w:val="00D40219"/>
    <w:rsid w:val="00D40500"/>
    <w:rsid w:val="00D4158B"/>
    <w:rsid w:val="00D4195D"/>
    <w:rsid w:val="00D41DB2"/>
    <w:rsid w:val="00D42662"/>
    <w:rsid w:val="00D42D1D"/>
    <w:rsid w:val="00D444C4"/>
    <w:rsid w:val="00D44613"/>
    <w:rsid w:val="00D44719"/>
    <w:rsid w:val="00D454BF"/>
    <w:rsid w:val="00D456C7"/>
    <w:rsid w:val="00D45AFC"/>
    <w:rsid w:val="00D4641C"/>
    <w:rsid w:val="00D46A58"/>
    <w:rsid w:val="00D46CC8"/>
    <w:rsid w:val="00D477EB"/>
    <w:rsid w:val="00D504EF"/>
    <w:rsid w:val="00D509FF"/>
    <w:rsid w:val="00D50D2B"/>
    <w:rsid w:val="00D50EA8"/>
    <w:rsid w:val="00D526BC"/>
    <w:rsid w:val="00D52D29"/>
    <w:rsid w:val="00D533D4"/>
    <w:rsid w:val="00D53C9F"/>
    <w:rsid w:val="00D54E93"/>
    <w:rsid w:val="00D558D1"/>
    <w:rsid w:val="00D5724C"/>
    <w:rsid w:val="00D61381"/>
    <w:rsid w:val="00D631EE"/>
    <w:rsid w:val="00D63C45"/>
    <w:rsid w:val="00D7000D"/>
    <w:rsid w:val="00D702AF"/>
    <w:rsid w:val="00D729C0"/>
    <w:rsid w:val="00D73CCE"/>
    <w:rsid w:val="00D7438D"/>
    <w:rsid w:val="00D75C82"/>
    <w:rsid w:val="00D75F81"/>
    <w:rsid w:val="00D77243"/>
    <w:rsid w:val="00D777E7"/>
    <w:rsid w:val="00D77BB2"/>
    <w:rsid w:val="00D80F58"/>
    <w:rsid w:val="00D8146A"/>
    <w:rsid w:val="00D81B91"/>
    <w:rsid w:val="00D81BFE"/>
    <w:rsid w:val="00D82184"/>
    <w:rsid w:val="00D8304A"/>
    <w:rsid w:val="00D83A5B"/>
    <w:rsid w:val="00D83F9F"/>
    <w:rsid w:val="00D84A80"/>
    <w:rsid w:val="00D861CA"/>
    <w:rsid w:val="00D866B5"/>
    <w:rsid w:val="00D86D23"/>
    <w:rsid w:val="00D87CF4"/>
    <w:rsid w:val="00D907BC"/>
    <w:rsid w:val="00D90879"/>
    <w:rsid w:val="00D90CA5"/>
    <w:rsid w:val="00D91DC3"/>
    <w:rsid w:val="00D92D8E"/>
    <w:rsid w:val="00D93B7A"/>
    <w:rsid w:val="00D947D0"/>
    <w:rsid w:val="00D9598E"/>
    <w:rsid w:val="00DA04BF"/>
    <w:rsid w:val="00DA161C"/>
    <w:rsid w:val="00DA1A0A"/>
    <w:rsid w:val="00DA230B"/>
    <w:rsid w:val="00DA2701"/>
    <w:rsid w:val="00DA3CF4"/>
    <w:rsid w:val="00DA4506"/>
    <w:rsid w:val="00DA477F"/>
    <w:rsid w:val="00DA48C3"/>
    <w:rsid w:val="00DA4D36"/>
    <w:rsid w:val="00DA7F1B"/>
    <w:rsid w:val="00DB063D"/>
    <w:rsid w:val="00DB0D71"/>
    <w:rsid w:val="00DB1E45"/>
    <w:rsid w:val="00DB48F0"/>
    <w:rsid w:val="00DB54F5"/>
    <w:rsid w:val="00DB679F"/>
    <w:rsid w:val="00DB6A22"/>
    <w:rsid w:val="00DB7073"/>
    <w:rsid w:val="00DC1D04"/>
    <w:rsid w:val="00DC3EA2"/>
    <w:rsid w:val="00DC5B9F"/>
    <w:rsid w:val="00DC61EF"/>
    <w:rsid w:val="00DC63FF"/>
    <w:rsid w:val="00DC6DFA"/>
    <w:rsid w:val="00DC6F03"/>
    <w:rsid w:val="00DC7A75"/>
    <w:rsid w:val="00DC7FBF"/>
    <w:rsid w:val="00DD1518"/>
    <w:rsid w:val="00DD2D93"/>
    <w:rsid w:val="00DD3574"/>
    <w:rsid w:val="00DD38F4"/>
    <w:rsid w:val="00DD3CB9"/>
    <w:rsid w:val="00DD422C"/>
    <w:rsid w:val="00DD4EE4"/>
    <w:rsid w:val="00DD5739"/>
    <w:rsid w:val="00DD6A14"/>
    <w:rsid w:val="00DD7E12"/>
    <w:rsid w:val="00DE00FD"/>
    <w:rsid w:val="00DE078C"/>
    <w:rsid w:val="00DE0E5D"/>
    <w:rsid w:val="00DE0F78"/>
    <w:rsid w:val="00DE22AF"/>
    <w:rsid w:val="00DE3850"/>
    <w:rsid w:val="00DE4F01"/>
    <w:rsid w:val="00DE50D7"/>
    <w:rsid w:val="00DE6412"/>
    <w:rsid w:val="00DE65B0"/>
    <w:rsid w:val="00DE66EB"/>
    <w:rsid w:val="00DE682A"/>
    <w:rsid w:val="00DF158F"/>
    <w:rsid w:val="00DF1C6F"/>
    <w:rsid w:val="00DF5C12"/>
    <w:rsid w:val="00DF5C2F"/>
    <w:rsid w:val="00DF6B2B"/>
    <w:rsid w:val="00E016FD"/>
    <w:rsid w:val="00E01AB5"/>
    <w:rsid w:val="00E02318"/>
    <w:rsid w:val="00E02933"/>
    <w:rsid w:val="00E02A4E"/>
    <w:rsid w:val="00E0414F"/>
    <w:rsid w:val="00E049B0"/>
    <w:rsid w:val="00E05E1B"/>
    <w:rsid w:val="00E0606D"/>
    <w:rsid w:val="00E07B80"/>
    <w:rsid w:val="00E10BB1"/>
    <w:rsid w:val="00E10D0C"/>
    <w:rsid w:val="00E112FF"/>
    <w:rsid w:val="00E1221A"/>
    <w:rsid w:val="00E14662"/>
    <w:rsid w:val="00E15002"/>
    <w:rsid w:val="00E1573D"/>
    <w:rsid w:val="00E16EF3"/>
    <w:rsid w:val="00E17A1C"/>
    <w:rsid w:val="00E200FE"/>
    <w:rsid w:val="00E201CF"/>
    <w:rsid w:val="00E205CB"/>
    <w:rsid w:val="00E2090D"/>
    <w:rsid w:val="00E20B49"/>
    <w:rsid w:val="00E21D50"/>
    <w:rsid w:val="00E22B5F"/>
    <w:rsid w:val="00E22D23"/>
    <w:rsid w:val="00E276CE"/>
    <w:rsid w:val="00E27FA7"/>
    <w:rsid w:val="00E30076"/>
    <w:rsid w:val="00E323C4"/>
    <w:rsid w:val="00E332E0"/>
    <w:rsid w:val="00E33486"/>
    <w:rsid w:val="00E334CA"/>
    <w:rsid w:val="00E338A9"/>
    <w:rsid w:val="00E338E4"/>
    <w:rsid w:val="00E33E15"/>
    <w:rsid w:val="00E34214"/>
    <w:rsid w:val="00E34B42"/>
    <w:rsid w:val="00E353E3"/>
    <w:rsid w:val="00E360DC"/>
    <w:rsid w:val="00E36D23"/>
    <w:rsid w:val="00E373AF"/>
    <w:rsid w:val="00E4025A"/>
    <w:rsid w:val="00E40FDF"/>
    <w:rsid w:val="00E41664"/>
    <w:rsid w:val="00E41843"/>
    <w:rsid w:val="00E41F81"/>
    <w:rsid w:val="00E44138"/>
    <w:rsid w:val="00E44644"/>
    <w:rsid w:val="00E465B0"/>
    <w:rsid w:val="00E46CF0"/>
    <w:rsid w:val="00E471E4"/>
    <w:rsid w:val="00E474A5"/>
    <w:rsid w:val="00E47544"/>
    <w:rsid w:val="00E50753"/>
    <w:rsid w:val="00E5129B"/>
    <w:rsid w:val="00E53030"/>
    <w:rsid w:val="00E5698B"/>
    <w:rsid w:val="00E61C5E"/>
    <w:rsid w:val="00E61EC2"/>
    <w:rsid w:val="00E6214F"/>
    <w:rsid w:val="00E63D18"/>
    <w:rsid w:val="00E63D6F"/>
    <w:rsid w:val="00E643D2"/>
    <w:rsid w:val="00E648A2"/>
    <w:rsid w:val="00E6504E"/>
    <w:rsid w:val="00E706E2"/>
    <w:rsid w:val="00E707B2"/>
    <w:rsid w:val="00E7099D"/>
    <w:rsid w:val="00E70A39"/>
    <w:rsid w:val="00E70D50"/>
    <w:rsid w:val="00E717E2"/>
    <w:rsid w:val="00E72F8B"/>
    <w:rsid w:val="00E74999"/>
    <w:rsid w:val="00E768B2"/>
    <w:rsid w:val="00E76ACE"/>
    <w:rsid w:val="00E77C8B"/>
    <w:rsid w:val="00E80145"/>
    <w:rsid w:val="00E80E96"/>
    <w:rsid w:val="00E8151F"/>
    <w:rsid w:val="00E828D2"/>
    <w:rsid w:val="00E83282"/>
    <w:rsid w:val="00E8355E"/>
    <w:rsid w:val="00E839A8"/>
    <w:rsid w:val="00E83AE8"/>
    <w:rsid w:val="00E83D8C"/>
    <w:rsid w:val="00E8519D"/>
    <w:rsid w:val="00E862C4"/>
    <w:rsid w:val="00E865C2"/>
    <w:rsid w:val="00E8677C"/>
    <w:rsid w:val="00E878BD"/>
    <w:rsid w:val="00E90563"/>
    <w:rsid w:val="00E91145"/>
    <w:rsid w:val="00E9181B"/>
    <w:rsid w:val="00E91D20"/>
    <w:rsid w:val="00E93147"/>
    <w:rsid w:val="00E93CA4"/>
    <w:rsid w:val="00E971D5"/>
    <w:rsid w:val="00E971E9"/>
    <w:rsid w:val="00E97B67"/>
    <w:rsid w:val="00E97E84"/>
    <w:rsid w:val="00EA0E42"/>
    <w:rsid w:val="00EA155D"/>
    <w:rsid w:val="00EA2687"/>
    <w:rsid w:val="00EA2C2D"/>
    <w:rsid w:val="00EA2CAA"/>
    <w:rsid w:val="00EA2D5A"/>
    <w:rsid w:val="00EA40AA"/>
    <w:rsid w:val="00EA4800"/>
    <w:rsid w:val="00EA6560"/>
    <w:rsid w:val="00EB0710"/>
    <w:rsid w:val="00EB0A24"/>
    <w:rsid w:val="00EB2085"/>
    <w:rsid w:val="00EB3671"/>
    <w:rsid w:val="00EB4B09"/>
    <w:rsid w:val="00EB5685"/>
    <w:rsid w:val="00EB6603"/>
    <w:rsid w:val="00EB6688"/>
    <w:rsid w:val="00EB74AE"/>
    <w:rsid w:val="00EB7710"/>
    <w:rsid w:val="00EC1353"/>
    <w:rsid w:val="00EC29C1"/>
    <w:rsid w:val="00EC2B13"/>
    <w:rsid w:val="00EC2B88"/>
    <w:rsid w:val="00EC3F37"/>
    <w:rsid w:val="00EC48A4"/>
    <w:rsid w:val="00EC4B4C"/>
    <w:rsid w:val="00EC5404"/>
    <w:rsid w:val="00EC5599"/>
    <w:rsid w:val="00EC7D92"/>
    <w:rsid w:val="00ED0146"/>
    <w:rsid w:val="00ED03E2"/>
    <w:rsid w:val="00ED04DF"/>
    <w:rsid w:val="00ED13AF"/>
    <w:rsid w:val="00ED1826"/>
    <w:rsid w:val="00ED2EF5"/>
    <w:rsid w:val="00ED3B8D"/>
    <w:rsid w:val="00ED3FC4"/>
    <w:rsid w:val="00ED4ECE"/>
    <w:rsid w:val="00ED6A72"/>
    <w:rsid w:val="00EE05D3"/>
    <w:rsid w:val="00EE2684"/>
    <w:rsid w:val="00EE2B67"/>
    <w:rsid w:val="00EE3A3C"/>
    <w:rsid w:val="00EE459D"/>
    <w:rsid w:val="00EE4DC3"/>
    <w:rsid w:val="00EE51E5"/>
    <w:rsid w:val="00EE5479"/>
    <w:rsid w:val="00EE5BB8"/>
    <w:rsid w:val="00EE6C9B"/>
    <w:rsid w:val="00EE7789"/>
    <w:rsid w:val="00EF11EB"/>
    <w:rsid w:val="00EF1D20"/>
    <w:rsid w:val="00EF2778"/>
    <w:rsid w:val="00EF442A"/>
    <w:rsid w:val="00EF5B3B"/>
    <w:rsid w:val="00EF5C17"/>
    <w:rsid w:val="00EF6385"/>
    <w:rsid w:val="00EF64AB"/>
    <w:rsid w:val="00EF7BCE"/>
    <w:rsid w:val="00F01269"/>
    <w:rsid w:val="00F01542"/>
    <w:rsid w:val="00F0185C"/>
    <w:rsid w:val="00F02304"/>
    <w:rsid w:val="00F024AD"/>
    <w:rsid w:val="00F02572"/>
    <w:rsid w:val="00F028C4"/>
    <w:rsid w:val="00F02B36"/>
    <w:rsid w:val="00F0547D"/>
    <w:rsid w:val="00F1073A"/>
    <w:rsid w:val="00F109ED"/>
    <w:rsid w:val="00F10E86"/>
    <w:rsid w:val="00F11D4E"/>
    <w:rsid w:val="00F14082"/>
    <w:rsid w:val="00F146C3"/>
    <w:rsid w:val="00F1480B"/>
    <w:rsid w:val="00F15E3B"/>
    <w:rsid w:val="00F16026"/>
    <w:rsid w:val="00F16216"/>
    <w:rsid w:val="00F16F5E"/>
    <w:rsid w:val="00F17F36"/>
    <w:rsid w:val="00F2071B"/>
    <w:rsid w:val="00F22C56"/>
    <w:rsid w:val="00F23225"/>
    <w:rsid w:val="00F23226"/>
    <w:rsid w:val="00F23BC5"/>
    <w:rsid w:val="00F2513A"/>
    <w:rsid w:val="00F25582"/>
    <w:rsid w:val="00F25AEF"/>
    <w:rsid w:val="00F25D63"/>
    <w:rsid w:val="00F26F89"/>
    <w:rsid w:val="00F275A2"/>
    <w:rsid w:val="00F278ED"/>
    <w:rsid w:val="00F30828"/>
    <w:rsid w:val="00F32AF0"/>
    <w:rsid w:val="00F3305B"/>
    <w:rsid w:val="00F3331E"/>
    <w:rsid w:val="00F33CCA"/>
    <w:rsid w:val="00F343E4"/>
    <w:rsid w:val="00F370B4"/>
    <w:rsid w:val="00F37419"/>
    <w:rsid w:val="00F37D02"/>
    <w:rsid w:val="00F37D6A"/>
    <w:rsid w:val="00F37DD8"/>
    <w:rsid w:val="00F40454"/>
    <w:rsid w:val="00F404AE"/>
    <w:rsid w:val="00F40A4E"/>
    <w:rsid w:val="00F41761"/>
    <w:rsid w:val="00F41F95"/>
    <w:rsid w:val="00F41FAA"/>
    <w:rsid w:val="00F426FE"/>
    <w:rsid w:val="00F42CCA"/>
    <w:rsid w:val="00F43D05"/>
    <w:rsid w:val="00F449FB"/>
    <w:rsid w:val="00F44AE7"/>
    <w:rsid w:val="00F47B2E"/>
    <w:rsid w:val="00F5027B"/>
    <w:rsid w:val="00F51AC2"/>
    <w:rsid w:val="00F51B45"/>
    <w:rsid w:val="00F51F5D"/>
    <w:rsid w:val="00F5287D"/>
    <w:rsid w:val="00F53324"/>
    <w:rsid w:val="00F55320"/>
    <w:rsid w:val="00F5556A"/>
    <w:rsid w:val="00F55629"/>
    <w:rsid w:val="00F56B99"/>
    <w:rsid w:val="00F610F4"/>
    <w:rsid w:val="00F61B3F"/>
    <w:rsid w:val="00F622BE"/>
    <w:rsid w:val="00F62745"/>
    <w:rsid w:val="00F63D25"/>
    <w:rsid w:val="00F640EF"/>
    <w:rsid w:val="00F64582"/>
    <w:rsid w:val="00F6610F"/>
    <w:rsid w:val="00F66EF9"/>
    <w:rsid w:val="00F66EFE"/>
    <w:rsid w:val="00F66F31"/>
    <w:rsid w:val="00F67021"/>
    <w:rsid w:val="00F731C2"/>
    <w:rsid w:val="00F74F0B"/>
    <w:rsid w:val="00F74FC4"/>
    <w:rsid w:val="00F77115"/>
    <w:rsid w:val="00F778E2"/>
    <w:rsid w:val="00F8004F"/>
    <w:rsid w:val="00F8160A"/>
    <w:rsid w:val="00F86B66"/>
    <w:rsid w:val="00F871E7"/>
    <w:rsid w:val="00F900D7"/>
    <w:rsid w:val="00F911C7"/>
    <w:rsid w:val="00F91AD9"/>
    <w:rsid w:val="00F91C71"/>
    <w:rsid w:val="00F92931"/>
    <w:rsid w:val="00F92C6B"/>
    <w:rsid w:val="00F94217"/>
    <w:rsid w:val="00F95073"/>
    <w:rsid w:val="00F962D9"/>
    <w:rsid w:val="00F97A19"/>
    <w:rsid w:val="00F97B6C"/>
    <w:rsid w:val="00FA0563"/>
    <w:rsid w:val="00FA1EC0"/>
    <w:rsid w:val="00FA1FBC"/>
    <w:rsid w:val="00FA274E"/>
    <w:rsid w:val="00FA328A"/>
    <w:rsid w:val="00FA35A5"/>
    <w:rsid w:val="00FA3899"/>
    <w:rsid w:val="00FA4206"/>
    <w:rsid w:val="00FA44DA"/>
    <w:rsid w:val="00FA4836"/>
    <w:rsid w:val="00FA4E76"/>
    <w:rsid w:val="00FA50A3"/>
    <w:rsid w:val="00FA7C56"/>
    <w:rsid w:val="00FB06AB"/>
    <w:rsid w:val="00FB0B4D"/>
    <w:rsid w:val="00FB2CAB"/>
    <w:rsid w:val="00FB4430"/>
    <w:rsid w:val="00FB6910"/>
    <w:rsid w:val="00FB6D3C"/>
    <w:rsid w:val="00FB7226"/>
    <w:rsid w:val="00FB7740"/>
    <w:rsid w:val="00FB7F5D"/>
    <w:rsid w:val="00FC07DB"/>
    <w:rsid w:val="00FC134D"/>
    <w:rsid w:val="00FC1C6D"/>
    <w:rsid w:val="00FC239F"/>
    <w:rsid w:val="00FC3280"/>
    <w:rsid w:val="00FC35E8"/>
    <w:rsid w:val="00FC3C88"/>
    <w:rsid w:val="00FC3D7E"/>
    <w:rsid w:val="00FC4574"/>
    <w:rsid w:val="00FC4D60"/>
    <w:rsid w:val="00FC58DA"/>
    <w:rsid w:val="00FC5A7E"/>
    <w:rsid w:val="00FC633A"/>
    <w:rsid w:val="00FC6CB6"/>
    <w:rsid w:val="00FC6F0D"/>
    <w:rsid w:val="00FC7CC0"/>
    <w:rsid w:val="00FD0BED"/>
    <w:rsid w:val="00FD221A"/>
    <w:rsid w:val="00FD2727"/>
    <w:rsid w:val="00FD2EA8"/>
    <w:rsid w:val="00FD3756"/>
    <w:rsid w:val="00FD658F"/>
    <w:rsid w:val="00FD698D"/>
    <w:rsid w:val="00FD6F23"/>
    <w:rsid w:val="00FD75CF"/>
    <w:rsid w:val="00FE029B"/>
    <w:rsid w:val="00FE2D96"/>
    <w:rsid w:val="00FE38F0"/>
    <w:rsid w:val="00FE42DB"/>
    <w:rsid w:val="00FE696D"/>
    <w:rsid w:val="00FE7175"/>
    <w:rsid w:val="00FE7625"/>
    <w:rsid w:val="00FE7D6A"/>
    <w:rsid w:val="00FF0101"/>
    <w:rsid w:val="00FF0919"/>
    <w:rsid w:val="00FF097F"/>
    <w:rsid w:val="00FF1181"/>
    <w:rsid w:val="00FF3AB1"/>
    <w:rsid w:val="00FF43D4"/>
    <w:rsid w:val="00FF45BD"/>
    <w:rsid w:val="00FF5670"/>
    <w:rsid w:val="00FF6128"/>
    <w:rsid w:val="00FF62BC"/>
    <w:rsid w:val="00FF66C3"/>
    <w:rsid w:val="00FF67B0"/>
    <w:rsid w:val="00FF680E"/>
    <w:rsid w:val="00FF6B55"/>
    <w:rsid w:val="00FF6F60"/>
    <w:rsid w:val="0100375F"/>
    <w:rsid w:val="011224FE"/>
    <w:rsid w:val="01206A3D"/>
    <w:rsid w:val="01343E1F"/>
    <w:rsid w:val="0139378E"/>
    <w:rsid w:val="0165216C"/>
    <w:rsid w:val="0167130E"/>
    <w:rsid w:val="017716F4"/>
    <w:rsid w:val="01783BDB"/>
    <w:rsid w:val="017D4D3A"/>
    <w:rsid w:val="017E16E3"/>
    <w:rsid w:val="01860E3C"/>
    <w:rsid w:val="019D55FE"/>
    <w:rsid w:val="01A03AD6"/>
    <w:rsid w:val="01EA5B99"/>
    <w:rsid w:val="01F13570"/>
    <w:rsid w:val="01FF0067"/>
    <w:rsid w:val="02090B42"/>
    <w:rsid w:val="020C4532"/>
    <w:rsid w:val="021624D9"/>
    <w:rsid w:val="022707A9"/>
    <w:rsid w:val="02403484"/>
    <w:rsid w:val="024164DA"/>
    <w:rsid w:val="02521E84"/>
    <w:rsid w:val="0254319C"/>
    <w:rsid w:val="0263637C"/>
    <w:rsid w:val="0267398C"/>
    <w:rsid w:val="029F3581"/>
    <w:rsid w:val="02A8425B"/>
    <w:rsid w:val="02C32E43"/>
    <w:rsid w:val="02F73A8C"/>
    <w:rsid w:val="03045209"/>
    <w:rsid w:val="03685798"/>
    <w:rsid w:val="036B7D08"/>
    <w:rsid w:val="037732C7"/>
    <w:rsid w:val="03920134"/>
    <w:rsid w:val="039F7D41"/>
    <w:rsid w:val="03AD764F"/>
    <w:rsid w:val="03B55A4D"/>
    <w:rsid w:val="03B709A5"/>
    <w:rsid w:val="03EB275C"/>
    <w:rsid w:val="03F23D0A"/>
    <w:rsid w:val="04086A8E"/>
    <w:rsid w:val="04124462"/>
    <w:rsid w:val="04165086"/>
    <w:rsid w:val="041740DE"/>
    <w:rsid w:val="041B1368"/>
    <w:rsid w:val="041C05BB"/>
    <w:rsid w:val="04221DEB"/>
    <w:rsid w:val="043755A5"/>
    <w:rsid w:val="04447FB3"/>
    <w:rsid w:val="045B63A0"/>
    <w:rsid w:val="0462668B"/>
    <w:rsid w:val="046E3819"/>
    <w:rsid w:val="04C51ABA"/>
    <w:rsid w:val="04E87DBA"/>
    <w:rsid w:val="050769A3"/>
    <w:rsid w:val="051054BA"/>
    <w:rsid w:val="05177A3F"/>
    <w:rsid w:val="051B2158"/>
    <w:rsid w:val="0569194D"/>
    <w:rsid w:val="05701DE5"/>
    <w:rsid w:val="057A5434"/>
    <w:rsid w:val="057B088D"/>
    <w:rsid w:val="05A5395E"/>
    <w:rsid w:val="05C226D2"/>
    <w:rsid w:val="05C32E8F"/>
    <w:rsid w:val="05C93DFF"/>
    <w:rsid w:val="06316315"/>
    <w:rsid w:val="0634080E"/>
    <w:rsid w:val="06564C89"/>
    <w:rsid w:val="0661350E"/>
    <w:rsid w:val="06721A3D"/>
    <w:rsid w:val="067D4056"/>
    <w:rsid w:val="069D2A73"/>
    <w:rsid w:val="06A00547"/>
    <w:rsid w:val="06B244F7"/>
    <w:rsid w:val="06B9382D"/>
    <w:rsid w:val="06DE0F46"/>
    <w:rsid w:val="06DF3FC3"/>
    <w:rsid w:val="06E65352"/>
    <w:rsid w:val="06ED4932"/>
    <w:rsid w:val="07406744"/>
    <w:rsid w:val="074F3A97"/>
    <w:rsid w:val="07854D3E"/>
    <w:rsid w:val="07A22B37"/>
    <w:rsid w:val="07BD3C84"/>
    <w:rsid w:val="07EA2C20"/>
    <w:rsid w:val="07ED0962"/>
    <w:rsid w:val="07FB5108"/>
    <w:rsid w:val="08053B6A"/>
    <w:rsid w:val="08147C9D"/>
    <w:rsid w:val="08161CD1"/>
    <w:rsid w:val="08206641"/>
    <w:rsid w:val="082A6F7C"/>
    <w:rsid w:val="084F33CB"/>
    <w:rsid w:val="08732E82"/>
    <w:rsid w:val="089B35A4"/>
    <w:rsid w:val="089F35DF"/>
    <w:rsid w:val="08A13C26"/>
    <w:rsid w:val="08C835F4"/>
    <w:rsid w:val="08D44632"/>
    <w:rsid w:val="08D579D6"/>
    <w:rsid w:val="091008D2"/>
    <w:rsid w:val="094620D8"/>
    <w:rsid w:val="09485BF3"/>
    <w:rsid w:val="09496D37"/>
    <w:rsid w:val="09562917"/>
    <w:rsid w:val="09623FE0"/>
    <w:rsid w:val="0966277A"/>
    <w:rsid w:val="09827219"/>
    <w:rsid w:val="09917A47"/>
    <w:rsid w:val="09CB6A81"/>
    <w:rsid w:val="0A136187"/>
    <w:rsid w:val="0A2C39C3"/>
    <w:rsid w:val="0A2D4FE0"/>
    <w:rsid w:val="0A373D8A"/>
    <w:rsid w:val="0A3E54A5"/>
    <w:rsid w:val="0A3F11F2"/>
    <w:rsid w:val="0A4114B2"/>
    <w:rsid w:val="0A4D7496"/>
    <w:rsid w:val="0A514815"/>
    <w:rsid w:val="0A660074"/>
    <w:rsid w:val="0AA86481"/>
    <w:rsid w:val="0AB243BE"/>
    <w:rsid w:val="0AC309C6"/>
    <w:rsid w:val="0AE0030A"/>
    <w:rsid w:val="0AFF4AFA"/>
    <w:rsid w:val="0B021C2D"/>
    <w:rsid w:val="0B064109"/>
    <w:rsid w:val="0B0A4B64"/>
    <w:rsid w:val="0B2B4B1C"/>
    <w:rsid w:val="0B4623C0"/>
    <w:rsid w:val="0B773A5D"/>
    <w:rsid w:val="0B7A57FA"/>
    <w:rsid w:val="0B9037C7"/>
    <w:rsid w:val="0BA32A66"/>
    <w:rsid w:val="0BA44A52"/>
    <w:rsid w:val="0BC11A15"/>
    <w:rsid w:val="0BCE4606"/>
    <w:rsid w:val="0BE4108E"/>
    <w:rsid w:val="0C0E70CD"/>
    <w:rsid w:val="0C2F32F7"/>
    <w:rsid w:val="0C694173"/>
    <w:rsid w:val="0C9B6BDE"/>
    <w:rsid w:val="0CCC1A67"/>
    <w:rsid w:val="0CE82A48"/>
    <w:rsid w:val="0CF40FDA"/>
    <w:rsid w:val="0CFF4F93"/>
    <w:rsid w:val="0D04253E"/>
    <w:rsid w:val="0D043B1E"/>
    <w:rsid w:val="0D40588F"/>
    <w:rsid w:val="0D42549E"/>
    <w:rsid w:val="0D4E6629"/>
    <w:rsid w:val="0D607838"/>
    <w:rsid w:val="0D827B6E"/>
    <w:rsid w:val="0D8E1BAF"/>
    <w:rsid w:val="0D9E2501"/>
    <w:rsid w:val="0DA92A95"/>
    <w:rsid w:val="0DB63F61"/>
    <w:rsid w:val="0DD44826"/>
    <w:rsid w:val="0DDB6F3F"/>
    <w:rsid w:val="0DF34C7D"/>
    <w:rsid w:val="0E0B38F0"/>
    <w:rsid w:val="0E122ED0"/>
    <w:rsid w:val="0E1924B1"/>
    <w:rsid w:val="0E1A2709"/>
    <w:rsid w:val="0E34011B"/>
    <w:rsid w:val="0E345BC0"/>
    <w:rsid w:val="0E40223A"/>
    <w:rsid w:val="0E536488"/>
    <w:rsid w:val="0E7414C9"/>
    <w:rsid w:val="0E75778E"/>
    <w:rsid w:val="0E95610E"/>
    <w:rsid w:val="0E9D32AB"/>
    <w:rsid w:val="0EA05236"/>
    <w:rsid w:val="0EB51DC1"/>
    <w:rsid w:val="0EC07C41"/>
    <w:rsid w:val="0EC42C1B"/>
    <w:rsid w:val="0ED927E2"/>
    <w:rsid w:val="0ED95015"/>
    <w:rsid w:val="0EE53289"/>
    <w:rsid w:val="0EF13EB7"/>
    <w:rsid w:val="0F141E3E"/>
    <w:rsid w:val="0F3020DD"/>
    <w:rsid w:val="0F346249"/>
    <w:rsid w:val="0F3945C6"/>
    <w:rsid w:val="0F4309D7"/>
    <w:rsid w:val="0F4D738C"/>
    <w:rsid w:val="0F70041D"/>
    <w:rsid w:val="0FA82F44"/>
    <w:rsid w:val="0FAC6704"/>
    <w:rsid w:val="0FB70E51"/>
    <w:rsid w:val="0FC34737"/>
    <w:rsid w:val="0FC61116"/>
    <w:rsid w:val="0FCF460E"/>
    <w:rsid w:val="0FD967CF"/>
    <w:rsid w:val="0FFA1FD3"/>
    <w:rsid w:val="1007150B"/>
    <w:rsid w:val="1017657C"/>
    <w:rsid w:val="10195848"/>
    <w:rsid w:val="102806CD"/>
    <w:rsid w:val="103477E1"/>
    <w:rsid w:val="10360CC2"/>
    <w:rsid w:val="103D03A3"/>
    <w:rsid w:val="10507339"/>
    <w:rsid w:val="10594A08"/>
    <w:rsid w:val="10774077"/>
    <w:rsid w:val="10854085"/>
    <w:rsid w:val="108A31F2"/>
    <w:rsid w:val="108C51BC"/>
    <w:rsid w:val="10A0731E"/>
    <w:rsid w:val="10A80A87"/>
    <w:rsid w:val="10B85FB1"/>
    <w:rsid w:val="10BF1855"/>
    <w:rsid w:val="10C301A8"/>
    <w:rsid w:val="10D40911"/>
    <w:rsid w:val="1118788E"/>
    <w:rsid w:val="111A2D88"/>
    <w:rsid w:val="111D2249"/>
    <w:rsid w:val="11412771"/>
    <w:rsid w:val="114145F4"/>
    <w:rsid w:val="115D229C"/>
    <w:rsid w:val="118E3A13"/>
    <w:rsid w:val="119B31DD"/>
    <w:rsid w:val="11AF29A7"/>
    <w:rsid w:val="11C0052E"/>
    <w:rsid w:val="11C87F92"/>
    <w:rsid w:val="11D07A25"/>
    <w:rsid w:val="11D17DAE"/>
    <w:rsid w:val="12056664"/>
    <w:rsid w:val="121E178F"/>
    <w:rsid w:val="12377173"/>
    <w:rsid w:val="123827CE"/>
    <w:rsid w:val="12394A8E"/>
    <w:rsid w:val="123D5DA2"/>
    <w:rsid w:val="123E3773"/>
    <w:rsid w:val="124B30FD"/>
    <w:rsid w:val="124B5A0F"/>
    <w:rsid w:val="12586C39"/>
    <w:rsid w:val="126A499B"/>
    <w:rsid w:val="12773960"/>
    <w:rsid w:val="12851EC3"/>
    <w:rsid w:val="129F381C"/>
    <w:rsid w:val="12A129EB"/>
    <w:rsid w:val="12AB6427"/>
    <w:rsid w:val="12AB7493"/>
    <w:rsid w:val="12AF1FCF"/>
    <w:rsid w:val="12C97D91"/>
    <w:rsid w:val="12D73EB3"/>
    <w:rsid w:val="12D87D0F"/>
    <w:rsid w:val="12E32EDE"/>
    <w:rsid w:val="12E75CBF"/>
    <w:rsid w:val="13292DE0"/>
    <w:rsid w:val="134F427F"/>
    <w:rsid w:val="135F295C"/>
    <w:rsid w:val="13761EAE"/>
    <w:rsid w:val="137B10C2"/>
    <w:rsid w:val="13880B6C"/>
    <w:rsid w:val="13926548"/>
    <w:rsid w:val="13954387"/>
    <w:rsid w:val="139A1147"/>
    <w:rsid w:val="139C08D2"/>
    <w:rsid w:val="13B872B0"/>
    <w:rsid w:val="13B9011A"/>
    <w:rsid w:val="13BE1478"/>
    <w:rsid w:val="13C07196"/>
    <w:rsid w:val="13D11A99"/>
    <w:rsid w:val="140C50F1"/>
    <w:rsid w:val="141A068F"/>
    <w:rsid w:val="141E09F3"/>
    <w:rsid w:val="141F1EA3"/>
    <w:rsid w:val="144E6F54"/>
    <w:rsid w:val="14627FE2"/>
    <w:rsid w:val="14772A73"/>
    <w:rsid w:val="147C5547"/>
    <w:rsid w:val="149845D8"/>
    <w:rsid w:val="14A10F94"/>
    <w:rsid w:val="14BB0C18"/>
    <w:rsid w:val="14FB1D3F"/>
    <w:rsid w:val="14FE7D0A"/>
    <w:rsid w:val="150A66AF"/>
    <w:rsid w:val="150F0169"/>
    <w:rsid w:val="15125204"/>
    <w:rsid w:val="15235B6D"/>
    <w:rsid w:val="154C6C54"/>
    <w:rsid w:val="15557480"/>
    <w:rsid w:val="158A5A42"/>
    <w:rsid w:val="158B147D"/>
    <w:rsid w:val="158F3C06"/>
    <w:rsid w:val="159A3655"/>
    <w:rsid w:val="15A37B93"/>
    <w:rsid w:val="15C20F62"/>
    <w:rsid w:val="15DF5D8E"/>
    <w:rsid w:val="15E61529"/>
    <w:rsid w:val="161B7319"/>
    <w:rsid w:val="161E0D86"/>
    <w:rsid w:val="163B09C1"/>
    <w:rsid w:val="164D2C44"/>
    <w:rsid w:val="16610551"/>
    <w:rsid w:val="169F20F0"/>
    <w:rsid w:val="16A8357F"/>
    <w:rsid w:val="16AF095C"/>
    <w:rsid w:val="16AF0CC7"/>
    <w:rsid w:val="16CB293E"/>
    <w:rsid w:val="16DC407B"/>
    <w:rsid w:val="16E178E4"/>
    <w:rsid w:val="16F70437"/>
    <w:rsid w:val="16FA2ADC"/>
    <w:rsid w:val="16FD0F5C"/>
    <w:rsid w:val="170757CC"/>
    <w:rsid w:val="172305BE"/>
    <w:rsid w:val="174E2EB7"/>
    <w:rsid w:val="17650515"/>
    <w:rsid w:val="1778161B"/>
    <w:rsid w:val="17977775"/>
    <w:rsid w:val="17A074B3"/>
    <w:rsid w:val="17A86FB9"/>
    <w:rsid w:val="17B46C9D"/>
    <w:rsid w:val="17B678A0"/>
    <w:rsid w:val="17BB6EEA"/>
    <w:rsid w:val="17C106F9"/>
    <w:rsid w:val="17C81C85"/>
    <w:rsid w:val="17D62C90"/>
    <w:rsid w:val="17D808C5"/>
    <w:rsid w:val="17E547A3"/>
    <w:rsid w:val="17F3464E"/>
    <w:rsid w:val="17FF1FAC"/>
    <w:rsid w:val="18026A1B"/>
    <w:rsid w:val="180E4A7A"/>
    <w:rsid w:val="18416A46"/>
    <w:rsid w:val="185C4733"/>
    <w:rsid w:val="187F4775"/>
    <w:rsid w:val="188A7C3C"/>
    <w:rsid w:val="189A5F9C"/>
    <w:rsid w:val="18B42C61"/>
    <w:rsid w:val="18B828C6"/>
    <w:rsid w:val="18CD49B0"/>
    <w:rsid w:val="18E216F1"/>
    <w:rsid w:val="190B4A31"/>
    <w:rsid w:val="19135D94"/>
    <w:rsid w:val="192E7CCB"/>
    <w:rsid w:val="19324427"/>
    <w:rsid w:val="19386FF0"/>
    <w:rsid w:val="194674E2"/>
    <w:rsid w:val="194A6741"/>
    <w:rsid w:val="19776673"/>
    <w:rsid w:val="198364BE"/>
    <w:rsid w:val="199364A5"/>
    <w:rsid w:val="19A90B8D"/>
    <w:rsid w:val="19C239FC"/>
    <w:rsid w:val="19F623F7"/>
    <w:rsid w:val="19FA779B"/>
    <w:rsid w:val="1A03395A"/>
    <w:rsid w:val="1A0A60E9"/>
    <w:rsid w:val="1A3105DC"/>
    <w:rsid w:val="1A5756B2"/>
    <w:rsid w:val="1A5F3D37"/>
    <w:rsid w:val="1A703458"/>
    <w:rsid w:val="1A703ACC"/>
    <w:rsid w:val="1A7A68AF"/>
    <w:rsid w:val="1A8F30A6"/>
    <w:rsid w:val="1AA40AA4"/>
    <w:rsid w:val="1AFF671E"/>
    <w:rsid w:val="1B09251C"/>
    <w:rsid w:val="1B1A295C"/>
    <w:rsid w:val="1B365E16"/>
    <w:rsid w:val="1B3D4F7E"/>
    <w:rsid w:val="1B4D5548"/>
    <w:rsid w:val="1B661988"/>
    <w:rsid w:val="1B813443"/>
    <w:rsid w:val="1B8151F1"/>
    <w:rsid w:val="1B84247A"/>
    <w:rsid w:val="1B95115E"/>
    <w:rsid w:val="1BD55FBC"/>
    <w:rsid w:val="1BDA7737"/>
    <w:rsid w:val="1C1D13BE"/>
    <w:rsid w:val="1C264726"/>
    <w:rsid w:val="1C42661B"/>
    <w:rsid w:val="1C440A81"/>
    <w:rsid w:val="1C460A4A"/>
    <w:rsid w:val="1C4E419D"/>
    <w:rsid w:val="1C6A3ED7"/>
    <w:rsid w:val="1C8D7823"/>
    <w:rsid w:val="1CAF0084"/>
    <w:rsid w:val="1D266FB6"/>
    <w:rsid w:val="1D333581"/>
    <w:rsid w:val="1D4823C1"/>
    <w:rsid w:val="1D503CCE"/>
    <w:rsid w:val="1D5E2129"/>
    <w:rsid w:val="1D717AA2"/>
    <w:rsid w:val="1D8F62F3"/>
    <w:rsid w:val="1D972517"/>
    <w:rsid w:val="1DB47E28"/>
    <w:rsid w:val="1DDC049F"/>
    <w:rsid w:val="1DF07639"/>
    <w:rsid w:val="1E0821D6"/>
    <w:rsid w:val="1E0C0164"/>
    <w:rsid w:val="1E0E3A15"/>
    <w:rsid w:val="1E193E07"/>
    <w:rsid w:val="1E1C1FB6"/>
    <w:rsid w:val="1E1D5A5B"/>
    <w:rsid w:val="1E347D99"/>
    <w:rsid w:val="1E47464E"/>
    <w:rsid w:val="1E5C1B65"/>
    <w:rsid w:val="1E5D3CF4"/>
    <w:rsid w:val="1E873E8D"/>
    <w:rsid w:val="1E8F0475"/>
    <w:rsid w:val="1E92219E"/>
    <w:rsid w:val="1E9A18CE"/>
    <w:rsid w:val="1E9E4A13"/>
    <w:rsid w:val="1EA27958"/>
    <w:rsid w:val="1EB4615E"/>
    <w:rsid w:val="1EB65EE0"/>
    <w:rsid w:val="1EC009FF"/>
    <w:rsid w:val="1EC21DA9"/>
    <w:rsid w:val="1EF82A21"/>
    <w:rsid w:val="1F374545"/>
    <w:rsid w:val="1F535444"/>
    <w:rsid w:val="1F59095F"/>
    <w:rsid w:val="1F7532BF"/>
    <w:rsid w:val="1F9101D8"/>
    <w:rsid w:val="1F92203A"/>
    <w:rsid w:val="1FBD17B6"/>
    <w:rsid w:val="1FCF03BF"/>
    <w:rsid w:val="1FE275B4"/>
    <w:rsid w:val="1FE676F1"/>
    <w:rsid w:val="203A6BC1"/>
    <w:rsid w:val="2041079C"/>
    <w:rsid w:val="20686931"/>
    <w:rsid w:val="207B66B3"/>
    <w:rsid w:val="208D3101"/>
    <w:rsid w:val="20A6645D"/>
    <w:rsid w:val="20B35EED"/>
    <w:rsid w:val="20C444FE"/>
    <w:rsid w:val="20EF3933"/>
    <w:rsid w:val="21122A7A"/>
    <w:rsid w:val="211B0BF1"/>
    <w:rsid w:val="215636CB"/>
    <w:rsid w:val="215D5AE0"/>
    <w:rsid w:val="2178141F"/>
    <w:rsid w:val="21C2395E"/>
    <w:rsid w:val="21C276C6"/>
    <w:rsid w:val="21F77FBB"/>
    <w:rsid w:val="22253382"/>
    <w:rsid w:val="22396190"/>
    <w:rsid w:val="223E208E"/>
    <w:rsid w:val="2245098C"/>
    <w:rsid w:val="224727A8"/>
    <w:rsid w:val="225418B2"/>
    <w:rsid w:val="22573150"/>
    <w:rsid w:val="226F0130"/>
    <w:rsid w:val="228326E5"/>
    <w:rsid w:val="22CE3412"/>
    <w:rsid w:val="22CE5939"/>
    <w:rsid w:val="22D77C62"/>
    <w:rsid w:val="22E07BE3"/>
    <w:rsid w:val="22ED7C37"/>
    <w:rsid w:val="2307762D"/>
    <w:rsid w:val="232D7A92"/>
    <w:rsid w:val="234822FE"/>
    <w:rsid w:val="23694EE9"/>
    <w:rsid w:val="23723779"/>
    <w:rsid w:val="2380382E"/>
    <w:rsid w:val="239C1B14"/>
    <w:rsid w:val="23BD6EF8"/>
    <w:rsid w:val="23C94C24"/>
    <w:rsid w:val="23CB23F8"/>
    <w:rsid w:val="23D33350"/>
    <w:rsid w:val="23E74961"/>
    <w:rsid w:val="23FA0066"/>
    <w:rsid w:val="240739F0"/>
    <w:rsid w:val="24100849"/>
    <w:rsid w:val="2410601E"/>
    <w:rsid w:val="24127BF4"/>
    <w:rsid w:val="242279F0"/>
    <w:rsid w:val="24316771"/>
    <w:rsid w:val="24672984"/>
    <w:rsid w:val="246E7D69"/>
    <w:rsid w:val="248C5097"/>
    <w:rsid w:val="24B623B0"/>
    <w:rsid w:val="24F33068"/>
    <w:rsid w:val="250F1AC0"/>
    <w:rsid w:val="2513598F"/>
    <w:rsid w:val="254F2B8B"/>
    <w:rsid w:val="25864F36"/>
    <w:rsid w:val="25AB2D7A"/>
    <w:rsid w:val="25B610A5"/>
    <w:rsid w:val="25D77F7D"/>
    <w:rsid w:val="25D9601A"/>
    <w:rsid w:val="25DF1492"/>
    <w:rsid w:val="25F56AF2"/>
    <w:rsid w:val="25F6410F"/>
    <w:rsid w:val="26175410"/>
    <w:rsid w:val="2644546E"/>
    <w:rsid w:val="264C6631"/>
    <w:rsid w:val="265A320F"/>
    <w:rsid w:val="265F24C5"/>
    <w:rsid w:val="266877EA"/>
    <w:rsid w:val="26694CB8"/>
    <w:rsid w:val="26B23A0D"/>
    <w:rsid w:val="26BF6625"/>
    <w:rsid w:val="26C3386D"/>
    <w:rsid w:val="270F7B55"/>
    <w:rsid w:val="271F0DEE"/>
    <w:rsid w:val="272A6282"/>
    <w:rsid w:val="273743F1"/>
    <w:rsid w:val="27436F47"/>
    <w:rsid w:val="27987D44"/>
    <w:rsid w:val="27B0758A"/>
    <w:rsid w:val="27D76E3B"/>
    <w:rsid w:val="27FA3506"/>
    <w:rsid w:val="2804281E"/>
    <w:rsid w:val="281A7C8A"/>
    <w:rsid w:val="281E2746"/>
    <w:rsid w:val="282262DA"/>
    <w:rsid w:val="2825407B"/>
    <w:rsid w:val="2843765A"/>
    <w:rsid w:val="284F029B"/>
    <w:rsid w:val="28527A75"/>
    <w:rsid w:val="28625728"/>
    <w:rsid w:val="286957F3"/>
    <w:rsid w:val="287614C8"/>
    <w:rsid w:val="288240FF"/>
    <w:rsid w:val="289152B0"/>
    <w:rsid w:val="289E5E36"/>
    <w:rsid w:val="28AD2196"/>
    <w:rsid w:val="28AD5571"/>
    <w:rsid w:val="28C4406E"/>
    <w:rsid w:val="28ED3DDB"/>
    <w:rsid w:val="2903193C"/>
    <w:rsid w:val="29184E96"/>
    <w:rsid w:val="29197B2F"/>
    <w:rsid w:val="292728BE"/>
    <w:rsid w:val="29584B90"/>
    <w:rsid w:val="29666D5B"/>
    <w:rsid w:val="297474BC"/>
    <w:rsid w:val="297D7484"/>
    <w:rsid w:val="298725EB"/>
    <w:rsid w:val="29AC3E33"/>
    <w:rsid w:val="29AD443F"/>
    <w:rsid w:val="29B7714B"/>
    <w:rsid w:val="29D9384A"/>
    <w:rsid w:val="29FA54A4"/>
    <w:rsid w:val="2A0F40B8"/>
    <w:rsid w:val="2A2C4EF9"/>
    <w:rsid w:val="2A4346E5"/>
    <w:rsid w:val="2A484217"/>
    <w:rsid w:val="2A5266D7"/>
    <w:rsid w:val="2A6F376C"/>
    <w:rsid w:val="2A783C63"/>
    <w:rsid w:val="2A7F09BF"/>
    <w:rsid w:val="2A8D1AFD"/>
    <w:rsid w:val="2A8D770F"/>
    <w:rsid w:val="2AA40306"/>
    <w:rsid w:val="2AA42DCF"/>
    <w:rsid w:val="2AAD433F"/>
    <w:rsid w:val="2B0112D9"/>
    <w:rsid w:val="2B020125"/>
    <w:rsid w:val="2B1F6C7A"/>
    <w:rsid w:val="2B2007AA"/>
    <w:rsid w:val="2B272049"/>
    <w:rsid w:val="2B2D2106"/>
    <w:rsid w:val="2B354638"/>
    <w:rsid w:val="2B412655"/>
    <w:rsid w:val="2B4324C3"/>
    <w:rsid w:val="2BA54F2C"/>
    <w:rsid w:val="2BDE46D5"/>
    <w:rsid w:val="2C1125C1"/>
    <w:rsid w:val="2C2D5CF7"/>
    <w:rsid w:val="2C8F5C76"/>
    <w:rsid w:val="2C941296"/>
    <w:rsid w:val="2C9C632F"/>
    <w:rsid w:val="2CBE5EC5"/>
    <w:rsid w:val="2CCE400E"/>
    <w:rsid w:val="2CE21249"/>
    <w:rsid w:val="2CE8602F"/>
    <w:rsid w:val="2CEF5652"/>
    <w:rsid w:val="2D1F60E8"/>
    <w:rsid w:val="2D211F8B"/>
    <w:rsid w:val="2D344D56"/>
    <w:rsid w:val="2D463D53"/>
    <w:rsid w:val="2D701C7C"/>
    <w:rsid w:val="2D91742F"/>
    <w:rsid w:val="2D977CB0"/>
    <w:rsid w:val="2D9C5E16"/>
    <w:rsid w:val="2DEE172B"/>
    <w:rsid w:val="2DF027EB"/>
    <w:rsid w:val="2DF113C2"/>
    <w:rsid w:val="2DF13D0E"/>
    <w:rsid w:val="2DF66D0E"/>
    <w:rsid w:val="2E074D66"/>
    <w:rsid w:val="2E1663C6"/>
    <w:rsid w:val="2E387FCA"/>
    <w:rsid w:val="2E3F4299"/>
    <w:rsid w:val="2E5442E3"/>
    <w:rsid w:val="2E7C5476"/>
    <w:rsid w:val="2E886FF6"/>
    <w:rsid w:val="2E8B0409"/>
    <w:rsid w:val="2EA77975"/>
    <w:rsid w:val="2EBF00B3"/>
    <w:rsid w:val="2ECE479A"/>
    <w:rsid w:val="2EEC3775"/>
    <w:rsid w:val="2F125CDF"/>
    <w:rsid w:val="2F372D57"/>
    <w:rsid w:val="2F3A4412"/>
    <w:rsid w:val="2F494525"/>
    <w:rsid w:val="2F4A14FC"/>
    <w:rsid w:val="2F4E083A"/>
    <w:rsid w:val="2F523172"/>
    <w:rsid w:val="2F656C17"/>
    <w:rsid w:val="2F7933EA"/>
    <w:rsid w:val="2F8D29E4"/>
    <w:rsid w:val="2F95018C"/>
    <w:rsid w:val="2F9B4F5A"/>
    <w:rsid w:val="2FA8548D"/>
    <w:rsid w:val="2FC260AC"/>
    <w:rsid w:val="300A495A"/>
    <w:rsid w:val="302C05D9"/>
    <w:rsid w:val="303139E4"/>
    <w:rsid w:val="304A34E0"/>
    <w:rsid w:val="305129F5"/>
    <w:rsid w:val="305A1716"/>
    <w:rsid w:val="307F5119"/>
    <w:rsid w:val="30A26718"/>
    <w:rsid w:val="30A77D27"/>
    <w:rsid w:val="30B03CE2"/>
    <w:rsid w:val="30E12562"/>
    <w:rsid w:val="30E3443D"/>
    <w:rsid w:val="30EB518F"/>
    <w:rsid w:val="30ED3C5E"/>
    <w:rsid w:val="30F037CF"/>
    <w:rsid w:val="311A02DC"/>
    <w:rsid w:val="3145293B"/>
    <w:rsid w:val="317A1BAC"/>
    <w:rsid w:val="317B5F68"/>
    <w:rsid w:val="31896E18"/>
    <w:rsid w:val="31A32E5F"/>
    <w:rsid w:val="31B859B9"/>
    <w:rsid w:val="31C71704"/>
    <w:rsid w:val="31CE074C"/>
    <w:rsid w:val="31D55DF5"/>
    <w:rsid w:val="31E75CF0"/>
    <w:rsid w:val="31FD315A"/>
    <w:rsid w:val="31FF2950"/>
    <w:rsid w:val="3201033B"/>
    <w:rsid w:val="32022CFB"/>
    <w:rsid w:val="321D4746"/>
    <w:rsid w:val="321F5090"/>
    <w:rsid w:val="322F44D8"/>
    <w:rsid w:val="32532990"/>
    <w:rsid w:val="325A2A82"/>
    <w:rsid w:val="327C5A7B"/>
    <w:rsid w:val="328238D1"/>
    <w:rsid w:val="328A09D8"/>
    <w:rsid w:val="328B66B3"/>
    <w:rsid w:val="32C219E5"/>
    <w:rsid w:val="32CD46FA"/>
    <w:rsid w:val="32E12CEE"/>
    <w:rsid w:val="32EE73AD"/>
    <w:rsid w:val="32FB1250"/>
    <w:rsid w:val="33066EED"/>
    <w:rsid w:val="330A262A"/>
    <w:rsid w:val="33410365"/>
    <w:rsid w:val="33604C72"/>
    <w:rsid w:val="337C33E4"/>
    <w:rsid w:val="338C30F1"/>
    <w:rsid w:val="33B7197E"/>
    <w:rsid w:val="33BB0DF2"/>
    <w:rsid w:val="33CF1164"/>
    <w:rsid w:val="33D377F4"/>
    <w:rsid w:val="33F20028"/>
    <w:rsid w:val="340F5638"/>
    <w:rsid w:val="34581C7A"/>
    <w:rsid w:val="345B262C"/>
    <w:rsid w:val="3468176E"/>
    <w:rsid w:val="3468245F"/>
    <w:rsid w:val="346B43B7"/>
    <w:rsid w:val="34973916"/>
    <w:rsid w:val="34B05C48"/>
    <w:rsid w:val="34B87A7E"/>
    <w:rsid w:val="34C07321"/>
    <w:rsid w:val="34C26EA0"/>
    <w:rsid w:val="34CC4150"/>
    <w:rsid w:val="34E05800"/>
    <w:rsid w:val="350D601C"/>
    <w:rsid w:val="352F3309"/>
    <w:rsid w:val="35325A82"/>
    <w:rsid w:val="35401C2F"/>
    <w:rsid w:val="3565547E"/>
    <w:rsid w:val="356E37B3"/>
    <w:rsid w:val="3594751A"/>
    <w:rsid w:val="35C27A69"/>
    <w:rsid w:val="35C81F43"/>
    <w:rsid w:val="35DA0547"/>
    <w:rsid w:val="35EA010B"/>
    <w:rsid w:val="35F7563C"/>
    <w:rsid w:val="360A03EE"/>
    <w:rsid w:val="362938F2"/>
    <w:rsid w:val="36355DFA"/>
    <w:rsid w:val="36392E68"/>
    <w:rsid w:val="36674E48"/>
    <w:rsid w:val="3674291C"/>
    <w:rsid w:val="368049F0"/>
    <w:rsid w:val="3686379D"/>
    <w:rsid w:val="36983883"/>
    <w:rsid w:val="36A57B46"/>
    <w:rsid w:val="36CA7B5A"/>
    <w:rsid w:val="36D31FEB"/>
    <w:rsid w:val="36DA7EC6"/>
    <w:rsid w:val="36EA4B70"/>
    <w:rsid w:val="370A20E7"/>
    <w:rsid w:val="371734D8"/>
    <w:rsid w:val="37411CBC"/>
    <w:rsid w:val="37476E97"/>
    <w:rsid w:val="37A91900"/>
    <w:rsid w:val="37D0796E"/>
    <w:rsid w:val="37EE32C1"/>
    <w:rsid w:val="3814146F"/>
    <w:rsid w:val="383E6C98"/>
    <w:rsid w:val="38494CA3"/>
    <w:rsid w:val="384B18C4"/>
    <w:rsid w:val="38500654"/>
    <w:rsid w:val="38997BC6"/>
    <w:rsid w:val="38B74B11"/>
    <w:rsid w:val="38D71713"/>
    <w:rsid w:val="38E239E1"/>
    <w:rsid w:val="391D1B99"/>
    <w:rsid w:val="3922196A"/>
    <w:rsid w:val="39333B77"/>
    <w:rsid w:val="393E47A5"/>
    <w:rsid w:val="39535FC7"/>
    <w:rsid w:val="396F26D5"/>
    <w:rsid w:val="39946B51"/>
    <w:rsid w:val="39A405D1"/>
    <w:rsid w:val="39C8704A"/>
    <w:rsid w:val="39CC6AFF"/>
    <w:rsid w:val="39CF0DA2"/>
    <w:rsid w:val="3A0D6176"/>
    <w:rsid w:val="3A114892"/>
    <w:rsid w:val="3A1741D7"/>
    <w:rsid w:val="3A1F310B"/>
    <w:rsid w:val="3A2760E4"/>
    <w:rsid w:val="3A2A3123"/>
    <w:rsid w:val="3A2F750C"/>
    <w:rsid w:val="3A362498"/>
    <w:rsid w:val="3A683BE2"/>
    <w:rsid w:val="3A6B26F1"/>
    <w:rsid w:val="3A8027DD"/>
    <w:rsid w:val="3A805B11"/>
    <w:rsid w:val="3A810BBB"/>
    <w:rsid w:val="3AA60D05"/>
    <w:rsid w:val="3AA86AE2"/>
    <w:rsid w:val="3AC70A1B"/>
    <w:rsid w:val="3AE44579"/>
    <w:rsid w:val="3AED34FB"/>
    <w:rsid w:val="3AF1337E"/>
    <w:rsid w:val="3B0B71E7"/>
    <w:rsid w:val="3B4F7E76"/>
    <w:rsid w:val="3B5322AF"/>
    <w:rsid w:val="3B590826"/>
    <w:rsid w:val="3B614DA3"/>
    <w:rsid w:val="3B631E57"/>
    <w:rsid w:val="3B7F53CB"/>
    <w:rsid w:val="3B8310F3"/>
    <w:rsid w:val="3B9B39CD"/>
    <w:rsid w:val="3BA614BF"/>
    <w:rsid w:val="3BB93335"/>
    <w:rsid w:val="3BD42E4E"/>
    <w:rsid w:val="3BDB324F"/>
    <w:rsid w:val="3BEB54A3"/>
    <w:rsid w:val="3BFC07A0"/>
    <w:rsid w:val="3C07622C"/>
    <w:rsid w:val="3C1B10AA"/>
    <w:rsid w:val="3C463BC1"/>
    <w:rsid w:val="3C4F6F1A"/>
    <w:rsid w:val="3C501F41"/>
    <w:rsid w:val="3C5D5570"/>
    <w:rsid w:val="3C5F25AF"/>
    <w:rsid w:val="3C7906D5"/>
    <w:rsid w:val="3C964B49"/>
    <w:rsid w:val="3CA3164A"/>
    <w:rsid w:val="3CBF6A63"/>
    <w:rsid w:val="3CC52D38"/>
    <w:rsid w:val="3CD728B6"/>
    <w:rsid w:val="3CDF1CD3"/>
    <w:rsid w:val="3CE16539"/>
    <w:rsid w:val="3CEB74C1"/>
    <w:rsid w:val="3CFE26EE"/>
    <w:rsid w:val="3D3A3646"/>
    <w:rsid w:val="3D3D4FD0"/>
    <w:rsid w:val="3D682C08"/>
    <w:rsid w:val="3DB01C3A"/>
    <w:rsid w:val="3DFE2A9F"/>
    <w:rsid w:val="3E1F46CA"/>
    <w:rsid w:val="3E295A9C"/>
    <w:rsid w:val="3E2D6762"/>
    <w:rsid w:val="3E2E0028"/>
    <w:rsid w:val="3E2F19F2"/>
    <w:rsid w:val="3E39371C"/>
    <w:rsid w:val="3E4F6AEB"/>
    <w:rsid w:val="3E530273"/>
    <w:rsid w:val="3E577F51"/>
    <w:rsid w:val="3E71476B"/>
    <w:rsid w:val="3E787E6D"/>
    <w:rsid w:val="3E8D5526"/>
    <w:rsid w:val="3E9E1F10"/>
    <w:rsid w:val="3EA358E2"/>
    <w:rsid w:val="3EAB2402"/>
    <w:rsid w:val="3EB839AE"/>
    <w:rsid w:val="3ECA5728"/>
    <w:rsid w:val="3EE002FD"/>
    <w:rsid w:val="3EE22A20"/>
    <w:rsid w:val="3EF038F1"/>
    <w:rsid w:val="3EF23B8C"/>
    <w:rsid w:val="3F036BED"/>
    <w:rsid w:val="3F147860"/>
    <w:rsid w:val="3F1E2131"/>
    <w:rsid w:val="3F2004D3"/>
    <w:rsid w:val="3F24318A"/>
    <w:rsid w:val="3F277CDA"/>
    <w:rsid w:val="3F2A77CA"/>
    <w:rsid w:val="3F352DDD"/>
    <w:rsid w:val="3F4C500F"/>
    <w:rsid w:val="3F503942"/>
    <w:rsid w:val="3F6F0A1B"/>
    <w:rsid w:val="3F6F1681"/>
    <w:rsid w:val="3F7559D6"/>
    <w:rsid w:val="3F8244E8"/>
    <w:rsid w:val="3F871CA4"/>
    <w:rsid w:val="3FAD7E35"/>
    <w:rsid w:val="3FB377C0"/>
    <w:rsid w:val="3FD04679"/>
    <w:rsid w:val="3FEE75A0"/>
    <w:rsid w:val="3FFB49A4"/>
    <w:rsid w:val="3FFF5BBF"/>
    <w:rsid w:val="40003751"/>
    <w:rsid w:val="402A6942"/>
    <w:rsid w:val="40435F5E"/>
    <w:rsid w:val="40514CFE"/>
    <w:rsid w:val="406B009A"/>
    <w:rsid w:val="4082449F"/>
    <w:rsid w:val="409F1AF2"/>
    <w:rsid w:val="40B363D3"/>
    <w:rsid w:val="40D246E6"/>
    <w:rsid w:val="40EE3E7E"/>
    <w:rsid w:val="41022C69"/>
    <w:rsid w:val="413E7324"/>
    <w:rsid w:val="4146538F"/>
    <w:rsid w:val="414F70AD"/>
    <w:rsid w:val="415C79E3"/>
    <w:rsid w:val="41702574"/>
    <w:rsid w:val="418F016A"/>
    <w:rsid w:val="41A13D3C"/>
    <w:rsid w:val="41D818CE"/>
    <w:rsid w:val="41DD4D60"/>
    <w:rsid w:val="41E47B7B"/>
    <w:rsid w:val="41F61BE6"/>
    <w:rsid w:val="41FA7928"/>
    <w:rsid w:val="42085CF3"/>
    <w:rsid w:val="420A1D42"/>
    <w:rsid w:val="42215201"/>
    <w:rsid w:val="42500727"/>
    <w:rsid w:val="42561B2D"/>
    <w:rsid w:val="426E3E20"/>
    <w:rsid w:val="428A24E6"/>
    <w:rsid w:val="429856D1"/>
    <w:rsid w:val="42987FF7"/>
    <w:rsid w:val="42BC2E2F"/>
    <w:rsid w:val="42BC3D58"/>
    <w:rsid w:val="42C41CE4"/>
    <w:rsid w:val="42DA1D0D"/>
    <w:rsid w:val="430E3D19"/>
    <w:rsid w:val="433A4C14"/>
    <w:rsid w:val="434E0079"/>
    <w:rsid w:val="436A373C"/>
    <w:rsid w:val="43882D11"/>
    <w:rsid w:val="439A47AD"/>
    <w:rsid w:val="439C056B"/>
    <w:rsid w:val="43A0005B"/>
    <w:rsid w:val="43A41906"/>
    <w:rsid w:val="43CD2999"/>
    <w:rsid w:val="43CE11F8"/>
    <w:rsid w:val="43DC4484"/>
    <w:rsid w:val="43E837B0"/>
    <w:rsid w:val="44182C3B"/>
    <w:rsid w:val="442579C1"/>
    <w:rsid w:val="443D4E61"/>
    <w:rsid w:val="4447006A"/>
    <w:rsid w:val="447C2876"/>
    <w:rsid w:val="44BF09B5"/>
    <w:rsid w:val="44CD7749"/>
    <w:rsid w:val="44D734C4"/>
    <w:rsid w:val="44DE551A"/>
    <w:rsid w:val="45010FCD"/>
    <w:rsid w:val="453270DB"/>
    <w:rsid w:val="453B2421"/>
    <w:rsid w:val="454B3FF6"/>
    <w:rsid w:val="45725A27"/>
    <w:rsid w:val="458C3EF4"/>
    <w:rsid w:val="459C4852"/>
    <w:rsid w:val="45BD0F5F"/>
    <w:rsid w:val="45E15906"/>
    <w:rsid w:val="45F44786"/>
    <w:rsid w:val="46326F64"/>
    <w:rsid w:val="463C09B7"/>
    <w:rsid w:val="46420A17"/>
    <w:rsid w:val="46507129"/>
    <w:rsid w:val="46654707"/>
    <w:rsid w:val="466778DC"/>
    <w:rsid w:val="467152AF"/>
    <w:rsid w:val="467A1037"/>
    <w:rsid w:val="46841F07"/>
    <w:rsid w:val="4688436F"/>
    <w:rsid w:val="468851D7"/>
    <w:rsid w:val="468C7E83"/>
    <w:rsid w:val="46965077"/>
    <w:rsid w:val="46A4138A"/>
    <w:rsid w:val="46C47640"/>
    <w:rsid w:val="46DF6973"/>
    <w:rsid w:val="46E86601"/>
    <w:rsid w:val="46F56910"/>
    <w:rsid w:val="472158A5"/>
    <w:rsid w:val="4723522B"/>
    <w:rsid w:val="47323CE6"/>
    <w:rsid w:val="473465D0"/>
    <w:rsid w:val="474C59F4"/>
    <w:rsid w:val="4770238D"/>
    <w:rsid w:val="47BD035E"/>
    <w:rsid w:val="47C6205A"/>
    <w:rsid w:val="480768FB"/>
    <w:rsid w:val="48077826"/>
    <w:rsid w:val="4812704D"/>
    <w:rsid w:val="481D430D"/>
    <w:rsid w:val="481D44F1"/>
    <w:rsid w:val="483D1893"/>
    <w:rsid w:val="485A123B"/>
    <w:rsid w:val="486A0C38"/>
    <w:rsid w:val="48754B55"/>
    <w:rsid w:val="487B1097"/>
    <w:rsid w:val="48A57518"/>
    <w:rsid w:val="48AD6B31"/>
    <w:rsid w:val="48BD31A2"/>
    <w:rsid w:val="48D20286"/>
    <w:rsid w:val="48DC265F"/>
    <w:rsid w:val="490318F6"/>
    <w:rsid w:val="49064E04"/>
    <w:rsid w:val="49065575"/>
    <w:rsid w:val="490779EF"/>
    <w:rsid w:val="49163F98"/>
    <w:rsid w:val="492F3277"/>
    <w:rsid w:val="49372552"/>
    <w:rsid w:val="495379F5"/>
    <w:rsid w:val="495A08D2"/>
    <w:rsid w:val="49996716"/>
    <w:rsid w:val="49B54134"/>
    <w:rsid w:val="49D72799"/>
    <w:rsid w:val="4A1F71D6"/>
    <w:rsid w:val="4A207C29"/>
    <w:rsid w:val="4A3634C7"/>
    <w:rsid w:val="4A480FB3"/>
    <w:rsid w:val="4A4E1203"/>
    <w:rsid w:val="4A5D5D84"/>
    <w:rsid w:val="4A712751"/>
    <w:rsid w:val="4A725C54"/>
    <w:rsid w:val="4A7C6F23"/>
    <w:rsid w:val="4AA8171D"/>
    <w:rsid w:val="4AC30AA9"/>
    <w:rsid w:val="4AC453FB"/>
    <w:rsid w:val="4AD714F4"/>
    <w:rsid w:val="4AD94818"/>
    <w:rsid w:val="4ADE364D"/>
    <w:rsid w:val="4AE64EED"/>
    <w:rsid w:val="4AEE06A7"/>
    <w:rsid w:val="4B1732F9"/>
    <w:rsid w:val="4B2F192E"/>
    <w:rsid w:val="4B364751"/>
    <w:rsid w:val="4B3B78E8"/>
    <w:rsid w:val="4B524331"/>
    <w:rsid w:val="4B5F09D9"/>
    <w:rsid w:val="4B723F05"/>
    <w:rsid w:val="4B991F60"/>
    <w:rsid w:val="4BA25610"/>
    <w:rsid w:val="4BB2037E"/>
    <w:rsid w:val="4BC92119"/>
    <w:rsid w:val="4BF1575B"/>
    <w:rsid w:val="4BF94693"/>
    <w:rsid w:val="4C130973"/>
    <w:rsid w:val="4C15710C"/>
    <w:rsid w:val="4C226976"/>
    <w:rsid w:val="4C31567B"/>
    <w:rsid w:val="4C360AA9"/>
    <w:rsid w:val="4C3C0B3D"/>
    <w:rsid w:val="4C481290"/>
    <w:rsid w:val="4C5C2F8D"/>
    <w:rsid w:val="4C60222C"/>
    <w:rsid w:val="4C6A5861"/>
    <w:rsid w:val="4C6B4F7E"/>
    <w:rsid w:val="4C9C022C"/>
    <w:rsid w:val="4CDA034E"/>
    <w:rsid w:val="4CE9608D"/>
    <w:rsid w:val="4CF17FCE"/>
    <w:rsid w:val="4D122BF3"/>
    <w:rsid w:val="4D2C26A6"/>
    <w:rsid w:val="4D5D2548"/>
    <w:rsid w:val="4D66714E"/>
    <w:rsid w:val="4D69341E"/>
    <w:rsid w:val="4D764DF5"/>
    <w:rsid w:val="4D812CAB"/>
    <w:rsid w:val="4D823F55"/>
    <w:rsid w:val="4D826A23"/>
    <w:rsid w:val="4D8B1D7C"/>
    <w:rsid w:val="4D9F75D5"/>
    <w:rsid w:val="4DA478AD"/>
    <w:rsid w:val="4DC42C88"/>
    <w:rsid w:val="4DEA6F9D"/>
    <w:rsid w:val="4DF214C3"/>
    <w:rsid w:val="4DF73844"/>
    <w:rsid w:val="4DFC7B4E"/>
    <w:rsid w:val="4E102281"/>
    <w:rsid w:val="4E14178A"/>
    <w:rsid w:val="4E233E1E"/>
    <w:rsid w:val="4E3F1528"/>
    <w:rsid w:val="4E4B26D3"/>
    <w:rsid w:val="4E686988"/>
    <w:rsid w:val="4E8A7EF1"/>
    <w:rsid w:val="4E985A3F"/>
    <w:rsid w:val="4E9E3248"/>
    <w:rsid w:val="4EA01857"/>
    <w:rsid w:val="4EA20D07"/>
    <w:rsid w:val="4EA85D29"/>
    <w:rsid w:val="4EB22B79"/>
    <w:rsid w:val="4ED60DD5"/>
    <w:rsid w:val="4EDC2256"/>
    <w:rsid w:val="4F1049A3"/>
    <w:rsid w:val="4F1F6913"/>
    <w:rsid w:val="4F3068D0"/>
    <w:rsid w:val="4F423649"/>
    <w:rsid w:val="4F555807"/>
    <w:rsid w:val="4F560168"/>
    <w:rsid w:val="4F5A491C"/>
    <w:rsid w:val="4F721B3E"/>
    <w:rsid w:val="4F7E5458"/>
    <w:rsid w:val="4F7E691C"/>
    <w:rsid w:val="4F936BFA"/>
    <w:rsid w:val="4FAD5FDA"/>
    <w:rsid w:val="4FFA4F97"/>
    <w:rsid w:val="50011412"/>
    <w:rsid w:val="50055E16"/>
    <w:rsid w:val="503E4824"/>
    <w:rsid w:val="50431FAF"/>
    <w:rsid w:val="5043249A"/>
    <w:rsid w:val="50454F41"/>
    <w:rsid w:val="505267D9"/>
    <w:rsid w:val="50672F54"/>
    <w:rsid w:val="506A61D9"/>
    <w:rsid w:val="506F7733"/>
    <w:rsid w:val="508266E2"/>
    <w:rsid w:val="50881A33"/>
    <w:rsid w:val="508915C5"/>
    <w:rsid w:val="50940F47"/>
    <w:rsid w:val="50987945"/>
    <w:rsid w:val="50A74526"/>
    <w:rsid w:val="50AA2519"/>
    <w:rsid w:val="50BA039F"/>
    <w:rsid w:val="50BB6011"/>
    <w:rsid w:val="50D92DFE"/>
    <w:rsid w:val="50DB42B0"/>
    <w:rsid w:val="510F0B56"/>
    <w:rsid w:val="51293641"/>
    <w:rsid w:val="515E50B1"/>
    <w:rsid w:val="515F5A90"/>
    <w:rsid w:val="51760011"/>
    <w:rsid w:val="51992BBE"/>
    <w:rsid w:val="5199536B"/>
    <w:rsid w:val="51A00814"/>
    <w:rsid w:val="51B3212C"/>
    <w:rsid w:val="51C972C4"/>
    <w:rsid w:val="51E312FA"/>
    <w:rsid w:val="51FF0643"/>
    <w:rsid w:val="5259004F"/>
    <w:rsid w:val="525B1B56"/>
    <w:rsid w:val="526C2699"/>
    <w:rsid w:val="527A416D"/>
    <w:rsid w:val="52873B67"/>
    <w:rsid w:val="5297279D"/>
    <w:rsid w:val="52B64F3A"/>
    <w:rsid w:val="52C75604"/>
    <w:rsid w:val="52DA3D53"/>
    <w:rsid w:val="53020756"/>
    <w:rsid w:val="5307019F"/>
    <w:rsid w:val="53254906"/>
    <w:rsid w:val="533A1C91"/>
    <w:rsid w:val="533A4B08"/>
    <w:rsid w:val="533C1422"/>
    <w:rsid w:val="534851C2"/>
    <w:rsid w:val="535B41FC"/>
    <w:rsid w:val="53976CDE"/>
    <w:rsid w:val="53A63401"/>
    <w:rsid w:val="53B447E3"/>
    <w:rsid w:val="53BB4A3D"/>
    <w:rsid w:val="53D9297D"/>
    <w:rsid w:val="53FA4B30"/>
    <w:rsid w:val="53FF4E30"/>
    <w:rsid w:val="54060DDF"/>
    <w:rsid w:val="5408251D"/>
    <w:rsid w:val="540C5299"/>
    <w:rsid w:val="54135C95"/>
    <w:rsid w:val="542424AB"/>
    <w:rsid w:val="54363B76"/>
    <w:rsid w:val="54414288"/>
    <w:rsid w:val="54706DDA"/>
    <w:rsid w:val="547F468A"/>
    <w:rsid w:val="54943DF3"/>
    <w:rsid w:val="54AC068E"/>
    <w:rsid w:val="54B00065"/>
    <w:rsid w:val="54D577A2"/>
    <w:rsid w:val="54DE65EB"/>
    <w:rsid w:val="54E01871"/>
    <w:rsid w:val="550D0483"/>
    <w:rsid w:val="553C5E9D"/>
    <w:rsid w:val="558B3C9A"/>
    <w:rsid w:val="55A175A6"/>
    <w:rsid w:val="55C01874"/>
    <w:rsid w:val="55E16B3B"/>
    <w:rsid w:val="55E62245"/>
    <w:rsid w:val="55EB50CC"/>
    <w:rsid w:val="55EC6EE7"/>
    <w:rsid w:val="56197654"/>
    <w:rsid w:val="56257F65"/>
    <w:rsid w:val="563F5EAA"/>
    <w:rsid w:val="56410EA1"/>
    <w:rsid w:val="565D2237"/>
    <w:rsid w:val="5682113A"/>
    <w:rsid w:val="569B5E10"/>
    <w:rsid w:val="56B13FD8"/>
    <w:rsid w:val="56B17EE9"/>
    <w:rsid w:val="56D41A26"/>
    <w:rsid w:val="570235A6"/>
    <w:rsid w:val="570E0081"/>
    <w:rsid w:val="5749487F"/>
    <w:rsid w:val="574A05B2"/>
    <w:rsid w:val="575B52E7"/>
    <w:rsid w:val="575F7626"/>
    <w:rsid w:val="577B3D89"/>
    <w:rsid w:val="577F7419"/>
    <w:rsid w:val="579E565A"/>
    <w:rsid w:val="57A63600"/>
    <w:rsid w:val="57AB043F"/>
    <w:rsid w:val="57AB7EC1"/>
    <w:rsid w:val="57CA16F3"/>
    <w:rsid w:val="57DE4DEC"/>
    <w:rsid w:val="57E722A5"/>
    <w:rsid w:val="57F561BE"/>
    <w:rsid w:val="580D7A60"/>
    <w:rsid w:val="580E2F14"/>
    <w:rsid w:val="5812683D"/>
    <w:rsid w:val="58260A99"/>
    <w:rsid w:val="5836173F"/>
    <w:rsid w:val="584E2326"/>
    <w:rsid w:val="58544F00"/>
    <w:rsid w:val="586C6A02"/>
    <w:rsid w:val="586F2F25"/>
    <w:rsid w:val="58E446C9"/>
    <w:rsid w:val="58E4675B"/>
    <w:rsid w:val="58FE045E"/>
    <w:rsid w:val="590420DE"/>
    <w:rsid w:val="590649AC"/>
    <w:rsid w:val="59097FF9"/>
    <w:rsid w:val="5917585E"/>
    <w:rsid w:val="59444183"/>
    <w:rsid w:val="5963595B"/>
    <w:rsid w:val="596A00DC"/>
    <w:rsid w:val="59842C4A"/>
    <w:rsid w:val="59925959"/>
    <w:rsid w:val="59A1611D"/>
    <w:rsid w:val="59A214D7"/>
    <w:rsid w:val="59B419C2"/>
    <w:rsid w:val="59CE54CA"/>
    <w:rsid w:val="59D708D6"/>
    <w:rsid w:val="59E44536"/>
    <w:rsid w:val="5A112694"/>
    <w:rsid w:val="5A1F61F2"/>
    <w:rsid w:val="5A2D3C46"/>
    <w:rsid w:val="5A421A14"/>
    <w:rsid w:val="5A4A08C9"/>
    <w:rsid w:val="5A5B2A91"/>
    <w:rsid w:val="5A67140D"/>
    <w:rsid w:val="5AA24261"/>
    <w:rsid w:val="5ADC30C6"/>
    <w:rsid w:val="5B095BCC"/>
    <w:rsid w:val="5B2D6AF3"/>
    <w:rsid w:val="5B2F1FC3"/>
    <w:rsid w:val="5B524DA3"/>
    <w:rsid w:val="5B6F4E81"/>
    <w:rsid w:val="5BC47447"/>
    <w:rsid w:val="5BDD7D75"/>
    <w:rsid w:val="5BE00642"/>
    <w:rsid w:val="5BE70178"/>
    <w:rsid w:val="5C134609"/>
    <w:rsid w:val="5C1473E0"/>
    <w:rsid w:val="5C1A2979"/>
    <w:rsid w:val="5C270EC2"/>
    <w:rsid w:val="5C443177"/>
    <w:rsid w:val="5C571D4E"/>
    <w:rsid w:val="5C6514C0"/>
    <w:rsid w:val="5C892D0B"/>
    <w:rsid w:val="5CCA2F37"/>
    <w:rsid w:val="5D0524DF"/>
    <w:rsid w:val="5D056AF2"/>
    <w:rsid w:val="5D380EAD"/>
    <w:rsid w:val="5D4E3D26"/>
    <w:rsid w:val="5D5201C0"/>
    <w:rsid w:val="5D524915"/>
    <w:rsid w:val="5D8167CC"/>
    <w:rsid w:val="5D9028F2"/>
    <w:rsid w:val="5D925B0D"/>
    <w:rsid w:val="5DBA17D4"/>
    <w:rsid w:val="5E14515D"/>
    <w:rsid w:val="5E2D4D0E"/>
    <w:rsid w:val="5E357F45"/>
    <w:rsid w:val="5E59518E"/>
    <w:rsid w:val="5E5A0938"/>
    <w:rsid w:val="5E735A90"/>
    <w:rsid w:val="5E7C4CEA"/>
    <w:rsid w:val="5E8336C9"/>
    <w:rsid w:val="5E8670BD"/>
    <w:rsid w:val="5E91682F"/>
    <w:rsid w:val="5E9F6493"/>
    <w:rsid w:val="5EA50BC4"/>
    <w:rsid w:val="5EA93E10"/>
    <w:rsid w:val="5EBC2342"/>
    <w:rsid w:val="5EC16208"/>
    <w:rsid w:val="5EDA7D59"/>
    <w:rsid w:val="5F000AC8"/>
    <w:rsid w:val="5F1F545B"/>
    <w:rsid w:val="5F293A1B"/>
    <w:rsid w:val="5F3656C4"/>
    <w:rsid w:val="5F3913F3"/>
    <w:rsid w:val="5F6E6884"/>
    <w:rsid w:val="5F8B62BE"/>
    <w:rsid w:val="5FA42829"/>
    <w:rsid w:val="5FB255DF"/>
    <w:rsid w:val="5FCE4022"/>
    <w:rsid w:val="5FE94ADE"/>
    <w:rsid w:val="5FF26ACB"/>
    <w:rsid w:val="5FF7215C"/>
    <w:rsid w:val="5FF76DFD"/>
    <w:rsid w:val="60392E2E"/>
    <w:rsid w:val="606466DA"/>
    <w:rsid w:val="60685D35"/>
    <w:rsid w:val="60A07495"/>
    <w:rsid w:val="60C94B26"/>
    <w:rsid w:val="61076BE5"/>
    <w:rsid w:val="610D0C72"/>
    <w:rsid w:val="61132FB0"/>
    <w:rsid w:val="612956DC"/>
    <w:rsid w:val="6152014D"/>
    <w:rsid w:val="616462AF"/>
    <w:rsid w:val="61656B6E"/>
    <w:rsid w:val="616C6292"/>
    <w:rsid w:val="618A11EB"/>
    <w:rsid w:val="619D5782"/>
    <w:rsid w:val="61A00F51"/>
    <w:rsid w:val="61C15CCB"/>
    <w:rsid w:val="61F62C86"/>
    <w:rsid w:val="61F65C1C"/>
    <w:rsid w:val="620A0372"/>
    <w:rsid w:val="621576B3"/>
    <w:rsid w:val="621F70BE"/>
    <w:rsid w:val="622F0BA6"/>
    <w:rsid w:val="624327CD"/>
    <w:rsid w:val="62500A46"/>
    <w:rsid w:val="6269361E"/>
    <w:rsid w:val="62844A6E"/>
    <w:rsid w:val="629C5FF1"/>
    <w:rsid w:val="62C40C4A"/>
    <w:rsid w:val="630B31A9"/>
    <w:rsid w:val="633640E0"/>
    <w:rsid w:val="63631026"/>
    <w:rsid w:val="637D721E"/>
    <w:rsid w:val="63864720"/>
    <w:rsid w:val="63C43F9D"/>
    <w:rsid w:val="63C84487"/>
    <w:rsid w:val="63D06AB5"/>
    <w:rsid w:val="63F50717"/>
    <w:rsid w:val="642B52C7"/>
    <w:rsid w:val="64370BC6"/>
    <w:rsid w:val="643A05FA"/>
    <w:rsid w:val="644A561F"/>
    <w:rsid w:val="645C3FA4"/>
    <w:rsid w:val="64731F81"/>
    <w:rsid w:val="647B13BB"/>
    <w:rsid w:val="64812DEB"/>
    <w:rsid w:val="64835BC0"/>
    <w:rsid w:val="64990EF3"/>
    <w:rsid w:val="64BB664B"/>
    <w:rsid w:val="64C07645"/>
    <w:rsid w:val="64CA68EA"/>
    <w:rsid w:val="64D157D9"/>
    <w:rsid w:val="64D4595F"/>
    <w:rsid w:val="64E81CE8"/>
    <w:rsid w:val="64F33C21"/>
    <w:rsid w:val="65261AD9"/>
    <w:rsid w:val="65353A93"/>
    <w:rsid w:val="653B0AC8"/>
    <w:rsid w:val="6546685C"/>
    <w:rsid w:val="655C618A"/>
    <w:rsid w:val="657F3B1C"/>
    <w:rsid w:val="658516B3"/>
    <w:rsid w:val="65943783"/>
    <w:rsid w:val="659C34FD"/>
    <w:rsid w:val="65B95486"/>
    <w:rsid w:val="65B9767B"/>
    <w:rsid w:val="65CB5859"/>
    <w:rsid w:val="65DB2FC5"/>
    <w:rsid w:val="65EF593A"/>
    <w:rsid w:val="65F63CF3"/>
    <w:rsid w:val="65FE0EE5"/>
    <w:rsid w:val="66195D1F"/>
    <w:rsid w:val="66273120"/>
    <w:rsid w:val="662746FD"/>
    <w:rsid w:val="667C005C"/>
    <w:rsid w:val="669C06FE"/>
    <w:rsid w:val="66AA66AF"/>
    <w:rsid w:val="66C227CA"/>
    <w:rsid w:val="66DC45F8"/>
    <w:rsid w:val="670238C5"/>
    <w:rsid w:val="672F0BE3"/>
    <w:rsid w:val="67332F1E"/>
    <w:rsid w:val="6769310D"/>
    <w:rsid w:val="678A373C"/>
    <w:rsid w:val="678D4508"/>
    <w:rsid w:val="679D64DC"/>
    <w:rsid w:val="67C57AA3"/>
    <w:rsid w:val="67DA0714"/>
    <w:rsid w:val="67E64082"/>
    <w:rsid w:val="681668C6"/>
    <w:rsid w:val="68175259"/>
    <w:rsid w:val="68210EBB"/>
    <w:rsid w:val="682E00B6"/>
    <w:rsid w:val="682F47C8"/>
    <w:rsid w:val="685E13B0"/>
    <w:rsid w:val="68655499"/>
    <w:rsid w:val="687D0688"/>
    <w:rsid w:val="688431F8"/>
    <w:rsid w:val="68993147"/>
    <w:rsid w:val="68BB3F7B"/>
    <w:rsid w:val="68C80D9B"/>
    <w:rsid w:val="68D02BEC"/>
    <w:rsid w:val="68E35372"/>
    <w:rsid w:val="68EE3DB7"/>
    <w:rsid w:val="68F243AF"/>
    <w:rsid w:val="68F640F6"/>
    <w:rsid w:val="690E575F"/>
    <w:rsid w:val="692313ED"/>
    <w:rsid w:val="692D59A5"/>
    <w:rsid w:val="693410C2"/>
    <w:rsid w:val="69416EAD"/>
    <w:rsid w:val="69422F6B"/>
    <w:rsid w:val="69574104"/>
    <w:rsid w:val="69691679"/>
    <w:rsid w:val="696B1E57"/>
    <w:rsid w:val="697B65DC"/>
    <w:rsid w:val="69927455"/>
    <w:rsid w:val="69A70735"/>
    <w:rsid w:val="69E372D7"/>
    <w:rsid w:val="69EF1C44"/>
    <w:rsid w:val="6A044C58"/>
    <w:rsid w:val="6A0E7AF1"/>
    <w:rsid w:val="6A127BEA"/>
    <w:rsid w:val="6A260536"/>
    <w:rsid w:val="6A2C6A3C"/>
    <w:rsid w:val="6A2D0FC8"/>
    <w:rsid w:val="6A366774"/>
    <w:rsid w:val="6A3B368F"/>
    <w:rsid w:val="6A5E57EF"/>
    <w:rsid w:val="6A652756"/>
    <w:rsid w:val="6A707ED8"/>
    <w:rsid w:val="6A7177BA"/>
    <w:rsid w:val="6A7B0302"/>
    <w:rsid w:val="6AA54025"/>
    <w:rsid w:val="6AA77936"/>
    <w:rsid w:val="6AEF34F2"/>
    <w:rsid w:val="6B126770"/>
    <w:rsid w:val="6B5862AA"/>
    <w:rsid w:val="6B685053"/>
    <w:rsid w:val="6B7208C9"/>
    <w:rsid w:val="6B9B2172"/>
    <w:rsid w:val="6BB27FAE"/>
    <w:rsid w:val="6BC24763"/>
    <w:rsid w:val="6C142268"/>
    <w:rsid w:val="6C66039E"/>
    <w:rsid w:val="6C6C1EB2"/>
    <w:rsid w:val="6C8E2897"/>
    <w:rsid w:val="6C977AFE"/>
    <w:rsid w:val="6C9C440C"/>
    <w:rsid w:val="6CA75BF7"/>
    <w:rsid w:val="6CAA2B0F"/>
    <w:rsid w:val="6CDB39FC"/>
    <w:rsid w:val="6CE66B6E"/>
    <w:rsid w:val="6CEA2D2E"/>
    <w:rsid w:val="6D01279B"/>
    <w:rsid w:val="6D580CDC"/>
    <w:rsid w:val="6D77157D"/>
    <w:rsid w:val="6D7D473B"/>
    <w:rsid w:val="6D841E4C"/>
    <w:rsid w:val="6D853C9A"/>
    <w:rsid w:val="6D9D19A6"/>
    <w:rsid w:val="6D9F603E"/>
    <w:rsid w:val="6DA274AF"/>
    <w:rsid w:val="6DBC5A46"/>
    <w:rsid w:val="6DD97F2E"/>
    <w:rsid w:val="6DE9247B"/>
    <w:rsid w:val="6DF71E80"/>
    <w:rsid w:val="6E071C62"/>
    <w:rsid w:val="6E1D2977"/>
    <w:rsid w:val="6E1E5318"/>
    <w:rsid w:val="6E283010"/>
    <w:rsid w:val="6E421B8B"/>
    <w:rsid w:val="6E5E27AB"/>
    <w:rsid w:val="6E612994"/>
    <w:rsid w:val="6E6645E0"/>
    <w:rsid w:val="6E6803C8"/>
    <w:rsid w:val="6E89748D"/>
    <w:rsid w:val="6EBC5602"/>
    <w:rsid w:val="6EBC6FBF"/>
    <w:rsid w:val="6ED20A73"/>
    <w:rsid w:val="6EE029C6"/>
    <w:rsid w:val="6F012FA0"/>
    <w:rsid w:val="6F0D6517"/>
    <w:rsid w:val="6F101C89"/>
    <w:rsid w:val="6F174B38"/>
    <w:rsid w:val="6F295110"/>
    <w:rsid w:val="6F2F7149"/>
    <w:rsid w:val="6F397330"/>
    <w:rsid w:val="6F437BA9"/>
    <w:rsid w:val="6F524050"/>
    <w:rsid w:val="6F5C1230"/>
    <w:rsid w:val="6F8C1F27"/>
    <w:rsid w:val="6FDF7E06"/>
    <w:rsid w:val="6FF5141A"/>
    <w:rsid w:val="6FFE46CD"/>
    <w:rsid w:val="70141305"/>
    <w:rsid w:val="701E2077"/>
    <w:rsid w:val="70202F08"/>
    <w:rsid w:val="7020358A"/>
    <w:rsid w:val="702D56CE"/>
    <w:rsid w:val="704E6E9A"/>
    <w:rsid w:val="704F55F3"/>
    <w:rsid w:val="7070716A"/>
    <w:rsid w:val="7082711C"/>
    <w:rsid w:val="70A03792"/>
    <w:rsid w:val="70C139D4"/>
    <w:rsid w:val="70D07DE0"/>
    <w:rsid w:val="70DA68F8"/>
    <w:rsid w:val="70DF074B"/>
    <w:rsid w:val="70E17439"/>
    <w:rsid w:val="70F25AEA"/>
    <w:rsid w:val="710728D6"/>
    <w:rsid w:val="71097952"/>
    <w:rsid w:val="712E63F7"/>
    <w:rsid w:val="71306BAA"/>
    <w:rsid w:val="71594D33"/>
    <w:rsid w:val="715E162F"/>
    <w:rsid w:val="71770F3C"/>
    <w:rsid w:val="718C5009"/>
    <w:rsid w:val="71AC01E3"/>
    <w:rsid w:val="71AF6A35"/>
    <w:rsid w:val="71B65312"/>
    <w:rsid w:val="71B92164"/>
    <w:rsid w:val="71C1345D"/>
    <w:rsid w:val="71DF0B2D"/>
    <w:rsid w:val="721970A7"/>
    <w:rsid w:val="723F7CBD"/>
    <w:rsid w:val="72423D3C"/>
    <w:rsid w:val="72480BA0"/>
    <w:rsid w:val="725138C5"/>
    <w:rsid w:val="72541131"/>
    <w:rsid w:val="72620926"/>
    <w:rsid w:val="72655822"/>
    <w:rsid w:val="726E7E8E"/>
    <w:rsid w:val="72C54B39"/>
    <w:rsid w:val="72D33542"/>
    <w:rsid w:val="72EB2491"/>
    <w:rsid w:val="72F86293"/>
    <w:rsid w:val="731B45A4"/>
    <w:rsid w:val="73216B6B"/>
    <w:rsid w:val="73223D39"/>
    <w:rsid w:val="73301622"/>
    <w:rsid w:val="733C129F"/>
    <w:rsid w:val="733D31FE"/>
    <w:rsid w:val="73506BDD"/>
    <w:rsid w:val="73510C58"/>
    <w:rsid w:val="7354438F"/>
    <w:rsid w:val="736A172E"/>
    <w:rsid w:val="737F2F3A"/>
    <w:rsid w:val="73834F73"/>
    <w:rsid w:val="73AF6C96"/>
    <w:rsid w:val="73C161F4"/>
    <w:rsid w:val="73C33969"/>
    <w:rsid w:val="73C878FB"/>
    <w:rsid w:val="73ED214C"/>
    <w:rsid w:val="73F531FC"/>
    <w:rsid w:val="740305F1"/>
    <w:rsid w:val="741661E7"/>
    <w:rsid w:val="741950ED"/>
    <w:rsid w:val="74252D9B"/>
    <w:rsid w:val="742553A1"/>
    <w:rsid w:val="743957DE"/>
    <w:rsid w:val="74470E83"/>
    <w:rsid w:val="7483523C"/>
    <w:rsid w:val="748B3D8C"/>
    <w:rsid w:val="74926B16"/>
    <w:rsid w:val="74B36BD4"/>
    <w:rsid w:val="74BB5821"/>
    <w:rsid w:val="74C66D2B"/>
    <w:rsid w:val="74CD5148"/>
    <w:rsid w:val="74D23A3D"/>
    <w:rsid w:val="74D76839"/>
    <w:rsid w:val="74E90984"/>
    <w:rsid w:val="74F87447"/>
    <w:rsid w:val="74FD6C40"/>
    <w:rsid w:val="7502373A"/>
    <w:rsid w:val="750A647B"/>
    <w:rsid w:val="75376EE8"/>
    <w:rsid w:val="75513A71"/>
    <w:rsid w:val="7572331F"/>
    <w:rsid w:val="757704DF"/>
    <w:rsid w:val="757C256B"/>
    <w:rsid w:val="757E5938"/>
    <w:rsid w:val="759311F7"/>
    <w:rsid w:val="759A1F6E"/>
    <w:rsid w:val="759B68E5"/>
    <w:rsid w:val="75A4312B"/>
    <w:rsid w:val="75AD36EC"/>
    <w:rsid w:val="75B56346"/>
    <w:rsid w:val="75B61AC7"/>
    <w:rsid w:val="75BA7197"/>
    <w:rsid w:val="75D93360"/>
    <w:rsid w:val="76077540"/>
    <w:rsid w:val="761426A7"/>
    <w:rsid w:val="761F2641"/>
    <w:rsid w:val="76211766"/>
    <w:rsid w:val="76335855"/>
    <w:rsid w:val="76417535"/>
    <w:rsid w:val="765777EF"/>
    <w:rsid w:val="765B7F10"/>
    <w:rsid w:val="766C4DAD"/>
    <w:rsid w:val="767939DD"/>
    <w:rsid w:val="76A60207"/>
    <w:rsid w:val="76B16AD4"/>
    <w:rsid w:val="76B61368"/>
    <w:rsid w:val="76C84501"/>
    <w:rsid w:val="76DC5A16"/>
    <w:rsid w:val="76FA290F"/>
    <w:rsid w:val="77072E6C"/>
    <w:rsid w:val="772321C6"/>
    <w:rsid w:val="775725EB"/>
    <w:rsid w:val="77616BE9"/>
    <w:rsid w:val="776D2980"/>
    <w:rsid w:val="77973F1E"/>
    <w:rsid w:val="77BA7B83"/>
    <w:rsid w:val="77C84A1B"/>
    <w:rsid w:val="77D52550"/>
    <w:rsid w:val="78422AC1"/>
    <w:rsid w:val="78803AD2"/>
    <w:rsid w:val="78A95890"/>
    <w:rsid w:val="78B93018"/>
    <w:rsid w:val="78C86D74"/>
    <w:rsid w:val="78CA3249"/>
    <w:rsid w:val="78CF4397"/>
    <w:rsid w:val="78DC41DA"/>
    <w:rsid w:val="78E20EF9"/>
    <w:rsid w:val="78E93ADE"/>
    <w:rsid w:val="78EF1A00"/>
    <w:rsid w:val="79065AB5"/>
    <w:rsid w:val="79132AA2"/>
    <w:rsid w:val="79416086"/>
    <w:rsid w:val="794644CA"/>
    <w:rsid w:val="794B223C"/>
    <w:rsid w:val="79546F23"/>
    <w:rsid w:val="796F63ED"/>
    <w:rsid w:val="79733540"/>
    <w:rsid w:val="799534B7"/>
    <w:rsid w:val="79A11E5C"/>
    <w:rsid w:val="79A15D2D"/>
    <w:rsid w:val="79AE0B68"/>
    <w:rsid w:val="79B71F8B"/>
    <w:rsid w:val="79B80F53"/>
    <w:rsid w:val="79C35C3C"/>
    <w:rsid w:val="79CB5891"/>
    <w:rsid w:val="79CB60C5"/>
    <w:rsid w:val="79D42231"/>
    <w:rsid w:val="79EF0E13"/>
    <w:rsid w:val="7A1A0FA6"/>
    <w:rsid w:val="7A36248D"/>
    <w:rsid w:val="7A385D2E"/>
    <w:rsid w:val="7A4B766C"/>
    <w:rsid w:val="7A54151E"/>
    <w:rsid w:val="7A6E44E8"/>
    <w:rsid w:val="7A7F6A1E"/>
    <w:rsid w:val="7A9967AE"/>
    <w:rsid w:val="7AA1145D"/>
    <w:rsid w:val="7AAB0E6A"/>
    <w:rsid w:val="7AAE6DEF"/>
    <w:rsid w:val="7AB731D7"/>
    <w:rsid w:val="7ABF7E05"/>
    <w:rsid w:val="7AC20D73"/>
    <w:rsid w:val="7AC676A0"/>
    <w:rsid w:val="7ADE38A2"/>
    <w:rsid w:val="7AE25E5C"/>
    <w:rsid w:val="7AE76E04"/>
    <w:rsid w:val="7AF5711F"/>
    <w:rsid w:val="7AFE1A23"/>
    <w:rsid w:val="7B4707E1"/>
    <w:rsid w:val="7B5178B1"/>
    <w:rsid w:val="7B9A7B7B"/>
    <w:rsid w:val="7B9D6653"/>
    <w:rsid w:val="7BA93EBE"/>
    <w:rsid w:val="7BB8151E"/>
    <w:rsid w:val="7BB938A7"/>
    <w:rsid w:val="7BEE611A"/>
    <w:rsid w:val="7C1A41E0"/>
    <w:rsid w:val="7C3511B2"/>
    <w:rsid w:val="7C4B2553"/>
    <w:rsid w:val="7C4D30F8"/>
    <w:rsid w:val="7C7346FC"/>
    <w:rsid w:val="7C82580A"/>
    <w:rsid w:val="7C847936"/>
    <w:rsid w:val="7CA42566"/>
    <w:rsid w:val="7CA7686B"/>
    <w:rsid w:val="7CAE04A4"/>
    <w:rsid w:val="7CB5297B"/>
    <w:rsid w:val="7CE840C9"/>
    <w:rsid w:val="7CFA3A06"/>
    <w:rsid w:val="7CFE0911"/>
    <w:rsid w:val="7D065993"/>
    <w:rsid w:val="7D165246"/>
    <w:rsid w:val="7D5D42EC"/>
    <w:rsid w:val="7D6A6A08"/>
    <w:rsid w:val="7D7D3C6D"/>
    <w:rsid w:val="7D964FCD"/>
    <w:rsid w:val="7D9D5371"/>
    <w:rsid w:val="7DA34687"/>
    <w:rsid w:val="7DAE0FEB"/>
    <w:rsid w:val="7DB348AE"/>
    <w:rsid w:val="7DBC3708"/>
    <w:rsid w:val="7DDF3D24"/>
    <w:rsid w:val="7E153A97"/>
    <w:rsid w:val="7E257192"/>
    <w:rsid w:val="7E46208E"/>
    <w:rsid w:val="7E6F78B7"/>
    <w:rsid w:val="7E7A59E2"/>
    <w:rsid w:val="7E864025"/>
    <w:rsid w:val="7EA43E8A"/>
    <w:rsid w:val="7F2735CE"/>
    <w:rsid w:val="7F421F36"/>
    <w:rsid w:val="7F613E48"/>
    <w:rsid w:val="7F6141AF"/>
    <w:rsid w:val="7F6652DD"/>
    <w:rsid w:val="7F6E6D71"/>
    <w:rsid w:val="7F806F96"/>
    <w:rsid w:val="7F83434C"/>
    <w:rsid w:val="7F9A154B"/>
    <w:rsid w:val="7F9B1DF3"/>
    <w:rsid w:val="7FBE4DEA"/>
    <w:rsid w:val="7FC25D4D"/>
    <w:rsid w:val="7FCB7EEE"/>
    <w:rsid w:val="7FD10B7C"/>
    <w:rsid w:val="7FD350D8"/>
    <w:rsid w:val="7FE41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qFormat="1" w:uiPriority="99"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iPriority="0" w:semiHidden="0" w:name="Body Text Indent 3"/>
    <w:lsdException w:uiPriority="0" w:name="Block Text"/>
    <w:lsdException w:qFormat="1" w:uiPriority="0" w:name="Hyperlink"/>
    <w:lsdException w:qFormat="1" w:uiPriority="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黑体"/>
      <w:kern w:val="2"/>
      <w:sz w:val="21"/>
      <w:szCs w:val="22"/>
      <w:lang w:val="en-US" w:eastAsia="zh-CN" w:bidi="ar-SA"/>
    </w:rPr>
  </w:style>
  <w:style w:type="paragraph" w:styleId="4">
    <w:name w:val="heading 1"/>
    <w:basedOn w:val="1"/>
    <w:next w:val="1"/>
    <w:qFormat/>
    <w:uiPriority w:val="0"/>
    <w:pPr>
      <w:keepNext/>
      <w:keepLines/>
      <w:spacing w:line="360" w:lineRule="auto"/>
      <w:outlineLvl w:val="0"/>
    </w:pPr>
    <w:rPr>
      <w:b/>
      <w:kern w:val="44"/>
      <w:sz w:val="28"/>
    </w:rPr>
  </w:style>
  <w:style w:type="paragraph" w:styleId="5">
    <w:name w:val="heading 2"/>
    <w:basedOn w:val="1"/>
    <w:next w:val="1"/>
    <w:semiHidden/>
    <w:unhideWhenUsed/>
    <w:qFormat/>
    <w:uiPriority w:val="0"/>
    <w:pPr>
      <w:keepNext/>
      <w:keepLines/>
      <w:spacing w:line="360" w:lineRule="auto"/>
      <w:jc w:val="left"/>
      <w:outlineLvl w:val="1"/>
    </w:pPr>
    <w:rPr>
      <w:rFonts w:ascii="Times New Roman" w:hAnsi="Times New Roman" w:eastAsia="宋体"/>
      <w:b/>
      <w:bCs/>
      <w:sz w:val="24"/>
      <w:szCs w:val="32"/>
    </w:rPr>
  </w:style>
  <w:style w:type="paragraph" w:styleId="6">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7">
    <w:name w:val="heading 4"/>
    <w:basedOn w:val="1"/>
    <w:next w:val="1"/>
    <w:qFormat/>
    <w:uiPriority w:val="9"/>
    <w:pPr>
      <w:keepNext/>
      <w:keepLines/>
      <w:spacing w:before="280" w:after="290" w:line="376" w:lineRule="auto"/>
      <w:outlineLvl w:val="3"/>
    </w:pPr>
    <w:rPr>
      <w:rFonts w:ascii="Cambria" w:hAnsi="Cambria" w:cs="宋体"/>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next w:val="3"/>
    <w:qFormat/>
    <w:uiPriority w:val="0"/>
    <w:pPr>
      <w:spacing w:after="120" w:afterLines="0" w:line="480" w:lineRule="auto"/>
      <w:ind w:left="420" w:leftChars="200"/>
    </w:pPr>
  </w:style>
  <w:style w:type="paragraph" w:customStyle="1" w:styleId="3">
    <w:name w:val="表格文字"/>
    <w:basedOn w:val="1"/>
    <w:next w:val="1"/>
    <w:qFormat/>
    <w:uiPriority w:val="99"/>
    <w:pPr>
      <w:jc w:val="center"/>
    </w:pPr>
    <w:rPr>
      <w:rFonts w:ascii="仿宋_GB2312" w:hAnsi="Arial Black" w:eastAsia="仿宋_GB2312"/>
      <w:kern w:val="44"/>
    </w:rPr>
  </w:style>
  <w:style w:type="paragraph" w:styleId="8">
    <w:name w:val="caption"/>
    <w:basedOn w:val="1"/>
    <w:next w:val="1"/>
    <w:qFormat/>
    <w:uiPriority w:val="0"/>
    <w:rPr>
      <w:rFonts w:ascii="Arial" w:hAnsi="Arial" w:eastAsia="黑体" w:cs="Arial"/>
      <w:sz w:val="20"/>
      <w:szCs w:val="20"/>
    </w:rPr>
  </w:style>
  <w:style w:type="paragraph" w:styleId="9">
    <w:name w:val="Document Map"/>
    <w:basedOn w:val="1"/>
    <w:link w:val="38"/>
    <w:unhideWhenUsed/>
    <w:qFormat/>
    <w:uiPriority w:val="99"/>
    <w:rPr>
      <w:rFonts w:ascii="宋体"/>
      <w:sz w:val="18"/>
      <w:szCs w:val="18"/>
    </w:rPr>
  </w:style>
  <w:style w:type="paragraph" w:styleId="10">
    <w:name w:val="toa heading"/>
    <w:basedOn w:val="1"/>
    <w:next w:val="1"/>
    <w:qFormat/>
    <w:uiPriority w:val="0"/>
    <w:pPr>
      <w:spacing w:before="120"/>
    </w:pPr>
    <w:rPr>
      <w:rFonts w:ascii="Arial" w:hAnsi="Arial" w:cs="Arial"/>
    </w:rPr>
  </w:style>
  <w:style w:type="paragraph" w:styleId="11">
    <w:name w:val="annotation text"/>
    <w:basedOn w:val="1"/>
    <w:link w:val="36"/>
    <w:unhideWhenUsed/>
    <w:qFormat/>
    <w:uiPriority w:val="99"/>
    <w:pPr>
      <w:jc w:val="left"/>
    </w:pPr>
  </w:style>
  <w:style w:type="paragraph" w:styleId="12">
    <w:name w:val="Body Text"/>
    <w:basedOn w:val="1"/>
    <w:next w:val="1"/>
    <w:link w:val="39"/>
    <w:qFormat/>
    <w:uiPriority w:val="0"/>
    <w:pPr>
      <w:spacing w:after="120"/>
    </w:pPr>
    <w:rPr>
      <w:rFonts w:cs="Times New Roman"/>
      <w:kern w:val="0"/>
      <w:sz w:val="20"/>
      <w:szCs w:val="24"/>
    </w:rPr>
  </w:style>
  <w:style w:type="paragraph" w:styleId="13">
    <w:name w:val="Body Text Indent"/>
    <w:basedOn w:val="1"/>
    <w:next w:val="12"/>
    <w:link w:val="40"/>
    <w:unhideWhenUsed/>
    <w:qFormat/>
    <w:uiPriority w:val="99"/>
    <w:pPr>
      <w:spacing w:after="120"/>
      <w:ind w:left="420" w:leftChars="200"/>
    </w:pPr>
  </w:style>
  <w:style w:type="paragraph" w:styleId="14">
    <w:name w:val="Plain Text"/>
    <w:basedOn w:val="1"/>
    <w:link w:val="54"/>
    <w:semiHidden/>
    <w:unhideWhenUsed/>
    <w:qFormat/>
    <w:uiPriority w:val="99"/>
    <w:rPr>
      <w:rFonts w:ascii="宋体" w:hAnsi="Courier New" w:cs="Courier New"/>
      <w:szCs w:val="21"/>
    </w:rPr>
  </w:style>
  <w:style w:type="paragraph" w:styleId="15">
    <w:name w:val="Balloon Text"/>
    <w:basedOn w:val="1"/>
    <w:link w:val="41"/>
    <w:unhideWhenUsed/>
    <w:qFormat/>
    <w:uiPriority w:val="99"/>
    <w:rPr>
      <w:sz w:val="18"/>
      <w:szCs w:val="18"/>
    </w:rPr>
  </w:style>
  <w:style w:type="paragraph" w:styleId="16">
    <w:name w:val="footer"/>
    <w:basedOn w:val="1"/>
    <w:link w:val="42"/>
    <w:unhideWhenUsed/>
    <w:qFormat/>
    <w:uiPriority w:val="99"/>
    <w:pPr>
      <w:tabs>
        <w:tab w:val="center" w:pos="4153"/>
        <w:tab w:val="right" w:pos="8306"/>
      </w:tabs>
      <w:snapToGrid w:val="0"/>
      <w:jc w:val="left"/>
    </w:pPr>
    <w:rPr>
      <w:sz w:val="18"/>
      <w:szCs w:val="18"/>
    </w:rPr>
  </w:style>
  <w:style w:type="paragraph" w:styleId="17">
    <w:name w:val="header"/>
    <w:basedOn w:val="1"/>
    <w:link w:val="43"/>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Body Text Indent 3"/>
    <w:basedOn w:val="1"/>
    <w:link w:val="60"/>
    <w:unhideWhenUsed/>
    <w:qFormat/>
    <w:uiPriority w:val="0"/>
    <w:pPr>
      <w:spacing w:after="120"/>
      <w:ind w:left="420" w:leftChars="200"/>
    </w:pPr>
    <w:rPr>
      <w:rFonts w:cs="Times New Roman"/>
      <w:sz w:val="16"/>
      <w:szCs w:val="16"/>
      <w:lang w:val="zh-CN" w:eastAsia="zh-CN"/>
    </w:rPr>
  </w:style>
  <w:style w:type="paragraph" w:styleId="19">
    <w:name w:val="table of figures"/>
    <w:basedOn w:val="1"/>
    <w:next w:val="1"/>
    <w:qFormat/>
    <w:uiPriority w:val="0"/>
    <w:pPr>
      <w:ind w:leftChars="200" w:hanging="200" w:hangingChars="200"/>
    </w:pPr>
    <w:rPr>
      <w:szCs w:val="24"/>
    </w:rPr>
  </w:style>
  <w:style w:type="paragraph" w:styleId="20">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11"/>
    <w:next w:val="11"/>
    <w:link w:val="37"/>
    <w:unhideWhenUsed/>
    <w:qFormat/>
    <w:uiPriority w:val="99"/>
    <w:rPr>
      <w:b/>
      <w:bCs/>
    </w:rPr>
  </w:style>
  <w:style w:type="paragraph" w:styleId="22">
    <w:name w:val="Body Text First Indent 2"/>
    <w:basedOn w:val="13"/>
    <w:next w:val="1"/>
    <w:unhideWhenUsed/>
    <w:qFormat/>
    <w:uiPriority w:val="99"/>
    <w:pPr>
      <w:widowControl/>
      <w:spacing w:after="120" w:line="240" w:lineRule="auto"/>
      <w:ind w:left="420" w:leftChars="200" w:firstLine="420" w:firstLineChars="200"/>
      <w:jc w:val="left"/>
    </w:p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basedOn w:val="25"/>
    <w:semiHidden/>
    <w:unhideWhenUsed/>
    <w:qFormat/>
    <w:uiPriority w:val="0"/>
    <w:rPr>
      <w:color w:val="800080"/>
      <w:u w:val="none"/>
    </w:rPr>
  </w:style>
  <w:style w:type="character" w:styleId="27">
    <w:name w:val="Emphasis"/>
    <w:basedOn w:val="25"/>
    <w:qFormat/>
    <w:uiPriority w:val="20"/>
  </w:style>
  <w:style w:type="character" w:styleId="28">
    <w:name w:val="Hyperlink"/>
    <w:basedOn w:val="25"/>
    <w:semiHidden/>
    <w:unhideWhenUsed/>
    <w:qFormat/>
    <w:uiPriority w:val="0"/>
    <w:rPr>
      <w:color w:val="0000FF"/>
      <w:u w:val="none"/>
    </w:rPr>
  </w:style>
  <w:style w:type="character" w:styleId="29">
    <w:name w:val="annotation reference"/>
    <w:basedOn w:val="25"/>
    <w:unhideWhenUsed/>
    <w:qFormat/>
    <w:uiPriority w:val="99"/>
    <w:rPr>
      <w:sz w:val="21"/>
      <w:szCs w:val="21"/>
    </w:rPr>
  </w:style>
  <w:style w:type="paragraph" w:customStyle="1" w:styleId="30">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1">
    <w:name w:val="Default"/>
    <w:basedOn w:val="32"/>
    <w:qFormat/>
    <w:uiPriority w:val="0"/>
    <w:pPr>
      <w:widowControl w:val="0"/>
      <w:tabs>
        <w:tab w:val="left" w:pos="377"/>
      </w:tabs>
      <w:autoSpaceDE w:val="0"/>
      <w:autoSpaceDN w:val="0"/>
      <w:adjustRightInd w:val="0"/>
    </w:pPr>
    <w:rPr>
      <w:rFonts w:ascii="宋体" w:hAnsi="Times New Roman" w:eastAsia="宋体" w:cs="宋体"/>
      <w:color w:val="000000"/>
      <w:sz w:val="24"/>
      <w:szCs w:val="24"/>
      <w:lang w:val="en-US" w:eastAsia="zh-CN" w:bidi="ar-SA"/>
    </w:rPr>
  </w:style>
  <w:style w:type="paragraph" w:customStyle="1" w:styleId="32">
    <w:name w:val="表（或图）标题 样式 宋体 五号 居中 SL CON"/>
    <w:basedOn w:val="1"/>
    <w:qFormat/>
    <w:uiPriority w:val="0"/>
    <w:pPr>
      <w:widowControl/>
      <w:tabs>
        <w:tab w:val="left" w:pos="377"/>
      </w:tabs>
      <w:spacing w:before="100" w:beforeLines="0" w:beforeAutospacing="1" w:line="360" w:lineRule="auto"/>
      <w:jc w:val="center"/>
    </w:pPr>
    <w:rPr>
      <w:rFonts w:ascii="宋体" w:hAnsi="宋体" w:cs="宋体"/>
      <w:b/>
      <w:kern w:val="0"/>
      <w:szCs w:val="20"/>
    </w:rPr>
  </w:style>
  <w:style w:type="paragraph" w:customStyle="1" w:styleId="33">
    <w:name w:val="简单回函地址"/>
    <w:basedOn w:val="1"/>
    <w:next w:val="34"/>
    <w:qFormat/>
    <w:uiPriority w:val="0"/>
    <w:pPr>
      <w:widowControl/>
    </w:pPr>
    <w:rPr>
      <w:rFonts w:ascii="宋体" w:hAnsi="宋体" w:cs="宋体"/>
      <w:kern w:val="0"/>
      <w:szCs w:val="20"/>
    </w:rPr>
  </w:style>
  <w:style w:type="paragraph" w:customStyle="1" w:styleId="34">
    <w:name w:val="正文2"/>
    <w:basedOn w:val="13"/>
    <w:next w:val="1"/>
    <w:qFormat/>
    <w:uiPriority w:val="0"/>
    <w:pPr>
      <w:spacing w:line="360" w:lineRule="auto"/>
    </w:pPr>
    <w:rPr>
      <w:rFonts w:eastAsia="仿宋_GB2312"/>
      <w:color w:val="auto"/>
      <w:szCs w:val="28"/>
      <w:lang w:val="zh-CN"/>
    </w:rPr>
  </w:style>
  <w:style w:type="paragraph" w:customStyle="1" w:styleId="35">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rPr>
  </w:style>
  <w:style w:type="character" w:customStyle="1" w:styleId="36">
    <w:name w:val="批注文字 Char"/>
    <w:basedOn w:val="25"/>
    <w:link w:val="11"/>
    <w:semiHidden/>
    <w:qFormat/>
    <w:uiPriority w:val="99"/>
  </w:style>
  <w:style w:type="character" w:customStyle="1" w:styleId="37">
    <w:name w:val="批注主题 Char"/>
    <w:link w:val="21"/>
    <w:semiHidden/>
    <w:qFormat/>
    <w:uiPriority w:val="99"/>
    <w:rPr>
      <w:b/>
      <w:bCs/>
    </w:rPr>
  </w:style>
  <w:style w:type="character" w:customStyle="1" w:styleId="38">
    <w:name w:val="文档结构图 Char"/>
    <w:link w:val="9"/>
    <w:semiHidden/>
    <w:qFormat/>
    <w:uiPriority w:val="99"/>
    <w:rPr>
      <w:rFonts w:ascii="宋体" w:eastAsia="宋体"/>
      <w:sz w:val="18"/>
      <w:szCs w:val="18"/>
    </w:rPr>
  </w:style>
  <w:style w:type="character" w:customStyle="1" w:styleId="39">
    <w:name w:val="正文文本 Char"/>
    <w:link w:val="12"/>
    <w:qFormat/>
    <w:uiPriority w:val="0"/>
    <w:rPr>
      <w:szCs w:val="24"/>
    </w:rPr>
  </w:style>
  <w:style w:type="character" w:customStyle="1" w:styleId="40">
    <w:name w:val="正文文本缩进 Char"/>
    <w:basedOn w:val="25"/>
    <w:link w:val="13"/>
    <w:semiHidden/>
    <w:qFormat/>
    <w:uiPriority w:val="99"/>
  </w:style>
  <w:style w:type="character" w:customStyle="1" w:styleId="41">
    <w:name w:val="批注框文本 Char"/>
    <w:link w:val="15"/>
    <w:semiHidden/>
    <w:qFormat/>
    <w:uiPriority w:val="99"/>
    <w:rPr>
      <w:sz w:val="18"/>
      <w:szCs w:val="18"/>
    </w:rPr>
  </w:style>
  <w:style w:type="character" w:customStyle="1" w:styleId="42">
    <w:name w:val="页脚 Char"/>
    <w:link w:val="16"/>
    <w:qFormat/>
    <w:uiPriority w:val="99"/>
    <w:rPr>
      <w:sz w:val="18"/>
      <w:szCs w:val="18"/>
    </w:rPr>
  </w:style>
  <w:style w:type="character" w:customStyle="1" w:styleId="43">
    <w:name w:val="页眉 Char"/>
    <w:link w:val="17"/>
    <w:qFormat/>
    <w:uiPriority w:val="99"/>
    <w:rPr>
      <w:sz w:val="18"/>
      <w:szCs w:val="18"/>
    </w:rPr>
  </w:style>
  <w:style w:type="paragraph" w:customStyle="1" w:styleId="44">
    <w:name w:val="表格文字2"/>
    <w:basedOn w:val="1"/>
    <w:qFormat/>
    <w:uiPriority w:val="0"/>
    <w:pPr>
      <w:adjustRightInd w:val="0"/>
      <w:spacing w:before="60"/>
      <w:jc w:val="center"/>
      <w:textAlignment w:val="baseline"/>
    </w:pPr>
    <w:rPr>
      <w:rFonts w:ascii="宋体" w:cs="Times New Roman"/>
      <w:kern w:val="0"/>
      <w:sz w:val="24"/>
      <w:szCs w:val="20"/>
    </w:rPr>
  </w:style>
  <w:style w:type="paragraph" w:customStyle="1" w:styleId="45">
    <w:name w:val="表"/>
    <w:basedOn w:val="1"/>
    <w:qFormat/>
    <w:uiPriority w:val="0"/>
    <w:pPr>
      <w:spacing w:line="240" w:lineRule="exact"/>
    </w:pPr>
    <w:rPr>
      <w:rFonts w:ascii="仿宋_GB2312" w:hAnsi="宋体" w:eastAsia="仿宋_GB2312" w:cs="Times New Roman"/>
      <w:sz w:val="18"/>
      <w:szCs w:val="20"/>
    </w:rPr>
  </w:style>
  <w:style w:type="paragraph" w:customStyle="1" w:styleId="46">
    <w:name w:val="表格内容"/>
    <w:basedOn w:val="1"/>
    <w:next w:val="4"/>
    <w:link w:val="47"/>
    <w:qFormat/>
    <w:uiPriority w:val="0"/>
    <w:pPr>
      <w:jc w:val="center"/>
    </w:pPr>
    <w:rPr>
      <w:rFonts w:eastAsia="Times New Roman" w:cs="Times New Roman"/>
      <w:kern w:val="0"/>
      <w:sz w:val="20"/>
      <w:szCs w:val="21"/>
    </w:rPr>
  </w:style>
  <w:style w:type="character" w:customStyle="1" w:styleId="47">
    <w:name w:val="表格内容 Char"/>
    <w:link w:val="46"/>
    <w:qFormat/>
    <w:uiPriority w:val="0"/>
    <w:rPr>
      <w:rFonts w:ascii="Times New Roman" w:hAnsi="Times New Roman" w:eastAsia="Times New Roman" w:cs="Times New Roman"/>
      <w:szCs w:val="21"/>
    </w:rPr>
  </w:style>
  <w:style w:type="paragraph" w:customStyle="1" w:styleId="48">
    <w:name w:val="表格首行"/>
    <w:basedOn w:val="1"/>
    <w:next w:val="1"/>
    <w:qFormat/>
    <w:uiPriority w:val="0"/>
    <w:pPr>
      <w:jc w:val="center"/>
    </w:pPr>
    <w:rPr>
      <w:rFonts w:cs="宋体"/>
      <w:b/>
      <w:szCs w:val="20"/>
    </w:rPr>
  </w:style>
  <w:style w:type="paragraph" w:customStyle="1" w:styleId="49">
    <w:name w:val="正文-欣欣"/>
    <w:basedOn w:val="14"/>
    <w:next w:val="1"/>
    <w:qFormat/>
    <w:uiPriority w:val="0"/>
    <w:pPr>
      <w:adjustRightInd w:val="0"/>
      <w:spacing w:line="360" w:lineRule="auto"/>
      <w:ind w:firstLine="200" w:firstLineChars="200"/>
    </w:pPr>
    <w:rPr>
      <w:rFonts w:cs="Times New Roman"/>
      <w:sz w:val="24"/>
      <w:szCs w:val="30"/>
    </w:rPr>
  </w:style>
  <w:style w:type="character" w:customStyle="1" w:styleId="50">
    <w:name w:val="正文文本 Char1"/>
    <w:basedOn w:val="25"/>
    <w:semiHidden/>
    <w:qFormat/>
    <w:uiPriority w:val="99"/>
  </w:style>
  <w:style w:type="character" w:customStyle="1" w:styleId="51">
    <w:name w:val="占位符文本1"/>
    <w:semiHidden/>
    <w:qFormat/>
    <w:uiPriority w:val="99"/>
    <w:rPr>
      <w:color w:val="808080"/>
    </w:rPr>
  </w:style>
  <w:style w:type="table" w:customStyle="1" w:styleId="52">
    <w:name w:val="网格型1"/>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
    <w:name w:val="网格型2"/>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4">
    <w:name w:val="纯文本 Char"/>
    <w:link w:val="14"/>
    <w:semiHidden/>
    <w:qFormat/>
    <w:uiPriority w:val="99"/>
    <w:rPr>
      <w:rFonts w:ascii="宋体" w:hAnsi="Courier New" w:cs="Courier New"/>
      <w:kern w:val="2"/>
      <w:sz w:val="21"/>
      <w:szCs w:val="21"/>
    </w:rPr>
  </w:style>
  <w:style w:type="paragraph" w:customStyle="1" w:styleId="55">
    <w:name w:val="章节目录"/>
    <w:basedOn w:val="1"/>
    <w:link w:val="56"/>
    <w:qFormat/>
    <w:uiPriority w:val="0"/>
    <w:pPr>
      <w:spacing w:line="360" w:lineRule="auto"/>
      <w:outlineLvl w:val="0"/>
    </w:pPr>
    <w:rPr>
      <w:b/>
      <w:sz w:val="28"/>
      <w:szCs w:val="28"/>
    </w:rPr>
  </w:style>
  <w:style w:type="character" w:customStyle="1" w:styleId="56">
    <w:name w:val="章节目录 Char"/>
    <w:link w:val="55"/>
    <w:qFormat/>
    <w:uiPriority w:val="0"/>
    <w:rPr>
      <w:rFonts w:cs="黑体"/>
      <w:b/>
      <w:kern w:val="2"/>
      <w:sz w:val="28"/>
      <w:szCs w:val="28"/>
    </w:rPr>
  </w:style>
  <w:style w:type="paragraph" w:customStyle="1" w:styleId="57">
    <w:name w:val="Char4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58">
    <w:name w:val="表头"/>
    <w:basedOn w:val="1"/>
    <w:link w:val="59"/>
    <w:qFormat/>
    <w:uiPriority w:val="0"/>
    <w:pPr>
      <w:spacing w:line="360" w:lineRule="auto"/>
      <w:jc w:val="center"/>
    </w:pPr>
    <w:rPr>
      <w:rFonts w:eastAsia="黑体" w:cs="Times New Roman"/>
      <w:color w:val="FF0000"/>
      <w:szCs w:val="21"/>
    </w:rPr>
  </w:style>
  <w:style w:type="character" w:customStyle="1" w:styleId="59">
    <w:name w:val="表头 Char"/>
    <w:link w:val="58"/>
    <w:qFormat/>
    <w:uiPriority w:val="0"/>
    <w:rPr>
      <w:rFonts w:eastAsia="黑体"/>
      <w:color w:val="FF0000"/>
      <w:kern w:val="2"/>
      <w:sz w:val="21"/>
      <w:szCs w:val="21"/>
    </w:rPr>
  </w:style>
  <w:style w:type="character" w:customStyle="1" w:styleId="60">
    <w:name w:val="正文文本缩进 3 Char"/>
    <w:link w:val="18"/>
    <w:qFormat/>
    <w:uiPriority w:val="0"/>
    <w:rPr>
      <w:kern w:val="2"/>
      <w:sz w:val="16"/>
      <w:szCs w:val="16"/>
      <w:lang w:val="zh-CN" w:eastAsia="zh-CN"/>
    </w:rPr>
  </w:style>
  <w:style w:type="paragraph" w:customStyle="1" w:styleId="61">
    <w:name w:val="四级标题"/>
    <w:basedOn w:val="1"/>
    <w:link w:val="62"/>
    <w:qFormat/>
    <w:uiPriority w:val="0"/>
    <w:pPr>
      <w:spacing w:line="360" w:lineRule="auto"/>
      <w:ind w:firstLine="200" w:firstLineChars="200"/>
      <w:outlineLvl w:val="3"/>
    </w:pPr>
    <w:rPr>
      <w:rFonts w:cs="Times New Roman"/>
      <w:b/>
      <w:sz w:val="24"/>
      <w:szCs w:val="24"/>
    </w:rPr>
  </w:style>
  <w:style w:type="character" w:customStyle="1" w:styleId="62">
    <w:name w:val="四级标题 Char"/>
    <w:link w:val="61"/>
    <w:qFormat/>
    <w:uiPriority w:val="0"/>
    <w:rPr>
      <w:b/>
      <w:kern w:val="2"/>
      <w:sz w:val="24"/>
      <w:szCs w:val="24"/>
    </w:rPr>
  </w:style>
  <w:style w:type="paragraph" w:customStyle="1" w:styleId="63">
    <w:name w:val="报告表格"/>
    <w:basedOn w:val="1"/>
    <w:link w:val="64"/>
    <w:qFormat/>
    <w:uiPriority w:val="0"/>
    <w:pPr>
      <w:autoSpaceDE w:val="0"/>
      <w:autoSpaceDN w:val="0"/>
      <w:adjustRightInd w:val="0"/>
      <w:spacing w:before="40" w:after="40"/>
      <w:jc w:val="center"/>
      <w:textAlignment w:val="bottom"/>
    </w:pPr>
    <w:rPr>
      <w:rFonts w:cs="Times New Roman"/>
      <w:kern w:val="0"/>
      <w:szCs w:val="20"/>
    </w:rPr>
  </w:style>
  <w:style w:type="character" w:customStyle="1" w:styleId="64">
    <w:name w:val="报告表格 Char"/>
    <w:link w:val="63"/>
    <w:qFormat/>
    <w:uiPriority w:val="0"/>
    <w:rPr>
      <w:sz w:val="21"/>
    </w:rPr>
  </w:style>
  <w:style w:type="paragraph" w:styleId="65">
    <w:name w:val="List Paragraph"/>
    <w:basedOn w:val="1"/>
    <w:qFormat/>
    <w:uiPriority w:val="99"/>
    <w:pPr>
      <w:ind w:firstLine="420" w:firstLineChars="200"/>
    </w:pPr>
  </w:style>
  <w:style w:type="paragraph" w:customStyle="1" w:styleId="66">
    <w:name w:val="宋-正文"/>
    <w:basedOn w:val="1"/>
    <w:qFormat/>
    <w:uiPriority w:val="0"/>
    <w:pPr>
      <w:autoSpaceDE w:val="0"/>
      <w:autoSpaceDN w:val="0"/>
      <w:adjustRightInd w:val="0"/>
      <w:spacing w:line="360" w:lineRule="auto"/>
      <w:ind w:firstLine="200" w:firstLineChars="200"/>
    </w:pPr>
    <w:rPr>
      <w:kern w:val="0"/>
      <w:sz w:val="24"/>
    </w:rPr>
  </w:style>
  <w:style w:type="paragraph" w:customStyle="1" w:styleId="67">
    <w:name w:val="报告"/>
    <w:basedOn w:val="1"/>
    <w:qFormat/>
    <w:uiPriority w:val="0"/>
    <w:pPr>
      <w:spacing w:beforeLines="30" w:afterLines="30" w:line="400" w:lineRule="atLeast"/>
      <w:ind w:firstLine="200" w:firstLineChars="200"/>
    </w:pPr>
    <w:rPr>
      <w:rFonts w:ascii="Calibri" w:hAnsi="Calibri" w:cs="Times New Roman"/>
      <w:sz w:val="24"/>
    </w:rPr>
  </w:style>
  <w:style w:type="paragraph" w:customStyle="1" w:styleId="68">
    <w:name w:val="A表内文字"/>
    <w:basedOn w:val="1"/>
    <w:next w:val="1"/>
    <w:qFormat/>
    <w:uiPriority w:val="0"/>
    <w:pPr>
      <w:autoSpaceDE w:val="0"/>
      <w:autoSpaceDN w:val="0"/>
      <w:adjustRightInd w:val="0"/>
      <w:jc w:val="center"/>
    </w:pPr>
    <w:rPr>
      <w:rFonts w:ascii="Times New Roman" w:hAnsi="Times New Roman" w:eastAsia="宋体" w:cs="Times New Roman"/>
      <w:szCs w:val="24"/>
    </w:rPr>
  </w:style>
  <w:style w:type="paragraph" w:customStyle="1" w:styleId="69">
    <w:name w:val="表1"/>
    <w:basedOn w:val="1"/>
    <w:qFormat/>
    <w:uiPriority w:val="0"/>
    <w:pPr>
      <w:spacing w:line="260" w:lineRule="exact"/>
      <w:jc w:val="center"/>
    </w:pPr>
    <w:rPr>
      <w:color w:val="auto"/>
      <w:kern w:val="2"/>
      <w:sz w:val="18"/>
      <w:szCs w:val="20"/>
    </w:rPr>
  </w:style>
  <w:style w:type="paragraph" w:customStyle="1" w:styleId="70">
    <w:name w:val="正文-蓝色"/>
    <w:basedOn w:val="49"/>
    <w:next w:val="1"/>
    <w:qFormat/>
    <w:uiPriority w:val="0"/>
    <w:rPr>
      <w:color w:val="FF0000"/>
      <w:szCs w:val="28"/>
    </w:rPr>
  </w:style>
  <w:style w:type="paragraph" w:customStyle="1" w:styleId="71">
    <w:name w:val="1、L表内字"/>
    <w:basedOn w:val="1"/>
    <w:qFormat/>
    <w:uiPriority w:val="0"/>
    <w:pPr>
      <w:adjustRightInd w:val="0"/>
      <w:snapToGrid w:val="0"/>
      <w:spacing w:line="240" w:lineRule="auto"/>
      <w:ind w:firstLine="0" w:firstLineChars="0"/>
      <w:jc w:val="center"/>
    </w:pPr>
    <w:rPr>
      <w:color w:val="000000"/>
      <w:sz w:val="21"/>
      <w:szCs w:val="21"/>
    </w:rPr>
  </w:style>
  <w:style w:type="paragraph" w:customStyle="1" w:styleId="72">
    <w:name w:val="表内字"/>
    <w:basedOn w:val="1"/>
    <w:qFormat/>
    <w:uiPriority w:val="0"/>
    <w:pPr>
      <w:jc w:val="center"/>
    </w:pPr>
    <w:rPr>
      <w:szCs w:val="18"/>
    </w:rPr>
  </w:style>
  <w:style w:type="paragraph" w:customStyle="1" w:styleId="73">
    <w:name w:val="rpt_表项"/>
    <w:basedOn w:val="1"/>
    <w:qFormat/>
    <w:uiPriority w:val="0"/>
    <w:pPr>
      <w:spacing w:before="60" w:after="60"/>
      <w:jc w:val="center"/>
    </w:pPr>
    <w:rPr>
      <w:rFonts w:cs="宋体"/>
      <w:sz w:val="22"/>
      <w:szCs w:val="20"/>
    </w:rPr>
  </w:style>
  <w:style w:type="paragraph" w:customStyle="1" w:styleId="74">
    <w:name w:val="样式 表格 32 + 首行缩进:  2 字符"/>
    <w:basedOn w:val="1"/>
    <w:qFormat/>
    <w:uiPriority w:val="0"/>
    <w:pPr>
      <w:autoSpaceDE w:val="0"/>
      <w:autoSpaceDN w:val="0"/>
      <w:adjustRightInd w:val="0"/>
      <w:spacing w:line="0" w:lineRule="atLeast"/>
      <w:jc w:val="center"/>
      <w:textAlignment w:val="baseline"/>
    </w:pPr>
    <w:rPr>
      <w:rFonts w:ascii="Times New Roman" w:hAnsi="Times New Roman"/>
      <w:szCs w:val="21"/>
    </w:rPr>
  </w:style>
  <w:style w:type="character" w:customStyle="1" w:styleId="75">
    <w:name w:val="NormalCharacter"/>
    <w:semiHidden/>
    <w:qFormat/>
    <w:uiPriority w:val="0"/>
  </w:style>
  <w:style w:type="paragraph" w:customStyle="1" w:styleId="76">
    <w:name w:val="龚艺正文"/>
    <w:basedOn w:val="1"/>
    <w:qFormat/>
    <w:uiPriority w:val="0"/>
    <w:pPr>
      <w:overflowPunct w:val="0"/>
      <w:spacing w:line="360" w:lineRule="auto"/>
      <w:ind w:firstLine="200" w:firstLineChars="200"/>
      <w:textAlignment w:val="baseline"/>
    </w:pPr>
    <w:rPr>
      <w:color w:val="000000"/>
      <w:sz w:val="24"/>
    </w:rPr>
  </w:style>
  <w:style w:type="paragraph" w:customStyle="1" w:styleId="77">
    <w:name w:val="宋-表名"/>
    <w:basedOn w:val="78"/>
    <w:next w:val="78"/>
    <w:qFormat/>
    <w:uiPriority w:val="1"/>
    <w:pPr>
      <w:spacing w:line="240" w:lineRule="auto"/>
      <w:ind w:firstLine="0"/>
      <w:jc w:val="center"/>
    </w:pPr>
    <w:rPr>
      <w:b/>
      <w:sz w:val="21"/>
    </w:rPr>
  </w:style>
  <w:style w:type="paragraph" w:customStyle="1" w:styleId="78">
    <w:name w:val="A6正文"/>
    <w:basedOn w:val="1"/>
    <w:qFormat/>
    <w:uiPriority w:val="2"/>
    <w:pPr>
      <w:spacing w:line="360" w:lineRule="auto"/>
      <w:ind w:firstLine="482"/>
    </w:pPr>
    <w:rPr>
      <w:rFonts w:ascii="Times New Roman" w:hAnsi="Times New Roman" w:eastAsia="宋体"/>
      <w:sz w:val="24"/>
    </w:rPr>
  </w:style>
  <w:style w:type="paragraph" w:customStyle="1" w:styleId="79">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80">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81">
    <w:name w:val="Table Grid_0"/>
    <w:basedOn w:val="23"/>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2">
    <w:name w:val="No Spacing"/>
    <w:qFormat/>
    <w:uiPriority w:val="1"/>
    <w:pPr>
      <w:widowControl w:val="0"/>
      <w:spacing w:beforeLines="50" w:afterLines="50" w:line="360" w:lineRule="auto"/>
      <w:jc w:val="both"/>
    </w:pPr>
    <w:rPr>
      <w:rFonts w:ascii="Calibri" w:hAnsi="Calibri" w:eastAsia="宋体" w:cs="Times New Roman"/>
      <w:kern w:val="2"/>
      <w:sz w:val="24"/>
      <w:szCs w:val="22"/>
      <w:lang w:val="en-US" w:eastAsia="zh-CN" w:bidi="ar-SA"/>
    </w:rPr>
  </w:style>
  <w:style w:type="character" w:customStyle="1" w:styleId="83">
    <w:name w:val="disabled"/>
    <w:basedOn w:val="25"/>
    <w:qFormat/>
    <w:uiPriority w:val="0"/>
    <w:rPr>
      <w:vanish/>
    </w:rPr>
  </w:style>
  <w:style w:type="character" w:customStyle="1" w:styleId="84">
    <w:name w:val="znspantitle"/>
    <w:basedOn w:val="25"/>
    <w:qFormat/>
    <w:uiPriority w:val="0"/>
    <w:rPr>
      <w:b/>
      <w:bCs/>
      <w:color w:val="333333"/>
    </w:rPr>
  </w:style>
  <w:style w:type="character" w:customStyle="1" w:styleId="85">
    <w:name w:val="fontstyle01"/>
    <w:qFormat/>
    <w:uiPriority w:val="0"/>
    <w:rPr>
      <w:rFonts w:ascii="宋体" w:hAnsi="宋体" w:eastAsia="宋体" w:cs="宋体"/>
      <w:color w:val="000000"/>
      <w:kern w:val="0"/>
      <w:sz w:val="24"/>
      <w:szCs w:val="24"/>
    </w:rPr>
  </w:style>
  <w:style w:type="paragraph" w:customStyle="1" w:styleId="86">
    <w:name w:val="纯文本3"/>
    <w:basedOn w:val="1"/>
    <w:qFormat/>
    <w:uiPriority w:val="0"/>
    <w:pPr>
      <w:adjustRightInd w:val="0"/>
      <w:spacing w:line="312" w:lineRule="atLeast"/>
      <w:textAlignment w:val="baseline"/>
    </w:pPr>
    <w:rPr>
      <w:caps/>
      <w:kern w:val="0"/>
      <w:sz w:val="21"/>
      <w:szCs w:val="20"/>
    </w:rPr>
  </w:style>
  <w:style w:type="paragraph" w:customStyle="1" w:styleId="87">
    <w:name w:val="+++正文、"/>
    <w:basedOn w:val="1"/>
    <w:qFormat/>
    <w:uiPriority w:val="0"/>
    <w:pPr>
      <w:autoSpaceDE w:val="0"/>
      <w:autoSpaceDN w:val="0"/>
      <w:adjustRightInd w:val="0"/>
      <w:spacing w:line="360" w:lineRule="auto"/>
      <w:ind w:firstLine="200" w:firstLineChars="200"/>
    </w:pPr>
    <w:rPr>
      <w:rFonts w:ascii="Calibri" w:hAnsi="Calibri" w:eastAsia="宋体" w:cs="Times New Roman"/>
      <w:sz w:val="24"/>
      <w:szCs w:val="24"/>
    </w:rPr>
  </w:style>
  <w:style w:type="paragraph" w:customStyle="1" w:styleId="88">
    <w:name w:val="标准正文"/>
    <w:qFormat/>
    <w:uiPriority w:val="0"/>
    <w:pPr>
      <w:keepNext/>
      <w:keepLines/>
      <w:snapToGrid w:val="0"/>
      <w:spacing w:before="50" w:beforeLines="50" w:after="50" w:afterLines="50" w:line="360" w:lineRule="auto"/>
      <w:ind w:firstLine="200" w:firstLineChars="200"/>
      <w:jc w:val="both"/>
    </w:pPr>
    <w:rPr>
      <w:rFonts w:ascii="Times New Roman" w:hAnsi="Times New Roman" w:eastAsia="宋体" w:cs="Times New Roman"/>
      <w:sz w:val="24"/>
      <w:szCs w:val="24"/>
      <w:lang w:val="en-US" w:eastAsia="zh-CN" w:bidi="ar-SA"/>
    </w:rPr>
  </w:style>
  <w:style w:type="character" w:customStyle="1" w:styleId="89">
    <w:name w:val="font61"/>
    <w:basedOn w:val="25"/>
    <w:qFormat/>
    <w:uiPriority w:val="0"/>
    <w:rPr>
      <w:rFonts w:hint="eastAsia" w:ascii="宋体" w:hAnsi="宋体" w:eastAsia="宋体" w:cs="宋体"/>
      <w:color w:val="000000"/>
      <w:sz w:val="28"/>
      <w:szCs w:val="28"/>
      <w:u w:val="none"/>
      <w:vertAlign w:val="superscript"/>
    </w:rPr>
  </w:style>
  <w:style w:type="character" w:customStyle="1" w:styleId="90">
    <w:name w:val="font51"/>
    <w:basedOn w:val="25"/>
    <w:qFormat/>
    <w:uiPriority w:val="0"/>
    <w:rPr>
      <w:rFonts w:ascii="Calibri" w:hAnsi="Calibri" w:cs="Calibri"/>
      <w:color w:val="000000"/>
      <w:sz w:val="28"/>
      <w:szCs w:val="28"/>
      <w:u w:val="none"/>
    </w:rPr>
  </w:style>
  <w:style w:type="character" w:customStyle="1" w:styleId="91">
    <w:name w:val="font71"/>
    <w:basedOn w:val="25"/>
    <w:qFormat/>
    <w:uiPriority w:val="0"/>
    <w:rPr>
      <w:rFonts w:hint="eastAsia" w:ascii="宋体" w:hAnsi="宋体" w:eastAsia="宋体" w:cs="宋体"/>
      <w:color w:val="000000"/>
      <w:sz w:val="28"/>
      <w:szCs w:val="28"/>
      <w:u w:val="none"/>
    </w:rPr>
  </w:style>
  <w:style w:type="character" w:customStyle="1" w:styleId="92">
    <w:name w:val="font21"/>
    <w:basedOn w:val="25"/>
    <w:qFormat/>
    <w:uiPriority w:val="0"/>
    <w:rPr>
      <w:rFonts w:hint="eastAsia" w:ascii="宋体" w:hAnsi="宋体" w:eastAsia="宋体" w:cs="宋体"/>
      <w:color w:val="000000"/>
      <w:sz w:val="18"/>
      <w:szCs w:val="18"/>
      <w:u w:val="none"/>
    </w:rPr>
  </w:style>
  <w:style w:type="paragraph" w:customStyle="1" w:styleId="93">
    <w:name w:val="小四缩进2"/>
    <w:basedOn w:val="1"/>
    <w:qFormat/>
    <w:uiPriority w:val="0"/>
    <w:pPr>
      <w:adjustRightInd w:val="0"/>
      <w:snapToGrid w:val="0"/>
      <w:spacing w:line="360" w:lineRule="auto"/>
      <w:ind w:firstLine="480" w:firstLineChars="200"/>
    </w:pPr>
    <w:rPr>
      <w:rFonts w:ascii="Calibri" w:hAnsi="Calibri" w:cs="Calibri"/>
      <w:sz w:val="24"/>
      <w:szCs w:val="24"/>
    </w:rPr>
  </w:style>
  <w:style w:type="paragraph" w:customStyle="1" w:styleId="94">
    <w:name w:val="Normal_44"/>
    <w:qFormat/>
    <w:uiPriority w:val="0"/>
    <w:pPr>
      <w:spacing w:before="120" w:after="240"/>
      <w:jc w:val="both"/>
    </w:pPr>
    <w:rPr>
      <w:rFonts w:ascii="Calibri" w:hAnsi="Calibri" w:eastAsia="Calibri" w:cs="Times New Roman"/>
      <w:sz w:val="22"/>
      <w:szCs w:val="22"/>
      <w:lang w:val="ru-RU" w:eastAsia="en-US" w:bidi="ar-SA"/>
    </w:rPr>
  </w:style>
  <w:style w:type="paragraph" w:customStyle="1" w:styleId="95">
    <w:name w:val="表格"/>
    <w:basedOn w:val="1"/>
    <w:qFormat/>
    <w:uiPriority w:val="0"/>
    <w:pPr>
      <w:jc w:val="center"/>
    </w:pPr>
    <w:rPr>
      <w:szCs w:val="21"/>
    </w:rPr>
  </w:style>
  <w:style w:type="paragraph" w:customStyle="1" w:styleId="96">
    <w:name w:val="无间隔1"/>
    <w:next w:val="1"/>
    <w:qFormat/>
    <w:uiPriority w:val="0"/>
    <w:pPr>
      <w:widowControl w:val="0"/>
      <w:jc w:val="center"/>
    </w:pPr>
    <w:rPr>
      <w:rFonts w:ascii="Times New Roman" w:hAnsi="Times New Roman" w:eastAsia="宋体" w:cs="Times New Roman"/>
      <w:kern w:val="2"/>
      <w:sz w:val="21"/>
      <w:szCs w:val="22"/>
      <w:lang w:val="en-US" w:eastAsia="zh-CN" w:bidi="ar-SA"/>
    </w:rPr>
  </w:style>
  <w:style w:type="character" w:customStyle="1" w:styleId="97">
    <w:name w:val="font11"/>
    <w:basedOn w:val="25"/>
    <w:qFormat/>
    <w:uiPriority w:val="0"/>
    <w:rPr>
      <w:rFonts w:hint="default" w:ascii="Times New Roman" w:hAnsi="Times New Roman" w:cs="Times New Roman"/>
      <w:color w:val="000000"/>
      <w:sz w:val="21"/>
      <w:szCs w:val="21"/>
      <w:u w:val="none"/>
    </w:rPr>
  </w:style>
  <w:style w:type="character" w:customStyle="1" w:styleId="98">
    <w:name w:val="font31"/>
    <w:basedOn w:val="25"/>
    <w:qFormat/>
    <w:uiPriority w:val="0"/>
    <w:rPr>
      <w:rFonts w:hint="eastAsia" w:ascii="宋体" w:hAnsi="宋体" w:eastAsia="宋体" w:cs="宋体"/>
      <w:color w:val="000000"/>
      <w:sz w:val="21"/>
      <w:szCs w:val="21"/>
      <w:u w:val="none"/>
    </w:rPr>
  </w:style>
  <w:style w:type="paragraph" w:customStyle="1" w:styleId="99">
    <w:name w:val="样式 小四 居中 行距: 固定值 24 磅"/>
    <w:basedOn w:val="1"/>
    <w:qFormat/>
    <w:uiPriority w:val="0"/>
    <w:pPr>
      <w:spacing w:line="360" w:lineRule="auto"/>
      <w:jc w:val="center"/>
    </w:pPr>
    <w:rPr>
      <w:rFonts w:cs="宋体"/>
      <w:sz w:val="24"/>
      <w:szCs w:val="20"/>
    </w:rPr>
  </w:style>
  <w:style w:type="character" w:customStyle="1" w:styleId="100">
    <w:name w:val="font41"/>
    <w:basedOn w:val="25"/>
    <w:qFormat/>
    <w:uiPriority w:val="0"/>
    <w:rPr>
      <w:rFonts w:hint="default" w:ascii="Times New Roman" w:hAnsi="Times New Roman" w:cs="Times New Roman"/>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wmf"/><Relationship Id="rId23" Type="http://schemas.openxmlformats.org/officeDocument/2006/relationships/oleObject" Target="embeddings/oleObject6.bin"/><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5.bin"/><Relationship Id="rId17" Type="http://schemas.openxmlformats.org/officeDocument/2006/relationships/image" Target="media/image9.wmf"/><Relationship Id="rId16" Type="http://schemas.openxmlformats.org/officeDocument/2006/relationships/oleObject" Target="embeddings/oleObject4.bin"/><Relationship Id="rId15" Type="http://schemas.openxmlformats.org/officeDocument/2006/relationships/image" Target="media/image8.emf"/><Relationship Id="rId14" Type="http://schemas.openxmlformats.org/officeDocument/2006/relationships/oleObject" Target="embeddings/oleObject3.bin"/><Relationship Id="rId13" Type="http://schemas.openxmlformats.org/officeDocument/2006/relationships/image" Target="media/image7.emf"/><Relationship Id="rId12" Type="http://schemas.openxmlformats.org/officeDocument/2006/relationships/oleObject" Target="embeddings/oleObject2.bin"/><Relationship Id="rId11" Type="http://schemas.openxmlformats.org/officeDocument/2006/relationships/image" Target="media/image6.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9BBEF4-A1BF-46D5-81C8-979E0E58305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55</Pages>
  <Words>32434</Words>
  <Characters>35807</Characters>
  <Lines>254</Lines>
  <Paragraphs>71</Paragraphs>
  <TotalTime>1</TotalTime>
  <ScaleCrop>false</ScaleCrop>
  <LinksUpToDate>false</LinksUpToDate>
  <CharactersWithSpaces>36035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2015-06-30T08:58:00Z</dcterms:created>
  <dc:creator>Yc.</dc:creator>
  <cp:lastModifiedBy>Administrator</cp:lastModifiedBy>
  <cp:lastPrinted>2017-11-23T01:48:00Z</cp:lastPrinted>
  <dcterms:modified xsi:type="dcterms:W3CDTF">2023-11-10T05:58:19Z</dcterms:modified>
  <dc:title>建设项目环境影响报告表</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BAF3C0F7972A41A59DCFEEE08367031A</vt:lpwstr>
  </property>
</Properties>
</file>