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0474C">
      <w:pPr>
        <w:spacing w:line="600" w:lineRule="exact"/>
        <w:jc w:val="left"/>
        <w:outlineLvl w:val="0"/>
        <w:rPr>
          <w:rFonts w:ascii="方正小标宋简体" w:hAnsi="宋体" w:eastAsia="方正小标宋简体"/>
          <w:szCs w:val="21"/>
        </w:rPr>
      </w:pPr>
      <w:bookmarkStart w:id="0" w:name="_Toc15306267"/>
    </w:p>
    <w:p w14:paraId="358AAB20">
      <w:pPr>
        <w:pStyle w:val="2"/>
        <w:spacing w:before="93"/>
      </w:pPr>
    </w:p>
    <w:p w14:paraId="561D4525">
      <w:pPr>
        <w:spacing w:line="600" w:lineRule="exact"/>
        <w:jc w:val="center"/>
        <w:outlineLvl w:val="0"/>
        <w:rPr>
          <w:rFonts w:ascii="方正小标宋简体" w:hAnsi="宋体" w:eastAsia="方正小标宋简体"/>
          <w:sz w:val="72"/>
          <w:szCs w:val="72"/>
        </w:rPr>
      </w:pPr>
    </w:p>
    <w:p w14:paraId="637108EF">
      <w:pPr>
        <w:spacing w:line="600" w:lineRule="exact"/>
        <w:jc w:val="center"/>
        <w:outlineLvl w:val="0"/>
        <w:rPr>
          <w:rFonts w:ascii="方正小标宋简体" w:hAnsi="宋体" w:eastAsia="方正小标宋简体"/>
          <w:sz w:val="72"/>
          <w:szCs w:val="72"/>
        </w:rPr>
      </w:pPr>
    </w:p>
    <w:p w14:paraId="636EE929">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7425"/>
      <w:bookmarkStart w:id="3" w:name="_Toc15378441"/>
      <w:bookmarkStart w:id="4" w:name="_Toc15377193"/>
      <w:bookmarkStart w:id="5"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1BB3BE9D">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96598"/>
      <w:bookmarkStart w:id="7" w:name="_Toc15396476"/>
      <w:bookmarkStart w:id="8" w:name="_Toc15377194"/>
      <w:bookmarkStart w:id="9" w:name="_Toc15377426"/>
      <w:bookmarkStart w:id="10" w:name="_Toc15378442"/>
      <w:r>
        <w:rPr>
          <w:rFonts w:hint="eastAsia" w:ascii="方正小标宋简体" w:hAnsi="方正小标宋简体" w:eastAsia="方正小标宋简体" w:cs="方正小标宋简体"/>
          <w:color w:val="auto"/>
          <w:sz w:val="72"/>
          <w:szCs w:val="72"/>
          <w:highlight w:val="none"/>
          <w:lang w:eastAsia="zh-CN"/>
        </w:rPr>
        <w:t>大竹县</w:t>
      </w:r>
      <w:bookmarkStart w:id="11" w:name="_Toc15306268"/>
      <w:r>
        <w:rPr>
          <w:rFonts w:hint="eastAsia" w:ascii="方正小标宋简体" w:hAnsi="方正小标宋简体" w:eastAsia="方正小标宋简体" w:cs="方正小标宋简体"/>
          <w:color w:val="auto"/>
          <w:sz w:val="72"/>
          <w:szCs w:val="72"/>
          <w:highlight w:val="none"/>
          <w:lang w:eastAsia="zh-CN"/>
        </w:rPr>
        <w:t>童家镇卫生院</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14:paraId="6ACF11E1">
      <w:pPr>
        <w:widowControl/>
        <w:jc w:val="center"/>
        <w:rPr>
          <w:rFonts w:hint="eastAsia" w:ascii="黑体" w:hAnsi="黑体" w:eastAsia="黑体"/>
          <w:sz w:val="48"/>
          <w:szCs w:val="48"/>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14:paraId="0F799C53">
      <w:pPr>
        <w:widowControl/>
        <w:jc w:val="center"/>
        <w:rPr>
          <w:rFonts w:ascii="黑体" w:hAnsi="黑体" w:eastAsia="黑体"/>
          <w:sz w:val="48"/>
          <w:szCs w:val="48"/>
        </w:rPr>
      </w:pPr>
      <w:r>
        <w:rPr>
          <w:rFonts w:hint="eastAsia" w:ascii="黑体" w:hAnsi="黑体" w:eastAsia="黑体"/>
          <w:sz w:val="48"/>
          <w:szCs w:val="48"/>
        </w:rPr>
        <w:t>目录</w:t>
      </w:r>
    </w:p>
    <w:p w14:paraId="172EF99A">
      <w:pPr>
        <w:widowControl/>
        <w:jc w:val="center"/>
        <w:rPr>
          <w:rFonts w:ascii="黑体" w:hAnsi="黑体" w:eastAsia="黑体" w:cstheme="minorBidi"/>
          <w:sz w:val="28"/>
          <w:szCs w:val="28"/>
        </w:rPr>
      </w:pPr>
    </w:p>
    <w:p w14:paraId="020081C8">
      <w:pPr>
        <w:pStyle w:val="11"/>
        <w:rPr>
          <w:rFonts w:hint="eastAsia" w:ascii="仿宋" w:hAnsi="仿宋" w:eastAsia="仿宋" w:cs="仿宋"/>
          <w:sz w:val="32"/>
          <w:szCs w:val="32"/>
        </w:rPr>
      </w:pPr>
      <w:r>
        <w:rPr>
          <w:rFonts w:hint="eastAsia" w:ascii="仿宋" w:hAnsi="仿宋" w:eastAsia="仿宋" w:cs="仿宋"/>
          <w:sz w:val="32"/>
          <w:szCs w:val="32"/>
        </w:rPr>
        <w:t>公开时间：202</w:t>
      </w:r>
      <w:r>
        <w:rPr>
          <w:rFonts w:hint="eastAsia" w:cs="仿宋"/>
          <w:sz w:val="32"/>
          <w:szCs w:val="32"/>
          <w:lang w:val="en-US" w:eastAsia="zh-CN"/>
        </w:rPr>
        <w:t>4</w:t>
      </w:r>
      <w:r>
        <w:rPr>
          <w:rFonts w:hint="eastAsia" w:ascii="仿宋" w:hAnsi="仿宋" w:eastAsia="仿宋" w:cs="仿宋"/>
          <w:sz w:val="32"/>
          <w:szCs w:val="32"/>
        </w:rPr>
        <w:t>年</w:t>
      </w:r>
      <w:r>
        <w:rPr>
          <w:rFonts w:hint="eastAsia" w:cs="仿宋"/>
          <w:sz w:val="32"/>
          <w:szCs w:val="32"/>
          <w:lang w:val="en-US" w:eastAsia="zh-CN"/>
        </w:rPr>
        <w:t>10</w:t>
      </w:r>
      <w:r>
        <w:rPr>
          <w:rFonts w:hint="eastAsia" w:ascii="仿宋" w:hAnsi="仿宋" w:eastAsia="仿宋" w:cs="仿宋"/>
          <w:sz w:val="32"/>
          <w:szCs w:val="32"/>
        </w:rPr>
        <w:t>月</w:t>
      </w:r>
      <w:r>
        <w:rPr>
          <w:rFonts w:hint="eastAsia" w:cs="仿宋"/>
          <w:sz w:val="32"/>
          <w:szCs w:val="32"/>
          <w:lang w:val="en-US" w:eastAsia="zh-CN"/>
        </w:rPr>
        <w:t>18</w:t>
      </w:r>
      <w:r>
        <w:rPr>
          <w:rFonts w:hint="eastAsia" w:ascii="仿宋" w:hAnsi="仿宋" w:eastAsia="仿宋" w:cs="仿宋"/>
          <w:sz w:val="32"/>
          <w:szCs w:val="32"/>
        </w:rPr>
        <w:t>日</w:t>
      </w:r>
    </w:p>
    <w:p w14:paraId="51AD91E1">
      <w:pPr>
        <w:rPr>
          <w:rFonts w:hint="eastAsia" w:ascii="仿宋" w:hAnsi="仿宋" w:eastAsia="仿宋" w:cs="仿宋"/>
          <w:sz w:val="32"/>
          <w:szCs w:val="32"/>
        </w:rPr>
      </w:pPr>
    </w:p>
    <w:p w14:paraId="3F4EEA7A">
      <w:pPr>
        <w:pStyle w:val="11"/>
        <w:adjustRightInd w:val="0"/>
        <w:snapToGrid w:val="0"/>
        <w:spacing w:before="0" w:line="440" w:lineRule="exact"/>
        <w:jc w:val="left"/>
        <w:rPr>
          <w:rFonts w:hint="default" w:ascii="仿宋" w:hAnsi="仿宋" w:eastAsia="仿宋" w:cs="仿宋"/>
          <w:sz w:val="32"/>
          <w:szCs w:val="32"/>
          <w:lang w:val="en-US" w:eastAsia="zh-CN"/>
        </w:rPr>
      </w:pPr>
      <w:r>
        <w:rPr>
          <w:rFonts w:hint="eastAsia" w:ascii="仿宋" w:hAnsi="仿宋" w:eastAsia="仿宋" w:cs="仿宋"/>
          <w:sz w:val="32"/>
          <w:szCs w:val="32"/>
        </w:rPr>
        <w:t>第一部分 单位概况</w:t>
      </w:r>
    </w:p>
    <w:p w14:paraId="132042AD">
      <w:pPr>
        <w:pStyle w:val="12"/>
        <w:adjustRightInd w:val="0"/>
        <w:snapToGrid w:val="0"/>
        <w:spacing w:line="440" w:lineRule="exact"/>
        <w:jc w:val="left"/>
        <w:rPr>
          <w:rFonts w:hint="default"/>
          <w:color w:val="auto"/>
          <w:sz w:val="24"/>
          <w:highlight w:val="none"/>
          <w:lang w:val="en-US" w:eastAsia="zh-CN"/>
        </w:rPr>
      </w:pPr>
      <w:r>
        <w:rPr>
          <w:rFonts w:hint="eastAsia" w:ascii="仿宋" w:hAnsi="仿宋" w:eastAsia="仿宋" w:cs="仿宋"/>
          <w:sz w:val="32"/>
          <w:szCs w:val="32"/>
        </w:rPr>
        <w:t>一、主要职责</w:t>
      </w:r>
      <w:r>
        <w:rPr>
          <w:rFonts w:hint="eastAsia"/>
          <w:color w:val="auto"/>
          <w:sz w:val="24"/>
          <w:highlight w:val="none"/>
          <w:lang w:val="en-US" w:eastAsia="zh-CN"/>
        </w:rPr>
        <w:t>....................................................................................................1</w:t>
      </w:r>
    </w:p>
    <w:p w14:paraId="0DB13FB5">
      <w:pPr>
        <w:pStyle w:val="12"/>
        <w:adjustRightInd w:val="0"/>
        <w:snapToGrid w:val="0"/>
        <w:spacing w:line="440" w:lineRule="exact"/>
        <w:jc w:val="left"/>
        <w:rPr>
          <w:rFonts w:hint="default" w:ascii="仿宋" w:hAnsi="仿宋" w:eastAsia="仿宋" w:cs="仿宋"/>
          <w:sz w:val="32"/>
          <w:szCs w:val="32"/>
          <w:lang w:val="en-US" w:eastAsia="zh-CN"/>
        </w:rPr>
      </w:pPr>
      <w:r>
        <w:rPr>
          <w:rFonts w:hint="eastAsia" w:ascii="仿宋" w:hAnsi="仿宋" w:eastAsia="仿宋" w:cs="仿宋"/>
          <w:sz w:val="32"/>
          <w:szCs w:val="32"/>
        </w:rPr>
        <w:t>二、机构设置</w:t>
      </w:r>
      <w:r>
        <w:rPr>
          <w:rFonts w:hint="eastAsia"/>
          <w:color w:val="auto"/>
          <w:sz w:val="24"/>
          <w:highlight w:val="none"/>
          <w:lang w:val="en-US" w:eastAsia="zh-CN"/>
        </w:rPr>
        <w:t>....................................................................................................1</w:t>
      </w:r>
    </w:p>
    <w:p w14:paraId="4DC75289">
      <w:pPr>
        <w:pStyle w:val="11"/>
        <w:adjustRightInd w:val="0"/>
        <w:snapToGrid w:val="0"/>
        <w:spacing w:before="0" w:line="440" w:lineRule="exact"/>
        <w:jc w:val="left"/>
        <w:rPr>
          <w:rFonts w:hint="eastAsia" w:ascii="仿宋" w:hAnsi="仿宋" w:eastAsia="仿宋" w:cs="仿宋"/>
          <w:sz w:val="32"/>
          <w:szCs w:val="32"/>
        </w:rPr>
      </w:pPr>
      <w:r>
        <w:rPr>
          <w:rFonts w:hint="eastAsia" w:ascii="仿宋" w:hAnsi="仿宋" w:eastAsia="仿宋" w:cs="仿宋"/>
          <w:sz w:val="32"/>
          <w:szCs w:val="32"/>
        </w:rPr>
        <w:t>第二部分 2023年度单位决算情况说明</w:t>
      </w:r>
    </w:p>
    <w:p w14:paraId="38B95483">
      <w:pPr>
        <w:pStyle w:val="12"/>
        <w:adjustRightInd w:val="0"/>
        <w:snapToGrid w:val="0"/>
        <w:spacing w:line="440" w:lineRule="exact"/>
        <w:jc w:val="left"/>
        <w:rPr>
          <w:rFonts w:hint="default" w:ascii="仿宋" w:hAnsi="仿宋" w:eastAsia="仿宋" w:cs="仿宋"/>
          <w:sz w:val="32"/>
          <w:szCs w:val="32"/>
          <w:lang w:val="en-US"/>
        </w:rPr>
      </w:pPr>
      <w:r>
        <w:rPr>
          <w:rFonts w:hint="eastAsia" w:ascii="仿宋" w:hAnsi="仿宋" w:eastAsia="仿宋" w:cs="仿宋"/>
          <w:sz w:val="32"/>
          <w:szCs w:val="32"/>
        </w:rPr>
        <w:t>一、收入支出决算总体情况说明</w:t>
      </w:r>
      <w:r>
        <w:rPr>
          <w:rFonts w:hint="eastAsia"/>
          <w:color w:val="auto"/>
          <w:sz w:val="24"/>
          <w:highlight w:val="none"/>
          <w:lang w:val="en-US" w:eastAsia="zh-CN"/>
        </w:rPr>
        <w:t>.........................................................2</w:t>
      </w:r>
    </w:p>
    <w:p w14:paraId="39FF0DBD">
      <w:pPr>
        <w:pStyle w:val="12"/>
        <w:adjustRightInd w:val="0"/>
        <w:snapToGrid w:val="0"/>
        <w:spacing w:line="440" w:lineRule="exact"/>
        <w:jc w:val="left"/>
        <w:rPr>
          <w:rFonts w:hint="default" w:ascii="仿宋" w:hAnsi="仿宋" w:eastAsia="仿宋" w:cs="仿宋"/>
          <w:sz w:val="32"/>
          <w:szCs w:val="32"/>
          <w:lang w:val="en-US"/>
        </w:rPr>
      </w:pPr>
      <w:r>
        <w:rPr>
          <w:rFonts w:hint="eastAsia" w:ascii="仿宋" w:hAnsi="仿宋" w:eastAsia="仿宋" w:cs="仿宋"/>
          <w:sz w:val="32"/>
          <w:szCs w:val="32"/>
        </w:rPr>
        <w:t>二、收入决算情况说明</w:t>
      </w:r>
      <w:r>
        <w:rPr>
          <w:rFonts w:hint="eastAsia"/>
          <w:color w:val="auto"/>
          <w:sz w:val="24"/>
          <w:highlight w:val="none"/>
          <w:lang w:val="en-US" w:eastAsia="zh-CN"/>
        </w:rPr>
        <w:t>..............................................................................2</w:t>
      </w:r>
    </w:p>
    <w:p w14:paraId="268820BE">
      <w:pPr>
        <w:pStyle w:val="12"/>
        <w:adjustRightInd w:val="0"/>
        <w:snapToGrid w:val="0"/>
        <w:spacing w:line="440" w:lineRule="exact"/>
        <w:jc w:val="left"/>
        <w:rPr>
          <w:rFonts w:hint="default" w:ascii="仿宋" w:hAnsi="仿宋" w:eastAsia="仿宋" w:cs="仿宋"/>
          <w:sz w:val="32"/>
          <w:szCs w:val="32"/>
          <w:lang w:val="en-US"/>
        </w:rPr>
      </w:pPr>
      <w:r>
        <w:rPr>
          <w:rFonts w:hint="eastAsia" w:ascii="仿宋" w:hAnsi="仿宋" w:eastAsia="仿宋" w:cs="仿宋"/>
          <w:sz w:val="32"/>
          <w:szCs w:val="32"/>
        </w:rPr>
        <w:t>三、支出决算情况说明</w:t>
      </w:r>
      <w:r>
        <w:rPr>
          <w:rFonts w:hint="eastAsia"/>
          <w:color w:val="auto"/>
          <w:sz w:val="24"/>
          <w:highlight w:val="none"/>
          <w:lang w:val="en-US" w:eastAsia="zh-CN"/>
        </w:rPr>
        <w:t>..............................................................................3</w:t>
      </w:r>
    </w:p>
    <w:p w14:paraId="59A7045A">
      <w:pPr>
        <w:pStyle w:val="12"/>
        <w:adjustRightInd w:val="0"/>
        <w:snapToGrid w:val="0"/>
        <w:spacing w:line="440" w:lineRule="exact"/>
        <w:jc w:val="left"/>
        <w:rPr>
          <w:rFonts w:hint="default" w:ascii="仿宋" w:hAnsi="仿宋" w:eastAsia="仿宋" w:cs="仿宋"/>
          <w:sz w:val="32"/>
          <w:szCs w:val="32"/>
          <w:lang w:val="en-US"/>
        </w:rPr>
      </w:pPr>
      <w:r>
        <w:rPr>
          <w:rFonts w:hint="eastAsia" w:ascii="仿宋" w:hAnsi="仿宋" w:eastAsia="仿宋" w:cs="仿宋"/>
          <w:sz w:val="32"/>
          <w:szCs w:val="32"/>
        </w:rPr>
        <w:t>四、财政拨款收入支出决算总体情况说明</w:t>
      </w:r>
      <w:r>
        <w:rPr>
          <w:rFonts w:hint="eastAsia"/>
          <w:color w:val="auto"/>
          <w:sz w:val="24"/>
          <w:highlight w:val="none"/>
          <w:lang w:val="en-US" w:eastAsia="zh-CN"/>
        </w:rPr>
        <w:t>....................................4</w:t>
      </w:r>
    </w:p>
    <w:p w14:paraId="5690E50A">
      <w:pPr>
        <w:pStyle w:val="12"/>
        <w:adjustRightInd w:val="0"/>
        <w:snapToGrid w:val="0"/>
        <w:spacing w:line="440" w:lineRule="exact"/>
        <w:jc w:val="left"/>
        <w:rPr>
          <w:rFonts w:hint="default" w:ascii="仿宋" w:hAnsi="仿宋" w:eastAsia="仿宋" w:cs="仿宋"/>
          <w:sz w:val="32"/>
          <w:szCs w:val="32"/>
          <w:lang w:val="en-US"/>
        </w:rPr>
      </w:pPr>
      <w:r>
        <w:rPr>
          <w:rFonts w:hint="eastAsia" w:ascii="仿宋" w:hAnsi="仿宋" w:eastAsia="仿宋" w:cs="仿宋"/>
          <w:sz w:val="32"/>
          <w:szCs w:val="32"/>
        </w:rPr>
        <w:t>五、一般公共预算财政拨款支出决算情况说明</w:t>
      </w:r>
      <w:r>
        <w:rPr>
          <w:rFonts w:hint="eastAsia"/>
          <w:color w:val="auto"/>
          <w:sz w:val="24"/>
          <w:highlight w:val="none"/>
          <w:lang w:val="en-US" w:eastAsia="zh-CN"/>
        </w:rPr>
        <w:t>.........................4</w:t>
      </w:r>
    </w:p>
    <w:p w14:paraId="54766CF9">
      <w:pPr>
        <w:pStyle w:val="12"/>
        <w:adjustRightInd w:val="0"/>
        <w:snapToGrid w:val="0"/>
        <w:spacing w:line="440" w:lineRule="exact"/>
        <w:jc w:val="left"/>
        <w:rPr>
          <w:rFonts w:hint="default" w:ascii="仿宋" w:hAnsi="仿宋" w:eastAsia="仿宋" w:cs="仿宋"/>
          <w:sz w:val="32"/>
          <w:szCs w:val="32"/>
          <w:lang w:val="en-US"/>
        </w:rPr>
      </w:pPr>
      <w:r>
        <w:rPr>
          <w:rFonts w:hint="eastAsia" w:ascii="仿宋" w:hAnsi="仿宋" w:eastAsia="仿宋" w:cs="仿宋"/>
          <w:sz w:val="32"/>
          <w:szCs w:val="32"/>
        </w:rPr>
        <w:t>六、一般公共预算财政拨款基本支出决算情况说明</w:t>
      </w:r>
      <w:r>
        <w:rPr>
          <w:rFonts w:hint="eastAsia"/>
          <w:color w:val="auto"/>
          <w:sz w:val="24"/>
          <w:highlight w:val="none"/>
          <w:lang w:val="en-US" w:eastAsia="zh-CN"/>
        </w:rPr>
        <w:t>.............6</w:t>
      </w:r>
    </w:p>
    <w:p w14:paraId="32B365DA">
      <w:pPr>
        <w:pStyle w:val="12"/>
        <w:adjustRightInd w:val="0"/>
        <w:snapToGrid w:val="0"/>
        <w:spacing w:line="440" w:lineRule="exact"/>
        <w:jc w:val="left"/>
        <w:rPr>
          <w:rFonts w:hint="default" w:ascii="仿宋" w:hAnsi="仿宋" w:eastAsia="仿宋" w:cs="仿宋"/>
          <w:sz w:val="32"/>
          <w:szCs w:val="32"/>
          <w:lang w:val="en-US"/>
        </w:rPr>
      </w:pPr>
      <w:r>
        <w:rPr>
          <w:rFonts w:hint="eastAsia" w:ascii="仿宋" w:hAnsi="仿宋" w:eastAsia="仿宋" w:cs="仿宋"/>
          <w:sz w:val="32"/>
          <w:szCs w:val="32"/>
        </w:rPr>
        <w:t>七、财政拨款“三公”经费支出决算情况说明</w:t>
      </w:r>
      <w:r>
        <w:rPr>
          <w:rFonts w:hint="eastAsia"/>
          <w:color w:val="auto"/>
          <w:sz w:val="24"/>
          <w:highlight w:val="none"/>
          <w:lang w:val="en-US" w:eastAsia="zh-CN"/>
        </w:rPr>
        <w:t>..............................7</w:t>
      </w:r>
    </w:p>
    <w:p w14:paraId="4F26F7CB">
      <w:pPr>
        <w:pStyle w:val="12"/>
        <w:adjustRightInd w:val="0"/>
        <w:snapToGrid w:val="0"/>
        <w:spacing w:line="440" w:lineRule="exact"/>
        <w:jc w:val="left"/>
        <w:rPr>
          <w:rFonts w:hint="default" w:ascii="仿宋" w:hAnsi="仿宋" w:eastAsia="仿宋" w:cs="仿宋"/>
          <w:sz w:val="32"/>
          <w:szCs w:val="32"/>
          <w:lang w:val="en-US"/>
        </w:rPr>
      </w:pPr>
      <w:r>
        <w:rPr>
          <w:rFonts w:hint="eastAsia" w:ascii="仿宋" w:hAnsi="仿宋" w:eastAsia="仿宋" w:cs="仿宋"/>
          <w:sz w:val="32"/>
          <w:szCs w:val="32"/>
        </w:rPr>
        <w:t>八、政府性基金预算支出决算情况说明</w:t>
      </w:r>
      <w:r>
        <w:rPr>
          <w:rFonts w:hint="eastAsia"/>
          <w:color w:val="auto"/>
          <w:sz w:val="24"/>
          <w:highlight w:val="none"/>
          <w:lang w:val="en-US" w:eastAsia="zh-CN"/>
        </w:rPr>
        <w:t>.........................................7</w:t>
      </w:r>
    </w:p>
    <w:p w14:paraId="3750B8B2">
      <w:pPr>
        <w:pStyle w:val="12"/>
        <w:adjustRightInd w:val="0"/>
        <w:snapToGrid w:val="0"/>
        <w:spacing w:line="440" w:lineRule="exact"/>
        <w:jc w:val="left"/>
        <w:rPr>
          <w:rFonts w:hint="default" w:ascii="仿宋" w:hAnsi="仿宋" w:eastAsia="仿宋" w:cs="仿宋"/>
          <w:sz w:val="32"/>
          <w:szCs w:val="32"/>
          <w:lang w:val="en-US"/>
        </w:rPr>
      </w:pPr>
      <w:r>
        <w:rPr>
          <w:rFonts w:hint="eastAsia" w:ascii="仿宋" w:hAnsi="仿宋" w:eastAsia="仿宋" w:cs="仿宋"/>
          <w:sz w:val="32"/>
          <w:szCs w:val="32"/>
        </w:rPr>
        <w:t>九、国有资本经营预算支出决算情况说明</w:t>
      </w:r>
      <w:r>
        <w:rPr>
          <w:rFonts w:hint="eastAsia"/>
          <w:color w:val="auto"/>
          <w:sz w:val="24"/>
          <w:highlight w:val="none"/>
          <w:lang w:val="en-US" w:eastAsia="zh-CN"/>
        </w:rPr>
        <w:t>....................................7</w:t>
      </w:r>
    </w:p>
    <w:p w14:paraId="664C0B50">
      <w:pPr>
        <w:pStyle w:val="12"/>
        <w:adjustRightInd w:val="0"/>
        <w:snapToGrid w:val="0"/>
        <w:spacing w:line="440" w:lineRule="exact"/>
        <w:jc w:val="left"/>
        <w:rPr>
          <w:rFonts w:hint="default" w:ascii="仿宋" w:hAnsi="仿宋" w:eastAsia="仿宋" w:cs="仿宋"/>
          <w:sz w:val="32"/>
          <w:szCs w:val="32"/>
          <w:lang w:val="en-US"/>
        </w:rPr>
      </w:pPr>
      <w:r>
        <w:rPr>
          <w:rFonts w:hint="eastAsia" w:ascii="仿宋" w:hAnsi="仿宋" w:eastAsia="仿宋" w:cs="仿宋"/>
          <w:sz w:val="32"/>
          <w:szCs w:val="32"/>
        </w:rPr>
        <w:t>十、其他重要事项的情况说明</w:t>
      </w:r>
      <w:r>
        <w:rPr>
          <w:rFonts w:hint="eastAsia"/>
          <w:color w:val="auto"/>
          <w:sz w:val="24"/>
          <w:highlight w:val="none"/>
          <w:lang w:val="en-US" w:eastAsia="zh-CN"/>
        </w:rPr>
        <w:t>..............................................................7</w:t>
      </w:r>
    </w:p>
    <w:p w14:paraId="59208CD2">
      <w:pPr>
        <w:pStyle w:val="11"/>
        <w:adjustRightInd w:val="0"/>
        <w:snapToGrid w:val="0"/>
        <w:spacing w:before="0" w:line="440" w:lineRule="exact"/>
        <w:jc w:val="left"/>
        <w:rPr>
          <w:rFonts w:hint="eastAsia" w:ascii="仿宋" w:hAnsi="仿宋" w:eastAsia="仿宋" w:cs="仿宋"/>
          <w:sz w:val="32"/>
          <w:szCs w:val="32"/>
        </w:rPr>
      </w:pPr>
      <w:r>
        <w:rPr>
          <w:rFonts w:hint="eastAsia" w:ascii="仿宋" w:hAnsi="仿宋" w:eastAsia="仿宋" w:cs="仿宋"/>
          <w:sz w:val="32"/>
          <w:szCs w:val="32"/>
        </w:rPr>
        <w:t>第三部分 名词解释</w:t>
      </w:r>
    </w:p>
    <w:p w14:paraId="3081BE09">
      <w:pPr>
        <w:pStyle w:val="11"/>
        <w:adjustRightInd w:val="0"/>
        <w:snapToGrid w:val="0"/>
        <w:spacing w:before="0" w:line="440" w:lineRule="exact"/>
        <w:jc w:val="left"/>
        <w:rPr>
          <w:rFonts w:hint="eastAsia" w:ascii="仿宋" w:hAnsi="仿宋" w:eastAsia="仿宋" w:cs="仿宋"/>
          <w:sz w:val="32"/>
          <w:szCs w:val="32"/>
        </w:rPr>
      </w:pPr>
      <w:r>
        <w:rPr>
          <w:rFonts w:hint="eastAsia" w:ascii="仿宋" w:hAnsi="仿宋" w:eastAsia="仿宋" w:cs="仿宋"/>
          <w:sz w:val="32"/>
          <w:szCs w:val="32"/>
        </w:rPr>
        <w:t>第四部分 附件</w:t>
      </w:r>
    </w:p>
    <w:p w14:paraId="47B44905">
      <w:pPr>
        <w:pStyle w:val="11"/>
        <w:adjustRightInd w:val="0"/>
        <w:snapToGrid w:val="0"/>
        <w:spacing w:before="0" w:line="440" w:lineRule="exact"/>
        <w:jc w:val="left"/>
        <w:rPr>
          <w:rFonts w:hint="eastAsia" w:ascii="仿宋" w:hAnsi="仿宋" w:eastAsia="仿宋" w:cs="仿宋"/>
          <w:sz w:val="32"/>
          <w:szCs w:val="32"/>
        </w:rPr>
      </w:pPr>
      <w:r>
        <w:rPr>
          <w:rFonts w:hint="eastAsia" w:ascii="仿宋" w:hAnsi="仿宋" w:eastAsia="仿宋" w:cs="仿宋"/>
          <w:sz w:val="32"/>
          <w:szCs w:val="32"/>
        </w:rPr>
        <w:t>第五部分 附表</w:t>
      </w:r>
    </w:p>
    <w:p w14:paraId="2763AB67">
      <w:pPr>
        <w:pStyle w:val="12"/>
        <w:adjustRightInd w:val="0"/>
        <w:snapToGrid w:val="0"/>
        <w:spacing w:line="440" w:lineRule="exact"/>
        <w:jc w:val="left"/>
        <w:rPr>
          <w:rFonts w:hint="default" w:ascii="仿宋" w:hAnsi="仿宋" w:eastAsia="仿宋" w:cs="仿宋"/>
          <w:sz w:val="32"/>
          <w:szCs w:val="32"/>
          <w:lang w:val="en-US"/>
        </w:rPr>
      </w:pPr>
      <w:r>
        <w:rPr>
          <w:rFonts w:hint="eastAsia" w:ascii="仿宋" w:hAnsi="仿宋" w:eastAsia="仿宋" w:cs="仿宋"/>
          <w:sz w:val="32"/>
          <w:szCs w:val="32"/>
        </w:rPr>
        <w:t>一、收入支出决算总表</w:t>
      </w:r>
      <w:r>
        <w:rPr>
          <w:rFonts w:hint="eastAsia"/>
          <w:color w:val="auto"/>
          <w:sz w:val="24"/>
          <w:highlight w:val="none"/>
          <w:lang w:val="en-US" w:eastAsia="zh-CN"/>
        </w:rPr>
        <w:t>............................................................................13</w:t>
      </w:r>
    </w:p>
    <w:p w14:paraId="06962FDB">
      <w:pPr>
        <w:pStyle w:val="12"/>
        <w:adjustRightInd w:val="0"/>
        <w:snapToGrid w:val="0"/>
        <w:spacing w:line="440" w:lineRule="exact"/>
        <w:jc w:val="left"/>
        <w:rPr>
          <w:rFonts w:hint="default" w:ascii="仿宋" w:hAnsi="仿宋" w:eastAsia="仿宋" w:cs="仿宋"/>
          <w:sz w:val="32"/>
          <w:szCs w:val="32"/>
          <w:lang w:val="en-US"/>
        </w:rPr>
      </w:pPr>
      <w:r>
        <w:rPr>
          <w:rFonts w:hint="eastAsia" w:ascii="仿宋" w:hAnsi="仿宋" w:eastAsia="仿宋" w:cs="仿宋"/>
          <w:sz w:val="32"/>
          <w:szCs w:val="32"/>
        </w:rPr>
        <w:t>二、收入决算表</w:t>
      </w:r>
      <w:r>
        <w:rPr>
          <w:rFonts w:hint="eastAsia"/>
          <w:color w:val="auto"/>
          <w:sz w:val="24"/>
          <w:highlight w:val="none"/>
          <w:lang w:val="en-US" w:eastAsia="zh-CN"/>
        </w:rPr>
        <w:t>............................................................................................13</w:t>
      </w:r>
    </w:p>
    <w:p w14:paraId="4B76687A">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三、支出决算表</w:t>
      </w:r>
      <w:r>
        <w:rPr>
          <w:rFonts w:hint="eastAsia"/>
          <w:color w:val="auto"/>
          <w:sz w:val="24"/>
          <w:highlight w:val="none"/>
          <w:lang w:val="en-US" w:eastAsia="zh-CN"/>
        </w:rPr>
        <w:t>............................................................................................13</w:t>
      </w:r>
    </w:p>
    <w:p w14:paraId="45FF9E46">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四、财政拨款收入支出决算总表</w:t>
      </w:r>
      <w:r>
        <w:rPr>
          <w:rFonts w:hint="eastAsia"/>
          <w:color w:val="auto"/>
          <w:sz w:val="24"/>
          <w:highlight w:val="none"/>
          <w:lang w:val="en-US" w:eastAsia="zh-CN"/>
        </w:rPr>
        <w:t>.......................................................13</w:t>
      </w:r>
    </w:p>
    <w:p w14:paraId="477E4008">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五、财政拨款支出决算明细表</w:t>
      </w:r>
      <w:r>
        <w:rPr>
          <w:rFonts w:hint="eastAsia"/>
          <w:color w:val="auto"/>
          <w:sz w:val="24"/>
          <w:highlight w:val="none"/>
          <w:lang w:val="en-US" w:eastAsia="zh-CN"/>
        </w:rPr>
        <w:t>............................................................13</w:t>
      </w:r>
    </w:p>
    <w:p w14:paraId="5E7D4D39">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六、一般公共预算财政拨款支出决算表</w:t>
      </w:r>
      <w:r>
        <w:rPr>
          <w:rFonts w:hint="eastAsia"/>
          <w:color w:val="auto"/>
          <w:sz w:val="24"/>
          <w:highlight w:val="none"/>
          <w:lang w:val="en-US" w:eastAsia="zh-CN"/>
        </w:rPr>
        <w:t>.......................................13</w:t>
      </w:r>
    </w:p>
    <w:p w14:paraId="4CA3A962">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七、一般公共预算财政拨款支出决算明细表</w:t>
      </w:r>
      <w:r>
        <w:rPr>
          <w:rFonts w:hint="eastAsia"/>
          <w:color w:val="auto"/>
          <w:sz w:val="24"/>
          <w:highlight w:val="none"/>
          <w:lang w:val="en-US" w:eastAsia="zh-CN"/>
        </w:rPr>
        <w:t>............................13</w:t>
      </w:r>
    </w:p>
    <w:p w14:paraId="715F0EDF">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八、一般公共预算财政拨款基本支出决算明细表</w:t>
      </w:r>
      <w:r>
        <w:rPr>
          <w:rFonts w:hint="eastAsia"/>
          <w:color w:val="auto"/>
          <w:sz w:val="24"/>
          <w:highlight w:val="none"/>
          <w:lang w:val="en-US" w:eastAsia="zh-CN"/>
        </w:rPr>
        <w:t>..................13</w:t>
      </w:r>
    </w:p>
    <w:p w14:paraId="002489C2">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九、一般公共预算财政拨款项目支出决算表</w:t>
      </w:r>
      <w:r>
        <w:rPr>
          <w:rFonts w:hint="eastAsia"/>
          <w:color w:val="auto"/>
          <w:sz w:val="24"/>
          <w:highlight w:val="none"/>
          <w:lang w:val="en-US" w:eastAsia="zh-CN"/>
        </w:rPr>
        <w:t>............................13</w:t>
      </w:r>
    </w:p>
    <w:p w14:paraId="6E985EF8">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十、政府性基金预算财政拨款收入支出决算表</w:t>
      </w:r>
      <w:r>
        <w:rPr>
          <w:rFonts w:hint="eastAsia"/>
          <w:color w:val="auto"/>
          <w:sz w:val="24"/>
          <w:highlight w:val="none"/>
          <w:lang w:val="en-US" w:eastAsia="zh-CN"/>
        </w:rPr>
        <w:t>.......................13</w:t>
      </w:r>
    </w:p>
    <w:p w14:paraId="6456A294">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十一、国有资本经营预算财政拨款收入支出决算表</w:t>
      </w:r>
      <w:r>
        <w:rPr>
          <w:rFonts w:hint="eastAsia"/>
          <w:color w:val="auto"/>
          <w:sz w:val="24"/>
          <w:highlight w:val="none"/>
          <w:lang w:val="en-US" w:eastAsia="zh-CN"/>
        </w:rPr>
        <w:t>............13</w:t>
      </w:r>
    </w:p>
    <w:p w14:paraId="3AD9AF15">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十二、国有资本经营预算财政拨款支出决算表</w:t>
      </w:r>
      <w:r>
        <w:rPr>
          <w:rFonts w:hint="eastAsia"/>
          <w:color w:val="auto"/>
          <w:sz w:val="24"/>
          <w:highlight w:val="none"/>
          <w:lang w:val="en-US" w:eastAsia="zh-CN"/>
        </w:rPr>
        <w:t>.......................13</w:t>
      </w:r>
    </w:p>
    <w:p w14:paraId="4170C83A">
      <w:pPr>
        <w:pStyle w:val="12"/>
        <w:adjustRightInd w:val="0"/>
        <w:snapToGrid w:val="0"/>
        <w:spacing w:line="440" w:lineRule="exact"/>
        <w:jc w:val="left"/>
        <w:rPr>
          <w:rFonts w:hint="eastAsia" w:ascii="黑体" w:hAnsi="黑体" w:eastAsia="黑体"/>
          <w:b w:val="0"/>
          <w:sz w:val="32"/>
          <w:szCs w:val="32"/>
        </w:rPr>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pPr>
      <w:r>
        <w:rPr>
          <w:rFonts w:hint="eastAsia" w:ascii="仿宋" w:hAnsi="仿宋" w:eastAsia="仿宋" w:cs="仿宋"/>
          <w:sz w:val="32"/>
          <w:szCs w:val="32"/>
        </w:rPr>
        <w:t>十三、财政拨款“三公”经费支出决算表</w:t>
      </w:r>
      <w:bookmarkStart w:id="12" w:name="_Toc15377196"/>
      <w:bookmarkStart w:id="13" w:name="_Toc15396599"/>
      <w:r>
        <w:rPr>
          <w:rFonts w:hint="eastAsia"/>
          <w:color w:val="auto"/>
          <w:sz w:val="24"/>
          <w:highlight w:val="none"/>
          <w:lang w:val="en-US" w:eastAsia="zh-CN"/>
        </w:rPr>
        <w:t>..................................</w:t>
      </w:r>
      <w:bookmarkStart w:id="67" w:name="_GoBack"/>
      <w:bookmarkEnd w:id="67"/>
      <w:r>
        <w:rPr>
          <w:rFonts w:hint="eastAsia"/>
          <w:color w:val="auto"/>
          <w:sz w:val="24"/>
          <w:highlight w:val="none"/>
          <w:lang w:val="en-US" w:eastAsia="zh-CN"/>
        </w:rPr>
        <w:t>.....13</w:t>
      </w:r>
    </w:p>
    <w:p w14:paraId="2DBC8056">
      <w:pPr>
        <w:pStyle w:val="3"/>
        <w:pageBreakBefore w:val="0"/>
        <w:kinsoku/>
        <w:wordWrap/>
        <w:overflowPunct/>
        <w:topLinePunct w:val="0"/>
        <w:autoSpaceDE/>
        <w:autoSpaceDN/>
        <w:bidi w:val="0"/>
        <w:adjustRightInd/>
        <w:snapToGrid/>
        <w:spacing w:line="578" w:lineRule="exact"/>
        <w:jc w:val="center"/>
        <w:textAlignment w:val="auto"/>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00E7AF5D">
      <w:pPr>
        <w:pageBreakBefore w:val="0"/>
        <w:widowControl/>
        <w:kinsoku/>
        <w:wordWrap/>
        <w:overflowPunct/>
        <w:topLinePunct w:val="0"/>
        <w:autoSpaceDE/>
        <w:autoSpaceDN/>
        <w:bidi w:val="0"/>
        <w:adjustRightInd/>
        <w:snapToGrid/>
        <w:spacing w:line="578" w:lineRule="exact"/>
        <w:jc w:val="left"/>
        <w:textAlignment w:val="auto"/>
        <w:rPr>
          <w:rFonts w:ascii="黑体" w:eastAsia="黑体"/>
          <w:sz w:val="32"/>
          <w:szCs w:val="32"/>
        </w:rPr>
      </w:pPr>
    </w:p>
    <w:p w14:paraId="07315E58">
      <w:pPr>
        <w:pStyle w:val="4"/>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Style w:val="28"/>
          <w:rFonts w:ascii="黑体" w:hAnsi="黑体" w:eastAsia="黑体"/>
          <w:b w:val="0"/>
          <w:bCs w:val="0"/>
        </w:rPr>
      </w:pPr>
      <w:bookmarkStart w:id="14" w:name="_Toc15396600"/>
      <w:bookmarkStart w:id="15" w:name="_Toc15377197"/>
      <w:r>
        <w:rPr>
          <w:rStyle w:val="28"/>
          <w:rFonts w:hint="eastAsia" w:ascii="黑体" w:hAnsi="黑体" w:eastAsia="黑体"/>
          <w:b w:val="0"/>
          <w:bCs w:val="0"/>
          <w:lang w:val="en-US" w:eastAsia="zh-CN"/>
        </w:rPr>
        <w:t>一、</w:t>
      </w:r>
      <w:r>
        <w:rPr>
          <w:rStyle w:val="28"/>
          <w:rFonts w:hint="eastAsia" w:ascii="黑体" w:hAnsi="黑体" w:eastAsia="黑体"/>
          <w:b w:val="0"/>
          <w:bCs w:val="0"/>
        </w:rPr>
        <w:t>主要职责</w:t>
      </w:r>
    </w:p>
    <w:p w14:paraId="360947E0">
      <w:pPr>
        <w:pageBreakBefore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为人民身体健康提供医疗与预防保健服务。常见病多发病护理、预防保健、卫生人员培训、合作医疗组织与管理、卫生监督与信息管理。</w:t>
      </w:r>
    </w:p>
    <w:p w14:paraId="3F0EB875">
      <w:pPr>
        <w:pStyle w:val="4"/>
        <w:pageBreakBefore w:val="0"/>
        <w:kinsoku/>
        <w:wordWrap/>
        <w:overflowPunct/>
        <w:topLinePunct w:val="0"/>
        <w:autoSpaceDE/>
        <w:autoSpaceDN/>
        <w:bidi w:val="0"/>
        <w:adjustRightInd/>
        <w:snapToGrid/>
        <w:spacing w:line="578" w:lineRule="exact"/>
        <w:ind w:firstLine="640" w:firstLineChars="200"/>
        <w:textAlignment w:val="auto"/>
        <w:rPr>
          <w:rFonts w:ascii="黑体" w:hAnsi="黑体" w:eastAsia="黑体"/>
          <w:b w:val="0"/>
        </w:rPr>
      </w:pPr>
      <w:r>
        <w:rPr>
          <w:rFonts w:hint="eastAsia" w:ascii="黑体" w:hAnsi="黑体" w:eastAsia="黑体"/>
          <w:b w:val="0"/>
        </w:rPr>
        <w:t>二、机构设置</w:t>
      </w:r>
    </w:p>
    <w:bookmarkEnd w:id="14"/>
    <w:bookmarkEnd w:id="15"/>
    <w:p w14:paraId="62A355E9">
      <w:pPr>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大竹县童家镇卫生院下属二级预算单位0个，其中行政单位0个，参照公务员法管理的事业单位0个，直属事业单位0个。</w:t>
      </w:r>
    </w:p>
    <w:p w14:paraId="16187B64">
      <w:pPr>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ascii="仿宋" w:hAnsi="仿宋" w:eastAsia="仿宋"/>
          <w:kern w:val="0"/>
          <w:sz w:val="32"/>
          <w:szCs w:val="32"/>
        </w:rPr>
      </w:pPr>
      <w:r>
        <w:rPr>
          <w:rFonts w:hint="eastAsia" w:ascii="仿宋" w:hAnsi="仿宋" w:eastAsia="仿宋"/>
          <w:sz w:val="32"/>
          <w:szCs w:val="32"/>
        </w:rPr>
        <w:t>纳入2022年度部门决算编制范围的二级预算单位：无。</w:t>
      </w:r>
      <w:r>
        <w:rPr>
          <w:rFonts w:ascii="仿宋" w:hAnsi="仿宋" w:eastAsia="仿宋"/>
          <w:sz w:val="32"/>
          <w:szCs w:val="32"/>
        </w:rPr>
        <w:br w:type="page"/>
      </w:r>
    </w:p>
    <w:p w14:paraId="7E43EBE6">
      <w:pPr>
        <w:pStyle w:val="3"/>
        <w:ind w:right="440"/>
        <w:jc w:val="center"/>
        <w:rPr>
          <w:rStyle w:val="27"/>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6D7B06D2"/>
    <w:p w14:paraId="54D4D0DB">
      <w:pPr>
        <w:pStyle w:val="26"/>
        <w:numPr>
          <w:ilvl w:val="0"/>
          <w:numId w:val="1"/>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72D8322C">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w:t>
      </w:r>
      <w:r>
        <w:rPr>
          <w:rFonts w:hint="eastAsia" w:ascii="仿宋" w:hAnsi="仿宋" w:eastAsia="仿宋"/>
          <w:sz w:val="32"/>
          <w:szCs w:val="32"/>
          <w:lang w:val="en-US" w:eastAsia="zh-CN"/>
        </w:rPr>
        <w:t>入</w:t>
      </w:r>
      <w:r>
        <w:rPr>
          <w:rFonts w:hint="eastAsia" w:ascii="仿宋" w:hAnsi="仿宋" w:eastAsia="仿宋"/>
          <w:b/>
          <w:sz w:val="32"/>
          <w:szCs w:val="32"/>
        </w:rPr>
        <w:t>881.44</w:t>
      </w:r>
      <w:r>
        <w:rPr>
          <w:rFonts w:hint="eastAsia" w:ascii="仿宋" w:hAnsi="仿宋" w:eastAsia="仿宋"/>
          <w:sz w:val="32"/>
          <w:szCs w:val="32"/>
        </w:rPr>
        <w:t>万元、支</w:t>
      </w:r>
      <w:r>
        <w:rPr>
          <w:rFonts w:hint="eastAsia" w:ascii="仿宋" w:hAnsi="仿宋" w:eastAsia="仿宋"/>
          <w:sz w:val="32"/>
          <w:szCs w:val="32"/>
          <w:lang w:val="en-US" w:eastAsia="zh-CN"/>
        </w:rPr>
        <w:t>出</w:t>
      </w:r>
      <w:r>
        <w:rPr>
          <w:rFonts w:hint="eastAsia" w:ascii="仿宋" w:hAnsi="仿宋" w:eastAsia="仿宋"/>
          <w:sz w:val="32"/>
          <w:szCs w:val="32"/>
        </w:rPr>
        <w:t>总计为</w:t>
      </w:r>
      <w:r>
        <w:rPr>
          <w:rFonts w:ascii="仿宋" w:hAnsi="仿宋" w:eastAsia="仿宋"/>
          <w:b/>
          <w:sz w:val="32"/>
          <w:szCs w:val="32"/>
        </w:rPr>
        <w:t>827.74</w:t>
      </w:r>
      <w:r>
        <w:rPr>
          <w:rFonts w:hint="eastAsia" w:ascii="仿宋" w:hAnsi="仿宋" w:eastAsia="仿宋"/>
          <w:sz w:val="32"/>
          <w:szCs w:val="32"/>
        </w:rPr>
        <w:t>万元。与2022年度相比，</w:t>
      </w:r>
      <w:r>
        <w:rPr>
          <w:rFonts w:hint="eastAsia" w:ascii="仿宋" w:hAnsi="仿宋" w:eastAsia="仿宋"/>
          <w:color w:val="auto"/>
          <w:sz w:val="32"/>
          <w:szCs w:val="32"/>
          <w:highlight w:val="none"/>
        </w:rPr>
        <w:t>收</w:t>
      </w:r>
      <w:r>
        <w:rPr>
          <w:rFonts w:hint="eastAsia" w:ascii="仿宋" w:hAnsi="仿宋" w:eastAsia="仿宋"/>
          <w:color w:val="auto"/>
          <w:sz w:val="32"/>
          <w:szCs w:val="32"/>
          <w:highlight w:val="none"/>
          <w:lang w:eastAsia="zh-CN"/>
        </w:rPr>
        <w:t>入总计</w:t>
      </w:r>
      <w:r>
        <w:rPr>
          <w:rFonts w:hint="eastAsia" w:ascii="仿宋" w:hAnsi="仿宋" w:eastAsia="仿宋"/>
          <w:color w:val="auto"/>
          <w:sz w:val="32"/>
          <w:szCs w:val="32"/>
          <w:highlight w:val="none"/>
          <w:lang w:val="en-US" w:eastAsia="zh-CN"/>
        </w:rPr>
        <w:t>增加71.31万元</w:t>
      </w:r>
      <w:r>
        <w:rPr>
          <w:rFonts w:hint="eastAsia" w:ascii="仿宋" w:hAnsi="仿宋" w:eastAsia="仿宋"/>
          <w:color w:val="auto"/>
          <w:sz w:val="32"/>
          <w:szCs w:val="32"/>
          <w:highlight w:val="none"/>
        </w:rPr>
        <w:t>、支</w:t>
      </w:r>
      <w:r>
        <w:rPr>
          <w:rFonts w:hint="eastAsia" w:ascii="仿宋" w:hAnsi="仿宋" w:eastAsia="仿宋"/>
          <w:color w:val="auto"/>
          <w:sz w:val="32"/>
          <w:szCs w:val="32"/>
          <w:highlight w:val="none"/>
          <w:lang w:eastAsia="zh-CN"/>
        </w:rPr>
        <w:t>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增加48.48</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收入</w:t>
      </w:r>
      <w:r>
        <w:rPr>
          <w:rFonts w:hint="eastAsia" w:ascii="仿宋" w:hAnsi="仿宋" w:eastAsia="仿宋"/>
          <w:color w:val="auto"/>
          <w:sz w:val="32"/>
          <w:szCs w:val="32"/>
          <w:highlight w:val="none"/>
          <w:lang w:val="en-US" w:eastAsia="zh-CN"/>
        </w:rPr>
        <w:t>增长8.8</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增长6.22%</w:t>
      </w:r>
      <w:r>
        <w:rPr>
          <w:rFonts w:hint="eastAsia" w:ascii="仿宋" w:hAnsi="仿宋" w:eastAsia="仿宋"/>
          <w:sz w:val="32"/>
          <w:szCs w:val="32"/>
        </w:rPr>
        <w:t>。主要变动原因是</w:t>
      </w:r>
      <w:r>
        <w:rPr>
          <w:rFonts w:hint="eastAsia" w:ascii="仿宋" w:hAnsi="仿宋" w:eastAsia="仿宋"/>
          <w:color w:val="auto"/>
          <w:sz w:val="32"/>
          <w:szCs w:val="32"/>
          <w:highlight w:val="none"/>
          <w:lang w:val="en-US" w:eastAsia="zh-CN"/>
        </w:rPr>
        <w:t>2023年乡镇卫生院启用预算一体化平台，全年指标下达在本单位</w:t>
      </w:r>
      <w:r>
        <w:rPr>
          <w:rFonts w:hint="eastAsia" w:ascii="仿宋" w:hAnsi="仿宋" w:eastAsia="仿宋"/>
          <w:sz w:val="32"/>
          <w:szCs w:val="32"/>
        </w:rPr>
        <w:t>。</w:t>
      </w:r>
    </w:p>
    <w:p w14:paraId="73D36DD1">
      <w:pPr>
        <w:pStyle w:val="2"/>
        <w:rPr>
          <w:rFonts w:hint="eastAsia" w:ascii="仿宋" w:hAnsi="仿宋" w:eastAsia="仿宋"/>
          <w:sz w:val="32"/>
          <w:szCs w:val="32"/>
        </w:rPr>
      </w:pPr>
      <w:r>
        <w:rPr>
          <w:rFonts w:hint="eastAsia" w:ascii="仿宋" w:hAnsi="仿宋" w:eastAsia="仿宋"/>
          <w:sz w:val="32"/>
          <w:szCs w:val="32"/>
          <w:lang w:eastAsia="zh-CN"/>
        </w:rPr>
        <w:drawing>
          <wp:inline distT="0" distB="0" distL="114300" distR="114300">
            <wp:extent cx="4829175" cy="2759710"/>
            <wp:effectExtent l="0" t="0" r="9525" b="2540"/>
            <wp:docPr id="7" name="图片 7" descr="QQ截图20241024164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截图20241024164758"/>
                    <pic:cNvPicPr>
                      <a:picLocks noChangeAspect="1"/>
                    </pic:cNvPicPr>
                  </pic:nvPicPr>
                  <pic:blipFill>
                    <a:blip r:embed="rId10"/>
                    <a:stretch>
                      <a:fillRect/>
                    </a:stretch>
                  </pic:blipFill>
                  <pic:spPr>
                    <a:xfrm>
                      <a:off x="0" y="0"/>
                      <a:ext cx="4829175" cy="2759710"/>
                    </a:xfrm>
                    <a:prstGeom prst="rect">
                      <a:avLst/>
                    </a:prstGeom>
                  </pic:spPr>
                </pic:pic>
              </a:graphicData>
            </a:graphic>
          </wp:inline>
        </w:drawing>
      </w:r>
    </w:p>
    <w:p w14:paraId="2CCA53EF">
      <w:pPr>
        <w:spacing w:line="600" w:lineRule="exact"/>
        <w:jc w:val="center"/>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099605DA">
      <w:pPr>
        <w:pStyle w:val="26"/>
        <w:numPr>
          <w:ilvl w:val="0"/>
          <w:numId w:val="1"/>
        </w:numPr>
        <w:spacing w:line="600" w:lineRule="exact"/>
        <w:ind w:firstLineChars="0"/>
        <w:outlineLvl w:val="1"/>
        <w:rPr>
          <w:rStyle w:val="28"/>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6804AD36">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881.44</w:t>
      </w:r>
      <w:r>
        <w:rPr>
          <w:rFonts w:hint="eastAsia" w:ascii="仿宋" w:hAnsi="仿宋" w:eastAsia="仿宋"/>
          <w:sz w:val="32"/>
          <w:szCs w:val="32"/>
        </w:rPr>
        <w:t>万元，其中：一般公共预算财政拨款收入</w:t>
      </w:r>
      <w:r>
        <w:rPr>
          <w:rFonts w:ascii="仿宋" w:hAnsi="仿宋" w:eastAsia="仿宋"/>
          <w:b/>
          <w:sz w:val="32"/>
          <w:szCs w:val="32"/>
        </w:rPr>
        <w:t>41.4</w:t>
      </w:r>
      <w:r>
        <w:rPr>
          <w:rFonts w:hint="eastAsia" w:ascii="仿宋" w:hAnsi="仿宋" w:eastAsia="仿宋"/>
          <w:sz w:val="32"/>
          <w:szCs w:val="32"/>
        </w:rPr>
        <w:t>万元，占</w:t>
      </w:r>
      <w:r>
        <w:rPr>
          <w:rFonts w:ascii="仿宋" w:hAnsi="仿宋" w:eastAsia="仿宋"/>
          <w:b/>
          <w:sz w:val="32"/>
          <w:szCs w:val="32"/>
        </w:rPr>
        <w:t>4.69%</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836.38</w:t>
      </w:r>
      <w:r>
        <w:rPr>
          <w:rFonts w:hint="eastAsia" w:ascii="仿宋" w:hAnsi="仿宋" w:eastAsia="仿宋"/>
          <w:sz w:val="32"/>
          <w:szCs w:val="32"/>
        </w:rPr>
        <w:t>万元，占</w:t>
      </w:r>
      <w:r>
        <w:rPr>
          <w:rFonts w:ascii="仿宋" w:hAnsi="仿宋" w:eastAsia="仿宋"/>
          <w:b/>
          <w:sz w:val="32"/>
          <w:szCs w:val="32"/>
        </w:rPr>
        <w:t>94.88</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3.65</w:t>
      </w:r>
      <w:r>
        <w:rPr>
          <w:rFonts w:hint="eastAsia" w:ascii="仿宋" w:hAnsi="仿宋" w:eastAsia="仿宋"/>
          <w:sz w:val="32"/>
          <w:szCs w:val="32"/>
        </w:rPr>
        <w:t>万元，占</w:t>
      </w:r>
      <w:r>
        <w:rPr>
          <w:rFonts w:ascii="仿宋" w:hAnsi="仿宋" w:eastAsia="仿宋"/>
          <w:b/>
          <w:sz w:val="32"/>
          <w:szCs w:val="32"/>
        </w:rPr>
        <w:t>0.41</w:t>
      </w:r>
      <w:r>
        <w:rPr>
          <w:rFonts w:ascii="仿宋" w:hAnsi="仿宋" w:eastAsia="仿宋"/>
          <w:sz w:val="32"/>
          <w:szCs w:val="32"/>
        </w:rPr>
        <w:t>%</w:t>
      </w:r>
    </w:p>
    <w:p w14:paraId="2AB1EAB7">
      <w:pPr>
        <w:pStyle w:val="2"/>
        <w:jc w:val="center"/>
        <w:rPr>
          <w:rFonts w:ascii="仿宋" w:hAnsi="仿宋" w:eastAsia="仿宋"/>
          <w:sz w:val="32"/>
          <w:szCs w:val="32"/>
        </w:rPr>
      </w:pPr>
      <w:r>
        <w:rPr>
          <w:rFonts w:hint="eastAsia" w:ascii="仿宋" w:hAnsi="仿宋" w:eastAsia="仿宋"/>
          <w:sz w:val="32"/>
          <w:szCs w:val="32"/>
          <w:lang w:eastAsia="zh-CN"/>
        </w:rPr>
        <w:drawing>
          <wp:inline distT="0" distB="0" distL="114300" distR="114300">
            <wp:extent cx="4615180" cy="2632075"/>
            <wp:effectExtent l="0" t="0" r="13970" b="15875"/>
            <wp:docPr id="8" name="图片 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
                    <pic:cNvPicPr>
                      <a:picLocks noChangeAspect="1"/>
                    </pic:cNvPicPr>
                  </pic:nvPicPr>
                  <pic:blipFill>
                    <a:blip r:embed="rId11"/>
                    <a:stretch>
                      <a:fillRect/>
                    </a:stretch>
                  </pic:blipFill>
                  <pic:spPr>
                    <a:xfrm>
                      <a:off x="0" y="0"/>
                      <a:ext cx="4615180" cy="2632075"/>
                    </a:xfrm>
                    <a:prstGeom prst="rect">
                      <a:avLst/>
                    </a:prstGeom>
                  </pic:spPr>
                </pic:pic>
              </a:graphicData>
            </a:graphic>
          </wp:inline>
        </w:drawing>
      </w:r>
    </w:p>
    <w:p w14:paraId="69F63290">
      <w:pPr>
        <w:spacing w:line="600" w:lineRule="exact"/>
        <w:jc w:val="center"/>
        <w:rPr>
          <w:rFonts w:ascii="仿宋_GB2312" w:eastAsia="仿宋_GB2312"/>
          <w:sz w:val="32"/>
          <w:szCs w:val="32"/>
        </w:rPr>
      </w:pPr>
      <w:r>
        <w:rPr>
          <w:rFonts w:hint="eastAsia" w:ascii="仿宋" w:hAnsi="仿宋" w:eastAsia="仿宋"/>
          <w:sz w:val="32"/>
          <w:szCs w:val="32"/>
        </w:rPr>
        <w:t>图2：收入决算结构图</w:t>
      </w:r>
    </w:p>
    <w:p w14:paraId="70421026">
      <w:pPr>
        <w:pStyle w:val="26"/>
        <w:numPr>
          <w:ilvl w:val="0"/>
          <w:numId w:val="1"/>
        </w:numPr>
        <w:spacing w:line="600" w:lineRule="exact"/>
        <w:ind w:firstLineChars="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4A46BEDB">
      <w:pPr>
        <w:spacing w:line="600" w:lineRule="exact"/>
        <w:ind w:firstLine="640" w:firstLineChars="200"/>
        <w:outlineLvl w:val="1"/>
        <w:rPr>
          <w:rFonts w:hint="eastAsia" w:ascii="仿宋" w:hAnsi="仿宋" w:eastAsia="仿宋"/>
          <w:sz w:val="32"/>
          <w:szCs w:val="32"/>
          <w:shd w:val="pct10" w:color="auto" w:fill="FFFFFF"/>
          <w:lang w:eastAsia="zh-CN"/>
        </w:rPr>
      </w:pPr>
      <w:r>
        <w:rPr>
          <w:rFonts w:hint="eastAsia" w:ascii="仿宋" w:hAnsi="仿宋" w:eastAsia="仿宋"/>
          <w:sz w:val="32"/>
          <w:szCs w:val="32"/>
        </w:rPr>
        <w:t>2023年度本年支出合计</w:t>
      </w:r>
      <w:r>
        <w:rPr>
          <w:rFonts w:ascii="仿宋" w:hAnsi="仿宋" w:eastAsia="仿宋"/>
          <w:b/>
          <w:sz w:val="32"/>
          <w:szCs w:val="32"/>
        </w:rPr>
        <w:t>827.74</w:t>
      </w:r>
      <w:r>
        <w:rPr>
          <w:rFonts w:hint="eastAsia" w:ascii="仿宋" w:hAnsi="仿宋" w:eastAsia="仿宋"/>
          <w:sz w:val="32"/>
          <w:szCs w:val="32"/>
        </w:rPr>
        <w:t>万元，其中：基本支出</w:t>
      </w:r>
      <w:r>
        <w:rPr>
          <w:rFonts w:ascii="仿宋" w:hAnsi="仿宋" w:eastAsia="仿宋"/>
          <w:b/>
          <w:sz w:val="32"/>
          <w:szCs w:val="32"/>
        </w:rPr>
        <w:t>827.74</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212AD2EE">
      <w:pPr>
        <w:pStyle w:val="2"/>
        <w:jc w:val="center"/>
        <w:rPr>
          <w:rFonts w:hint="eastAsia" w:ascii="仿宋" w:hAnsi="仿宋" w:eastAsia="仿宋"/>
          <w:sz w:val="32"/>
          <w:szCs w:val="32"/>
          <w:shd w:val="pct10" w:color="auto" w:fill="FFFFFF"/>
          <w:lang w:eastAsia="zh-CN"/>
        </w:rPr>
      </w:pPr>
      <w:r>
        <w:rPr>
          <w:rFonts w:hint="eastAsia" w:ascii="仿宋" w:hAnsi="仿宋" w:eastAsia="仿宋"/>
          <w:sz w:val="32"/>
          <w:szCs w:val="32"/>
          <w:shd w:val="pct10" w:color="auto" w:fill="FFFFFF"/>
          <w:lang w:eastAsia="zh-CN"/>
        </w:rPr>
        <w:drawing>
          <wp:inline distT="0" distB="0" distL="114300" distR="114300">
            <wp:extent cx="4498340" cy="2556510"/>
            <wp:effectExtent l="0" t="0" r="16510" b="15240"/>
            <wp:docPr id="9" name="图片 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
                    <pic:cNvPicPr>
                      <a:picLocks noChangeAspect="1"/>
                    </pic:cNvPicPr>
                  </pic:nvPicPr>
                  <pic:blipFill>
                    <a:blip r:embed="rId12"/>
                    <a:stretch>
                      <a:fillRect/>
                    </a:stretch>
                  </pic:blipFill>
                  <pic:spPr>
                    <a:xfrm>
                      <a:off x="0" y="0"/>
                      <a:ext cx="4498340" cy="2556510"/>
                    </a:xfrm>
                    <a:prstGeom prst="rect">
                      <a:avLst/>
                    </a:prstGeom>
                  </pic:spPr>
                </pic:pic>
              </a:graphicData>
            </a:graphic>
          </wp:inline>
        </w:drawing>
      </w:r>
    </w:p>
    <w:p w14:paraId="6CC62E58">
      <w:pPr>
        <w:pStyle w:val="2"/>
        <w:jc w:val="center"/>
        <w:rPr>
          <w:rFonts w:ascii="仿宋_GB2312" w:eastAsia="仿宋_GB2312"/>
          <w:sz w:val="32"/>
          <w:szCs w:val="32"/>
        </w:rPr>
      </w:pPr>
      <w:r>
        <w:rPr>
          <w:rFonts w:hint="eastAsia" w:ascii="仿宋" w:hAnsi="仿宋" w:eastAsia="仿宋"/>
          <w:sz w:val="32"/>
          <w:szCs w:val="32"/>
        </w:rPr>
        <w:t>图3：支出决算结构图</w:t>
      </w:r>
    </w:p>
    <w:p w14:paraId="345A484C">
      <w:pPr>
        <w:spacing w:line="600" w:lineRule="exact"/>
        <w:ind w:firstLine="640" w:firstLineChars="200"/>
        <w:outlineLvl w:val="1"/>
        <w:rPr>
          <w:rStyle w:val="28"/>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65CA876B">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41.4</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41.4</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highlight w:val="none"/>
          <w:lang w:val="en-US" w:eastAsia="zh-CN"/>
        </w:rPr>
        <w:t>2023年乡镇卫生院启用预算一体化平台，全年指标下达在本单位</w:t>
      </w:r>
      <w:r>
        <w:rPr>
          <w:rFonts w:hint="eastAsia" w:ascii="仿宋" w:hAnsi="仿宋" w:eastAsia="仿宋"/>
          <w:sz w:val="32"/>
          <w:szCs w:val="32"/>
        </w:rPr>
        <w:t>。</w:t>
      </w:r>
    </w:p>
    <w:p w14:paraId="215F2E9B">
      <w:pPr>
        <w:pStyle w:val="2"/>
        <w:rPr>
          <w:rFonts w:hint="eastAsia" w:ascii="仿宋" w:hAnsi="仿宋" w:eastAsia="仿宋"/>
          <w:sz w:val="32"/>
          <w:szCs w:val="32"/>
        </w:rPr>
      </w:pPr>
      <w:r>
        <w:rPr>
          <w:rFonts w:hint="eastAsia" w:ascii="仿宋" w:hAnsi="仿宋" w:eastAsia="仿宋"/>
          <w:sz w:val="32"/>
          <w:szCs w:val="32"/>
          <w:lang w:eastAsia="zh-CN"/>
        </w:rPr>
        <w:drawing>
          <wp:inline distT="0" distB="0" distL="114300" distR="114300">
            <wp:extent cx="5257800" cy="3000375"/>
            <wp:effectExtent l="0" t="0" r="0" b="9525"/>
            <wp:docPr id="11" name="图片 1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
                    <pic:cNvPicPr>
                      <a:picLocks noChangeAspect="1"/>
                    </pic:cNvPicPr>
                  </pic:nvPicPr>
                  <pic:blipFill>
                    <a:blip r:embed="rId13"/>
                    <a:stretch>
                      <a:fillRect/>
                    </a:stretch>
                  </pic:blipFill>
                  <pic:spPr>
                    <a:xfrm>
                      <a:off x="0" y="0"/>
                      <a:ext cx="5257800" cy="3000375"/>
                    </a:xfrm>
                    <a:prstGeom prst="rect">
                      <a:avLst/>
                    </a:prstGeom>
                  </pic:spPr>
                </pic:pic>
              </a:graphicData>
            </a:graphic>
          </wp:inline>
        </w:drawing>
      </w:r>
    </w:p>
    <w:p w14:paraId="6879D0E0">
      <w:pPr>
        <w:spacing w:line="600" w:lineRule="exact"/>
        <w:ind w:firstLine="640" w:firstLineChars="200"/>
        <w:jc w:val="center"/>
        <w:rPr>
          <w:rFonts w:ascii="仿宋" w:hAnsi="仿宋" w:eastAsia="仿宋"/>
          <w:b/>
          <w:sz w:val="32"/>
          <w:szCs w:val="32"/>
        </w:rPr>
      </w:pPr>
      <w:r>
        <w:rPr>
          <w:rFonts w:hint="eastAsia" w:ascii="仿宋" w:hAnsi="仿宋" w:eastAsia="仿宋"/>
          <w:sz w:val="32"/>
          <w:szCs w:val="32"/>
        </w:rPr>
        <w:t>图4：财政拨款收、支决算总计变动情况</w:t>
      </w:r>
    </w:p>
    <w:p w14:paraId="31E5EC8F">
      <w:pPr>
        <w:spacing w:line="600" w:lineRule="exact"/>
        <w:ind w:firstLine="640" w:firstLineChars="200"/>
        <w:outlineLvl w:val="1"/>
        <w:rPr>
          <w:rStyle w:val="28"/>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7BEFD964">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47F6B8C5">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41.4</w:t>
      </w:r>
      <w:r>
        <w:rPr>
          <w:rFonts w:hint="eastAsia" w:ascii="仿宋" w:hAnsi="仿宋" w:eastAsia="仿宋"/>
          <w:sz w:val="32"/>
          <w:szCs w:val="32"/>
        </w:rPr>
        <w:t>万元，占本年支出合计的</w:t>
      </w:r>
      <w:r>
        <w:rPr>
          <w:rFonts w:ascii="仿宋" w:hAnsi="仿宋" w:eastAsia="仿宋"/>
          <w:b/>
          <w:sz w:val="32"/>
          <w:szCs w:val="32"/>
        </w:rPr>
        <w:t>5</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41.4</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highlight w:val="none"/>
          <w:lang w:val="en-US" w:eastAsia="zh-CN"/>
        </w:rPr>
        <w:t>2023年乡镇卫生院启用预算一体化平台，全年指标下达在本单位</w:t>
      </w:r>
      <w:r>
        <w:rPr>
          <w:rFonts w:hint="eastAsia" w:ascii="仿宋" w:hAnsi="仿宋" w:eastAsia="仿宋"/>
          <w:sz w:val="32"/>
          <w:szCs w:val="32"/>
        </w:rPr>
        <w:t>。</w:t>
      </w:r>
    </w:p>
    <w:p w14:paraId="409F5A26">
      <w:pPr>
        <w:spacing w:line="600" w:lineRule="exact"/>
        <w:ind w:firstLine="640" w:firstLineChars="200"/>
        <w:rPr>
          <w:rFonts w:ascii="仿宋" w:hAnsi="仿宋" w:eastAsia="仿宋"/>
          <w:sz w:val="32"/>
          <w:szCs w:val="32"/>
        </w:rPr>
      </w:pPr>
    </w:p>
    <w:p w14:paraId="7D0CE9BA">
      <w:pPr>
        <w:pStyle w:val="2"/>
        <w:rPr>
          <w:rFonts w:ascii="仿宋" w:hAnsi="仿宋" w:eastAsia="仿宋"/>
          <w:sz w:val="32"/>
          <w:szCs w:val="32"/>
        </w:rPr>
      </w:pPr>
    </w:p>
    <w:p w14:paraId="677CCC65">
      <w:pPr>
        <w:pStyle w:val="2"/>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271770" cy="2978150"/>
            <wp:effectExtent l="0" t="0" r="5080" b="12700"/>
            <wp:docPr id="12" name="图片 1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
                    <pic:cNvPicPr>
                      <a:picLocks noChangeAspect="1"/>
                    </pic:cNvPicPr>
                  </pic:nvPicPr>
                  <pic:blipFill>
                    <a:blip r:embed="rId14"/>
                    <a:stretch>
                      <a:fillRect/>
                    </a:stretch>
                  </pic:blipFill>
                  <pic:spPr>
                    <a:xfrm>
                      <a:off x="0" y="0"/>
                      <a:ext cx="5271770" cy="2978150"/>
                    </a:xfrm>
                    <a:prstGeom prst="rect">
                      <a:avLst/>
                    </a:prstGeom>
                  </pic:spPr>
                </pic:pic>
              </a:graphicData>
            </a:graphic>
          </wp:inline>
        </w:drawing>
      </w:r>
    </w:p>
    <w:p w14:paraId="7A1C3A6B">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图5：一般公共预算财政拨款支出决算变动情况</w:t>
      </w:r>
    </w:p>
    <w:p w14:paraId="0353DFD7">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5A142819">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41.4</w:t>
      </w:r>
      <w:r>
        <w:rPr>
          <w:rFonts w:hint="eastAsia" w:ascii="仿宋" w:hAnsi="仿宋" w:eastAsia="仿宋"/>
          <w:sz w:val="32"/>
          <w:szCs w:val="32"/>
        </w:rPr>
        <w:t>万元，主要用于以下方面</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5.76</w:t>
      </w:r>
      <w:r>
        <w:rPr>
          <w:rFonts w:hint="eastAsia" w:ascii="仿宋" w:hAnsi="仿宋" w:eastAsia="仿宋"/>
          <w:sz w:val="32"/>
          <w:szCs w:val="32"/>
        </w:rPr>
        <w:t>万元，占</w:t>
      </w:r>
      <w:r>
        <w:rPr>
          <w:rFonts w:hint="eastAsia" w:ascii="仿宋" w:hAnsi="仿宋" w:eastAsia="仿宋"/>
          <w:sz w:val="32"/>
          <w:szCs w:val="32"/>
          <w:lang w:val="en-US" w:eastAsia="zh-CN"/>
        </w:rPr>
        <w:t>13.91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35.64</w:t>
      </w:r>
      <w:r>
        <w:rPr>
          <w:rFonts w:hint="eastAsia" w:ascii="仿宋" w:hAnsi="仿宋" w:eastAsia="仿宋"/>
          <w:sz w:val="32"/>
          <w:szCs w:val="32"/>
        </w:rPr>
        <w:t>万元，占</w:t>
      </w:r>
      <w:r>
        <w:rPr>
          <w:rFonts w:hint="eastAsia" w:ascii="仿宋" w:hAnsi="仿宋" w:eastAsia="仿宋"/>
          <w:sz w:val="32"/>
          <w:szCs w:val="32"/>
          <w:lang w:val="en-US" w:eastAsia="zh-CN"/>
        </w:rPr>
        <w:t>86.09</w:t>
      </w:r>
      <w:r>
        <w:rPr>
          <w:rFonts w:ascii="仿宋" w:hAnsi="仿宋" w:eastAsia="仿宋"/>
          <w:sz w:val="32"/>
          <w:szCs w:val="32"/>
        </w:rPr>
        <w:t>%</w:t>
      </w:r>
      <w:r>
        <w:rPr>
          <w:rFonts w:hint="eastAsia" w:ascii="仿宋" w:hAnsi="仿宋" w:eastAsia="仿宋"/>
          <w:sz w:val="32"/>
          <w:szCs w:val="32"/>
        </w:rPr>
        <w:t>。</w:t>
      </w:r>
    </w:p>
    <w:p w14:paraId="5761FBCD">
      <w:pPr>
        <w:pStyle w:val="2"/>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274310" cy="3029585"/>
            <wp:effectExtent l="0" t="0" r="13970" b="3175"/>
            <wp:docPr id="3" name="图片 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
                    <pic:cNvPicPr>
                      <a:picLocks noChangeAspect="1"/>
                    </pic:cNvPicPr>
                  </pic:nvPicPr>
                  <pic:blipFill>
                    <a:blip r:embed="rId15"/>
                    <a:stretch>
                      <a:fillRect/>
                    </a:stretch>
                  </pic:blipFill>
                  <pic:spPr>
                    <a:xfrm>
                      <a:off x="0" y="0"/>
                      <a:ext cx="5274310" cy="3029585"/>
                    </a:xfrm>
                    <a:prstGeom prst="rect">
                      <a:avLst/>
                    </a:prstGeom>
                  </pic:spPr>
                </pic:pic>
              </a:graphicData>
            </a:graphic>
          </wp:inline>
        </w:drawing>
      </w:r>
    </w:p>
    <w:p w14:paraId="64920497">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14:paraId="2D619EED">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493864B1">
      <w:pPr>
        <w:spacing w:line="600" w:lineRule="exact"/>
        <w:ind w:firstLine="643" w:firstLineChars="200"/>
        <w:outlineLvl w:val="2"/>
        <w:rPr>
          <w:rFonts w:ascii="仿宋" w:hAnsi="仿宋" w:eastAsia="仿宋"/>
          <w:sz w:val="32"/>
          <w:szCs w:val="32"/>
        </w:rPr>
      </w:pPr>
      <w:bookmarkStart w:id="31" w:name="_Toc15377444"/>
      <w:bookmarkStart w:id="32" w:name="_Toc15377213"/>
      <w:bookmarkStart w:id="33" w:name="_Toc15378460"/>
      <w:r>
        <w:rPr>
          <w:rFonts w:hint="eastAsia" w:ascii="仿宋" w:hAnsi="仿宋" w:eastAsia="仿宋"/>
          <w:b/>
          <w:sz w:val="32"/>
          <w:szCs w:val="32"/>
        </w:rPr>
        <w:t>2023年度一般公共预算支出决算数为</w:t>
      </w:r>
      <w:r>
        <w:rPr>
          <w:rFonts w:ascii="仿宋" w:hAnsi="仿宋" w:eastAsia="仿宋"/>
          <w:b/>
          <w:sz w:val="32"/>
          <w:szCs w:val="32"/>
        </w:rPr>
        <w:t>41.4</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14:paraId="016FF6A3">
      <w:pPr>
        <w:spacing w:line="600" w:lineRule="exact"/>
        <w:ind w:firstLine="643" w:firstLineChars="200"/>
        <w:rPr>
          <w:rFonts w:ascii="仿宋" w:hAnsi="仿宋" w:eastAsia="仿宋"/>
          <w:b/>
          <w:sz w:val="32"/>
          <w:szCs w:val="32"/>
        </w:rPr>
      </w:pPr>
      <w:r>
        <w:rPr>
          <w:rStyle w:val="16"/>
          <w:rFonts w:hint="eastAsia" w:ascii="仿宋" w:hAnsi="仿宋" w:eastAsia="仿宋"/>
          <w:bCs/>
          <w:sz w:val="32"/>
          <w:szCs w:val="32"/>
          <w:lang w:val="en-US" w:eastAsia="zh-CN"/>
        </w:rPr>
        <w:t>1</w:t>
      </w:r>
      <w:r>
        <w:rPr>
          <w:rStyle w:val="16"/>
          <w:rFonts w:ascii="仿宋" w:hAnsi="仿宋" w:eastAsia="仿宋"/>
          <w:bCs/>
          <w:sz w:val="32"/>
          <w:szCs w:val="32"/>
        </w:rPr>
        <w:t>.</w:t>
      </w:r>
      <w:r>
        <w:rPr>
          <w:rStyle w:val="16"/>
          <w:rFonts w:hint="eastAsia" w:ascii="仿宋" w:hAnsi="仿宋" w:eastAsia="仿宋"/>
          <w:bCs/>
          <w:sz w:val="32"/>
          <w:szCs w:val="32"/>
        </w:rPr>
        <w:t>社会保障和就业（</w:t>
      </w:r>
      <w:r>
        <w:rPr>
          <w:rStyle w:val="16"/>
          <w:rFonts w:hint="eastAsia" w:ascii="仿宋" w:hAnsi="仿宋" w:eastAsia="仿宋"/>
          <w:bCs/>
          <w:sz w:val="32"/>
          <w:szCs w:val="32"/>
          <w:lang w:val="en-US" w:eastAsia="zh-CN"/>
        </w:rPr>
        <w:t>208</w:t>
      </w:r>
      <w:r>
        <w:rPr>
          <w:rStyle w:val="16"/>
          <w:rFonts w:hint="eastAsia" w:ascii="仿宋" w:hAnsi="仿宋" w:eastAsia="仿宋"/>
          <w:bCs/>
          <w:sz w:val="32"/>
          <w:szCs w:val="32"/>
        </w:rPr>
        <w:t>）行政事业单位养老支出（</w:t>
      </w:r>
      <w:r>
        <w:rPr>
          <w:rStyle w:val="16"/>
          <w:rFonts w:hint="eastAsia" w:ascii="仿宋" w:hAnsi="仿宋" w:eastAsia="仿宋"/>
          <w:bCs/>
          <w:sz w:val="32"/>
          <w:szCs w:val="32"/>
          <w:lang w:val="en-US" w:eastAsia="zh-CN"/>
        </w:rPr>
        <w:t>05</w:t>
      </w:r>
      <w:r>
        <w:rPr>
          <w:rStyle w:val="16"/>
          <w:rFonts w:hint="eastAsia" w:ascii="仿宋" w:hAnsi="仿宋" w:eastAsia="仿宋"/>
          <w:bCs/>
          <w:sz w:val="32"/>
          <w:szCs w:val="32"/>
        </w:rPr>
        <w:t>）其他行政事业单位养老支出（</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5.76</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625AF599">
      <w:pPr>
        <w:spacing w:line="600" w:lineRule="exact"/>
        <w:ind w:firstLine="643" w:firstLineChars="200"/>
        <w:rPr>
          <w:rFonts w:ascii="仿宋" w:hAnsi="仿宋" w:eastAsia="仿宋"/>
          <w:b/>
          <w:sz w:val="32"/>
          <w:szCs w:val="32"/>
        </w:rPr>
      </w:pPr>
      <w:r>
        <w:rPr>
          <w:rStyle w:val="16"/>
          <w:rFonts w:hint="eastAsia" w:ascii="仿宋" w:hAnsi="仿宋" w:eastAsia="仿宋"/>
          <w:bCs/>
          <w:sz w:val="32"/>
          <w:szCs w:val="32"/>
          <w:lang w:val="en-US" w:eastAsia="zh-CN"/>
        </w:rPr>
        <w:t>2</w:t>
      </w:r>
      <w:r>
        <w:rPr>
          <w:rStyle w:val="16"/>
          <w:rFonts w:ascii="仿宋" w:hAnsi="仿宋" w:eastAsia="仿宋"/>
          <w:bCs/>
          <w:sz w:val="32"/>
          <w:szCs w:val="32"/>
        </w:rPr>
        <w:t>.</w:t>
      </w:r>
      <w:r>
        <w:rPr>
          <w:rFonts w:hint="eastAsia" w:ascii="仿宋" w:hAnsi="仿宋" w:eastAsia="仿宋"/>
          <w:b/>
          <w:bCs/>
          <w:sz w:val="32"/>
          <w:szCs w:val="32"/>
        </w:rPr>
        <w:t>卫生健康</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210</w:t>
      </w:r>
      <w:r>
        <w:rPr>
          <w:rStyle w:val="16"/>
          <w:rFonts w:hint="eastAsia" w:ascii="仿宋" w:hAnsi="仿宋" w:eastAsia="仿宋"/>
          <w:bCs/>
          <w:sz w:val="32"/>
          <w:szCs w:val="32"/>
        </w:rPr>
        <w:t>）基层医疗卫生机构（</w:t>
      </w:r>
      <w:r>
        <w:rPr>
          <w:rStyle w:val="16"/>
          <w:rFonts w:hint="eastAsia" w:ascii="仿宋" w:hAnsi="仿宋" w:eastAsia="仿宋"/>
          <w:bCs/>
          <w:sz w:val="32"/>
          <w:szCs w:val="32"/>
          <w:lang w:val="en-US" w:eastAsia="zh-CN"/>
        </w:rPr>
        <w:t>03</w:t>
      </w:r>
      <w:r>
        <w:rPr>
          <w:rStyle w:val="16"/>
          <w:rFonts w:hint="eastAsia" w:ascii="仿宋" w:hAnsi="仿宋" w:eastAsia="仿宋"/>
          <w:bCs/>
          <w:sz w:val="32"/>
          <w:szCs w:val="32"/>
        </w:rPr>
        <w:t>）乡镇卫生院（</w:t>
      </w:r>
      <w:r>
        <w:rPr>
          <w:rStyle w:val="16"/>
          <w:rFonts w:hint="eastAsia" w:ascii="仿宋" w:hAnsi="仿宋" w:eastAsia="仿宋"/>
          <w:bCs/>
          <w:sz w:val="32"/>
          <w:szCs w:val="32"/>
          <w:lang w:val="en-US" w:eastAsia="zh-CN"/>
        </w:rPr>
        <w:t>02</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35.64</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246526D7">
      <w:pPr>
        <w:tabs>
          <w:tab w:val="right" w:pos="8306"/>
        </w:tabs>
        <w:spacing w:line="600" w:lineRule="exact"/>
        <w:ind w:firstLine="640"/>
        <w:outlineLvl w:val="1"/>
        <w:rPr>
          <w:rStyle w:val="28"/>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0DE0F38A">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41.4</w:t>
      </w:r>
      <w:r>
        <w:rPr>
          <w:rFonts w:hint="eastAsia" w:ascii="仿宋" w:hAnsi="仿宋" w:eastAsia="仿宋"/>
          <w:sz w:val="32"/>
          <w:szCs w:val="32"/>
        </w:rPr>
        <w:t>万元，其中：</w:t>
      </w:r>
    </w:p>
    <w:p w14:paraId="2830A9E1">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41.4</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0</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29D42183">
      <w:pPr>
        <w:spacing w:line="600" w:lineRule="exact"/>
        <w:ind w:firstLine="640"/>
        <w:outlineLvl w:val="1"/>
        <w:rPr>
          <w:rStyle w:val="28"/>
          <w:rFonts w:ascii="黑体" w:hAnsi="黑体" w:eastAsia="黑体"/>
          <w:b w:val="0"/>
        </w:rPr>
      </w:pPr>
      <w:bookmarkStart w:id="36" w:name="_Toc15377215"/>
      <w:bookmarkStart w:id="37"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36DA4D79">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6D7C2981">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w:t>
      </w:r>
    </w:p>
    <w:p w14:paraId="3A24B531">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29F43AC1">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14:paraId="6F6919D1">
      <w:pPr>
        <w:numPr>
          <w:ilvl w:val="0"/>
          <w:numId w:val="2"/>
        </w:numPr>
        <w:spacing w:line="600" w:lineRule="exact"/>
        <w:ind w:firstLine="640"/>
        <w:rPr>
          <w:rFonts w:hint="eastAsia" w:ascii="仿宋_GB2312" w:eastAsia="仿宋_GB2312"/>
          <w:sz w:val="32"/>
          <w:szCs w:val="32"/>
        </w:rPr>
      </w:pPr>
      <w:bookmarkStart w:id="40" w:name="_Toc15377218"/>
      <w:bookmarkStart w:id="41" w:name="_Toc15396610"/>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p>
    <w:p w14:paraId="1B617A42">
      <w:pPr>
        <w:numPr>
          <w:numId w:val="0"/>
        </w:numPr>
        <w:spacing w:line="600" w:lineRule="exact"/>
        <w:ind w:firstLine="643" w:firstLineChars="20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6E413283">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w:t>
      </w:r>
    </w:p>
    <w:p w14:paraId="003685C4">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6E5DF006">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0%</w:t>
      </w:r>
      <w:r>
        <w:rPr>
          <w:rStyle w:val="16"/>
          <w:rFonts w:hint="eastAsia" w:ascii="仿宋" w:hAnsi="仿宋" w:eastAsia="仿宋"/>
          <w:b w:val="0"/>
          <w:bCs/>
          <w:sz w:val="32"/>
          <w:szCs w:val="32"/>
        </w:rPr>
        <w:t>。</w:t>
      </w: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w:t>
      </w:r>
    </w:p>
    <w:p w14:paraId="7669734B">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p>
    <w:p w14:paraId="031AF87A">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6829AA4F">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48E65DCC">
      <w:pPr>
        <w:numPr>
          <w:ilvl w:val="0"/>
          <w:numId w:val="3"/>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14:paraId="3821D73B">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7B932C23">
      <w:pPr>
        <w:numPr>
          <w:ilvl w:val="0"/>
          <w:numId w:val="3"/>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14:paraId="324A68A2">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5F3ED3C9">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大竹县童家镇卫生院</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w:t>
      </w:r>
    </w:p>
    <w:p w14:paraId="1834C10A">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068D85DE">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大竹县童家镇卫生院</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w:t>
      </w:r>
    </w:p>
    <w:p w14:paraId="2CCB3012">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0F450813">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大竹县童家镇卫生院</w:t>
      </w:r>
      <w:r>
        <w:rPr>
          <w:rFonts w:hint="eastAsia" w:ascii="仿宋_GB2312" w:eastAsia="仿宋_GB2312"/>
          <w:sz w:val="32"/>
          <w:szCs w:val="32"/>
        </w:rPr>
        <w:t>共有车辆</w:t>
      </w:r>
      <w:r>
        <w:rPr>
          <w:rFonts w:hint="eastAsia" w:ascii="仿宋_GB2312" w:eastAsia="仿宋_GB2312"/>
          <w:b/>
          <w:sz w:val="32"/>
          <w:szCs w:val="32"/>
        </w:rPr>
        <w:t>1</w:t>
      </w:r>
      <w:r>
        <w:rPr>
          <w:rFonts w:hint="eastAsia" w:ascii="仿宋_GB2312" w:eastAsia="仿宋_GB2312"/>
          <w:sz w:val="32"/>
          <w:szCs w:val="32"/>
        </w:rPr>
        <w:t>辆，其中：</w:t>
      </w:r>
      <w:r>
        <w:rPr>
          <w:rFonts w:hint="eastAsia" w:ascii="仿宋_GB2312" w:eastAsia="仿宋_GB2312"/>
          <w:color w:val="auto"/>
          <w:sz w:val="32"/>
          <w:szCs w:val="32"/>
          <w:highlight w:val="none"/>
        </w:rPr>
        <w:t>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w:t>
      </w:r>
      <w:r>
        <w:rPr>
          <w:rFonts w:hint="default" w:ascii="Times New Roman" w:hAnsi="Times New Roman" w:eastAsia="仿宋_GB2312" w:cs="Times New Roman"/>
          <w:color w:val="auto"/>
          <w:sz w:val="32"/>
          <w:szCs w:val="32"/>
          <w:highlight w:val="none"/>
          <w:lang w:eastAsia="zh-CN"/>
        </w:rPr>
        <w:t>用于接送危急病人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w:t>
      </w:r>
    </w:p>
    <w:p w14:paraId="02D3FF26">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31BA532D">
      <w:pPr>
        <w:pStyle w:val="2"/>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w:t>
      </w:r>
      <w:r>
        <w:rPr>
          <w:rFonts w:hint="eastAsia" w:hAnsi="仿宋_GB2312" w:cs="仿宋_GB2312"/>
          <w:color w:val="auto"/>
          <w:sz w:val="32"/>
          <w:szCs w:val="32"/>
          <w:highlight w:val="none"/>
          <w:lang w:eastAsia="zh-CN"/>
        </w:rPr>
        <w:t>为二级预算单位，</w:t>
      </w:r>
      <w:r>
        <w:rPr>
          <w:rFonts w:hint="eastAsia" w:ascii="仿宋_GB2312" w:hAnsi="仿宋_GB2312" w:eastAsia="仿宋_GB2312" w:cs="仿宋_GB2312"/>
          <w:color w:val="auto"/>
          <w:sz w:val="32"/>
          <w:szCs w:val="32"/>
          <w:highlight w:val="none"/>
        </w:rPr>
        <w:t>202</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年度预算编制阶段，</w:t>
      </w:r>
      <w:r>
        <w:rPr>
          <w:rFonts w:hint="eastAsia" w:hAnsi="仿宋_GB2312" w:cs="仿宋_GB2312"/>
          <w:color w:val="auto"/>
          <w:sz w:val="32"/>
          <w:szCs w:val="32"/>
          <w:highlight w:val="none"/>
          <w:lang w:eastAsia="zh-CN"/>
        </w:rPr>
        <w:t>未</w:t>
      </w:r>
      <w:r>
        <w:rPr>
          <w:rFonts w:hint="eastAsia" w:ascii="仿宋_GB2312" w:hAnsi="仿宋_GB2312" w:eastAsia="仿宋_GB2312" w:cs="仿宋_GB2312"/>
          <w:color w:val="auto"/>
          <w:sz w:val="32"/>
          <w:szCs w:val="32"/>
          <w:highlight w:val="none"/>
        </w:rPr>
        <w:t>开展绩效</w:t>
      </w:r>
      <w:r>
        <w:rPr>
          <w:rFonts w:hint="eastAsia" w:hAnsi="仿宋_GB2312" w:cs="仿宋_GB2312"/>
          <w:color w:val="auto"/>
          <w:sz w:val="32"/>
          <w:szCs w:val="32"/>
          <w:highlight w:val="none"/>
          <w:lang w:eastAsia="zh-CN"/>
        </w:rPr>
        <w:t>评价</w:t>
      </w:r>
      <w:r>
        <w:rPr>
          <w:rFonts w:hint="eastAsia" w:ascii="仿宋_GB2312" w:hAnsi="仿宋_GB2312" w:eastAsia="仿宋_GB2312" w:cs="仿宋_GB2312"/>
          <w:color w:val="auto"/>
          <w:sz w:val="32"/>
          <w:szCs w:val="32"/>
          <w:highlight w:val="none"/>
        </w:rPr>
        <w:t>。</w:t>
      </w:r>
    </w:p>
    <w:p w14:paraId="70D7072D">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0702C100">
      <w:pPr>
        <w:numPr>
          <w:ilvl w:val="0"/>
          <w:numId w:val="4"/>
        </w:numPr>
        <w:spacing w:line="600" w:lineRule="exact"/>
        <w:ind w:firstLine="660" w:firstLineChars="150"/>
        <w:jc w:val="center"/>
        <w:outlineLvl w:val="0"/>
        <w:rPr>
          <w:rStyle w:val="2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38AF6CBE">
      <w:pPr>
        <w:spacing w:line="600" w:lineRule="exact"/>
        <w:jc w:val="left"/>
        <w:rPr>
          <w:rFonts w:ascii="宋体"/>
          <w:b/>
          <w:sz w:val="44"/>
          <w:szCs w:val="44"/>
        </w:rPr>
      </w:pPr>
    </w:p>
    <w:p w14:paraId="650887DA">
      <w:pPr>
        <w:pStyle w:val="25"/>
        <w:spacing w:line="560" w:lineRule="exact"/>
        <w:ind w:firstLine="640" w:firstLineChars="200"/>
        <w:rPr>
          <w:rFonts w:ascii="仿宋_GB2312" w:eastAsia="仿宋_GB2312"/>
          <w:color w:val="auto"/>
          <w:sz w:val="32"/>
          <w:szCs w:val="32"/>
          <w:highlight w:val="none"/>
        </w:rPr>
      </w:pPr>
      <w:bookmarkStart w:id="51" w:name="_Toc15396614"/>
      <w:bookmarkStart w:id="52" w:name="_Toc15377226"/>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0ACA87C0">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14:paraId="4CA1B087">
      <w:pPr>
        <w:pStyle w:val="25"/>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14:paraId="0BD2F80A">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p>
    <w:p w14:paraId="46492811">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14:paraId="220F12D2">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274CE3C9">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14:paraId="653187A0">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14:paraId="6AB2CADE">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24C6CEDB">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62270935">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14:paraId="0D2CED06">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69A4B3B">
      <w:pPr>
        <w:pStyle w:val="25"/>
        <w:spacing w:line="560" w:lineRule="exact"/>
        <w:ind w:firstLine="640" w:firstLineChars="200"/>
        <w:rPr>
          <w:rFonts w:ascii="仿宋_GB2312" w:eastAsia="仿宋_GB2312" w:cs="黑体"/>
          <w:color w:val="auto"/>
          <w:sz w:val="32"/>
          <w:szCs w:val="32"/>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3040419">
      <w:pPr>
        <w:spacing w:line="600" w:lineRule="exact"/>
        <w:jc w:val="center"/>
        <w:outlineLvl w:val="0"/>
        <w:rPr>
          <w:rFonts w:hint="eastAsia" w:ascii="黑体" w:hAnsi="黑体" w:eastAsia="黑体"/>
          <w:sz w:val="44"/>
          <w:szCs w:val="44"/>
        </w:rPr>
      </w:pPr>
    </w:p>
    <w:p w14:paraId="40DE5E57">
      <w:pPr>
        <w:spacing w:line="600" w:lineRule="exact"/>
        <w:jc w:val="center"/>
        <w:outlineLvl w:val="0"/>
        <w:rPr>
          <w:rFonts w:hint="eastAsia" w:ascii="黑体" w:hAnsi="黑体" w:eastAsia="黑体"/>
          <w:sz w:val="44"/>
          <w:szCs w:val="44"/>
        </w:rPr>
      </w:pPr>
    </w:p>
    <w:p w14:paraId="55D1AB3E">
      <w:pPr>
        <w:spacing w:line="600" w:lineRule="exact"/>
        <w:jc w:val="center"/>
        <w:outlineLvl w:val="0"/>
        <w:rPr>
          <w:rFonts w:hint="eastAsia" w:ascii="黑体" w:hAnsi="黑体" w:eastAsia="黑体"/>
          <w:sz w:val="44"/>
          <w:szCs w:val="44"/>
        </w:rPr>
      </w:pPr>
    </w:p>
    <w:p w14:paraId="13FFDD69">
      <w:pPr>
        <w:spacing w:line="600" w:lineRule="exact"/>
        <w:jc w:val="center"/>
        <w:outlineLvl w:val="0"/>
        <w:rPr>
          <w:rFonts w:hint="eastAsia" w:ascii="黑体" w:hAnsi="黑体" w:eastAsia="黑体"/>
          <w:sz w:val="44"/>
          <w:szCs w:val="44"/>
        </w:rPr>
      </w:pPr>
    </w:p>
    <w:p w14:paraId="63A3289A">
      <w:pPr>
        <w:spacing w:line="600" w:lineRule="exact"/>
        <w:jc w:val="center"/>
        <w:outlineLvl w:val="0"/>
        <w:rPr>
          <w:rFonts w:hint="eastAsia" w:ascii="黑体" w:hAnsi="黑体" w:eastAsia="黑体"/>
          <w:sz w:val="44"/>
          <w:szCs w:val="44"/>
        </w:rPr>
      </w:pPr>
    </w:p>
    <w:p w14:paraId="0E2F3934">
      <w:pPr>
        <w:spacing w:line="600" w:lineRule="exact"/>
        <w:jc w:val="center"/>
        <w:outlineLvl w:val="0"/>
        <w:rPr>
          <w:rFonts w:hint="eastAsia" w:ascii="黑体" w:hAnsi="黑体" w:eastAsia="黑体"/>
          <w:sz w:val="44"/>
          <w:szCs w:val="44"/>
        </w:rPr>
      </w:pPr>
    </w:p>
    <w:p w14:paraId="1B3DF17E">
      <w:pPr>
        <w:spacing w:line="600" w:lineRule="exact"/>
        <w:jc w:val="center"/>
        <w:outlineLvl w:val="0"/>
        <w:rPr>
          <w:rFonts w:hint="eastAsia" w:ascii="黑体" w:hAnsi="黑体" w:eastAsia="黑体"/>
          <w:sz w:val="44"/>
          <w:szCs w:val="44"/>
        </w:rPr>
      </w:pPr>
    </w:p>
    <w:p w14:paraId="394E062D">
      <w:pPr>
        <w:spacing w:line="600" w:lineRule="exact"/>
        <w:jc w:val="center"/>
        <w:outlineLvl w:val="0"/>
        <w:rPr>
          <w:rFonts w:hint="eastAsia" w:ascii="黑体" w:hAnsi="黑体" w:eastAsia="黑体"/>
          <w:sz w:val="44"/>
          <w:szCs w:val="44"/>
        </w:rPr>
      </w:pPr>
    </w:p>
    <w:p w14:paraId="4964C4EC">
      <w:pPr>
        <w:spacing w:line="600" w:lineRule="exact"/>
        <w:jc w:val="center"/>
        <w:outlineLvl w:val="0"/>
        <w:rPr>
          <w:rFonts w:hint="eastAsia" w:ascii="黑体" w:hAnsi="黑体" w:eastAsia="黑体"/>
          <w:sz w:val="44"/>
          <w:szCs w:val="44"/>
        </w:rPr>
      </w:pPr>
    </w:p>
    <w:p w14:paraId="10243038">
      <w:pPr>
        <w:spacing w:line="600" w:lineRule="exact"/>
        <w:jc w:val="center"/>
        <w:outlineLvl w:val="0"/>
        <w:rPr>
          <w:rFonts w:hint="eastAsia" w:ascii="黑体" w:hAnsi="黑体" w:eastAsia="黑体"/>
          <w:sz w:val="44"/>
          <w:szCs w:val="44"/>
        </w:rPr>
      </w:pPr>
    </w:p>
    <w:p w14:paraId="4EEFBF03">
      <w:pPr>
        <w:spacing w:line="600" w:lineRule="exact"/>
        <w:jc w:val="center"/>
        <w:outlineLvl w:val="0"/>
        <w:rPr>
          <w:rFonts w:hint="eastAsia" w:ascii="黑体" w:hAnsi="黑体" w:eastAsia="黑体"/>
          <w:sz w:val="44"/>
          <w:szCs w:val="44"/>
        </w:rPr>
      </w:pPr>
    </w:p>
    <w:p w14:paraId="16FB2DE0">
      <w:pPr>
        <w:spacing w:line="600" w:lineRule="exact"/>
        <w:jc w:val="center"/>
        <w:outlineLvl w:val="0"/>
        <w:rPr>
          <w:rStyle w:val="27"/>
          <w:rFonts w:ascii="黑体" w:hAnsi="黑体" w:eastAsia="黑体"/>
          <w:b w:val="0"/>
        </w:rPr>
      </w:pPr>
      <w:r>
        <w:rPr>
          <w:rFonts w:hint="eastAsia" w:ascii="黑体" w:hAnsi="黑体" w:eastAsia="黑体"/>
          <w:sz w:val="44"/>
          <w:szCs w:val="44"/>
        </w:rPr>
        <w:t>第</w:t>
      </w:r>
      <w:r>
        <w:rPr>
          <w:rStyle w:val="27"/>
          <w:rFonts w:hint="eastAsia" w:ascii="黑体" w:hAnsi="黑体" w:eastAsia="黑体"/>
          <w:b w:val="0"/>
        </w:rPr>
        <w:t>四部分 附件</w:t>
      </w:r>
      <w:bookmarkEnd w:id="51"/>
    </w:p>
    <w:p w14:paraId="3F77F800">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bookmarkStart w:id="53" w:name="_Toc15396618"/>
    </w:p>
    <w:p w14:paraId="51B9CF71">
      <w:pPr>
        <w:spacing w:line="600" w:lineRule="exact"/>
        <w:jc w:val="center"/>
        <w:rPr>
          <w:rFonts w:hint="default" w:ascii="Times New Roman" w:hAnsi="Times New Roman" w:eastAsia="方正小标宋简体" w:cs="Times New Roman"/>
          <w:color w:val="000000"/>
          <w:kern w:val="0"/>
          <w:sz w:val="44"/>
          <w:szCs w:val="44"/>
          <w:lang w:eastAsia="zh-CN"/>
        </w:rPr>
      </w:pPr>
      <w:r>
        <w:rPr>
          <w:rFonts w:hint="default" w:ascii="Times New Roman" w:hAnsi="Times New Roman" w:eastAsia="方正小标宋简体" w:cs="Times New Roman"/>
          <w:color w:val="000000"/>
          <w:kern w:val="0"/>
          <w:sz w:val="44"/>
          <w:szCs w:val="44"/>
          <w:lang w:eastAsia="zh-CN"/>
        </w:rPr>
        <w:t>大竹县童家镇卫生院</w:t>
      </w:r>
    </w:p>
    <w:p w14:paraId="0B90341A">
      <w:pPr>
        <w:spacing w:line="600" w:lineRule="exact"/>
        <w:jc w:val="center"/>
        <w:rPr>
          <w:rFonts w:hint="default" w:ascii="Times New Roman" w:hAnsi="Times New Roman" w:cs="Times New Roman"/>
        </w:rPr>
      </w:pPr>
      <w:r>
        <w:rPr>
          <w:rFonts w:hint="default" w:ascii="Times New Roman" w:hAnsi="Times New Roman" w:eastAsia="方正小标宋简体" w:cs="Times New Roman"/>
          <w:color w:val="000000"/>
          <w:kern w:val="0"/>
          <w:sz w:val="44"/>
          <w:szCs w:val="44"/>
        </w:rPr>
        <w:t>20</w:t>
      </w:r>
      <w:r>
        <w:rPr>
          <w:rFonts w:hint="default" w:ascii="Times New Roman" w:hAnsi="Times New Roman" w:eastAsia="方正小标宋简体" w:cs="Times New Roman"/>
          <w:color w:val="000000"/>
          <w:kern w:val="0"/>
          <w:sz w:val="44"/>
          <w:szCs w:val="44"/>
          <w:lang w:val="en-US" w:eastAsia="zh-CN"/>
        </w:rPr>
        <w:t>2</w:t>
      </w:r>
      <w:r>
        <w:rPr>
          <w:rFonts w:hint="eastAsia" w:ascii="Times New Roman" w:hAnsi="Times New Roman" w:eastAsia="方正小标宋简体" w:cs="Times New Roman"/>
          <w:color w:val="000000"/>
          <w:kern w:val="0"/>
          <w:sz w:val="44"/>
          <w:szCs w:val="44"/>
          <w:lang w:val="en-US" w:eastAsia="zh-CN"/>
        </w:rPr>
        <w:t>2</w:t>
      </w:r>
      <w:r>
        <w:rPr>
          <w:rFonts w:hint="default" w:ascii="Times New Roman" w:hAnsi="Times New Roman" w:eastAsia="方正小标宋简体" w:cs="Times New Roman"/>
          <w:color w:val="000000"/>
          <w:kern w:val="0"/>
          <w:sz w:val="44"/>
          <w:szCs w:val="44"/>
        </w:rPr>
        <w:t>年部门</w:t>
      </w:r>
      <w:r>
        <w:rPr>
          <w:rFonts w:hint="default" w:ascii="Times New Roman" w:hAnsi="Times New Roman" w:eastAsia="方正小标宋简体" w:cs="Times New Roman"/>
          <w:color w:val="000000"/>
          <w:kern w:val="0"/>
          <w:sz w:val="44"/>
          <w:szCs w:val="44"/>
          <w:lang w:val="zh-CN"/>
        </w:rPr>
        <w:t>整体支出绩效评价报告</w:t>
      </w:r>
    </w:p>
    <w:p w14:paraId="191E7DA0">
      <w:pPr>
        <w:widowControl/>
        <w:adjustRightInd w:val="0"/>
        <w:snapToGrid w:val="0"/>
        <w:spacing w:line="580" w:lineRule="exact"/>
        <w:ind w:firstLine="640" w:firstLineChars="200"/>
        <w:contextualSpacing/>
        <w:jc w:val="left"/>
        <w:rPr>
          <w:rFonts w:hint="default" w:ascii="Times New Roman" w:hAnsi="Times New Roman" w:eastAsia="黑体" w:cs="Times New Roman"/>
          <w:color w:val="000000"/>
          <w:kern w:val="0"/>
          <w:sz w:val="32"/>
          <w:szCs w:val="32"/>
          <w:shd w:val="clear" w:color="auto" w:fill="FFFFFF"/>
          <w:lang w:val="zh-CN"/>
        </w:rPr>
      </w:pPr>
      <w:r>
        <w:rPr>
          <w:rFonts w:hint="default" w:ascii="Times New Roman" w:hAnsi="Times New Roman" w:eastAsia="黑体" w:cs="Times New Roman"/>
          <w:color w:val="000000"/>
          <w:kern w:val="0"/>
          <w:sz w:val="32"/>
          <w:szCs w:val="32"/>
          <w:shd w:val="clear" w:color="auto" w:fill="FFFFFF"/>
        </w:rPr>
        <w:t>一、</w:t>
      </w:r>
      <w:r>
        <w:rPr>
          <w:rFonts w:hint="default" w:ascii="Times New Roman" w:hAnsi="Times New Roman" w:eastAsia="黑体" w:cs="Times New Roman"/>
          <w:color w:val="000000"/>
          <w:kern w:val="0"/>
          <w:sz w:val="32"/>
          <w:szCs w:val="32"/>
          <w:shd w:val="clear" w:color="auto" w:fill="FFFFFF"/>
          <w:lang w:val="zh-CN"/>
        </w:rPr>
        <w:t>部门（单位）概况</w:t>
      </w:r>
    </w:p>
    <w:p w14:paraId="4BF1B8CD">
      <w:pPr>
        <w:widowControl/>
        <w:adjustRightInd w:val="0"/>
        <w:snapToGrid w:val="0"/>
        <w:spacing w:line="580" w:lineRule="exact"/>
        <w:ind w:firstLine="643" w:firstLineChars="200"/>
        <w:contextualSpacing/>
        <w:jc w:val="left"/>
        <w:rPr>
          <w:rFonts w:hint="default" w:ascii="Times New Roman" w:hAnsi="Times New Roman" w:eastAsia="楷体" w:cs="Times New Roman"/>
          <w:b/>
          <w:bCs/>
          <w:color w:val="000000"/>
          <w:kern w:val="0"/>
          <w:sz w:val="32"/>
          <w:szCs w:val="32"/>
          <w:shd w:val="clear" w:color="auto" w:fill="FFFFFF"/>
          <w:lang w:val="zh-CN"/>
        </w:rPr>
      </w:pPr>
      <w:r>
        <w:rPr>
          <w:rFonts w:hint="default" w:ascii="Times New Roman" w:hAnsi="Times New Roman" w:eastAsia="楷体" w:cs="Times New Roman"/>
          <w:b/>
          <w:bCs/>
          <w:color w:val="000000"/>
          <w:kern w:val="0"/>
          <w:sz w:val="32"/>
          <w:szCs w:val="32"/>
          <w:shd w:val="clear" w:color="auto" w:fill="FFFFFF"/>
          <w:lang w:val="zh-CN"/>
        </w:rPr>
        <w:t>（一）机构组成。</w:t>
      </w:r>
    </w:p>
    <w:p w14:paraId="69C00400">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en-US" w:eastAsia="zh-CN"/>
        </w:rPr>
        <w:t>大竹县童家镇卫生院为独立核算的二级预算单位。</w:t>
      </w:r>
    </w:p>
    <w:p w14:paraId="743E9B83">
      <w:pPr>
        <w:widowControl/>
        <w:numPr>
          <w:ilvl w:val="0"/>
          <w:numId w:val="5"/>
        </w:numPr>
        <w:adjustRightInd w:val="0"/>
        <w:snapToGrid w:val="0"/>
        <w:spacing w:line="580" w:lineRule="exact"/>
        <w:ind w:firstLine="643" w:firstLineChars="200"/>
        <w:contextualSpacing/>
        <w:jc w:val="left"/>
        <w:rPr>
          <w:rFonts w:hint="default" w:ascii="Times New Roman" w:hAnsi="Times New Roman" w:eastAsia="楷体" w:cs="Times New Roman"/>
          <w:b/>
          <w:bCs/>
          <w:color w:val="000000"/>
          <w:kern w:val="0"/>
          <w:sz w:val="32"/>
          <w:szCs w:val="32"/>
          <w:shd w:val="clear" w:color="auto" w:fill="FFFFFF"/>
          <w:lang w:val="zh-CN"/>
        </w:rPr>
      </w:pPr>
      <w:r>
        <w:rPr>
          <w:rFonts w:hint="default" w:ascii="Times New Roman" w:hAnsi="Times New Roman" w:eastAsia="楷体" w:cs="Times New Roman"/>
          <w:b/>
          <w:bCs/>
          <w:color w:val="000000"/>
          <w:kern w:val="0"/>
          <w:sz w:val="32"/>
          <w:szCs w:val="32"/>
          <w:shd w:val="clear" w:color="auto" w:fill="FFFFFF"/>
          <w:lang w:val="zh-CN"/>
        </w:rPr>
        <w:t>机构职能。</w:t>
      </w:r>
    </w:p>
    <w:p w14:paraId="0871FBEC">
      <w:pPr>
        <w:widowControl/>
        <w:numPr>
          <w:ilvl w:val="0"/>
          <w:numId w:val="0"/>
        </w:numPr>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sz w:val="32"/>
          <w:szCs w:val="32"/>
        </w:rPr>
        <w:t>为人民身体健康提供医疗与预防保健服务。常见病多发病护理、预防保健、卫生人员培训、合作医疗组织与管理、卫生监督与信息管理。</w:t>
      </w:r>
    </w:p>
    <w:p w14:paraId="732B8C46">
      <w:pPr>
        <w:widowControl/>
        <w:numPr>
          <w:ilvl w:val="0"/>
          <w:numId w:val="5"/>
        </w:numPr>
        <w:adjustRightInd w:val="0"/>
        <w:snapToGrid w:val="0"/>
        <w:spacing w:line="580" w:lineRule="exact"/>
        <w:ind w:left="0" w:leftChars="0" w:firstLine="643" w:firstLineChars="200"/>
        <w:contextualSpacing/>
        <w:jc w:val="left"/>
        <w:rPr>
          <w:rFonts w:hint="default" w:ascii="Times New Roman" w:hAnsi="Times New Roman" w:eastAsia="楷体" w:cs="Times New Roman"/>
          <w:b/>
          <w:bCs/>
          <w:color w:val="000000"/>
          <w:kern w:val="0"/>
          <w:sz w:val="32"/>
          <w:szCs w:val="32"/>
          <w:shd w:val="clear" w:color="auto" w:fill="FFFFFF"/>
          <w:lang w:val="zh-CN"/>
        </w:rPr>
      </w:pPr>
      <w:r>
        <w:rPr>
          <w:rFonts w:hint="default" w:ascii="Times New Roman" w:hAnsi="Times New Roman" w:eastAsia="楷体" w:cs="Times New Roman"/>
          <w:b/>
          <w:bCs/>
          <w:color w:val="000000"/>
          <w:kern w:val="0"/>
          <w:sz w:val="32"/>
          <w:szCs w:val="32"/>
          <w:shd w:val="clear" w:color="auto" w:fill="FFFFFF"/>
          <w:lang w:val="zh-CN"/>
        </w:rPr>
        <w:t>人员概况。</w:t>
      </w:r>
    </w:p>
    <w:p w14:paraId="2E22AD2D">
      <w:pPr>
        <w:widowControl/>
        <w:numPr>
          <w:ilvl w:val="0"/>
          <w:numId w:val="0"/>
        </w:numPr>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highlight w:val="none"/>
          <w:shd w:val="clear" w:color="auto" w:fill="FFFFFF"/>
          <w:lang w:val="zh-CN"/>
        </w:rPr>
      </w:pP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年末编在职人员</w:t>
      </w:r>
      <w:r>
        <w:rPr>
          <w:rFonts w:hint="eastAsia" w:ascii="Times New Roman" w:hAnsi="Times New Roman" w:eastAsia="仿宋_GB2312" w:cs="Times New Roman"/>
          <w:sz w:val="32"/>
          <w:szCs w:val="32"/>
          <w:highlight w:val="none"/>
          <w:lang w:val="en-US" w:eastAsia="zh-CN"/>
        </w:rPr>
        <w:t>3</w:t>
      </w:r>
      <w:r>
        <w:rPr>
          <w:rFonts w:hint="eastAsia"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在编</w:t>
      </w:r>
      <w:r>
        <w:rPr>
          <w:rFonts w:hint="eastAsia" w:ascii="Times New Roman" w:hAnsi="Times New Roman" w:eastAsia="仿宋_GB2312" w:cs="Times New Roman"/>
          <w:sz w:val="32"/>
          <w:szCs w:val="32"/>
          <w:highlight w:val="none"/>
          <w:lang w:val="en-US" w:eastAsia="zh-CN"/>
        </w:rPr>
        <w:t>2</w:t>
      </w: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人，</w:t>
      </w:r>
      <w:r>
        <w:rPr>
          <w:rFonts w:hint="default" w:ascii="Times New Roman" w:hAnsi="Times New Roman" w:eastAsia="仿宋_GB2312" w:cs="Times New Roman"/>
          <w:sz w:val="32"/>
          <w:szCs w:val="32"/>
          <w:highlight w:val="none"/>
        </w:rPr>
        <w:t>自聘</w:t>
      </w:r>
      <w:r>
        <w:rPr>
          <w:rFonts w:hint="eastAsia"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，退休人员</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人。</w:t>
      </w:r>
    </w:p>
    <w:p w14:paraId="3B51D58B">
      <w:pPr>
        <w:widowControl/>
        <w:numPr>
          <w:ilvl w:val="0"/>
          <w:numId w:val="6"/>
        </w:numPr>
        <w:adjustRightInd w:val="0"/>
        <w:snapToGrid w:val="0"/>
        <w:spacing w:line="580" w:lineRule="exact"/>
        <w:ind w:firstLine="640" w:firstLineChars="200"/>
        <w:contextualSpacing/>
        <w:jc w:val="left"/>
        <w:rPr>
          <w:rFonts w:hint="default" w:ascii="Times New Roman" w:hAnsi="Times New Roman" w:eastAsia="黑体" w:cs="Times New Roman"/>
          <w:color w:val="000000"/>
          <w:kern w:val="0"/>
          <w:sz w:val="32"/>
          <w:szCs w:val="32"/>
          <w:shd w:val="clear" w:color="auto" w:fill="FFFFFF"/>
        </w:rPr>
      </w:pPr>
      <w:r>
        <w:rPr>
          <w:rFonts w:hint="default" w:ascii="Times New Roman" w:hAnsi="Times New Roman" w:eastAsia="黑体" w:cs="Times New Roman"/>
          <w:color w:val="000000"/>
          <w:kern w:val="0"/>
          <w:sz w:val="32"/>
          <w:szCs w:val="32"/>
          <w:shd w:val="clear" w:color="auto" w:fill="FFFFFF"/>
        </w:rPr>
        <w:t>部门财政资金收支情况</w:t>
      </w:r>
    </w:p>
    <w:p w14:paraId="6AC4EDE3">
      <w:pPr>
        <w:pStyle w:val="2"/>
        <w:numPr>
          <w:ilvl w:val="0"/>
          <w:numId w:val="0"/>
        </w:numPr>
        <w:ind w:firstLine="640" w:firstLineChars="200"/>
        <w:rPr>
          <w:rFonts w:hint="default" w:eastAsia="仿宋"/>
          <w:lang w:val="en-US" w:eastAsia="zh-CN"/>
        </w:rPr>
      </w:pPr>
      <w:r>
        <w:rPr>
          <w:rFonts w:hint="eastAsia" w:ascii="仿宋" w:hAnsi="仿宋" w:eastAsia="仿宋"/>
          <w:sz w:val="32"/>
          <w:szCs w:val="32"/>
        </w:rPr>
        <w:t>2023年度一般公共预算财政拨款</w:t>
      </w:r>
      <w:r>
        <w:rPr>
          <w:rFonts w:hint="eastAsia" w:ascii="仿宋" w:hAnsi="仿宋" w:eastAsia="仿宋"/>
          <w:sz w:val="32"/>
          <w:szCs w:val="32"/>
          <w:lang w:val="en-US" w:eastAsia="zh-CN"/>
        </w:rPr>
        <w:t>收入41.4万元，</w:t>
      </w:r>
      <w:r>
        <w:rPr>
          <w:rFonts w:hint="eastAsia" w:ascii="仿宋" w:hAnsi="仿宋" w:eastAsia="仿宋"/>
          <w:sz w:val="32"/>
          <w:szCs w:val="32"/>
        </w:rPr>
        <w:t>支出</w:t>
      </w:r>
      <w:r>
        <w:rPr>
          <w:rFonts w:ascii="仿宋" w:hAnsi="仿宋" w:eastAsia="仿宋"/>
          <w:b/>
          <w:sz w:val="32"/>
          <w:szCs w:val="32"/>
        </w:rPr>
        <w:t>41.4</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预算完成率100%。</w:t>
      </w:r>
    </w:p>
    <w:p w14:paraId="104CEECC">
      <w:pPr>
        <w:widowControl/>
        <w:adjustRightInd w:val="0"/>
        <w:snapToGrid w:val="0"/>
        <w:spacing w:line="580" w:lineRule="exact"/>
        <w:ind w:firstLine="640" w:firstLineChars="200"/>
        <w:contextualSpacing/>
        <w:jc w:val="left"/>
        <w:rPr>
          <w:rFonts w:hint="default" w:ascii="Times New Roman" w:hAnsi="Times New Roman" w:eastAsia="黑体" w:cs="Times New Roman"/>
          <w:color w:val="000000"/>
          <w:kern w:val="0"/>
          <w:sz w:val="32"/>
          <w:szCs w:val="32"/>
          <w:shd w:val="clear" w:color="auto" w:fill="FFFFFF"/>
        </w:rPr>
      </w:pPr>
      <w:r>
        <w:rPr>
          <w:rFonts w:hint="eastAsia" w:ascii="Times New Roman" w:hAnsi="Times New Roman" w:eastAsia="黑体" w:cs="Times New Roman"/>
          <w:color w:val="000000"/>
          <w:kern w:val="0"/>
          <w:sz w:val="32"/>
          <w:szCs w:val="32"/>
          <w:shd w:val="clear" w:color="auto" w:fill="FFFFFF"/>
          <w:lang w:eastAsia="zh-CN"/>
        </w:rPr>
        <w:t>三</w:t>
      </w:r>
      <w:r>
        <w:rPr>
          <w:rFonts w:hint="default" w:ascii="Times New Roman" w:hAnsi="Times New Roman" w:eastAsia="黑体" w:cs="Times New Roman"/>
          <w:color w:val="000000"/>
          <w:kern w:val="0"/>
          <w:sz w:val="32"/>
          <w:szCs w:val="32"/>
          <w:shd w:val="clear" w:color="auto" w:fill="FFFFFF"/>
        </w:rPr>
        <w:t>、评价结论及建议</w:t>
      </w:r>
    </w:p>
    <w:p w14:paraId="29ECF39B">
      <w:pPr>
        <w:widowControl/>
        <w:adjustRightInd w:val="0"/>
        <w:snapToGrid w:val="0"/>
        <w:spacing w:line="580" w:lineRule="exact"/>
        <w:ind w:firstLine="643" w:firstLineChars="200"/>
        <w:contextualSpacing/>
        <w:jc w:val="left"/>
        <w:rPr>
          <w:rFonts w:hint="default" w:ascii="Times New Roman" w:hAnsi="Times New Roman" w:eastAsia="楷体" w:cs="Times New Roman"/>
          <w:b/>
          <w:bCs/>
          <w:color w:val="000000"/>
          <w:kern w:val="0"/>
          <w:sz w:val="32"/>
          <w:szCs w:val="32"/>
          <w:shd w:val="clear" w:color="auto" w:fill="FFFFFF"/>
          <w:lang w:val="zh-CN"/>
        </w:rPr>
      </w:pPr>
      <w:r>
        <w:rPr>
          <w:rFonts w:hint="default" w:ascii="Times New Roman" w:hAnsi="Times New Roman" w:eastAsia="楷体" w:cs="Times New Roman"/>
          <w:b/>
          <w:bCs/>
          <w:color w:val="000000"/>
          <w:kern w:val="0"/>
          <w:sz w:val="32"/>
          <w:szCs w:val="32"/>
          <w:shd w:val="clear" w:color="auto" w:fill="FFFFFF"/>
          <w:lang w:val="zh-CN"/>
        </w:rPr>
        <w:t>（一）评价结论。</w:t>
      </w:r>
    </w:p>
    <w:p w14:paraId="0F4B8279">
      <w:pPr>
        <w:bidi w:val="0"/>
        <w:ind w:left="0" w:leftChars="0" w:firstLine="842" w:firstLineChars="262"/>
        <w:rPr>
          <w:rFonts w:hint="default" w:ascii="Times New Roman" w:hAnsi="Times New Roman" w:eastAsia="仿宋_GB2312" w:cs="Times New Roman"/>
          <w:color w:val="000000"/>
          <w:kern w:val="0"/>
          <w:sz w:val="32"/>
          <w:szCs w:val="32"/>
          <w:shd w:val="clear" w:color="auto" w:fill="FFFFFF"/>
          <w:lang w:val="zh-CN"/>
        </w:rPr>
      </w:pPr>
      <w:r>
        <w:rPr>
          <w:rFonts w:hint="eastAsia"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在资金使用和管理方面，明确开支范围，细化资金用途，确保本单位各项工作任务顺利完成任务。</w:t>
      </w:r>
      <w:r>
        <w:rPr>
          <w:rFonts w:hint="eastAsia"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全年基本支出保证了我院的正常运行和日常工作的正常开展，达到预期绩效目标。</w:t>
      </w:r>
    </w:p>
    <w:p w14:paraId="5A3F8E73">
      <w:pPr>
        <w:widowControl/>
        <w:numPr>
          <w:ilvl w:val="0"/>
          <w:numId w:val="7"/>
        </w:numPr>
        <w:adjustRightInd w:val="0"/>
        <w:snapToGrid w:val="0"/>
        <w:spacing w:line="580" w:lineRule="exact"/>
        <w:ind w:left="0" w:leftChars="0" w:firstLine="643" w:firstLineChars="200"/>
        <w:contextualSpacing/>
        <w:jc w:val="left"/>
        <w:rPr>
          <w:rFonts w:hint="default" w:ascii="Times New Roman" w:hAnsi="Times New Roman" w:eastAsia="楷体" w:cs="Times New Roman"/>
          <w:b/>
          <w:bCs/>
          <w:color w:val="000000"/>
          <w:kern w:val="0"/>
          <w:sz w:val="32"/>
          <w:szCs w:val="32"/>
          <w:shd w:val="clear" w:color="auto" w:fill="FFFFFF"/>
          <w:lang w:val="zh-CN"/>
        </w:rPr>
      </w:pPr>
      <w:r>
        <w:rPr>
          <w:rFonts w:hint="default" w:ascii="Times New Roman" w:hAnsi="Times New Roman" w:eastAsia="楷体" w:cs="Times New Roman"/>
          <w:b/>
          <w:bCs/>
          <w:color w:val="000000"/>
          <w:kern w:val="0"/>
          <w:sz w:val="32"/>
          <w:szCs w:val="32"/>
          <w:shd w:val="clear" w:color="auto" w:fill="FFFFFF"/>
          <w:lang w:val="zh-CN"/>
        </w:rPr>
        <w:t>存在问题。</w:t>
      </w:r>
    </w:p>
    <w:p w14:paraId="2F534ECE">
      <w:pPr>
        <w:widowControl/>
        <w:numPr>
          <w:ilvl w:val="0"/>
          <w:numId w:val="0"/>
        </w:numPr>
        <w:adjustRightInd w:val="0"/>
        <w:snapToGrid w:val="0"/>
        <w:spacing w:line="580" w:lineRule="exact"/>
        <w:ind w:firstLine="643" w:firstLineChars="200"/>
        <w:contextualSpacing/>
        <w:jc w:val="left"/>
        <w:rPr>
          <w:rFonts w:hint="eastAsia" w:ascii="Times New Roman" w:hAnsi="Times New Roman" w:eastAsia="仿宋" w:cs="Times New Roman"/>
          <w:color w:val="000000"/>
          <w:kern w:val="0"/>
          <w:sz w:val="32"/>
          <w:szCs w:val="32"/>
          <w:shd w:val="clear" w:color="auto" w:fill="FFFFFF"/>
          <w:lang w:val="zh-CN" w:eastAsia="zh-CN"/>
        </w:rPr>
      </w:pPr>
      <w:r>
        <w:rPr>
          <w:rStyle w:val="16"/>
          <w:rFonts w:hint="default" w:ascii="Times New Roman" w:hAnsi="Times New Roman" w:eastAsia="仿宋" w:cs="Times New Roman"/>
          <w:b/>
          <w:bCs/>
          <w:color w:val="000000"/>
          <w:sz w:val="32"/>
          <w:szCs w:val="32"/>
          <w:lang w:val="en-US" w:eastAsia="zh-CN"/>
        </w:rPr>
        <w:t>一是</w:t>
      </w:r>
      <w:r>
        <w:rPr>
          <w:rStyle w:val="16"/>
          <w:rFonts w:hint="default" w:ascii="Times New Roman" w:hAnsi="Times New Roman" w:eastAsia="仿宋" w:cs="Times New Roman"/>
          <w:b w:val="0"/>
          <w:color w:val="000000"/>
          <w:sz w:val="32"/>
          <w:szCs w:val="32"/>
        </w:rPr>
        <w:t>会议费、培训费等使用受限，乡镇基层人员导致提升空间有限</w:t>
      </w:r>
      <w:r>
        <w:rPr>
          <w:rStyle w:val="16"/>
          <w:rFonts w:hint="eastAsia" w:ascii="Times New Roman" w:hAnsi="Times New Roman" w:eastAsia="仿宋" w:cs="Times New Roman"/>
          <w:b w:val="0"/>
          <w:color w:val="000000"/>
          <w:sz w:val="32"/>
          <w:szCs w:val="32"/>
          <w:lang w:eastAsia="zh-CN"/>
        </w:rPr>
        <w:t>。</w:t>
      </w:r>
      <w:r>
        <w:rPr>
          <w:rStyle w:val="16"/>
          <w:rFonts w:hint="default" w:ascii="Times New Roman" w:hAnsi="Times New Roman" w:eastAsia="仿宋" w:cs="Times New Roman"/>
          <w:b/>
          <w:bCs/>
          <w:color w:val="000000"/>
          <w:sz w:val="32"/>
          <w:szCs w:val="32"/>
          <w:lang w:val="en-US" w:eastAsia="zh-CN"/>
        </w:rPr>
        <w:t>二</w:t>
      </w:r>
      <w:r>
        <w:rPr>
          <w:rStyle w:val="16"/>
          <w:rFonts w:hint="default" w:ascii="Times New Roman" w:hAnsi="Times New Roman" w:eastAsia="仿宋" w:cs="Times New Roman"/>
          <w:b/>
          <w:bCs/>
          <w:color w:val="000000"/>
          <w:sz w:val="32"/>
          <w:szCs w:val="32"/>
        </w:rPr>
        <w:t>是</w:t>
      </w:r>
      <w:r>
        <w:rPr>
          <w:rStyle w:val="16"/>
          <w:rFonts w:hint="default" w:ascii="Times New Roman" w:hAnsi="Times New Roman" w:eastAsia="仿宋" w:cs="Times New Roman"/>
          <w:b w:val="0"/>
          <w:color w:val="000000"/>
          <w:sz w:val="32"/>
          <w:szCs w:val="32"/>
        </w:rPr>
        <w:t>临聘人员多，占到总人数</w:t>
      </w:r>
      <w:r>
        <w:rPr>
          <w:rStyle w:val="16"/>
          <w:rFonts w:hint="default" w:ascii="Times New Roman" w:hAnsi="Times New Roman" w:eastAsia="仿宋" w:cs="Times New Roman"/>
          <w:b w:val="0"/>
          <w:color w:val="000000"/>
          <w:sz w:val="32"/>
          <w:szCs w:val="32"/>
          <w:highlight w:val="none"/>
        </w:rPr>
        <w:t>的</w:t>
      </w:r>
      <w:r>
        <w:rPr>
          <w:rStyle w:val="16"/>
          <w:rFonts w:hint="eastAsia" w:eastAsia="仿宋" w:cs="Times New Roman"/>
          <w:b w:val="0"/>
          <w:color w:val="000000"/>
          <w:sz w:val="32"/>
          <w:szCs w:val="32"/>
          <w:highlight w:val="none"/>
          <w:lang w:val="en-US" w:eastAsia="zh-CN"/>
        </w:rPr>
        <w:t>30</w:t>
      </w:r>
      <w:r>
        <w:rPr>
          <w:rStyle w:val="16"/>
          <w:rFonts w:hint="default" w:ascii="Times New Roman" w:hAnsi="Times New Roman" w:eastAsia="仿宋" w:cs="Times New Roman"/>
          <w:b w:val="0"/>
          <w:color w:val="000000"/>
          <w:sz w:val="32"/>
          <w:szCs w:val="32"/>
          <w:highlight w:val="none"/>
        </w:rPr>
        <w:t>%</w:t>
      </w:r>
      <w:r>
        <w:rPr>
          <w:rStyle w:val="16"/>
          <w:rFonts w:hint="eastAsia" w:ascii="Times New Roman" w:hAnsi="Times New Roman" w:eastAsia="仿宋" w:cs="Times New Roman"/>
          <w:b w:val="0"/>
          <w:color w:val="000000"/>
          <w:sz w:val="32"/>
          <w:szCs w:val="32"/>
          <w:highlight w:val="none"/>
          <w:lang w:eastAsia="zh-CN"/>
        </w:rPr>
        <w:t>。</w:t>
      </w:r>
    </w:p>
    <w:p w14:paraId="2D5DF811">
      <w:pPr>
        <w:widowControl/>
        <w:adjustRightInd w:val="0"/>
        <w:snapToGrid w:val="0"/>
        <w:spacing w:line="580" w:lineRule="exact"/>
        <w:ind w:firstLine="643" w:firstLineChars="200"/>
        <w:contextualSpacing/>
        <w:jc w:val="left"/>
        <w:rPr>
          <w:rFonts w:hint="default" w:ascii="Times New Roman" w:hAnsi="Times New Roman" w:eastAsia="楷体" w:cs="Times New Roman"/>
          <w:b/>
          <w:bCs/>
          <w:color w:val="000000"/>
          <w:kern w:val="0"/>
          <w:sz w:val="32"/>
          <w:szCs w:val="32"/>
          <w:shd w:val="clear" w:color="auto" w:fill="FFFFFF"/>
          <w:lang w:val="zh-CN"/>
        </w:rPr>
      </w:pPr>
      <w:r>
        <w:rPr>
          <w:rFonts w:hint="default" w:ascii="Times New Roman" w:hAnsi="Times New Roman" w:eastAsia="楷体" w:cs="Times New Roman"/>
          <w:b/>
          <w:bCs/>
          <w:color w:val="000000"/>
          <w:kern w:val="0"/>
          <w:sz w:val="32"/>
          <w:szCs w:val="32"/>
          <w:shd w:val="clear" w:color="auto" w:fill="FFFFFF"/>
          <w:lang w:val="zh-CN"/>
        </w:rPr>
        <w:t>（三）改进建议。</w:t>
      </w:r>
    </w:p>
    <w:p w14:paraId="1758B294">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eastAsia="zh-CN"/>
        </w:rPr>
        <w:t>一是</w:t>
      </w:r>
      <w:r>
        <w:rPr>
          <w:rFonts w:hint="default" w:ascii="Times New Roman" w:hAnsi="Times New Roman" w:eastAsia="仿宋_GB2312" w:cs="Times New Roman"/>
          <w:color w:val="000000"/>
          <w:kern w:val="0"/>
          <w:sz w:val="32"/>
          <w:szCs w:val="32"/>
        </w:rPr>
        <w:t>推进预算管理制度的改革，以财政收支分类改革为基础，细化预算，增强预算的刚性</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b/>
          <w:bCs/>
          <w:color w:val="000000"/>
          <w:kern w:val="0"/>
          <w:sz w:val="32"/>
          <w:szCs w:val="32"/>
          <w:lang w:eastAsia="zh-CN"/>
        </w:rPr>
        <w:t>二是</w:t>
      </w:r>
      <w:r>
        <w:rPr>
          <w:rFonts w:hint="default" w:ascii="Times New Roman" w:hAnsi="Times New Roman" w:eastAsia="仿宋_GB2312" w:cs="Times New Roman"/>
          <w:color w:val="000000"/>
          <w:kern w:val="0"/>
          <w:sz w:val="32"/>
          <w:szCs w:val="32"/>
        </w:rPr>
        <w:t xml:space="preserve">完善会议费、培训费等管理制度，强化行政、经济监督职能，加大管控力度； </w:t>
      </w:r>
      <w:r>
        <w:rPr>
          <w:rFonts w:hint="default" w:ascii="Times New Roman" w:hAnsi="Times New Roman" w:eastAsia="仿宋_GB2312" w:cs="Times New Roman"/>
          <w:b/>
          <w:bCs/>
          <w:color w:val="000000"/>
          <w:kern w:val="0"/>
          <w:sz w:val="32"/>
          <w:szCs w:val="32"/>
          <w:lang w:eastAsia="zh-CN"/>
        </w:rPr>
        <w:t>三是</w:t>
      </w:r>
      <w:r>
        <w:rPr>
          <w:rFonts w:hint="default" w:ascii="Times New Roman" w:hAnsi="Times New Roman" w:eastAsia="仿宋_GB2312" w:cs="Times New Roman"/>
          <w:color w:val="000000"/>
          <w:kern w:val="0"/>
          <w:sz w:val="32"/>
          <w:szCs w:val="32"/>
        </w:rPr>
        <w:t>加快人事制度改革，完善人事管理制度，增加编制人数，提升人员素质。</w:t>
      </w:r>
    </w:p>
    <w:p w14:paraId="1312A707">
      <w:pPr>
        <w:pStyle w:val="2"/>
        <w:spacing w:before="93"/>
        <w:rPr>
          <w:rFonts w:hAnsi="Calibri" w:cs="仿宋"/>
          <w:sz w:val="32"/>
          <w:szCs w:val="32"/>
        </w:rPr>
      </w:pPr>
    </w:p>
    <w:p w14:paraId="406684F7">
      <w:pPr>
        <w:pStyle w:val="2"/>
        <w:spacing w:before="93"/>
        <w:rPr>
          <w:rFonts w:hAnsi="Calibri" w:cs="仿宋"/>
          <w:sz w:val="32"/>
          <w:szCs w:val="32"/>
        </w:rPr>
      </w:pPr>
    </w:p>
    <w:p w14:paraId="24352B59">
      <w:pPr>
        <w:pStyle w:val="2"/>
        <w:spacing w:before="93"/>
        <w:rPr>
          <w:rFonts w:hAnsi="Calibri" w:cs="仿宋"/>
          <w:sz w:val="32"/>
          <w:szCs w:val="32"/>
        </w:rPr>
      </w:pPr>
    </w:p>
    <w:p w14:paraId="5F660CC2">
      <w:pPr>
        <w:pStyle w:val="2"/>
        <w:spacing w:before="93"/>
        <w:rPr>
          <w:rFonts w:hAnsi="Calibri" w:cs="仿宋"/>
          <w:sz w:val="32"/>
          <w:szCs w:val="32"/>
        </w:rPr>
      </w:pPr>
    </w:p>
    <w:p w14:paraId="500E6421">
      <w:pPr>
        <w:pStyle w:val="2"/>
        <w:spacing w:before="93"/>
        <w:rPr>
          <w:rFonts w:hAnsi="Calibri" w:cs="仿宋"/>
          <w:sz w:val="32"/>
          <w:szCs w:val="32"/>
        </w:rPr>
      </w:pPr>
    </w:p>
    <w:p w14:paraId="7705E29E">
      <w:pPr>
        <w:pStyle w:val="2"/>
        <w:spacing w:before="93"/>
        <w:rPr>
          <w:rFonts w:hAnsi="Calibri" w:cs="仿宋"/>
          <w:sz w:val="32"/>
          <w:szCs w:val="32"/>
        </w:rPr>
      </w:pPr>
    </w:p>
    <w:p w14:paraId="29E90C62">
      <w:pPr>
        <w:pStyle w:val="2"/>
        <w:spacing w:before="93"/>
        <w:rPr>
          <w:rFonts w:hAnsi="Calibri" w:cs="仿宋"/>
          <w:sz w:val="32"/>
          <w:szCs w:val="32"/>
        </w:rPr>
      </w:pPr>
    </w:p>
    <w:p w14:paraId="0EB8DDA9">
      <w:pPr>
        <w:pStyle w:val="2"/>
        <w:spacing w:before="93"/>
        <w:rPr>
          <w:rFonts w:hAnsi="Calibri" w:cs="仿宋"/>
          <w:sz w:val="32"/>
          <w:szCs w:val="32"/>
        </w:rPr>
      </w:pPr>
    </w:p>
    <w:p w14:paraId="770CA16C">
      <w:pPr>
        <w:pStyle w:val="2"/>
        <w:spacing w:before="93"/>
        <w:rPr>
          <w:rFonts w:hAnsi="Calibri" w:cs="仿宋"/>
          <w:sz w:val="32"/>
          <w:szCs w:val="32"/>
        </w:rPr>
      </w:pPr>
    </w:p>
    <w:p w14:paraId="2D58E85E">
      <w:pPr>
        <w:pStyle w:val="2"/>
        <w:spacing w:before="93"/>
        <w:rPr>
          <w:rFonts w:hAnsi="Calibri" w:cs="仿宋"/>
          <w:sz w:val="32"/>
          <w:szCs w:val="32"/>
        </w:rPr>
      </w:pPr>
    </w:p>
    <w:p w14:paraId="4B5165F8">
      <w:pPr>
        <w:pStyle w:val="2"/>
        <w:spacing w:before="93"/>
        <w:rPr>
          <w:rFonts w:hAnsi="Calibri" w:cs="仿宋"/>
          <w:sz w:val="32"/>
          <w:szCs w:val="32"/>
        </w:rPr>
      </w:pPr>
    </w:p>
    <w:p w14:paraId="63811BF9">
      <w:pPr>
        <w:pStyle w:val="2"/>
        <w:spacing w:before="93"/>
        <w:rPr>
          <w:rFonts w:hAnsi="Calibri" w:cs="仿宋"/>
          <w:sz w:val="32"/>
          <w:szCs w:val="32"/>
        </w:rPr>
      </w:pPr>
    </w:p>
    <w:p w14:paraId="30AC6561">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2"/>
      <w:bookmarkEnd w:id="53"/>
      <w:bookmarkStart w:id="54" w:name="_Toc15396619"/>
    </w:p>
    <w:p w14:paraId="2DE174E1">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71C3D8D4">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5956222A">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5DE8446A">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1AA27AB3">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0E47FB42">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1A479C9C">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2892740E">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7A79C04C">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76CDD28D">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668D6F59">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52448A5E">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1E7008A9">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footerReference r:id="rId8" w:type="first"/>
      <w:footerReference r:id="rId7"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B4136E-A003-4F14-AE2D-3FC4B601BB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7BDEAF7-DEC3-4651-A726-2767B7FACB2C}"/>
  </w:font>
  <w:font w:name="Cambria">
    <w:panose1 w:val="02040503050406030204"/>
    <w:charset w:val="00"/>
    <w:family w:val="roman"/>
    <w:pitch w:val="default"/>
    <w:sig w:usb0="E00006FF" w:usb1="420024FF" w:usb2="02000000" w:usb3="00000000" w:csb0="2000019F" w:csb1="00000000"/>
    <w:embedRegular r:id="rId3" w:fontKey="{9122BA68-5D77-41BB-A505-B223535D0887}"/>
  </w:font>
  <w:font w:name="仿宋_GB2312">
    <w:altName w:val="仿宋"/>
    <w:panose1 w:val="00000000000000000000"/>
    <w:charset w:val="86"/>
    <w:family w:val="auto"/>
    <w:pitch w:val="default"/>
    <w:sig w:usb0="00000000" w:usb1="00000000" w:usb2="00000000" w:usb3="00000000" w:csb0="00040000" w:csb1="00000000"/>
    <w:embedRegular r:id="rId4" w:fontKey="{F7AFE3B5-B83B-40AE-9CF5-C0BC36D70098}"/>
  </w:font>
  <w:font w:name="仿宋">
    <w:panose1 w:val="02010609060101010101"/>
    <w:charset w:val="86"/>
    <w:family w:val="modern"/>
    <w:pitch w:val="default"/>
    <w:sig w:usb0="800002BF" w:usb1="38CF7CFA" w:usb2="00000016" w:usb3="00000000" w:csb0="00040001" w:csb1="00000000"/>
    <w:embedRegular r:id="rId5" w:fontKey="{4945D6E5-C503-4BE1-AE8D-4ACA92E4DEE1}"/>
  </w:font>
  <w:font w:name="方正小标宋简体">
    <w:panose1 w:val="02000000000000000000"/>
    <w:charset w:val="86"/>
    <w:family w:val="script"/>
    <w:pitch w:val="default"/>
    <w:sig w:usb0="00000001" w:usb1="08000000" w:usb2="00000000" w:usb3="00000000" w:csb0="00040000" w:csb1="00000000"/>
    <w:embedRegular r:id="rId6" w:fontKey="{68CB2687-A8F3-43A1-BC0C-E189527CE103}"/>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embedRegular r:id="rId7" w:fontKey="{4B552EDF-9DF6-4AA5-98BE-EA239DF475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A483FE4">
        <w:pPr>
          <w:pStyle w:val="9"/>
          <w:jc w:val="center"/>
        </w:pPr>
        <w:r>
          <w:fldChar w:fldCharType="begin"/>
        </w:r>
        <w:r>
          <w:instrText xml:space="preserve">PAGE   \* MERGEFORMAT</w:instrText>
        </w:r>
        <w:r>
          <w:fldChar w:fldCharType="separate"/>
        </w:r>
        <w:r>
          <w:rPr>
            <w:lang w:val="zh-CN"/>
          </w:rPr>
          <w:t>15</w:t>
        </w:r>
        <w:r>
          <w:fldChar w:fldCharType="end"/>
        </w:r>
      </w:p>
    </w:sdtContent>
  </w:sdt>
  <w:p w14:paraId="0C67B277">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CFDB9">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4F07D">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7A06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61E3FB">
                          <w:pPr>
                            <w:pStyle w:val="9"/>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7561E3FB">
                    <w:pPr>
                      <w:pStyle w:val="9"/>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7BB86">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A45F86">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7CA45F86">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6539B">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CFFAFEC2"/>
    <w:multiLevelType w:val="singleLevel"/>
    <w:tmpl w:val="CFFAFEC2"/>
    <w:lvl w:ilvl="0" w:tentative="0">
      <w:start w:val="1"/>
      <w:numFmt w:val="decimal"/>
      <w:lvlText w:val="%1."/>
      <w:lvlJc w:val="left"/>
      <w:pPr>
        <w:tabs>
          <w:tab w:val="left" w:pos="312"/>
        </w:tabs>
      </w:p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F427B869"/>
    <w:multiLevelType w:val="singleLevel"/>
    <w:tmpl w:val="F427B869"/>
    <w:lvl w:ilvl="0" w:tentative="0">
      <w:start w:val="2"/>
      <w:numFmt w:val="chineseCounting"/>
      <w:suff w:val="nothing"/>
      <w:lvlText w:val="（%1）"/>
      <w:lvlJc w:val="left"/>
      <w:rPr>
        <w:rFonts w:hint="eastAsia"/>
      </w:rPr>
    </w:lvl>
  </w:abstractNum>
  <w:abstractNum w:abstractNumId="4">
    <w:nsid w:val="0CA6C9CA"/>
    <w:multiLevelType w:val="singleLevel"/>
    <w:tmpl w:val="0CA6C9CA"/>
    <w:lvl w:ilvl="0" w:tentative="0">
      <w:start w:val="2"/>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661B4489"/>
    <w:multiLevelType w:val="singleLevel"/>
    <w:tmpl w:val="661B4489"/>
    <w:lvl w:ilvl="0" w:tentative="0">
      <w:start w:val="2"/>
      <w:numFmt w:val="chineseCounting"/>
      <w:suff w:val="nothing"/>
      <w:lvlText w:val="（%1）"/>
      <w:lvlJc w:val="left"/>
      <w:rPr>
        <w:rFonts w:hint="eastAsia"/>
      </w:rPr>
    </w:lvl>
  </w:abstractNum>
  <w:num w:numId="1">
    <w:abstractNumId w:val="5"/>
  </w:num>
  <w:num w:numId="2">
    <w:abstractNumId w:val="1"/>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2NGEzZjkwZDhmNmMxZjgxNzRlMzk4YWQzOTRlNm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8107EC"/>
    <w:rsid w:val="11DD6519"/>
    <w:rsid w:val="16BB723D"/>
    <w:rsid w:val="18015F3F"/>
    <w:rsid w:val="1BE8440E"/>
    <w:rsid w:val="1D155CEE"/>
    <w:rsid w:val="1FDBBF84"/>
    <w:rsid w:val="20F57F95"/>
    <w:rsid w:val="240371BF"/>
    <w:rsid w:val="25711CC6"/>
    <w:rsid w:val="25C741E6"/>
    <w:rsid w:val="27130E24"/>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A963626"/>
    <w:rsid w:val="3BCB56FA"/>
    <w:rsid w:val="3C0C0783"/>
    <w:rsid w:val="3CBC5242"/>
    <w:rsid w:val="3EE7C2F4"/>
    <w:rsid w:val="3F371B56"/>
    <w:rsid w:val="3F792ED8"/>
    <w:rsid w:val="3F9F3A96"/>
    <w:rsid w:val="3FECA4B2"/>
    <w:rsid w:val="3FF58C48"/>
    <w:rsid w:val="42FF6694"/>
    <w:rsid w:val="48BF60AB"/>
    <w:rsid w:val="493C27E9"/>
    <w:rsid w:val="496F39ED"/>
    <w:rsid w:val="49FF41D3"/>
    <w:rsid w:val="4BE068DB"/>
    <w:rsid w:val="4BF6002B"/>
    <w:rsid w:val="4BFFC6BE"/>
    <w:rsid w:val="4DBE055D"/>
    <w:rsid w:val="4ECE2238"/>
    <w:rsid w:val="51DB4B86"/>
    <w:rsid w:val="51F64DB0"/>
    <w:rsid w:val="55333C3E"/>
    <w:rsid w:val="56BC0773"/>
    <w:rsid w:val="5F67802D"/>
    <w:rsid w:val="5F7DC4F2"/>
    <w:rsid w:val="5FB36814"/>
    <w:rsid w:val="5FBB8E56"/>
    <w:rsid w:val="5FFB5535"/>
    <w:rsid w:val="64CA39A1"/>
    <w:rsid w:val="66844EBF"/>
    <w:rsid w:val="69630ADE"/>
    <w:rsid w:val="69BD5F13"/>
    <w:rsid w:val="69FB0B4B"/>
    <w:rsid w:val="6A0846F4"/>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16</Pages>
  <Words>5411</Words>
  <Characters>5825</Characters>
  <Lines>54</Lines>
  <Paragraphs>15</Paragraphs>
  <TotalTime>5</TotalTime>
  <ScaleCrop>false</ScaleCrop>
  <LinksUpToDate>false</LinksUpToDate>
  <CharactersWithSpaces>5846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青空</cp:lastModifiedBy>
  <cp:lastPrinted>2023-08-03T02:35:00Z</cp:lastPrinted>
  <dcterms:modified xsi:type="dcterms:W3CDTF">2024-10-24T10:45:36Z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E000B9B456F64F399AAB5EBFA6E44594_12</vt:lpwstr>
  </property>
</Properties>
</file>