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D3D41">
      <w:pPr>
        <w:spacing w:line="600" w:lineRule="exact"/>
        <w:jc w:val="left"/>
        <w:outlineLvl w:val="9"/>
        <w:rPr>
          <w:rFonts w:ascii="方正小标宋简体" w:hAnsi="宋体" w:eastAsia="方正小标宋简体"/>
          <w:color w:val="auto"/>
          <w:sz w:val="21"/>
          <w:szCs w:val="21"/>
          <w:highlight w:val="none"/>
        </w:rPr>
      </w:pPr>
      <w:bookmarkStart w:id="0" w:name="_Toc15306267"/>
    </w:p>
    <w:p w14:paraId="7C7159E5">
      <w:pPr>
        <w:spacing w:line="600" w:lineRule="exact"/>
        <w:jc w:val="center"/>
        <w:outlineLvl w:val="9"/>
        <w:rPr>
          <w:rFonts w:ascii="方正小标宋简体" w:hAnsi="宋体" w:eastAsia="方正小标宋简体"/>
          <w:color w:val="auto"/>
          <w:sz w:val="72"/>
          <w:szCs w:val="72"/>
          <w:highlight w:val="none"/>
        </w:rPr>
      </w:pPr>
    </w:p>
    <w:p w14:paraId="3A5276A4">
      <w:pPr>
        <w:spacing w:line="600" w:lineRule="exact"/>
        <w:jc w:val="center"/>
        <w:outlineLvl w:val="9"/>
        <w:rPr>
          <w:rFonts w:ascii="方正小标宋简体" w:hAnsi="宋体" w:eastAsia="方正小标宋简体"/>
          <w:color w:val="auto"/>
          <w:sz w:val="72"/>
          <w:szCs w:val="72"/>
          <w:highlight w:val="none"/>
        </w:rPr>
      </w:pPr>
    </w:p>
    <w:p w14:paraId="624DFD7E">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597"/>
      <w:bookmarkStart w:id="3" w:name="_Toc26267"/>
      <w:bookmarkStart w:id="4" w:name="_Toc15922"/>
      <w:bookmarkStart w:id="5" w:name="_Toc15377193"/>
      <w:bookmarkStart w:id="6" w:name="_Toc12806"/>
      <w:bookmarkStart w:id="7" w:name="_Toc15377425"/>
      <w:bookmarkStart w:id="8"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p>
    <w:p w14:paraId="0951764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9" w:name="_Toc15377194"/>
      <w:bookmarkStart w:id="10" w:name="_Toc28875"/>
      <w:bookmarkStart w:id="11" w:name="_Toc15378442"/>
      <w:bookmarkStart w:id="12" w:name="_Toc15396476"/>
      <w:bookmarkStart w:id="13" w:name="_Toc15377426"/>
      <w:bookmarkStart w:id="14" w:name="_Toc12816"/>
      <w:bookmarkStart w:id="15" w:name="_Toc15396598"/>
      <w:bookmarkStart w:id="16" w:name="_Toc27804"/>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7" w:name="_Toc15306268"/>
      <w:r>
        <w:rPr>
          <w:rFonts w:hint="eastAsia" w:ascii="方正小标宋简体" w:hAnsi="方正小标宋简体" w:eastAsia="方正小标宋简体" w:cs="方正小标宋简体"/>
          <w:color w:val="auto"/>
          <w:sz w:val="72"/>
          <w:szCs w:val="72"/>
          <w:highlight w:val="none"/>
          <w:lang w:val="en-US" w:eastAsia="zh-CN"/>
        </w:rPr>
        <w:t>青少年校外活动</w:t>
      </w:r>
    </w:p>
    <w:p w14:paraId="25169EBB">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en-US" w:eastAsia="zh-CN"/>
        </w:rPr>
        <w:t>中心单位</w:t>
      </w:r>
      <w:r>
        <w:rPr>
          <w:rFonts w:hint="eastAsia" w:ascii="方正小标宋简体" w:hAnsi="方正小标宋简体" w:eastAsia="方正小标宋简体" w:cs="方正小标宋简体"/>
          <w:color w:val="auto"/>
          <w:sz w:val="72"/>
          <w:szCs w:val="72"/>
          <w:highlight w:val="none"/>
        </w:rPr>
        <w:t>决算</w:t>
      </w:r>
      <w:bookmarkEnd w:id="9"/>
      <w:bookmarkEnd w:id="10"/>
      <w:bookmarkEnd w:id="11"/>
      <w:bookmarkEnd w:id="12"/>
      <w:bookmarkEnd w:id="13"/>
      <w:bookmarkEnd w:id="14"/>
      <w:bookmarkEnd w:id="15"/>
      <w:bookmarkEnd w:id="16"/>
      <w:bookmarkEnd w:id="17"/>
    </w:p>
    <w:p w14:paraId="165A2B6A">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9CEE597">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5B97FB30">
      <w:pPr>
        <w:rPr>
          <w:color w:val="auto"/>
          <w:highlight w:val="none"/>
        </w:rPr>
      </w:pPr>
    </w:p>
    <w:sdt>
      <w:sdtPr>
        <w:rPr>
          <w:rFonts w:ascii="宋体" w:hAnsi="宋体" w:eastAsia="宋体" w:cs="Times New Roman"/>
          <w:kern w:val="2"/>
          <w:sz w:val="21"/>
          <w:szCs w:val="24"/>
          <w:lang w:val="en-US" w:eastAsia="zh-CN" w:bidi="ar-SA"/>
        </w:rPr>
        <w:id w:val="14747320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5F41648A">
          <w:pPr>
            <w:pStyle w:val="10"/>
            <w:tabs>
              <w:tab w:val="right" w:leader="dot" w:pos="8306"/>
              <w:tab w:val="clear" w:pos="8296"/>
            </w:tabs>
            <w:rPr>
              <w:rFonts w:ascii="仿宋" w:hAnsi="仿宋" w:eastAsia="仿宋" w:cs="Times New Roman"/>
              <w:kern w:val="2"/>
              <w:sz w:val="28"/>
              <w:szCs w:val="28"/>
              <w:lang w:val="en-US" w:eastAsia="zh-CN" w:bidi="ar-SA"/>
            </w:rPr>
          </w:pPr>
          <w:bookmarkStart w:id="18" w:name="_Toc15377196"/>
          <w:bookmarkStart w:id="19" w:name="_Toc15396599"/>
          <w:r>
            <w:fldChar w:fldCharType="begin"/>
          </w:r>
          <w:r>
            <w:instrText xml:space="preserve">TOC \o "1-2" \h \u </w:instrText>
          </w:r>
          <w:r>
            <w:fldChar w:fldCharType="separate"/>
          </w:r>
        </w:p>
        <w:p w14:paraId="1A69B0C6">
          <w:pPr>
            <w:pStyle w:val="10"/>
            <w:tabs>
              <w:tab w:val="right" w:leader="dot" w:pos="8306"/>
              <w:tab w:val="clear" w:pos="8296"/>
            </w:tabs>
          </w:pPr>
          <w:r>
            <w:fldChar w:fldCharType="begin"/>
          </w:r>
          <w:r>
            <w:instrText xml:space="preserve"> HYPERLINK \l _Toc26987 </w:instrText>
          </w:r>
          <w: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rPr>
              <w:rFonts w:hint="eastAsia"/>
              <w:lang w:val="en-US" w:eastAsia="zh-CN"/>
            </w:rPr>
            <w:t>1</w:t>
          </w:r>
          <w:r>
            <w:fldChar w:fldCharType="end"/>
          </w:r>
        </w:p>
        <w:p w14:paraId="72D6C35B">
          <w:pPr>
            <w:pStyle w:val="11"/>
            <w:tabs>
              <w:tab w:val="right" w:leader="dot" w:pos="8306"/>
              <w:tab w:val="clear" w:pos="8296"/>
            </w:tabs>
          </w:pPr>
          <w:r>
            <w:fldChar w:fldCharType="begin"/>
          </w:r>
          <w:r>
            <w:instrText xml:space="preserve"> HYPERLINK \l _Toc30333 </w:instrText>
          </w:r>
          <w:r>
            <w:fldChar w:fldCharType="separate"/>
          </w:r>
          <w:r>
            <w:rPr>
              <w:rFonts w:hint="eastAsia" w:ascii="黑体" w:hAnsi="黑体" w:eastAsia="黑体"/>
              <w:bCs w:val="0"/>
              <w:lang w:eastAsia="zh-CN"/>
            </w:rPr>
            <w:t>一、</w:t>
          </w:r>
          <w:r>
            <w:rPr>
              <w:rFonts w:hint="eastAsia" w:ascii="黑体" w:hAnsi="黑体" w:eastAsia="黑体"/>
              <w:bCs w:val="0"/>
              <w:highlight w:val="none"/>
              <w:lang w:eastAsia="zh-CN"/>
            </w:rPr>
            <w:t>主要职责</w:t>
          </w:r>
          <w:r>
            <w:tab/>
          </w:r>
          <w:r>
            <w:rPr>
              <w:rFonts w:hint="eastAsia"/>
              <w:lang w:val="en-US" w:eastAsia="zh-CN"/>
            </w:rPr>
            <w:t>1</w:t>
          </w:r>
          <w:r>
            <w:fldChar w:fldCharType="end"/>
          </w:r>
        </w:p>
        <w:p w14:paraId="0E76E614">
          <w:pPr>
            <w:pStyle w:val="11"/>
            <w:tabs>
              <w:tab w:val="right" w:leader="dot" w:pos="8306"/>
              <w:tab w:val="clear" w:pos="8296"/>
            </w:tabs>
          </w:pPr>
          <w:r>
            <w:fldChar w:fldCharType="begin"/>
          </w:r>
          <w:r>
            <w:instrText xml:space="preserve"> HYPERLINK \l _Toc26939 </w:instrText>
          </w:r>
          <w:r>
            <w:fldChar w:fldCharType="separate"/>
          </w:r>
          <w:r>
            <w:rPr>
              <w:rFonts w:hint="eastAsia" w:ascii="黑体" w:hAnsi="黑体" w:eastAsia="黑体"/>
              <w:highlight w:val="none"/>
              <w:lang w:val="en-US" w:eastAsia="zh-CN"/>
            </w:rPr>
            <w:t>二、机构设置</w:t>
          </w:r>
          <w:r>
            <w:tab/>
          </w:r>
          <w:r>
            <w:rPr>
              <w:rFonts w:hint="eastAsia"/>
              <w:lang w:val="en-US" w:eastAsia="zh-CN"/>
            </w:rPr>
            <w:t>1</w:t>
          </w:r>
          <w:r>
            <w:fldChar w:fldCharType="end"/>
          </w:r>
        </w:p>
        <w:p w14:paraId="5C8614E8">
          <w:pPr>
            <w:pStyle w:val="10"/>
            <w:tabs>
              <w:tab w:val="right" w:leader="dot" w:pos="8306"/>
              <w:tab w:val="clear" w:pos="8296"/>
            </w:tabs>
          </w:pPr>
          <w:r>
            <w:fldChar w:fldCharType="begin"/>
          </w:r>
          <w:r>
            <w:instrText xml:space="preserve"> HYPERLINK \l _Toc5586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2023年度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rPr>
              <w:rFonts w:hint="eastAsia"/>
              <w:lang w:val="en-US" w:eastAsia="zh-CN"/>
            </w:rPr>
            <w:t>2</w:t>
          </w:r>
          <w:r>
            <w:fldChar w:fldCharType="end"/>
          </w:r>
        </w:p>
        <w:p w14:paraId="4DD8E50D">
          <w:pPr>
            <w:pStyle w:val="11"/>
            <w:tabs>
              <w:tab w:val="right" w:leader="dot" w:pos="8306"/>
              <w:tab w:val="clear" w:pos="8296"/>
            </w:tabs>
          </w:pPr>
          <w:r>
            <w:fldChar w:fldCharType="begin"/>
          </w:r>
          <w:r>
            <w:instrText xml:space="preserve"> HYPERLINK \l _Toc18826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rPr>
              <w:rFonts w:hint="eastAsia"/>
              <w:lang w:val="en-US" w:eastAsia="zh-CN"/>
            </w:rPr>
            <w:t>2</w:t>
          </w:r>
          <w:r>
            <w:fldChar w:fldCharType="end"/>
          </w:r>
        </w:p>
        <w:p w14:paraId="27F90ED5">
          <w:pPr>
            <w:pStyle w:val="11"/>
            <w:tabs>
              <w:tab w:val="right" w:leader="dot" w:pos="8306"/>
              <w:tab w:val="clear" w:pos="8296"/>
            </w:tabs>
          </w:pPr>
          <w:r>
            <w:fldChar w:fldCharType="begin"/>
          </w:r>
          <w:r>
            <w:instrText xml:space="preserve"> HYPERLINK \l _Toc27165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rPr>
              <w:rFonts w:hint="eastAsia"/>
              <w:lang w:val="en-US" w:eastAsia="zh-CN"/>
            </w:rPr>
            <w:t>2</w:t>
          </w:r>
          <w:r>
            <w:fldChar w:fldCharType="end"/>
          </w:r>
        </w:p>
        <w:p w14:paraId="43EBAFD6">
          <w:pPr>
            <w:pStyle w:val="11"/>
            <w:tabs>
              <w:tab w:val="right" w:leader="dot" w:pos="8306"/>
              <w:tab w:val="clear" w:pos="8296"/>
            </w:tabs>
          </w:pPr>
          <w:r>
            <w:fldChar w:fldCharType="begin"/>
          </w:r>
          <w:r>
            <w:instrText xml:space="preserve"> HYPERLINK \l _Toc12804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rPr>
              <w:rFonts w:hint="eastAsia"/>
              <w:lang w:val="en-US" w:eastAsia="zh-CN"/>
            </w:rPr>
            <w:t>3</w:t>
          </w:r>
          <w:r>
            <w:fldChar w:fldCharType="end"/>
          </w:r>
        </w:p>
        <w:p w14:paraId="1F6BAD9B">
          <w:pPr>
            <w:pStyle w:val="11"/>
            <w:tabs>
              <w:tab w:val="right" w:leader="dot" w:pos="8306"/>
              <w:tab w:val="clear" w:pos="8296"/>
            </w:tabs>
          </w:pPr>
          <w:r>
            <w:fldChar w:fldCharType="begin"/>
          </w:r>
          <w:r>
            <w:instrText xml:space="preserve"> HYPERLINK \l _Toc32022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rPr>
              <w:rFonts w:hint="eastAsia"/>
              <w:lang w:val="en-US" w:eastAsia="zh-CN"/>
            </w:rPr>
            <w:t>4</w:t>
          </w:r>
          <w:r>
            <w:fldChar w:fldCharType="end"/>
          </w:r>
        </w:p>
        <w:p w14:paraId="6890E917">
          <w:pPr>
            <w:pStyle w:val="11"/>
            <w:tabs>
              <w:tab w:val="right" w:leader="dot" w:pos="8306"/>
              <w:tab w:val="clear" w:pos="8296"/>
            </w:tabs>
          </w:pPr>
          <w:r>
            <w:fldChar w:fldCharType="begin"/>
          </w:r>
          <w:r>
            <w:instrText xml:space="preserve"> HYPERLINK \l _Toc24904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rPr>
              <w:rFonts w:hint="eastAsia"/>
              <w:lang w:val="en-US" w:eastAsia="zh-CN"/>
            </w:rPr>
            <w:t>4</w:t>
          </w:r>
          <w:r>
            <w:fldChar w:fldCharType="end"/>
          </w:r>
        </w:p>
        <w:p w14:paraId="209D1E70">
          <w:pPr>
            <w:pStyle w:val="11"/>
            <w:tabs>
              <w:tab w:val="right" w:leader="dot" w:pos="8306"/>
              <w:tab w:val="clear" w:pos="8296"/>
            </w:tabs>
          </w:pPr>
          <w:r>
            <w:fldChar w:fldCharType="begin"/>
          </w:r>
          <w:r>
            <w:instrText xml:space="preserve"> HYPERLINK \l _Toc31914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rPr>
              <w:rFonts w:hint="eastAsia"/>
              <w:lang w:val="en-US" w:eastAsia="zh-CN"/>
            </w:rPr>
            <w:t>5</w:t>
          </w:r>
          <w:r>
            <w:fldChar w:fldCharType="end"/>
          </w:r>
        </w:p>
        <w:p w14:paraId="1327BB37">
          <w:pPr>
            <w:pStyle w:val="11"/>
            <w:tabs>
              <w:tab w:val="right" w:leader="dot" w:pos="8306"/>
              <w:tab w:val="clear" w:pos="8296"/>
            </w:tabs>
          </w:pPr>
          <w:r>
            <w:fldChar w:fldCharType="begin"/>
          </w:r>
          <w:r>
            <w:instrText xml:space="preserve"> HYPERLINK \l _Toc8319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rPr>
              <w:rFonts w:hint="eastAsia"/>
              <w:lang w:val="en-US" w:eastAsia="zh-CN"/>
            </w:rPr>
            <w:t>7</w:t>
          </w:r>
          <w:r>
            <w:fldChar w:fldCharType="end"/>
          </w:r>
        </w:p>
        <w:p w14:paraId="419C2613">
          <w:pPr>
            <w:pStyle w:val="11"/>
            <w:tabs>
              <w:tab w:val="right" w:leader="dot" w:pos="8306"/>
              <w:tab w:val="clear" w:pos="8296"/>
            </w:tabs>
          </w:pPr>
          <w:r>
            <w:fldChar w:fldCharType="begin"/>
          </w:r>
          <w:r>
            <w:instrText xml:space="preserve"> HYPERLINK \l _Toc15028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rPr>
              <w:rFonts w:hint="eastAsia"/>
              <w:lang w:val="en-US" w:eastAsia="zh-CN"/>
            </w:rPr>
            <w:t>9</w:t>
          </w:r>
          <w:r>
            <w:fldChar w:fldCharType="end"/>
          </w:r>
        </w:p>
        <w:p w14:paraId="39C86FAD">
          <w:pPr>
            <w:pStyle w:val="11"/>
            <w:tabs>
              <w:tab w:val="right" w:leader="dot" w:pos="8306"/>
              <w:tab w:val="clear" w:pos="8296"/>
            </w:tabs>
          </w:pPr>
          <w:r>
            <w:fldChar w:fldCharType="begin"/>
          </w:r>
          <w:r>
            <w:instrText xml:space="preserve"> HYPERLINK \l _Toc17059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rPr>
              <w:rFonts w:hint="eastAsia"/>
              <w:lang w:val="en-US" w:eastAsia="zh-CN"/>
            </w:rPr>
            <w:t>9</w:t>
          </w:r>
          <w:r>
            <w:fldChar w:fldCharType="end"/>
          </w:r>
        </w:p>
        <w:p w14:paraId="7E89AAF6">
          <w:pPr>
            <w:pStyle w:val="11"/>
            <w:tabs>
              <w:tab w:val="right" w:leader="dot" w:pos="8306"/>
              <w:tab w:val="clear" w:pos="8296"/>
            </w:tabs>
          </w:pPr>
          <w:r>
            <w:fldChar w:fldCharType="begin"/>
          </w:r>
          <w:r>
            <w:instrText xml:space="preserve"> HYPERLINK \l _Toc12318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rPr>
              <w:rFonts w:hint="eastAsia"/>
              <w:lang w:val="en-US" w:eastAsia="zh-CN"/>
            </w:rPr>
            <w:t>9</w:t>
          </w:r>
          <w:r>
            <w:fldChar w:fldCharType="end"/>
          </w:r>
        </w:p>
        <w:p w14:paraId="023D86A8">
          <w:pPr>
            <w:pStyle w:val="10"/>
            <w:tabs>
              <w:tab w:val="right" w:leader="dot" w:pos="8306"/>
              <w:tab w:val="clear" w:pos="8296"/>
            </w:tabs>
            <w:rPr>
              <w:rFonts w:hint="eastAsia" w:eastAsia="仿宋"/>
              <w:lang w:val="en-US" w:eastAsia="zh-CN"/>
            </w:rPr>
          </w:pPr>
          <w:r>
            <w:fldChar w:fldCharType="begin"/>
          </w:r>
          <w:r>
            <w:instrText xml:space="preserve"> HYPERLINK \l _Toc32006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rPr>
              <w:rFonts w:hint="eastAsia"/>
              <w:lang w:val="en-US" w:eastAsia="zh-CN"/>
            </w:rPr>
            <w:t>1</w:t>
          </w:r>
          <w:r>
            <w:fldChar w:fldCharType="end"/>
          </w:r>
          <w:r>
            <w:rPr>
              <w:rFonts w:hint="eastAsia"/>
              <w:lang w:val="en-US" w:eastAsia="zh-CN"/>
            </w:rPr>
            <w:t>1</w:t>
          </w:r>
        </w:p>
        <w:p w14:paraId="31AB1A96">
          <w:pPr>
            <w:pStyle w:val="10"/>
            <w:tabs>
              <w:tab w:val="right" w:leader="dot" w:pos="8306"/>
              <w:tab w:val="clear" w:pos="8296"/>
            </w:tabs>
            <w:rPr>
              <w:rFonts w:hint="eastAsia" w:eastAsia="仿宋"/>
              <w:lang w:val="en-US" w:eastAsia="zh-CN"/>
            </w:rPr>
          </w:pPr>
          <w:r>
            <w:fldChar w:fldCharType="begin"/>
          </w:r>
          <w:r>
            <w:instrText xml:space="preserve"> HYPERLINK \l _Toc9908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rPr>
              <w:rFonts w:hint="eastAsia"/>
              <w:lang w:val="en-US" w:eastAsia="zh-CN"/>
            </w:rPr>
            <w:t>1</w:t>
          </w:r>
          <w:r>
            <w:fldChar w:fldCharType="end"/>
          </w:r>
          <w:r>
            <w:rPr>
              <w:rFonts w:hint="eastAsia"/>
              <w:lang w:val="en-US" w:eastAsia="zh-CN"/>
            </w:rPr>
            <w:t>3</w:t>
          </w:r>
        </w:p>
        <w:p w14:paraId="1E04DE9E">
          <w:pPr>
            <w:pStyle w:val="10"/>
            <w:tabs>
              <w:tab w:val="right" w:leader="dot" w:pos="8306"/>
              <w:tab w:val="clear" w:pos="8296"/>
            </w:tabs>
            <w:jc w:val="both"/>
            <w:rPr>
              <w:rFonts w:hint="eastAsia" w:eastAsia="仿宋"/>
              <w:lang w:val="en-US" w:eastAsia="zh-CN"/>
            </w:rPr>
          </w:pPr>
          <w:r>
            <w:fldChar w:fldCharType="begin"/>
          </w:r>
          <w:r>
            <w:instrText xml:space="preserve"> HYPERLINK \l _Toc25916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rPr>
              <w:rFonts w:hint="eastAsia"/>
              <w:lang w:val="en-US" w:eastAsia="zh-CN"/>
            </w:rPr>
            <w:t>2</w:t>
          </w:r>
          <w:r>
            <w:fldChar w:fldCharType="end"/>
          </w:r>
          <w:r>
            <w:rPr>
              <w:rFonts w:hint="eastAsia"/>
              <w:lang w:val="en-US" w:eastAsia="zh-CN"/>
            </w:rPr>
            <w:t>2</w:t>
          </w:r>
        </w:p>
        <w:p w14:paraId="732AC1A3">
          <w:pPr>
            <w:pStyle w:val="11"/>
            <w:tabs>
              <w:tab w:val="right" w:leader="dot" w:pos="8306"/>
              <w:tab w:val="clear" w:pos="8296"/>
            </w:tabs>
            <w:rPr>
              <w:rFonts w:hint="eastAsia" w:eastAsia="宋体"/>
              <w:lang w:val="en-US" w:eastAsia="zh-CN"/>
            </w:rPr>
          </w:pPr>
          <w:r>
            <w:fldChar w:fldCharType="begin"/>
          </w:r>
          <w:r>
            <w:instrText xml:space="preserve"> HYPERLINK \l _Toc22108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rPr>
              <w:rFonts w:hint="eastAsia"/>
              <w:lang w:val="en-US" w:eastAsia="zh-CN"/>
            </w:rPr>
            <w:t>2</w:t>
          </w:r>
          <w:r>
            <w:fldChar w:fldCharType="end"/>
          </w:r>
          <w:r>
            <w:rPr>
              <w:rFonts w:hint="eastAsia"/>
              <w:lang w:val="en-US" w:eastAsia="zh-CN"/>
            </w:rPr>
            <w:t>2</w:t>
          </w:r>
        </w:p>
        <w:p w14:paraId="4573A838">
          <w:pPr>
            <w:pStyle w:val="11"/>
            <w:tabs>
              <w:tab w:val="right" w:leader="dot" w:pos="8306"/>
              <w:tab w:val="clear" w:pos="8296"/>
            </w:tabs>
            <w:rPr>
              <w:rFonts w:hint="eastAsia" w:eastAsia="宋体"/>
              <w:lang w:val="en-US" w:eastAsia="zh-CN"/>
            </w:rPr>
          </w:pPr>
          <w:r>
            <w:fldChar w:fldCharType="begin"/>
          </w:r>
          <w:r>
            <w:instrText xml:space="preserve"> HYPERLINK \l _Toc28819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rPr>
              <w:rFonts w:hint="eastAsia"/>
              <w:lang w:val="en-US" w:eastAsia="zh-CN"/>
            </w:rPr>
            <w:t>2</w:t>
          </w:r>
          <w:r>
            <w:fldChar w:fldCharType="end"/>
          </w:r>
          <w:r>
            <w:rPr>
              <w:rFonts w:hint="eastAsia"/>
              <w:lang w:val="en-US" w:eastAsia="zh-CN"/>
            </w:rPr>
            <w:t>2</w:t>
          </w:r>
        </w:p>
        <w:p w14:paraId="54368BE4">
          <w:pPr>
            <w:pStyle w:val="11"/>
            <w:tabs>
              <w:tab w:val="right" w:leader="dot" w:pos="8306"/>
              <w:tab w:val="clear" w:pos="8296"/>
            </w:tabs>
            <w:rPr>
              <w:rFonts w:hint="eastAsia" w:eastAsia="宋体"/>
              <w:lang w:val="en-US" w:eastAsia="zh-CN"/>
            </w:rPr>
          </w:pPr>
          <w:r>
            <w:fldChar w:fldCharType="begin"/>
          </w:r>
          <w:r>
            <w:instrText xml:space="preserve"> HYPERLINK \l _Toc26650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rPr>
              <w:rFonts w:hint="eastAsia"/>
              <w:lang w:val="en-US" w:eastAsia="zh-CN"/>
            </w:rPr>
            <w:t>2</w:t>
          </w:r>
          <w:r>
            <w:fldChar w:fldCharType="end"/>
          </w:r>
          <w:r>
            <w:rPr>
              <w:rFonts w:hint="eastAsia"/>
              <w:lang w:val="en-US" w:eastAsia="zh-CN"/>
            </w:rPr>
            <w:t>2</w:t>
          </w:r>
        </w:p>
        <w:p w14:paraId="21CD772E">
          <w:pPr>
            <w:pStyle w:val="11"/>
            <w:tabs>
              <w:tab w:val="right" w:leader="dot" w:pos="8306"/>
              <w:tab w:val="clear" w:pos="8296"/>
            </w:tabs>
            <w:rPr>
              <w:rFonts w:hint="eastAsia" w:eastAsia="宋体"/>
              <w:lang w:val="en-US" w:eastAsia="zh-CN"/>
            </w:rPr>
          </w:pPr>
          <w:r>
            <w:fldChar w:fldCharType="begin"/>
          </w:r>
          <w:r>
            <w:instrText xml:space="preserve"> HYPERLINK \l _Toc16947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rPr>
              <w:rFonts w:hint="eastAsia"/>
              <w:lang w:val="en-US" w:eastAsia="zh-CN"/>
            </w:rPr>
            <w:t>2</w:t>
          </w:r>
          <w:r>
            <w:fldChar w:fldCharType="end"/>
          </w:r>
          <w:r>
            <w:rPr>
              <w:rFonts w:hint="eastAsia"/>
              <w:lang w:val="en-US" w:eastAsia="zh-CN"/>
            </w:rPr>
            <w:t>2</w:t>
          </w:r>
        </w:p>
        <w:p w14:paraId="11CBF500">
          <w:pPr>
            <w:pStyle w:val="11"/>
            <w:tabs>
              <w:tab w:val="right" w:leader="dot" w:pos="8306"/>
              <w:tab w:val="clear" w:pos="8296"/>
            </w:tabs>
            <w:rPr>
              <w:rFonts w:hint="eastAsia" w:eastAsia="宋体"/>
              <w:lang w:val="en-US" w:eastAsia="zh-CN"/>
            </w:rPr>
          </w:pPr>
          <w:r>
            <w:fldChar w:fldCharType="begin"/>
          </w:r>
          <w:r>
            <w:instrText xml:space="preserve"> HYPERLINK \l _Toc30795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rPr>
              <w:rFonts w:hint="eastAsia"/>
              <w:lang w:val="en-US" w:eastAsia="zh-CN"/>
            </w:rPr>
            <w:t>2</w:t>
          </w:r>
          <w:r>
            <w:fldChar w:fldCharType="end"/>
          </w:r>
          <w:r>
            <w:rPr>
              <w:rFonts w:hint="eastAsia"/>
              <w:lang w:val="en-US" w:eastAsia="zh-CN"/>
            </w:rPr>
            <w:t>2</w:t>
          </w:r>
        </w:p>
        <w:p w14:paraId="10939BF0">
          <w:pPr>
            <w:pStyle w:val="11"/>
            <w:tabs>
              <w:tab w:val="right" w:leader="dot" w:pos="8306"/>
              <w:tab w:val="clear" w:pos="8296"/>
            </w:tabs>
            <w:rPr>
              <w:rFonts w:hint="eastAsia" w:eastAsia="宋体"/>
              <w:lang w:val="en-US" w:eastAsia="zh-CN"/>
            </w:rPr>
          </w:pPr>
          <w:r>
            <w:fldChar w:fldCharType="begin"/>
          </w:r>
          <w:r>
            <w:instrText xml:space="preserve"> HYPERLINK \l _Toc13704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rPr>
              <w:rFonts w:hint="eastAsia"/>
              <w:lang w:val="en-US" w:eastAsia="zh-CN"/>
            </w:rPr>
            <w:t>2</w:t>
          </w:r>
          <w:r>
            <w:fldChar w:fldCharType="end"/>
          </w:r>
          <w:r>
            <w:rPr>
              <w:rFonts w:hint="eastAsia"/>
              <w:lang w:val="en-US" w:eastAsia="zh-CN"/>
            </w:rPr>
            <w:t>2</w:t>
          </w:r>
        </w:p>
        <w:p w14:paraId="51AD7C23">
          <w:pPr>
            <w:pStyle w:val="11"/>
            <w:tabs>
              <w:tab w:val="right" w:leader="dot" w:pos="8306"/>
              <w:tab w:val="clear" w:pos="8296"/>
            </w:tabs>
            <w:rPr>
              <w:rFonts w:hint="eastAsia" w:eastAsia="宋体"/>
              <w:lang w:val="en-US" w:eastAsia="zh-CN"/>
            </w:rPr>
          </w:pPr>
          <w:r>
            <w:fldChar w:fldCharType="begin"/>
          </w:r>
          <w:r>
            <w:instrText xml:space="preserve"> HYPERLINK \l _Toc6448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rPr>
              <w:rFonts w:hint="eastAsia"/>
              <w:lang w:val="en-US" w:eastAsia="zh-CN"/>
            </w:rPr>
            <w:t>2</w:t>
          </w:r>
          <w:r>
            <w:fldChar w:fldCharType="end"/>
          </w:r>
          <w:r>
            <w:rPr>
              <w:rFonts w:hint="eastAsia"/>
              <w:lang w:val="en-US" w:eastAsia="zh-CN"/>
            </w:rPr>
            <w:t>2</w:t>
          </w:r>
        </w:p>
        <w:p w14:paraId="3DFF57C8">
          <w:pPr>
            <w:pStyle w:val="11"/>
            <w:tabs>
              <w:tab w:val="right" w:leader="dot" w:pos="8306"/>
              <w:tab w:val="clear" w:pos="8296"/>
            </w:tabs>
            <w:rPr>
              <w:rFonts w:hint="eastAsia" w:eastAsia="宋体"/>
              <w:lang w:val="en-US" w:eastAsia="zh-CN"/>
            </w:rPr>
          </w:pPr>
          <w:r>
            <w:fldChar w:fldCharType="begin"/>
          </w:r>
          <w:r>
            <w:instrText xml:space="preserve"> HYPERLINK \l _Toc11851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rPr>
              <w:rFonts w:hint="eastAsia"/>
              <w:lang w:val="en-US" w:eastAsia="zh-CN"/>
            </w:rPr>
            <w:t>2</w:t>
          </w:r>
          <w:r>
            <w:fldChar w:fldCharType="end"/>
          </w:r>
          <w:r>
            <w:rPr>
              <w:rFonts w:hint="eastAsia"/>
              <w:lang w:val="en-US" w:eastAsia="zh-CN"/>
            </w:rPr>
            <w:t>2</w:t>
          </w:r>
        </w:p>
        <w:p w14:paraId="5456250A">
          <w:pPr>
            <w:pStyle w:val="11"/>
            <w:tabs>
              <w:tab w:val="right" w:leader="dot" w:pos="8306"/>
              <w:tab w:val="clear" w:pos="8296"/>
            </w:tabs>
            <w:rPr>
              <w:rFonts w:hint="eastAsia" w:eastAsia="宋体"/>
              <w:lang w:val="en-US" w:eastAsia="zh-CN"/>
            </w:rPr>
          </w:pPr>
          <w:r>
            <w:fldChar w:fldCharType="begin"/>
          </w:r>
          <w:r>
            <w:instrText xml:space="preserve"> HYPERLINK \l _Toc14385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rPr>
              <w:rFonts w:hint="eastAsia"/>
              <w:lang w:val="en-US" w:eastAsia="zh-CN"/>
            </w:rPr>
            <w:t>2</w:t>
          </w:r>
          <w:r>
            <w:fldChar w:fldCharType="end"/>
          </w:r>
          <w:r>
            <w:rPr>
              <w:rFonts w:hint="eastAsia"/>
              <w:lang w:val="en-US" w:eastAsia="zh-CN"/>
            </w:rPr>
            <w:t>2</w:t>
          </w:r>
        </w:p>
        <w:p w14:paraId="7C05F200">
          <w:pPr>
            <w:pStyle w:val="11"/>
            <w:tabs>
              <w:tab w:val="right" w:leader="dot" w:pos="8306"/>
              <w:tab w:val="clear" w:pos="8296"/>
            </w:tabs>
            <w:rPr>
              <w:rFonts w:hint="eastAsia" w:eastAsia="宋体"/>
              <w:lang w:val="en-US" w:eastAsia="zh-CN"/>
            </w:rPr>
          </w:pPr>
          <w:r>
            <w:fldChar w:fldCharType="begin"/>
          </w:r>
          <w:r>
            <w:instrText xml:space="preserve"> HYPERLINK \l _Toc25233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rPr>
              <w:rFonts w:hint="eastAsia"/>
              <w:lang w:val="en-US" w:eastAsia="zh-CN"/>
            </w:rPr>
            <w:t>2</w:t>
          </w:r>
          <w:r>
            <w:fldChar w:fldCharType="end"/>
          </w:r>
          <w:r>
            <w:rPr>
              <w:rFonts w:hint="eastAsia"/>
              <w:lang w:val="en-US" w:eastAsia="zh-CN"/>
            </w:rPr>
            <w:t>2</w:t>
          </w:r>
        </w:p>
        <w:p w14:paraId="33DD4BBE">
          <w:pPr>
            <w:pStyle w:val="11"/>
            <w:tabs>
              <w:tab w:val="right" w:leader="dot" w:pos="8306"/>
              <w:tab w:val="clear" w:pos="8296"/>
            </w:tabs>
            <w:rPr>
              <w:rFonts w:hint="eastAsia" w:eastAsia="宋体"/>
              <w:lang w:val="en-US" w:eastAsia="zh-CN"/>
            </w:rPr>
          </w:pPr>
          <w:r>
            <w:fldChar w:fldCharType="begin"/>
          </w:r>
          <w:r>
            <w:instrText xml:space="preserve"> HYPERLINK \l _Toc24623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rPr>
              <w:rFonts w:hint="eastAsia"/>
              <w:lang w:val="en-US" w:eastAsia="zh-CN"/>
            </w:rPr>
            <w:t>2</w:t>
          </w:r>
          <w:r>
            <w:fldChar w:fldCharType="end"/>
          </w:r>
          <w:r>
            <w:rPr>
              <w:rFonts w:hint="eastAsia"/>
              <w:lang w:val="en-US" w:eastAsia="zh-CN"/>
            </w:rPr>
            <w:t>2</w:t>
          </w:r>
        </w:p>
        <w:p w14:paraId="309C690C">
          <w:pPr>
            <w:pStyle w:val="11"/>
            <w:tabs>
              <w:tab w:val="right" w:leader="dot" w:pos="8306"/>
              <w:tab w:val="clear" w:pos="8296"/>
            </w:tabs>
            <w:rPr>
              <w:rFonts w:hint="eastAsia" w:eastAsia="宋体"/>
              <w:lang w:val="en-US" w:eastAsia="zh-CN"/>
            </w:rPr>
          </w:pPr>
          <w:r>
            <w:fldChar w:fldCharType="begin"/>
          </w:r>
          <w:r>
            <w:instrText xml:space="preserve"> HYPERLINK \l _Toc12873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rPr>
              <w:rFonts w:hint="eastAsia"/>
              <w:lang w:val="en-US" w:eastAsia="zh-CN"/>
            </w:rPr>
            <w:t>2</w:t>
          </w:r>
          <w:r>
            <w:fldChar w:fldCharType="end"/>
          </w:r>
          <w:r>
            <w:rPr>
              <w:rFonts w:hint="eastAsia"/>
              <w:lang w:val="en-US" w:eastAsia="zh-CN"/>
            </w:rPr>
            <w:t>2</w:t>
          </w:r>
        </w:p>
        <w:p w14:paraId="5564A7CD">
          <w:pPr>
            <w:pStyle w:val="11"/>
            <w:tabs>
              <w:tab w:val="right" w:leader="dot" w:pos="8306"/>
              <w:tab w:val="clear" w:pos="8296"/>
            </w:tabs>
            <w:rPr>
              <w:rFonts w:hint="eastAsia" w:eastAsia="宋体"/>
              <w:lang w:val="en-US" w:eastAsia="zh-CN"/>
            </w:rPr>
          </w:pPr>
          <w:r>
            <w:fldChar w:fldCharType="begin"/>
          </w:r>
          <w:r>
            <w:instrText xml:space="preserve"> HYPERLINK \l _Toc22414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rPr>
              <w:rFonts w:hint="eastAsia"/>
              <w:lang w:val="en-US" w:eastAsia="zh-CN"/>
            </w:rPr>
            <w:t>2</w:t>
          </w:r>
          <w:r>
            <w:fldChar w:fldCharType="end"/>
          </w:r>
          <w:r>
            <w:rPr>
              <w:rFonts w:hint="eastAsia"/>
              <w:lang w:val="en-US" w:eastAsia="zh-CN"/>
            </w:rPr>
            <w:t>2</w:t>
          </w:r>
        </w:p>
        <w:p w14:paraId="61B18F98">
          <w:pPr>
            <w:pStyle w:val="10"/>
            <w:tabs>
              <w:tab w:val="right" w:leader="dot" w:pos="8306"/>
              <w:tab w:val="clear" w:pos="8296"/>
            </w:tabs>
            <w:sectPr>
              <w:headerReference r:id="rId3" w:type="default"/>
              <w:pgSz w:w="11906" w:h="16838"/>
              <w:pgMar w:top="1440" w:right="1800" w:bottom="1440" w:left="1800" w:header="851" w:footer="992" w:gutter="0"/>
              <w:pgNumType w:start="1"/>
              <w:cols w:space="425" w:num="1"/>
              <w:titlePg/>
              <w:docGrid w:type="lines" w:linePitch="312" w:charSpace="0"/>
            </w:sectPr>
          </w:pPr>
        </w:p>
        <w:p w14:paraId="0037135B">
          <w:pPr>
            <w:pStyle w:val="10"/>
            <w:tabs>
              <w:tab w:val="right" w:leader="dot" w:pos="8306"/>
              <w:tab w:val="clear" w:pos="8296"/>
            </w:tabs>
          </w:pPr>
          <w:r>
            <w:fldChar w:fldCharType="end"/>
          </w:r>
        </w:p>
      </w:sdtContent>
    </w:sdt>
    <w:p w14:paraId="4F9CD0B2">
      <w:pPr>
        <w:pStyle w:val="2"/>
        <w:jc w:val="center"/>
        <w:rPr>
          <w:rStyle w:val="24"/>
          <w:rFonts w:ascii="黑体" w:hAnsi="黑体" w:eastAsia="黑体"/>
          <w:b/>
          <w:bCs w:val="0"/>
          <w:color w:val="auto"/>
          <w:highlight w:val="none"/>
        </w:rPr>
      </w:pPr>
      <w:bookmarkStart w:id="20" w:name="_Toc26987"/>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8"/>
      <w:bookmarkEnd w:id="19"/>
      <w:bookmarkEnd w:id="20"/>
    </w:p>
    <w:p w14:paraId="400241A0">
      <w:pPr>
        <w:widowControl/>
        <w:jc w:val="left"/>
        <w:rPr>
          <w:rFonts w:ascii="黑体" w:eastAsia="黑体"/>
          <w:color w:val="auto"/>
          <w:sz w:val="32"/>
          <w:szCs w:val="32"/>
          <w:highlight w:val="none"/>
        </w:rPr>
      </w:pPr>
    </w:p>
    <w:p w14:paraId="65EFB687">
      <w:pPr>
        <w:pStyle w:val="3"/>
        <w:numPr>
          <w:ilvl w:val="0"/>
          <w:numId w:val="1"/>
        </w:numPr>
        <w:rPr>
          <w:rStyle w:val="25"/>
          <w:rFonts w:hint="eastAsia" w:ascii="黑体" w:hAnsi="黑体" w:eastAsia="黑体"/>
          <w:b w:val="0"/>
          <w:bCs w:val="0"/>
          <w:color w:val="auto"/>
          <w:highlight w:val="none"/>
          <w:lang w:eastAsia="zh-CN"/>
        </w:rPr>
      </w:pPr>
      <w:bookmarkStart w:id="21" w:name="_Toc30333"/>
      <w:bookmarkStart w:id="22" w:name="_Toc15377197"/>
      <w:bookmarkStart w:id="23" w:name="_Toc15396600"/>
      <w:r>
        <w:rPr>
          <w:rStyle w:val="25"/>
          <w:rFonts w:hint="eastAsia" w:ascii="黑体" w:hAnsi="黑体" w:eastAsia="黑体"/>
          <w:b w:val="0"/>
          <w:bCs w:val="0"/>
          <w:color w:val="auto"/>
          <w:highlight w:val="none"/>
          <w:lang w:eastAsia="zh-CN"/>
        </w:rPr>
        <w:t>主要职责</w:t>
      </w:r>
      <w:bookmarkEnd w:id="21"/>
    </w:p>
    <w:p w14:paraId="65C32EC3">
      <w:pPr>
        <w:spacing w:line="600" w:lineRule="exact"/>
        <w:ind w:firstLine="640" w:firstLineChars="200"/>
        <w:rPr>
          <w:rFonts w:ascii="仿宋" w:hAnsi="仿宋" w:eastAsia="仿宋"/>
          <w:color w:val="000000" w:themeColor="text1"/>
          <w:sz w:val="32"/>
          <w:szCs w:val="32"/>
          <w:lang w:val="zh-CN"/>
          <w14:textFill>
            <w14:solidFill>
              <w14:schemeClr w14:val="tx1"/>
            </w14:solidFill>
          </w14:textFill>
        </w:rPr>
      </w:pPr>
      <w:r>
        <w:rPr>
          <w:rFonts w:hint="eastAsia"/>
          <w:color w:val="000000" w:themeColor="text1"/>
          <w:sz w:val="32"/>
          <w:szCs w:val="32"/>
          <w:lang w:val="zh-CN"/>
          <w14:textFill>
            <w14:solidFill>
              <w14:schemeClr w14:val="tx1"/>
            </w14:solidFill>
          </w14:textFill>
        </w:rPr>
        <w:t>（</w:t>
      </w:r>
      <w:r>
        <w:rPr>
          <w:rFonts w:hint="eastAsia" w:ascii="仿宋" w:hAnsi="仿宋" w:eastAsia="仿宋"/>
          <w:color w:val="000000" w:themeColor="text1"/>
          <w:sz w:val="32"/>
          <w:szCs w:val="32"/>
          <w:lang w:val="zh-CN"/>
          <w14:textFill>
            <w14:solidFill>
              <w14:schemeClr w14:val="tx1"/>
            </w14:solidFill>
          </w14:textFill>
        </w:rPr>
        <w:t>一）机构组成：</w:t>
      </w:r>
      <w:r>
        <w:rPr>
          <w:rFonts w:hint="eastAsia" w:ascii="仿宋" w:hAnsi="仿宋" w:eastAsia="仿宋"/>
          <w:color w:val="000000" w:themeColor="text1"/>
          <w:sz w:val="32"/>
          <w:szCs w:val="32"/>
          <w14:textFill>
            <w14:solidFill>
              <w14:schemeClr w14:val="tx1"/>
            </w14:solidFill>
          </w14:textFill>
        </w:rPr>
        <w:t>大竹县</w:t>
      </w:r>
      <w:r>
        <w:rPr>
          <w:rFonts w:hint="eastAsia" w:ascii="仿宋" w:hAnsi="仿宋" w:eastAsia="仿宋"/>
          <w:color w:val="000000" w:themeColor="text1"/>
          <w:sz w:val="32"/>
          <w:szCs w:val="32"/>
          <w:lang w:val="en-US" w:eastAsia="zh-CN"/>
          <w14:textFill>
            <w14:solidFill>
              <w14:schemeClr w14:val="tx1"/>
            </w14:solidFill>
          </w14:textFill>
        </w:rPr>
        <w:t>青少年校外活动中心</w:t>
      </w:r>
      <w:r>
        <w:rPr>
          <w:rFonts w:hint="eastAsia" w:ascii="仿宋" w:hAnsi="仿宋" w:eastAsia="仿宋"/>
          <w:color w:val="000000" w:themeColor="text1"/>
          <w:sz w:val="32"/>
          <w:szCs w:val="32"/>
          <w14:textFill>
            <w14:solidFill>
              <w14:schemeClr w14:val="tx1"/>
            </w14:solidFill>
          </w14:textFill>
        </w:rPr>
        <w:t>是大竹县教育局直属全额财政拨款事业单位（公益二类）。</w:t>
      </w:r>
    </w:p>
    <w:p w14:paraId="0699B4CF">
      <w:pPr>
        <w:widowControl w:val="0"/>
        <w:adjustRightInd w:val="0"/>
        <w:snapToGrid w:val="0"/>
        <w:spacing w:before="93" w:beforeLines="30" w:line="600" w:lineRule="exact"/>
        <w:ind w:firstLine="672" w:firstLineChars="210"/>
        <w:jc w:val="both"/>
        <w:outlineLvl w:val="2"/>
        <w:rPr>
          <w:rFonts w:ascii="仿宋" w:hAnsi="仿宋" w:eastAsia="仿宋" w:cs="Times New Roman"/>
          <w:bCs/>
          <w:kern w:val="0"/>
          <w:sz w:val="32"/>
          <w:szCs w:val="32"/>
          <w:lang w:val="en-US" w:eastAsia="zh-CN" w:bidi="ar-SA"/>
        </w:rPr>
      </w:pPr>
      <w:r>
        <w:rPr>
          <w:rFonts w:hint="eastAsia" w:ascii="仿宋" w:hAnsi="仿宋" w:eastAsia="仿宋"/>
          <w:color w:val="000000" w:themeColor="text1"/>
          <w:sz w:val="32"/>
          <w:szCs w:val="32"/>
          <w:lang w:val="zh-CN"/>
          <w14:textFill>
            <w14:solidFill>
              <w14:schemeClr w14:val="tx1"/>
            </w14:solidFill>
          </w14:textFill>
        </w:rPr>
        <w:t>（二）机构职能：</w:t>
      </w:r>
      <w:r>
        <w:rPr>
          <w:rFonts w:hint="eastAsia" w:ascii="仿宋" w:hAnsi="仿宋" w:eastAsia="仿宋" w:cs="Times New Roman"/>
          <w:bCs/>
          <w:kern w:val="0"/>
          <w:sz w:val="32"/>
          <w:szCs w:val="32"/>
          <w:lang w:val="en-US" w:eastAsia="zh-CN" w:bidi="ar-SA"/>
        </w:rPr>
        <w:t>管理中心日常工作和指导全县青少年校外活动的开展，保障本单位机构正常运转、完成日常工作任务以及承担全县其他相关工作。</w:t>
      </w:r>
    </w:p>
    <w:p w14:paraId="5EDDCC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 w:hAnsi="仿宋" w:eastAsia="仿宋"/>
          <w:color w:val="000000" w:themeColor="text1"/>
          <w:sz w:val="32"/>
          <w:szCs w:val="32"/>
          <w:lang w:val="zh-CN"/>
          <w14:textFill>
            <w14:solidFill>
              <w14:schemeClr w14:val="tx1"/>
            </w14:solidFill>
          </w14:textFill>
        </w:rPr>
        <w:t>（三）人员概况：</w:t>
      </w:r>
      <w:r>
        <w:rPr>
          <w:rFonts w:hint="eastAsia" w:ascii="仿宋" w:hAnsi="仿宋" w:eastAsia="仿宋"/>
          <w:color w:val="000000" w:themeColor="text1"/>
          <w:sz w:val="32"/>
          <w:szCs w:val="32"/>
          <w14:textFill>
            <w14:solidFill>
              <w14:schemeClr w14:val="tx1"/>
            </w14:solidFill>
          </w14:textFill>
        </w:rPr>
        <w:t>事业编制人数10人。202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年12月底实有在职人员</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人。</w:t>
      </w:r>
    </w:p>
    <w:p w14:paraId="4257E593">
      <w:pPr>
        <w:pStyle w:val="3"/>
        <w:numPr>
          <w:ilvl w:val="0"/>
          <w:numId w:val="0"/>
        </w:numPr>
        <w:rPr>
          <w:rFonts w:hint="eastAsia" w:ascii="黑体" w:hAnsi="黑体" w:eastAsia="黑体"/>
          <w:b w:val="0"/>
          <w:color w:val="auto"/>
          <w:highlight w:val="none"/>
          <w:lang w:val="en-US" w:eastAsia="zh-CN"/>
        </w:rPr>
      </w:pPr>
      <w:bookmarkStart w:id="24" w:name="_Toc26939"/>
      <w:r>
        <w:rPr>
          <w:rFonts w:hint="eastAsia" w:ascii="黑体" w:hAnsi="黑体" w:eastAsia="黑体"/>
          <w:b w:val="0"/>
          <w:color w:val="auto"/>
          <w:highlight w:val="none"/>
          <w:lang w:val="en-US" w:eastAsia="zh-CN"/>
        </w:rPr>
        <w:t>二、机构设置</w:t>
      </w:r>
      <w:bookmarkEnd w:id="24"/>
    </w:p>
    <w:bookmarkEnd w:id="22"/>
    <w:bookmarkEnd w:id="23"/>
    <w:p w14:paraId="0E1A63AE">
      <w:pPr>
        <w:ind w:firstLine="800" w:firstLineChars="250"/>
        <w:rPr>
          <w:rFonts w:ascii="仿宋" w:hAnsi="仿宋" w:eastAsia="仿宋" w:cs="Times New Roman"/>
          <w:sz w:val="32"/>
          <w:szCs w:val="32"/>
        </w:rPr>
      </w:pPr>
      <w:r>
        <w:rPr>
          <w:rFonts w:hint="eastAsia" w:ascii="仿宋" w:hAnsi="仿宋" w:eastAsia="仿宋" w:cs="Times New Roman"/>
          <w:sz w:val="32"/>
          <w:szCs w:val="32"/>
        </w:rPr>
        <w:t>大竹县青少年校外活动中心下属二级单位0个，其中行政单位0个，参照公务员法管理的事业单位</w:t>
      </w:r>
      <w:r>
        <w:rPr>
          <w:rFonts w:hint="eastAsia" w:ascii="仿宋" w:hAnsi="仿宋" w:eastAsia="仿宋" w:cs="Times New Roman"/>
          <w:bCs/>
          <w:sz w:val="32"/>
          <w:szCs w:val="32"/>
        </w:rPr>
        <w:t>0</w:t>
      </w:r>
      <w:r>
        <w:rPr>
          <w:rFonts w:hint="eastAsia" w:ascii="仿宋" w:hAnsi="仿宋" w:eastAsia="仿宋" w:cs="Times New Roman"/>
          <w:sz w:val="32"/>
          <w:szCs w:val="32"/>
        </w:rPr>
        <w:t>个，其他事业单位0个。</w:t>
      </w:r>
    </w:p>
    <w:p w14:paraId="732A7F20">
      <w:pPr>
        <w:widowControl/>
        <w:numPr>
          <w:ilvl w:val="0"/>
          <w:numId w:val="0"/>
        </w:numPr>
        <w:ind w:left="0" w:leftChars="0" w:firstLine="838" w:firstLineChars="262"/>
        <w:jc w:val="left"/>
        <w:rPr>
          <w:rFonts w:hint="default" w:ascii="仿宋" w:hAnsi="仿宋" w:eastAsia="仿宋" w:cs="Times New Roman"/>
          <w:kern w:val="0"/>
          <w:sz w:val="32"/>
          <w:szCs w:val="32"/>
          <w:lang w:val="en-US" w:eastAsia="zh-CN"/>
        </w:rPr>
      </w:pPr>
      <w:r>
        <w:rPr>
          <w:rFonts w:hint="eastAsia" w:ascii="仿宋" w:hAnsi="仿宋" w:eastAsia="仿宋" w:cs="Times New Roman"/>
          <w:color w:val="000000"/>
          <w:sz w:val="32"/>
          <w:szCs w:val="32"/>
        </w:rPr>
        <w:t>纳入大竹县青少年校外活动中心</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年度部门决算编制范围的二级预算单位包括：无。</w:t>
      </w:r>
    </w:p>
    <w:p w14:paraId="227181E0">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1DAC6B35">
      <w:pPr>
        <w:pStyle w:val="2"/>
        <w:ind w:right="440"/>
        <w:jc w:val="center"/>
        <w:rPr>
          <w:rStyle w:val="24"/>
          <w:rFonts w:ascii="黑体" w:hAnsi="黑体" w:eastAsia="黑体"/>
          <w:b w:val="0"/>
          <w:bCs/>
          <w:color w:val="auto"/>
          <w:highlight w:val="none"/>
        </w:rPr>
      </w:pPr>
      <w:bookmarkStart w:id="25" w:name="_Toc15396602"/>
      <w:bookmarkStart w:id="26" w:name="_Toc15377204"/>
      <w:bookmarkStart w:id="27" w:name="_Toc5586"/>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5"/>
      <w:bookmarkEnd w:id="26"/>
      <w:bookmarkEnd w:id="27"/>
    </w:p>
    <w:p w14:paraId="1535754F">
      <w:pPr>
        <w:rPr>
          <w:color w:val="auto"/>
          <w:highlight w:val="none"/>
        </w:rPr>
      </w:pPr>
    </w:p>
    <w:p w14:paraId="3DE0EC6E">
      <w:pPr>
        <w:pStyle w:val="23"/>
        <w:numPr>
          <w:ilvl w:val="0"/>
          <w:numId w:val="2"/>
        </w:numPr>
        <w:spacing w:line="600" w:lineRule="exact"/>
        <w:ind w:firstLineChars="0"/>
        <w:outlineLvl w:val="1"/>
        <w:rPr>
          <w:rStyle w:val="25"/>
          <w:rFonts w:ascii="黑体" w:hAnsi="黑体" w:eastAsia="黑体"/>
          <w:b w:val="0"/>
          <w:color w:val="auto"/>
          <w:highlight w:val="none"/>
        </w:rPr>
      </w:pPr>
      <w:bookmarkStart w:id="28" w:name="_Toc15396603"/>
      <w:bookmarkStart w:id="29" w:name="_Toc18826"/>
      <w:bookmarkStart w:id="30"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8"/>
      <w:bookmarkEnd w:id="29"/>
      <w:bookmarkEnd w:id="30"/>
    </w:p>
    <w:p w14:paraId="27A5E27D">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2023年总收入233.38万元，较2022年总收入391.58万元，减少158.20万元，下降40.40%。2023年总支出233.38万元，较2022年总支出391.58万元，减少158.20万元，下降40.40%。主要原因是活动中心幼儿园单独建账。</w:t>
      </w:r>
    </w:p>
    <w:p w14:paraId="5BCE5593">
      <w:pPr>
        <w:spacing w:line="600" w:lineRule="exact"/>
        <w:ind w:firstLine="640" w:firstLineChars="200"/>
        <w:rPr>
          <w:rFonts w:hint="eastAsia" w:ascii="仿宋_GB2312" w:hAnsi="仿宋" w:eastAsia="仿宋_GB2312"/>
          <w:sz w:val="32"/>
          <w:szCs w:val="32"/>
          <w:lang w:val="en-US" w:eastAsia="zh-CN"/>
        </w:rPr>
      </w:pPr>
    </w:p>
    <w:p w14:paraId="189ADB36">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372745</wp:posOffset>
            </wp:positionH>
            <wp:positionV relativeFrom="paragraph">
              <wp:posOffset>153035</wp:posOffset>
            </wp:positionV>
            <wp:extent cx="4714875" cy="2461895"/>
            <wp:effectExtent l="4445" t="4445" r="5080" b="1778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E6CB3F6">
      <w:pPr>
        <w:spacing w:line="600" w:lineRule="exact"/>
        <w:ind w:firstLine="640" w:firstLineChars="200"/>
        <w:rPr>
          <w:rFonts w:hint="eastAsia" w:ascii="仿宋" w:hAnsi="仿宋" w:eastAsia="仿宋"/>
          <w:color w:val="auto"/>
          <w:sz w:val="32"/>
          <w:szCs w:val="32"/>
          <w:highlight w:val="none"/>
        </w:rPr>
      </w:pPr>
    </w:p>
    <w:p w14:paraId="704CF6D2">
      <w:pPr>
        <w:spacing w:line="600" w:lineRule="exact"/>
        <w:ind w:firstLine="640" w:firstLineChars="200"/>
        <w:rPr>
          <w:rFonts w:hint="eastAsia" w:ascii="仿宋" w:hAnsi="仿宋" w:eastAsia="仿宋"/>
          <w:color w:val="auto"/>
          <w:sz w:val="32"/>
          <w:szCs w:val="32"/>
          <w:highlight w:val="none"/>
        </w:rPr>
      </w:pPr>
    </w:p>
    <w:p w14:paraId="752D253D">
      <w:pPr>
        <w:spacing w:line="600" w:lineRule="exact"/>
        <w:ind w:firstLine="640" w:firstLineChars="200"/>
        <w:rPr>
          <w:rFonts w:hint="eastAsia" w:ascii="仿宋" w:hAnsi="仿宋" w:eastAsia="仿宋"/>
          <w:color w:val="auto"/>
          <w:sz w:val="32"/>
          <w:szCs w:val="32"/>
          <w:highlight w:val="none"/>
        </w:rPr>
      </w:pPr>
    </w:p>
    <w:p w14:paraId="27407735">
      <w:pPr>
        <w:spacing w:line="600" w:lineRule="exact"/>
        <w:ind w:firstLine="640" w:firstLineChars="200"/>
        <w:rPr>
          <w:rFonts w:hint="eastAsia" w:ascii="仿宋" w:hAnsi="仿宋" w:eastAsia="仿宋"/>
          <w:color w:val="auto"/>
          <w:sz w:val="32"/>
          <w:szCs w:val="32"/>
          <w:highlight w:val="none"/>
        </w:rPr>
      </w:pPr>
    </w:p>
    <w:p w14:paraId="1941D395">
      <w:pPr>
        <w:spacing w:line="600" w:lineRule="exact"/>
        <w:ind w:firstLine="640" w:firstLineChars="200"/>
        <w:rPr>
          <w:rFonts w:hint="eastAsia" w:ascii="仿宋" w:hAnsi="仿宋" w:eastAsia="仿宋"/>
          <w:color w:val="auto"/>
          <w:sz w:val="32"/>
          <w:szCs w:val="32"/>
          <w:highlight w:val="none"/>
        </w:rPr>
      </w:pPr>
    </w:p>
    <w:p w14:paraId="077BD430">
      <w:pPr>
        <w:spacing w:line="600" w:lineRule="exact"/>
        <w:ind w:left="1598" w:leftChars="304" w:hanging="960" w:hangingChars="3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p>
    <w:p w14:paraId="2359DB31">
      <w:pPr>
        <w:spacing w:line="600" w:lineRule="exact"/>
        <w:ind w:left="1598" w:leftChars="304" w:hanging="960" w:hangingChars="300"/>
        <w:jc w:val="left"/>
        <w:rPr>
          <w:rFonts w:hint="eastAsia" w:ascii="仿宋" w:hAnsi="仿宋" w:eastAsia="仿宋"/>
          <w:color w:val="auto"/>
          <w:sz w:val="32"/>
          <w:szCs w:val="32"/>
          <w:highlight w:val="none"/>
        </w:rPr>
      </w:pPr>
    </w:p>
    <w:p w14:paraId="5B965E84">
      <w:pPr>
        <w:spacing w:line="600" w:lineRule="exact"/>
        <w:ind w:left="1598" w:leftChars="304" w:hanging="960" w:hangingChars="300"/>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r>
        <w:rPr>
          <w:rFonts w:hint="eastAsia" w:ascii="仿宋" w:hAnsi="仿宋" w:eastAsia="仿宋"/>
          <w:color w:val="auto"/>
          <w:sz w:val="32"/>
          <w:szCs w:val="32"/>
          <w:highlight w:val="none"/>
          <w:lang w:eastAsia="zh-CN"/>
        </w:rPr>
        <w:t>）</w:t>
      </w:r>
    </w:p>
    <w:p w14:paraId="5810DB27">
      <w:pPr>
        <w:spacing w:line="600" w:lineRule="exact"/>
        <w:ind w:left="1598" w:leftChars="304" w:hanging="960" w:hangingChars="300"/>
        <w:jc w:val="center"/>
        <w:rPr>
          <w:rFonts w:hint="eastAsia" w:ascii="仿宋" w:hAnsi="仿宋" w:eastAsia="仿宋"/>
          <w:color w:val="auto"/>
          <w:sz w:val="32"/>
          <w:szCs w:val="32"/>
          <w:highlight w:val="none"/>
          <w:lang w:eastAsia="zh-CN"/>
        </w:rPr>
      </w:pPr>
    </w:p>
    <w:p w14:paraId="2232586D">
      <w:pPr>
        <w:spacing w:line="600" w:lineRule="exact"/>
        <w:jc w:val="left"/>
        <w:rPr>
          <w:rFonts w:hint="eastAsia" w:ascii="仿宋" w:hAnsi="仿宋" w:eastAsia="仿宋"/>
          <w:color w:val="auto"/>
          <w:sz w:val="32"/>
          <w:szCs w:val="32"/>
          <w:highlight w:val="none"/>
          <w:lang w:eastAsia="zh-CN"/>
        </w:rPr>
      </w:pPr>
    </w:p>
    <w:p w14:paraId="3EA818CE">
      <w:pPr>
        <w:pStyle w:val="23"/>
        <w:numPr>
          <w:ilvl w:val="0"/>
          <w:numId w:val="2"/>
        </w:numPr>
        <w:spacing w:line="600" w:lineRule="exact"/>
        <w:ind w:firstLineChars="0"/>
        <w:outlineLvl w:val="1"/>
        <w:rPr>
          <w:rStyle w:val="25"/>
          <w:rFonts w:ascii="黑体" w:hAnsi="黑体" w:eastAsia="黑体"/>
          <w:b w:val="0"/>
          <w:color w:val="auto"/>
          <w:highlight w:val="none"/>
        </w:rPr>
      </w:pPr>
      <w:bookmarkStart w:id="31" w:name="_Toc27165"/>
      <w:bookmarkStart w:id="32" w:name="_Toc15377206"/>
      <w:bookmarkStart w:id="33"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1"/>
      <w:bookmarkEnd w:id="32"/>
      <w:bookmarkEnd w:id="33"/>
    </w:p>
    <w:p w14:paraId="5BAE32B6">
      <w:pPr>
        <w:spacing w:line="600" w:lineRule="exact"/>
        <w:ind w:firstLine="640" w:firstLineChars="200"/>
        <w:outlineLvl w:val="1"/>
        <w:rPr>
          <w:rFonts w:hint="eastAsia" w:ascii="仿宋" w:hAnsi="仿宋" w:eastAsia="仿宋"/>
          <w:color w:val="auto"/>
          <w:sz w:val="32"/>
          <w:szCs w:val="32"/>
          <w:highlight w:val="none"/>
        </w:rPr>
      </w:pPr>
      <w:bookmarkStart w:id="34" w:name="_Toc15076"/>
      <w:bookmarkStart w:id="35" w:name="_Toc23715"/>
      <w:bookmarkStart w:id="36" w:name="_Toc15483"/>
      <w:bookmarkStart w:id="37" w:name="_Toc221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147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4"/>
      <w:bookmarkEnd w:id="35"/>
      <w:bookmarkEnd w:id="36"/>
      <w:bookmarkEnd w:id="37"/>
    </w:p>
    <w:p w14:paraId="1050781D">
      <w:pPr>
        <w:spacing w:line="600" w:lineRule="exact"/>
        <w:outlineLvl w:val="1"/>
        <w:rPr>
          <w:rFonts w:hint="eastAsia" w:ascii="仿宋" w:hAnsi="仿宋" w:eastAsia="仿宋"/>
          <w:color w:val="auto"/>
          <w:sz w:val="32"/>
          <w:szCs w:val="32"/>
          <w:highlight w:val="none"/>
          <w:lang w:eastAsia="zh-CN"/>
        </w:rPr>
      </w:pPr>
      <w:r>
        <w:rPr>
          <w:rFonts w:hint="eastAsia" w:eastAsia="仿宋"/>
          <w:lang w:eastAsia="zh-CN"/>
        </w:rPr>
        <w:drawing>
          <wp:anchor distT="0" distB="0" distL="114300" distR="114300" simplePos="0" relativeHeight="251665408" behindDoc="1" locked="0" layoutInCell="1" allowOverlap="1">
            <wp:simplePos x="0" y="0"/>
            <wp:positionH relativeFrom="column">
              <wp:posOffset>258445</wp:posOffset>
            </wp:positionH>
            <wp:positionV relativeFrom="paragraph">
              <wp:posOffset>277495</wp:posOffset>
            </wp:positionV>
            <wp:extent cx="4808220" cy="2497455"/>
            <wp:effectExtent l="4445" t="4445" r="48895" b="43180"/>
            <wp:wrapThrough wrapText="bothSides">
              <wp:wrapPolygon>
                <wp:start x="-20" y="-38"/>
                <wp:lineTo x="-20" y="21578"/>
                <wp:lineTo x="21546" y="21578"/>
                <wp:lineTo x="21546" y="-38"/>
                <wp:lineTo x="-20" y="-38"/>
              </wp:wrapPolygon>
            </wp:wrapThrough>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E90E2C6">
      <w:pPr>
        <w:spacing w:line="600" w:lineRule="exact"/>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图2：收入决算结构图</w:t>
      </w:r>
      <w:r>
        <w:rPr>
          <w:rFonts w:hint="eastAsia" w:ascii="仿宋" w:hAnsi="仿宋" w:eastAsia="仿宋"/>
          <w:color w:val="auto"/>
          <w:sz w:val="32"/>
          <w:szCs w:val="32"/>
          <w:highlight w:val="none"/>
          <w:lang w:eastAsia="zh-CN"/>
        </w:rPr>
        <w:t>）</w:t>
      </w:r>
    </w:p>
    <w:p w14:paraId="230B3292">
      <w:pPr>
        <w:spacing w:line="600" w:lineRule="exact"/>
        <w:jc w:val="center"/>
        <w:rPr>
          <w:rFonts w:hint="eastAsia" w:ascii="仿宋" w:hAnsi="仿宋" w:eastAsia="仿宋"/>
          <w:color w:val="auto"/>
          <w:sz w:val="32"/>
          <w:szCs w:val="32"/>
          <w:highlight w:val="none"/>
          <w:lang w:eastAsia="zh-CN"/>
        </w:rPr>
      </w:pPr>
    </w:p>
    <w:p w14:paraId="1F4EDB00">
      <w:pPr>
        <w:pStyle w:val="23"/>
        <w:numPr>
          <w:ilvl w:val="0"/>
          <w:numId w:val="2"/>
        </w:numPr>
        <w:spacing w:line="600" w:lineRule="exact"/>
        <w:ind w:firstLineChars="0"/>
        <w:outlineLvl w:val="1"/>
        <w:rPr>
          <w:rStyle w:val="25"/>
          <w:rFonts w:ascii="黑体" w:hAnsi="黑体" w:eastAsia="黑体"/>
          <w:b w:val="0"/>
          <w:color w:val="auto"/>
          <w:highlight w:val="none"/>
        </w:rPr>
      </w:pPr>
      <w:bookmarkStart w:id="38" w:name="_Toc12804"/>
      <w:bookmarkStart w:id="39" w:name="_Toc15396605"/>
      <w:bookmarkStart w:id="40"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38"/>
      <w:bookmarkEnd w:id="39"/>
      <w:bookmarkEnd w:id="40"/>
    </w:p>
    <w:p w14:paraId="2FE85F94">
      <w:pPr>
        <w:spacing w:line="600" w:lineRule="exact"/>
        <w:ind w:firstLine="640" w:firstLineChars="200"/>
        <w:outlineLvl w:val="1"/>
        <w:rPr>
          <w:rFonts w:hint="eastAsia" w:ascii="仿宋" w:hAnsi="仿宋" w:eastAsia="仿宋"/>
          <w:color w:val="auto"/>
          <w:sz w:val="32"/>
          <w:szCs w:val="32"/>
          <w:highlight w:val="none"/>
        </w:rPr>
      </w:pPr>
      <w:bookmarkStart w:id="41" w:name="_Toc12965"/>
      <w:bookmarkStart w:id="42" w:name="_Toc9793"/>
      <w:bookmarkStart w:id="43" w:name="_Toc28149"/>
      <w:bookmarkStart w:id="44" w:name="_Toc2617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179.12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136.62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76.27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42.50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1"/>
      <w:bookmarkEnd w:id="42"/>
      <w:bookmarkEnd w:id="43"/>
      <w:bookmarkEnd w:id="44"/>
    </w:p>
    <w:p w14:paraId="749AA767">
      <w:pPr>
        <w:spacing w:line="600" w:lineRule="exact"/>
        <w:ind w:firstLine="640" w:firstLineChars="200"/>
        <w:rPr>
          <w:rFonts w:ascii="仿宋_GB2312" w:eastAsia="仿宋_GB2312"/>
          <w:color w:val="auto"/>
          <w:sz w:val="32"/>
          <w:szCs w:val="32"/>
          <w:highlight w:val="none"/>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136525</wp:posOffset>
            </wp:positionH>
            <wp:positionV relativeFrom="paragraph">
              <wp:posOffset>187960</wp:posOffset>
            </wp:positionV>
            <wp:extent cx="5048250" cy="2609850"/>
            <wp:effectExtent l="4445" t="4445" r="14605" b="14605"/>
            <wp:wrapNone/>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B2152D7">
      <w:pPr>
        <w:spacing w:line="600" w:lineRule="exact"/>
        <w:ind w:firstLine="640" w:firstLineChars="200"/>
        <w:rPr>
          <w:rFonts w:ascii="仿宋_GB2312" w:eastAsia="仿宋_GB2312"/>
          <w:color w:val="auto"/>
          <w:sz w:val="32"/>
          <w:szCs w:val="32"/>
          <w:highlight w:val="none"/>
        </w:rPr>
      </w:pPr>
    </w:p>
    <w:p w14:paraId="491E0DE9">
      <w:pPr>
        <w:spacing w:line="600" w:lineRule="exact"/>
        <w:ind w:firstLine="640" w:firstLineChars="200"/>
        <w:rPr>
          <w:rFonts w:ascii="仿宋_GB2312" w:eastAsia="仿宋_GB2312"/>
          <w:color w:val="auto"/>
          <w:sz w:val="32"/>
          <w:szCs w:val="32"/>
          <w:highlight w:val="none"/>
        </w:rPr>
      </w:pPr>
    </w:p>
    <w:p w14:paraId="1CF24EE5">
      <w:pPr>
        <w:spacing w:line="600" w:lineRule="exact"/>
        <w:ind w:firstLine="640" w:firstLineChars="200"/>
        <w:rPr>
          <w:rFonts w:ascii="仿宋_GB2312" w:eastAsia="仿宋_GB2312"/>
          <w:color w:val="auto"/>
          <w:sz w:val="32"/>
          <w:szCs w:val="32"/>
          <w:highlight w:val="none"/>
        </w:rPr>
      </w:pPr>
    </w:p>
    <w:p w14:paraId="525C8AA9">
      <w:pPr>
        <w:spacing w:line="600" w:lineRule="exact"/>
        <w:ind w:firstLine="640" w:firstLineChars="200"/>
        <w:rPr>
          <w:rFonts w:ascii="仿宋_GB2312" w:eastAsia="仿宋_GB2312"/>
          <w:color w:val="auto"/>
          <w:sz w:val="32"/>
          <w:szCs w:val="32"/>
          <w:highlight w:val="none"/>
        </w:rPr>
      </w:pPr>
    </w:p>
    <w:p w14:paraId="43A08F49">
      <w:pPr>
        <w:spacing w:line="600" w:lineRule="exact"/>
        <w:ind w:firstLine="640" w:firstLineChars="200"/>
        <w:rPr>
          <w:rFonts w:ascii="仿宋_GB2312" w:eastAsia="仿宋_GB2312"/>
          <w:color w:val="auto"/>
          <w:sz w:val="32"/>
          <w:szCs w:val="32"/>
          <w:highlight w:val="none"/>
        </w:rPr>
      </w:pPr>
    </w:p>
    <w:p w14:paraId="20E8C362">
      <w:pPr>
        <w:spacing w:line="600" w:lineRule="exact"/>
        <w:ind w:firstLine="640" w:firstLineChars="200"/>
        <w:outlineLvl w:val="9"/>
        <w:rPr>
          <w:rFonts w:hint="eastAsia" w:ascii="黑体" w:hAnsi="黑体" w:eastAsia="黑体"/>
          <w:color w:val="auto"/>
          <w:sz w:val="32"/>
          <w:szCs w:val="32"/>
          <w:highlight w:val="none"/>
        </w:rPr>
      </w:pPr>
      <w:bookmarkStart w:id="45" w:name="_Toc15396606"/>
      <w:bookmarkStart w:id="46" w:name="_Toc15377208"/>
    </w:p>
    <w:p w14:paraId="4D445C4C">
      <w:pPr>
        <w:spacing w:line="600" w:lineRule="exact"/>
        <w:jc w:val="center"/>
        <w:outlineLvl w:val="9"/>
        <w:rPr>
          <w:rFonts w:hint="eastAsia" w:ascii="仿宋" w:hAnsi="仿宋" w:eastAsia="仿宋"/>
          <w:color w:val="auto"/>
          <w:sz w:val="32"/>
          <w:szCs w:val="32"/>
          <w:highlight w:val="none"/>
          <w:lang w:eastAsia="zh-CN"/>
        </w:rPr>
      </w:pPr>
    </w:p>
    <w:p w14:paraId="73787F3A">
      <w:pPr>
        <w:spacing w:line="600" w:lineRule="exact"/>
        <w:jc w:val="center"/>
        <w:outlineLvl w:val="9"/>
        <w:rPr>
          <w:rFonts w:hint="eastAsia" w:ascii="黑体" w:hAnsi="黑体"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图3：支出决算结构图</w:t>
      </w:r>
      <w:r>
        <w:rPr>
          <w:rFonts w:hint="eastAsia" w:ascii="仿宋" w:hAnsi="仿宋" w:eastAsia="仿宋"/>
          <w:color w:val="auto"/>
          <w:sz w:val="32"/>
          <w:szCs w:val="32"/>
          <w:highlight w:val="none"/>
          <w:lang w:eastAsia="zh-CN"/>
        </w:rPr>
        <w:t>）</w:t>
      </w:r>
    </w:p>
    <w:p w14:paraId="56C9075C">
      <w:pPr>
        <w:spacing w:line="600" w:lineRule="exact"/>
        <w:ind w:firstLine="640" w:firstLineChars="200"/>
        <w:outlineLvl w:val="1"/>
        <w:rPr>
          <w:rFonts w:hint="eastAsia" w:ascii="黑体" w:hAnsi="黑体" w:eastAsia="黑体"/>
          <w:color w:val="auto"/>
          <w:sz w:val="32"/>
          <w:szCs w:val="32"/>
          <w:highlight w:val="none"/>
        </w:rPr>
      </w:pPr>
      <w:bookmarkStart w:id="47" w:name="_Toc32022"/>
    </w:p>
    <w:p w14:paraId="4BF5D027">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5"/>
      <w:bookmarkEnd w:id="46"/>
      <w:bookmarkEnd w:id="47"/>
    </w:p>
    <w:p w14:paraId="727C8FF6">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s="仿宋"/>
          <w:sz w:val="32"/>
          <w:szCs w:val="32"/>
          <w:lang w:val="en-US" w:eastAsia="zh-CN"/>
        </w:rPr>
        <w:t>2023年总收入</w:t>
      </w:r>
      <w:r>
        <w:rPr>
          <w:rFonts w:hint="eastAsia" w:ascii="仿宋" w:hAnsi="仿宋" w:eastAsia="仿宋"/>
          <w:color w:val="auto"/>
          <w:sz w:val="32"/>
          <w:szCs w:val="32"/>
          <w:highlight w:val="none"/>
          <w:lang w:val="en-US" w:eastAsia="zh-CN"/>
        </w:rPr>
        <w:t>157.16</w:t>
      </w:r>
      <w:r>
        <w:rPr>
          <w:rFonts w:hint="eastAsia" w:ascii="仿宋" w:hAnsi="仿宋" w:eastAsia="仿宋" w:cs="仿宋"/>
          <w:sz w:val="32"/>
          <w:szCs w:val="32"/>
          <w:lang w:val="en-US" w:eastAsia="zh-CN"/>
        </w:rPr>
        <w:t>万元，较2022年总收入112.13万元，增加</w:t>
      </w:r>
      <w:r>
        <w:rPr>
          <w:rFonts w:hint="eastAsia" w:ascii="仿宋_GB2312" w:hAnsi="仿宋" w:eastAsia="仿宋_GB2312"/>
          <w:sz w:val="32"/>
          <w:szCs w:val="32"/>
          <w:lang w:val="en-US" w:eastAsia="zh-CN"/>
        </w:rPr>
        <w:t>45.03</w:t>
      </w:r>
      <w:r>
        <w:rPr>
          <w:rFonts w:hint="eastAsia" w:ascii="仿宋" w:hAnsi="仿宋" w:eastAsia="仿宋" w:cs="仿宋"/>
          <w:sz w:val="32"/>
          <w:szCs w:val="32"/>
          <w:lang w:val="en-US" w:eastAsia="zh-CN"/>
        </w:rPr>
        <w:t>万元，增加</w:t>
      </w:r>
      <w:r>
        <w:rPr>
          <w:rFonts w:hint="eastAsia" w:ascii="仿宋_GB2312" w:hAnsi="仿宋" w:eastAsia="仿宋_GB2312"/>
          <w:sz w:val="32"/>
          <w:szCs w:val="32"/>
          <w:lang w:val="en-US" w:eastAsia="zh-CN"/>
        </w:rPr>
        <w:t>40.16</w:t>
      </w:r>
      <w:r>
        <w:rPr>
          <w:rFonts w:hint="eastAsia" w:ascii="仿宋" w:hAnsi="仿宋" w:eastAsia="仿宋" w:cs="仿宋"/>
          <w:sz w:val="32"/>
          <w:szCs w:val="32"/>
          <w:lang w:val="en-US" w:eastAsia="zh-CN"/>
        </w:rPr>
        <w:t>%，</w:t>
      </w:r>
      <w:r>
        <w:rPr>
          <w:rFonts w:hint="eastAsia" w:ascii="仿宋_GB2312" w:hAnsi="仿宋" w:eastAsia="仿宋_GB2312"/>
          <w:sz w:val="32"/>
          <w:szCs w:val="32"/>
          <w:lang w:val="en-US" w:eastAsia="zh-CN"/>
        </w:rPr>
        <w:t>主要原因是项目支出。</w:t>
      </w:r>
    </w:p>
    <w:p w14:paraId="23A68A65">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s="仿宋"/>
          <w:sz w:val="32"/>
          <w:szCs w:val="32"/>
          <w:lang w:val="en-US" w:eastAsia="zh-CN"/>
        </w:rPr>
        <w:t>2023年总支出</w:t>
      </w:r>
      <w:r>
        <w:rPr>
          <w:rFonts w:hint="eastAsia" w:ascii="仿宋" w:hAnsi="仿宋" w:eastAsia="仿宋"/>
          <w:color w:val="auto"/>
          <w:sz w:val="32"/>
          <w:szCs w:val="32"/>
          <w:highlight w:val="none"/>
          <w:lang w:val="en-US" w:eastAsia="zh-CN"/>
        </w:rPr>
        <w:t>157.16</w:t>
      </w:r>
      <w:r>
        <w:rPr>
          <w:rFonts w:hint="eastAsia" w:ascii="仿宋" w:hAnsi="仿宋" w:eastAsia="仿宋" w:cs="仿宋"/>
          <w:sz w:val="32"/>
          <w:szCs w:val="32"/>
          <w:lang w:val="en-US" w:eastAsia="zh-CN"/>
        </w:rPr>
        <w:t>万元，较2022年总支出112.13万元，增加</w:t>
      </w:r>
      <w:r>
        <w:rPr>
          <w:rFonts w:hint="eastAsia" w:ascii="仿宋_GB2312" w:hAnsi="仿宋" w:eastAsia="仿宋_GB2312"/>
          <w:sz w:val="32"/>
          <w:szCs w:val="32"/>
          <w:lang w:val="en-US" w:eastAsia="zh-CN"/>
        </w:rPr>
        <w:t>45.03</w:t>
      </w:r>
      <w:r>
        <w:rPr>
          <w:rFonts w:hint="eastAsia" w:ascii="仿宋" w:hAnsi="仿宋" w:eastAsia="仿宋" w:cs="仿宋"/>
          <w:sz w:val="32"/>
          <w:szCs w:val="32"/>
          <w:lang w:val="en-US" w:eastAsia="zh-CN"/>
        </w:rPr>
        <w:t>万元，增加</w:t>
      </w:r>
      <w:r>
        <w:rPr>
          <w:rFonts w:hint="eastAsia" w:ascii="仿宋_GB2312" w:hAnsi="仿宋" w:eastAsia="仿宋_GB2312"/>
          <w:sz w:val="32"/>
          <w:szCs w:val="32"/>
          <w:lang w:val="en-US" w:eastAsia="zh-CN"/>
        </w:rPr>
        <w:t>40.16</w:t>
      </w:r>
      <w:r>
        <w:rPr>
          <w:rFonts w:hint="eastAsia" w:ascii="仿宋" w:hAnsi="仿宋" w:eastAsia="仿宋" w:cs="仿宋"/>
          <w:sz w:val="32"/>
          <w:szCs w:val="32"/>
          <w:lang w:val="en-US" w:eastAsia="zh-CN"/>
        </w:rPr>
        <w:t>%，</w:t>
      </w:r>
      <w:r>
        <w:rPr>
          <w:rFonts w:hint="eastAsia" w:ascii="仿宋_GB2312" w:hAnsi="仿宋" w:eastAsia="仿宋_GB2312"/>
          <w:sz w:val="32"/>
          <w:szCs w:val="32"/>
          <w:lang w:val="en-US" w:eastAsia="zh-CN"/>
        </w:rPr>
        <w:t>主要原因是项目支出。</w:t>
      </w:r>
    </w:p>
    <w:p w14:paraId="7F8D67C5">
      <w:pPr>
        <w:spacing w:line="600" w:lineRule="exact"/>
        <w:ind w:firstLine="640"/>
        <w:rPr>
          <w:rFonts w:hint="eastAsia" w:eastAsia="宋体"/>
          <w:lang w:eastAsia="zh-CN"/>
        </w:rPr>
      </w:pPr>
      <w:r>
        <w:rPr>
          <w:rFonts w:hint="eastAsia" w:eastAsia="宋体"/>
          <w:lang w:eastAsia="zh-CN"/>
        </w:rPr>
        <w:drawing>
          <wp:anchor distT="0" distB="0" distL="114300" distR="114300" simplePos="0" relativeHeight="251666432" behindDoc="1" locked="0" layoutInCell="1" allowOverlap="1">
            <wp:simplePos x="0" y="0"/>
            <wp:positionH relativeFrom="column">
              <wp:posOffset>5080</wp:posOffset>
            </wp:positionH>
            <wp:positionV relativeFrom="paragraph">
              <wp:posOffset>270510</wp:posOffset>
            </wp:positionV>
            <wp:extent cx="5256530" cy="2988310"/>
            <wp:effectExtent l="5080" t="4445" r="11430" b="9525"/>
            <wp:wrapThrough wrapText="bothSides">
              <wp:wrapPolygon>
                <wp:start x="-21" y="-32"/>
                <wp:lineTo x="-21" y="21559"/>
                <wp:lineTo x="21584" y="21559"/>
                <wp:lineTo x="21584" y="-32"/>
                <wp:lineTo x="-21" y="-32"/>
              </wp:wrapPolygon>
            </wp:wrapThrough>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AAB511B">
      <w:pPr>
        <w:spacing w:line="600" w:lineRule="exact"/>
        <w:ind w:firstLine="640"/>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图4：财政拨款收、支决算总计变动情况</w:t>
      </w:r>
      <w:r>
        <w:rPr>
          <w:rFonts w:hint="eastAsia" w:ascii="仿宋" w:hAnsi="仿宋" w:eastAsia="仿宋"/>
          <w:color w:val="auto"/>
          <w:sz w:val="32"/>
          <w:szCs w:val="32"/>
          <w:highlight w:val="none"/>
          <w:lang w:eastAsia="zh-CN"/>
        </w:rPr>
        <w:t>）</w:t>
      </w:r>
    </w:p>
    <w:p w14:paraId="712AFC6C">
      <w:pPr>
        <w:spacing w:line="600" w:lineRule="exact"/>
        <w:ind w:firstLine="640"/>
        <w:rPr>
          <w:rFonts w:hint="eastAsia" w:ascii="仿宋" w:hAnsi="仿宋" w:eastAsia="仿宋"/>
          <w:color w:val="auto"/>
          <w:sz w:val="32"/>
          <w:szCs w:val="32"/>
          <w:highlight w:val="none"/>
          <w:lang w:eastAsia="zh-CN"/>
        </w:rPr>
      </w:pPr>
    </w:p>
    <w:p w14:paraId="0CC98608">
      <w:pPr>
        <w:spacing w:line="600" w:lineRule="exact"/>
        <w:ind w:firstLine="640" w:firstLineChars="200"/>
        <w:outlineLvl w:val="1"/>
        <w:rPr>
          <w:rStyle w:val="25"/>
          <w:rFonts w:ascii="黑体" w:hAnsi="黑体" w:eastAsia="黑体"/>
          <w:b w:val="0"/>
          <w:color w:val="auto"/>
          <w:highlight w:val="none"/>
        </w:rPr>
      </w:pPr>
      <w:bookmarkStart w:id="48" w:name="_Toc15377209"/>
      <w:bookmarkStart w:id="49" w:name="_Toc15396607"/>
      <w:bookmarkStart w:id="50" w:name="_Toc24904"/>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48"/>
      <w:bookmarkEnd w:id="49"/>
      <w:bookmarkEnd w:id="50"/>
    </w:p>
    <w:p w14:paraId="71DE107D">
      <w:pPr>
        <w:spacing w:line="600" w:lineRule="exact"/>
        <w:ind w:firstLine="643" w:firstLineChars="200"/>
        <w:outlineLvl w:val="2"/>
        <w:rPr>
          <w:rFonts w:ascii="仿宋" w:hAnsi="仿宋" w:eastAsia="仿宋"/>
          <w:b/>
          <w:color w:val="auto"/>
          <w:sz w:val="32"/>
          <w:szCs w:val="32"/>
          <w:highlight w:val="none"/>
        </w:rPr>
      </w:pPr>
      <w:bookmarkStart w:id="51" w:name="_Toc15377210"/>
      <w:r>
        <w:rPr>
          <w:rFonts w:hint="eastAsia" w:ascii="仿宋" w:hAnsi="仿宋" w:eastAsia="仿宋"/>
          <w:b/>
          <w:color w:val="auto"/>
          <w:sz w:val="32"/>
          <w:szCs w:val="32"/>
          <w:highlight w:val="none"/>
        </w:rPr>
        <w:t>（一）一般公共预算财政拨款支出决算总体情况</w:t>
      </w:r>
      <w:bookmarkEnd w:id="51"/>
    </w:p>
    <w:p w14:paraId="482E4079">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157.16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87.74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增加45.20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增长40.37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项目支出。</w:t>
      </w:r>
    </w:p>
    <w:p w14:paraId="12CBCB5A">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384175</wp:posOffset>
            </wp:positionH>
            <wp:positionV relativeFrom="paragraph">
              <wp:posOffset>117475</wp:posOffset>
            </wp:positionV>
            <wp:extent cx="4419600" cy="2143125"/>
            <wp:effectExtent l="4445" t="4445" r="14605" b="508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237F71D">
      <w:pPr>
        <w:spacing w:line="600" w:lineRule="exact"/>
        <w:ind w:firstLine="640" w:firstLineChars="200"/>
        <w:rPr>
          <w:rFonts w:hint="eastAsia" w:ascii="仿宋" w:hAnsi="仿宋" w:eastAsia="仿宋"/>
          <w:color w:val="auto"/>
          <w:sz w:val="32"/>
          <w:szCs w:val="32"/>
          <w:highlight w:val="none"/>
          <w:lang w:val="en-US" w:eastAsia="zh-CN"/>
        </w:rPr>
      </w:pPr>
    </w:p>
    <w:p w14:paraId="6954E641">
      <w:pPr>
        <w:spacing w:line="600" w:lineRule="exact"/>
        <w:ind w:firstLine="640" w:firstLineChars="200"/>
        <w:rPr>
          <w:rFonts w:hint="eastAsia" w:ascii="仿宋" w:hAnsi="仿宋" w:eastAsia="仿宋"/>
          <w:color w:val="auto"/>
          <w:sz w:val="32"/>
          <w:szCs w:val="32"/>
          <w:highlight w:val="none"/>
          <w:lang w:val="en-US" w:eastAsia="zh-CN"/>
        </w:rPr>
      </w:pPr>
    </w:p>
    <w:p w14:paraId="62338F78">
      <w:pPr>
        <w:spacing w:line="600" w:lineRule="exact"/>
        <w:ind w:firstLine="640" w:firstLineChars="200"/>
        <w:rPr>
          <w:rFonts w:hint="default" w:ascii="仿宋" w:hAnsi="仿宋" w:eastAsia="仿宋"/>
          <w:color w:val="auto"/>
          <w:sz w:val="32"/>
          <w:szCs w:val="32"/>
          <w:highlight w:val="none"/>
          <w:lang w:val="en-US" w:eastAsia="zh-CN"/>
        </w:rPr>
      </w:pPr>
    </w:p>
    <w:p w14:paraId="6D21D516">
      <w:pPr>
        <w:spacing w:line="600" w:lineRule="exact"/>
        <w:ind w:firstLine="640" w:firstLineChars="200"/>
        <w:rPr>
          <w:rFonts w:ascii="仿宋" w:hAnsi="仿宋" w:eastAsia="仿宋"/>
          <w:color w:val="auto"/>
          <w:sz w:val="32"/>
          <w:szCs w:val="32"/>
          <w:highlight w:val="none"/>
        </w:rPr>
      </w:pPr>
    </w:p>
    <w:p w14:paraId="4BC8D162">
      <w:pPr>
        <w:spacing w:line="600" w:lineRule="exact"/>
        <w:ind w:firstLine="640" w:firstLineChars="200"/>
        <w:rPr>
          <w:rFonts w:ascii="仿宋" w:hAnsi="仿宋" w:eastAsia="仿宋"/>
          <w:color w:val="auto"/>
          <w:sz w:val="32"/>
          <w:szCs w:val="32"/>
          <w:highlight w:val="none"/>
        </w:rPr>
      </w:pPr>
    </w:p>
    <w:p w14:paraId="5741D8B8">
      <w:pPr>
        <w:spacing w:line="600" w:lineRule="exact"/>
        <w:ind w:firstLine="640" w:firstLineChars="200"/>
        <w:rPr>
          <w:rFonts w:hint="eastAsia" w:ascii="仿宋" w:hAnsi="仿宋" w:eastAsia="仿宋"/>
          <w:color w:val="auto"/>
          <w:sz w:val="32"/>
          <w:szCs w:val="32"/>
          <w:highlight w:val="none"/>
          <w:lang w:eastAsia="zh-CN"/>
        </w:rPr>
      </w:pPr>
    </w:p>
    <w:p w14:paraId="04B32B61">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32"/>
          <w:szCs w:val="32"/>
          <w:highlight w:val="none"/>
          <w:lang w:eastAsia="zh-CN"/>
        </w:rPr>
        <w:t>）</w:t>
      </w:r>
    </w:p>
    <w:p w14:paraId="71D4BB68">
      <w:pPr>
        <w:spacing w:line="600" w:lineRule="exact"/>
        <w:ind w:firstLine="640" w:firstLineChars="200"/>
        <w:rPr>
          <w:rFonts w:hint="eastAsia" w:ascii="仿宋" w:hAnsi="仿宋" w:eastAsia="仿宋"/>
          <w:color w:val="auto"/>
          <w:sz w:val="32"/>
          <w:szCs w:val="32"/>
          <w:highlight w:val="none"/>
          <w:lang w:eastAsia="zh-CN"/>
        </w:rPr>
      </w:pPr>
    </w:p>
    <w:p w14:paraId="3C140BC9">
      <w:pPr>
        <w:numPr>
          <w:ilvl w:val="0"/>
          <w:numId w:val="3"/>
        </w:numPr>
        <w:spacing w:line="600" w:lineRule="exact"/>
        <w:ind w:firstLine="643" w:firstLineChars="200"/>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一般公共预算财政拨款支出决算结构情况</w:t>
      </w:r>
    </w:p>
    <w:p w14:paraId="30E0D8B1">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157.16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205</w:t>
      </w:r>
      <w:r>
        <w:rPr>
          <w:rFonts w:hint="eastAsia" w:ascii="仿宋" w:hAnsi="仿宋" w:eastAsia="仿宋"/>
          <w:b/>
          <w:color w:val="auto"/>
          <w:sz w:val="32"/>
          <w:szCs w:val="32"/>
          <w:highlight w:val="none"/>
          <w:lang w:eastAsia="zh-CN"/>
        </w:rPr>
        <w:t>）</w:t>
      </w:r>
      <w:r>
        <w:rPr>
          <w:rFonts w:hint="eastAsia" w:ascii="仿宋" w:hAnsi="仿宋" w:eastAsia="仿宋"/>
          <w:color w:val="auto"/>
          <w:sz w:val="32"/>
          <w:szCs w:val="32"/>
          <w:highlight w:val="none"/>
          <w:lang w:val="en-US" w:eastAsia="zh-CN"/>
        </w:rPr>
        <w:t>132.22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84.13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206</w:t>
      </w:r>
      <w:r>
        <w:rPr>
          <w:rFonts w:hint="eastAsia" w:ascii="仿宋" w:hAnsi="仿宋" w:eastAsia="仿宋"/>
          <w:b/>
          <w:color w:val="auto"/>
          <w:sz w:val="32"/>
          <w:szCs w:val="32"/>
          <w:highlight w:val="none"/>
          <w:lang w:eastAsia="zh-CN"/>
        </w:rPr>
        <w:t>）</w:t>
      </w:r>
      <w:r>
        <w:rPr>
          <w:rFonts w:hint="eastAsia" w:ascii="仿宋" w:hAnsi="仿宋" w:eastAsia="仿宋"/>
          <w:b/>
          <w:bCs/>
          <w:color w:val="auto"/>
          <w:sz w:val="32"/>
          <w:szCs w:val="32"/>
          <w:highlight w:val="none"/>
          <w:lang w:val="en-US" w:eastAsia="zh-CN"/>
        </w:rPr>
        <w:t>1</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208</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val="en-US" w:eastAsia="zh-CN"/>
        </w:rPr>
        <w:t>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210</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val="en-US" w:eastAsia="zh-CN"/>
        </w:rPr>
        <w:t>6.22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221</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val="en-US" w:eastAsia="zh-CN"/>
        </w:rPr>
        <w:t>8.02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63127BA">
      <w:pPr>
        <w:spacing w:line="600" w:lineRule="exact"/>
        <w:ind w:firstLine="640"/>
        <w:rPr>
          <w:rFonts w:hint="eastAsia" w:ascii="仿宋" w:hAnsi="仿宋" w:eastAsia="仿宋"/>
          <w:color w:val="auto"/>
          <w:sz w:val="32"/>
          <w:szCs w:val="32"/>
          <w:highlight w:val="none"/>
        </w:rPr>
      </w:pPr>
    </w:p>
    <w:p w14:paraId="02A01259">
      <w:pPr>
        <w:spacing w:line="600" w:lineRule="exact"/>
        <w:ind w:firstLine="640"/>
        <w:rPr>
          <w:rFonts w:hint="eastAsia" w:ascii="仿宋" w:hAnsi="仿宋" w:eastAsia="仿宋"/>
          <w:color w:val="auto"/>
          <w:sz w:val="32"/>
          <w:szCs w:val="32"/>
          <w:highlight w:val="none"/>
        </w:rPr>
      </w:pPr>
    </w:p>
    <w:p w14:paraId="3232F37C">
      <w:pPr>
        <w:spacing w:line="600" w:lineRule="exact"/>
        <w:ind w:firstLine="640" w:firstLineChars="200"/>
        <w:rPr>
          <w:rFonts w:ascii="仿宋" w:hAnsi="仿宋" w:eastAsia="仿宋"/>
          <w:color w:val="auto"/>
          <w:sz w:val="32"/>
          <w:szCs w:val="32"/>
          <w:highlight w:val="none"/>
        </w:rPr>
      </w:pPr>
      <w:r>
        <w:rPr>
          <w:rFonts w:hint="eastAsia" w:ascii="仿宋" w:hAnsi="仿宋" w:eastAsia="仿宋"/>
          <w:sz w:val="32"/>
          <w:szCs w:val="32"/>
        </w:rPr>
        <w:drawing>
          <wp:anchor distT="0" distB="0" distL="114300" distR="114300" simplePos="0" relativeHeight="251662336" behindDoc="1" locked="0" layoutInCell="1" allowOverlap="1">
            <wp:simplePos x="0" y="0"/>
            <wp:positionH relativeFrom="column">
              <wp:posOffset>206375</wp:posOffset>
            </wp:positionH>
            <wp:positionV relativeFrom="paragraph">
              <wp:posOffset>34290</wp:posOffset>
            </wp:positionV>
            <wp:extent cx="5074920" cy="2407285"/>
            <wp:effectExtent l="4445" t="4445" r="10795" b="11430"/>
            <wp:wrapNone/>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608B426">
      <w:pPr>
        <w:spacing w:line="600" w:lineRule="exact"/>
        <w:ind w:firstLine="640" w:firstLineChars="200"/>
        <w:rPr>
          <w:rFonts w:ascii="仿宋" w:hAnsi="仿宋" w:eastAsia="仿宋"/>
          <w:color w:val="auto"/>
          <w:sz w:val="32"/>
          <w:szCs w:val="32"/>
          <w:highlight w:val="none"/>
        </w:rPr>
      </w:pPr>
    </w:p>
    <w:p w14:paraId="1276DCE4">
      <w:pPr>
        <w:spacing w:line="600" w:lineRule="exact"/>
        <w:ind w:firstLine="640" w:firstLineChars="200"/>
        <w:rPr>
          <w:rFonts w:ascii="仿宋" w:hAnsi="仿宋" w:eastAsia="仿宋"/>
          <w:color w:val="auto"/>
          <w:sz w:val="32"/>
          <w:szCs w:val="32"/>
          <w:highlight w:val="none"/>
        </w:rPr>
      </w:pPr>
    </w:p>
    <w:p w14:paraId="313CF93E">
      <w:pPr>
        <w:spacing w:line="600" w:lineRule="exact"/>
        <w:ind w:firstLine="640" w:firstLineChars="200"/>
        <w:rPr>
          <w:rFonts w:ascii="仿宋" w:hAnsi="仿宋" w:eastAsia="仿宋"/>
          <w:color w:val="auto"/>
          <w:sz w:val="32"/>
          <w:szCs w:val="32"/>
          <w:highlight w:val="none"/>
        </w:rPr>
      </w:pPr>
    </w:p>
    <w:p w14:paraId="396AD30A">
      <w:pPr>
        <w:spacing w:line="600" w:lineRule="exact"/>
        <w:ind w:firstLine="640" w:firstLineChars="200"/>
        <w:rPr>
          <w:rFonts w:hint="eastAsia" w:ascii="仿宋" w:hAnsi="仿宋" w:eastAsia="仿宋"/>
          <w:color w:val="auto"/>
          <w:sz w:val="32"/>
          <w:szCs w:val="32"/>
          <w:highlight w:val="none"/>
        </w:rPr>
      </w:pPr>
    </w:p>
    <w:p w14:paraId="6ADA3D78">
      <w:pPr>
        <w:spacing w:line="600" w:lineRule="exact"/>
        <w:ind w:firstLine="640" w:firstLineChars="200"/>
        <w:rPr>
          <w:rFonts w:hint="eastAsia" w:ascii="仿宋" w:hAnsi="仿宋" w:eastAsia="仿宋"/>
          <w:color w:val="auto"/>
          <w:sz w:val="32"/>
          <w:szCs w:val="32"/>
          <w:highlight w:val="none"/>
        </w:rPr>
      </w:pPr>
    </w:p>
    <w:p w14:paraId="14ECD9E1">
      <w:pPr>
        <w:spacing w:line="600" w:lineRule="exact"/>
        <w:ind w:firstLine="640" w:firstLineChars="200"/>
        <w:rPr>
          <w:rFonts w:hint="eastAsia" w:ascii="仿宋" w:hAnsi="仿宋" w:eastAsia="仿宋"/>
          <w:color w:val="auto"/>
          <w:sz w:val="32"/>
          <w:szCs w:val="32"/>
          <w:highlight w:val="none"/>
        </w:rPr>
      </w:pPr>
    </w:p>
    <w:p w14:paraId="1AD3A92D">
      <w:pPr>
        <w:spacing w:line="600" w:lineRule="exact"/>
        <w:ind w:firstLine="640" w:firstLineChars="200"/>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图6：一般公共预算财政拨款支出决算结构</w:t>
      </w:r>
      <w:r>
        <w:rPr>
          <w:rFonts w:hint="eastAsia" w:ascii="仿宋" w:hAnsi="仿宋" w:eastAsia="仿宋"/>
          <w:color w:val="auto"/>
          <w:sz w:val="32"/>
          <w:szCs w:val="32"/>
          <w:highlight w:val="none"/>
          <w:lang w:eastAsia="zh-CN"/>
        </w:rPr>
        <w:t>）</w:t>
      </w:r>
    </w:p>
    <w:p w14:paraId="2FF5218C">
      <w:pPr>
        <w:spacing w:line="600" w:lineRule="exact"/>
        <w:ind w:firstLine="643" w:firstLineChars="200"/>
        <w:outlineLvl w:val="2"/>
        <w:rPr>
          <w:rFonts w:ascii="仿宋" w:hAnsi="仿宋" w:eastAsia="仿宋"/>
          <w:b/>
          <w:color w:val="auto"/>
          <w:sz w:val="32"/>
          <w:szCs w:val="32"/>
          <w:highlight w:val="none"/>
        </w:rPr>
      </w:pPr>
      <w:bookmarkStart w:id="52" w:name="_Toc15377212"/>
      <w:r>
        <w:rPr>
          <w:rFonts w:hint="eastAsia" w:ascii="仿宋" w:hAnsi="仿宋" w:eastAsia="仿宋"/>
          <w:b/>
          <w:color w:val="auto"/>
          <w:sz w:val="32"/>
          <w:szCs w:val="32"/>
          <w:highlight w:val="none"/>
        </w:rPr>
        <w:t>（三）一般公共预算财政拨款支出决算具体情况</w:t>
      </w:r>
      <w:bookmarkEnd w:id="52"/>
    </w:p>
    <w:p w14:paraId="12EBECDC">
      <w:pPr>
        <w:spacing w:line="600" w:lineRule="exact"/>
        <w:ind w:firstLine="643" w:firstLineChars="200"/>
        <w:outlineLvl w:val="1"/>
        <w:rPr>
          <w:rFonts w:ascii="仿宋" w:hAnsi="仿宋" w:eastAsia="仿宋"/>
          <w:color w:val="auto"/>
          <w:sz w:val="32"/>
          <w:szCs w:val="32"/>
          <w:highlight w:val="none"/>
        </w:rPr>
      </w:pPr>
      <w:bookmarkStart w:id="53" w:name="_Toc15684"/>
      <w:bookmarkStart w:id="54" w:name="_Toc15378460"/>
      <w:bookmarkStart w:id="55" w:name="_Toc15377444"/>
      <w:bookmarkStart w:id="56" w:name="_Toc15377213"/>
      <w:bookmarkStart w:id="57" w:name="_Toc10856"/>
      <w:bookmarkStart w:id="58" w:name="_Toc29278"/>
      <w:bookmarkStart w:id="59" w:name="_Toc12451"/>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157.16</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53"/>
      <w:bookmarkEnd w:id="54"/>
      <w:bookmarkEnd w:id="55"/>
      <w:bookmarkEnd w:id="56"/>
      <w:bookmarkEnd w:id="57"/>
      <w:bookmarkEnd w:id="58"/>
      <w:bookmarkEnd w:id="59"/>
    </w:p>
    <w:p w14:paraId="7CB784BD">
      <w:pPr>
        <w:numPr>
          <w:ilvl w:val="0"/>
          <w:numId w:val="0"/>
        </w:numPr>
        <w:spacing w:line="600" w:lineRule="exact"/>
        <w:ind w:left="0" w:leftChars="0"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教育</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Cs/>
          <w:color w:val="auto"/>
          <w:sz w:val="32"/>
          <w:szCs w:val="32"/>
          <w:highlight w:val="none"/>
          <w:lang w:val="en-US" w:eastAsia="zh-CN"/>
        </w:rPr>
        <w:t>205）教育管理事务（01）其他教育管理事务支出（99）</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103.22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6E5E640B">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教育</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Cs/>
          <w:color w:val="auto"/>
          <w:sz w:val="32"/>
          <w:szCs w:val="32"/>
          <w:highlight w:val="none"/>
          <w:lang w:val="en-US" w:eastAsia="zh-CN"/>
        </w:rPr>
        <w:t>205）普通教育（02）学前教育（01）</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F99E099">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教育</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Cs/>
          <w:color w:val="auto"/>
          <w:sz w:val="32"/>
          <w:szCs w:val="32"/>
          <w:highlight w:val="none"/>
          <w:lang w:val="en-US" w:eastAsia="zh-CN"/>
        </w:rPr>
        <w:t>205）普通教育（02）其他教育支出（99）</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BEF35D4">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cstheme="minorBidi"/>
          <w:bCs/>
          <w:color w:val="auto"/>
          <w:sz w:val="32"/>
          <w:szCs w:val="32"/>
          <w:highlight w:val="none"/>
          <w:lang w:val="en-US" w:eastAsia="zh-CN"/>
        </w:rPr>
        <w:t>4.科学技术支出（206）技术研究与开发（04）其他技术研究与开发支出（99）：</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74D1DF2">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）行政事业单位养老支出（</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rPr>
        <w:t>）机关事业单位基本养老保险缴费支出（</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0.70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4DC36645">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6</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）行政事业单位医疗（</w:t>
      </w:r>
      <w:r>
        <w:rPr>
          <w:rStyle w:val="14"/>
          <w:rFonts w:hint="eastAsia" w:ascii="仿宋" w:hAnsi="仿宋" w:eastAsia="仿宋"/>
          <w:bCs/>
          <w:color w:val="auto"/>
          <w:sz w:val="32"/>
          <w:szCs w:val="32"/>
          <w:highlight w:val="none"/>
          <w:lang w:val="en-US" w:eastAsia="zh-CN"/>
        </w:rPr>
        <w:t>11</w:t>
      </w:r>
      <w:r>
        <w:rPr>
          <w:rStyle w:val="14"/>
          <w:rFonts w:hint="eastAsia" w:ascii="仿宋" w:hAnsi="仿宋" w:eastAsia="仿宋"/>
          <w:bCs/>
          <w:color w:val="auto"/>
          <w:sz w:val="32"/>
          <w:szCs w:val="32"/>
          <w:highlight w:val="none"/>
        </w:rPr>
        <w:t>）事业单位医疗（</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6.22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9905AC4">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t>7</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221</w:t>
      </w:r>
      <w:r>
        <w:rPr>
          <w:rStyle w:val="14"/>
          <w:rFonts w:hint="eastAsia" w:ascii="仿宋" w:hAnsi="仿宋" w:eastAsia="仿宋"/>
          <w:bCs/>
          <w:color w:val="auto"/>
          <w:sz w:val="32"/>
          <w:szCs w:val="32"/>
          <w:highlight w:val="none"/>
        </w:rPr>
        <w:t>）住房改革支出（</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 住房公积金（</w:t>
      </w:r>
      <w:r>
        <w:rPr>
          <w:rStyle w:val="14"/>
          <w:rFonts w:hint="eastAsia" w:ascii="仿宋" w:hAnsi="仿宋" w:eastAsia="仿宋"/>
          <w:bCs/>
          <w:color w:val="auto"/>
          <w:sz w:val="32"/>
          <w:szCs w:val="32"/>
          <w:highlight w:val="none"/>
          <w:lang w:val="en-US" w:eastAsia="zh-CN"/>
        </w:rPr>
        <w:t>01</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8.02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73A7D4FF">
      <w:pPr>
        <w:tabs>
          <w:tab w:val="right" w:pos="8306"/>
        </w:tabs>
        <w:spacing w:line="600" w:lineRule="exact"/>
        <w:ind w:firstLine="640"/>
        <w:outlineLvl w:val="1"/>
        <w:rPr>
          <w:rStyle w:val="25"/>
          <w:color w:val="auto"/>
          <w:highlight w:val="none"/>
        </w:rPr>
      </w:pPr>
      <w:bookmarkStart w:id="60" w:name="_Toc15377214"/>
      <w:bookmarkStart w:id="61" w:name="_Toc31914"/>
      <w:bookmarkStart w:id="62"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60"/>
      <w:bookmarkEnd w:id="61"/>
      <w:bookmarkEnd w:id="62"/>
      <w:r>
        <w:rPr>
          <w:rStyle w:val="25"/>
          <w:rFonts w:ascii="黑体" w:hAnsi="黑体" w:eastAsia="黑体"/>
          <w:b w:val="0"/>
          <w:color w:val="auto"/>
          <w:highlight w:val="none"/>
        </w:rPr>
        <w:tab/>
      </w:r>
    </w:p>
    <w:p w14:paraId="5C0BCAD6">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114.66</w:t>
      </w:r>
      <w:r>
        <w:rPr>
          <w:rFonts w:hint="eastAsia" w:ascii="仿宋" w:hAnsi="仿宋" w:eastAsia="仿宋"/>
          <w:color w:val="auto"/>
          <w:sz w:val="32"/>
          <w:szCs w:val="32"/>
          <w:highlight w:val="none"/>
        </w:rPr>
        <w:t>万元，其中：</w:t>
      </w:r>
    </w:p>
    <w:p w14:paraId="50340027">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98.37</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37.39</w:t>
      </w:r>
      <w:r>
        <w:rPr>
          <w:rFonts w:hint="eastAsia" w:ascii="仿宋" w:hAnsi="仿宋" w:eastAsia="仿宋"/>
          <w:color w:val="auto"/>
          <w:sz w:val="32"/>
          <w:szCs w:val="32"/>
          <w:highlight w:val="none"/>
        </w:rPr>
        <w:t>万元、津贴补贴</w:t>
      </w:r>
      <w:r>
        <w:rPr>
          <w:rFonts w:hint="eastAsia" w:ascii="仿宋" w:hAnsi="仿宋" w:eastAsia="仿宋"/>
          <w:color w:val="auto"/>
          <w:sz w:val="32"/>
          <w:szCs w:val="32"/>
          <w:highlight w:val="none"/>
          <w:lang w:val="en-US" w:eastAsia="zh-CN"/>
        </w:rPr>
        <w:t>0.83</w:t>
      </w:r>
      <w:r>
        <w:rPr>
          <w:rFonts w:hint="eastAsia" w:ascii="仿宋" w:hAnsi="仿宋" w:eastAsia="仿宋"/>
          <w:sz w:val="32"/>
          <w:szCs w:val="32"/>
        </w:rPr>
        <w:t>万元</w:t>
      </w:r>
      <w:r>
        <w:rPr>
          <w:rFonts w:hint="eastAsia" w:ascii="仿宋" w:hAnsi="仿宋" w:eastAsia="仿宋"/>
          <w:color w:val="auto"/>
          <w:sz w:val="32"/>
          <w:szCs w:val="32"/>
          <w:highlight w:val="none"/>
        </w:rPr>
        <w:t>、奖金</w:t>
      </w:r>
      <w:r>
        <w:rPr>
          <w:rFonts w:hint="eastAsia" w:ascii="仿宋" w:hAnsi="仿宋" w:eastAsia="仿宋"/>
          <w:color w:val="auto"/>
          <w:sz w:val="32"/>
          <w:szCs w:val="32"/>
          <w:highlight w:val="none"/>
          <w:lang w:val="en-US" w:eastAsia="zh-CN"/>
        </w:rPr>
        <w:t>33.11万元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12.06</w:t>
      </w:r>
      <w:r>
        <w:rPr>
          <w:rFonts w:hint="eastAsia" w:ascii="仿宋" w:hAnsi="仿宋" w:eastAsia="仿宋"/>
          <w:sz w:val="32"/>
          <w:szCs w:val="32"/>
        </w:rPr>
        <w:t>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0.7</w:t>
      </w:r>
      <w:r>
        <w:rPr>
          <w:rFonts w:hint="eastAsia" w:ascii="仿宋" w:hAnsi="仿宋" w:eastAsia="仿宋"/>
          <w:sz w:val="32"/>
          <w:szCs w:val="32"/>
        </w:rPr>
        <w:t>万元</w:t>
      </w:r>
      <w:r>
        <w:rPr>
          <w:rFonts w:hint="eastAsia" w:ascii="仿宋" w:hAnsi="仿宋" w:eastAsia="仿宋"/>
          <w:color w:val="auto"/>
          <w:sz w:val="32"/>
          <w:szCs w:val="32"/>
          <w:highlight w:val="none"/>
        </w:rPr>
        <w:t>、</w:t>
      </w:r>
      <w:r>
        <w:rPr>
          <w:rFonts w:hint="eastAsia" w:ascii="仿宋" w:hAnsi="仿宋" w:eastAsia="仿宋"/>
          <w:sz w:val="32"/>
          <w:szCs w:val="32"/>
        </w:rPr>
        <w:t>职工基本医疗保险缴费</w:t>
      </w:r>
      <w:r>
        <w:rPr>
          <w:rFonts w:hint="eastAsia" w:ascii="仿宋" w:hAnsi="仿宋" w:eastAsia="仿宋"/>
          <w:sz w:val="32"/>
          <w:szCs w:val="32"/>
          <w:lang w:val="en-US" w:eastAsia="zh-CN"/>
        </w:rPr>
        <w:t>6.15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0.07万元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8.02</w:t>
      </w:r>
      <w:r>
        <w:rPr>
          <w:rFonts w:hint="eastAsia" w:ascii="仿宋" w:hAnsi="仿宋" w:eastAsia="仿宋"/>
          <w:sz w:val="32"/>
          <w:szCs w:val="32"/>
        </w:rPr>
        <w:t>万元</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val="en-US" w:eastAsia="zh-CN"/>
        </w:rPr>
        <w:t>0.03</w:t>
      </w:r>
      <w:r>
        <w:rPr>
          <w:rFonts w:hint="eastAsia" w:ascii="仿宋" w:hAnsi="仿宋" w:eastAsia="仿宋"/>
          <w:sz w:val="32"/>
          <w:szCs w:val="32"/>
        </w:rPr>
        <w:t>万元</w:t>
      </w:r>
      <w:r>
        <w:rPr>
          <w:rFonts w:hint="eastAsia" w:ascii="仿宋" w:hAnsi="仿宋" w:eastAsia="仿宋"/>
          <w:color w:val="auto"/>
          <w:sz w:val="32"/>
          <w:szCs w:val="32"/>
          <w:highlight w:val="none"/>
        </w:rPr>
        <w:t>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16.29</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7.10</w:t>
      </w:r>
      <w:r>
        <w:rPr>
          <w:rFonts w:hint="eastAsia" w:ascii="仿宋" w:hAnsi="仿宋" w:eastAsia="仿宋"/>
          <w:color w:val="auto"/>
          <w:sz w:val="32"/>
          <w:szCs w:val="32"/>
          <w:highlight w:val="none"/>
        </w:rPr>
        <w:t>万元、水费</w:t>
      </w:r>
      <w:r>
        <w:rPr>
          <w:rFonts w:hint="eastAsia" w:ascii="仿宋" w:hAnsi="仿宋" w:eastAsia="仿宋"/>
          <w:color w:val="auto"/>
          <w:sz w:val="32"/>
          <w:szCs w:val="32"/>
          <w:highlight w:val="none"/>
          <w:lang w:val="en-US" w:eastAsia="zh-CN"/>
        </w:rPr>
        <w:t>0.70</w:t>
      </w:r>
      <w:r>
        <w:rPr>
          <w:rFonts w:hint="eastAsia" w:ascii="仿宋" w:hAnsi="仿宋" w:eastAsia="仿宋"/>
          <w:color w:val="auto"/>
          <w:sz w:val="32"/>
          <w:szCs w:val="32"/>
          <w:highlight w:val="none"/>
        </w:rPr>
        <w:t>万元、邮电费</w:t>
      </w:r>
      <w:r>
        <w:rPr>
          <w:rFonts w:hint="eastAsia" w:ascii="仿宋" w:hAnsi="仿宋" w:eastAsia="仿宋"/>
          <w:color w:val="auto"/>
          <w:sz w:val="32"/>
          <w:szCs w:val="32"/>
          <w:highlight w:val="none"/>
          <w:lang w:val="en-US" w:eastAsia="zh-CN"/>
        </w:rPr>
        <w:t>0.50万元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1.02</w:t>
      </w:r>
      <w:r>
        <w:rPr>
          <w:rFonts w:hint="eastAsia" w:ascii="仿宋" w:hAnsi="仿宋" w:eastAsia="仿宋"/>
          <w:color w:val="auto"/>
          <w:sz w:val="32"/>
          <w:szCs w:val="32"/>
          <w:highlight w:val="none"/>
        </w:rPr>
        <w:t>万元、培训费</w:t>
      </w:r>
      <w:r>
        <w:rPr>
          <w:rFonts w:hint="eastAsia" w:ascii="仿宋" w:hAnsi="仿宋" w:eastAsia="仿宋"/>
          <w:color w:val="auto"/>
          <w:sz w:val="32"/>
          <w:szCs w:val="32"/>
          <w:highlight w:val="none"/>
          <w:lang w:val="en-US" w:eastAsia="zh-CN"/>
        </w:rPr>
        <w:t>0.03万元</w:t>
      </w:r>
      <w:r>
        <w:rPr>
          <w:rFonts w:hint="eastAsia" w:ascii="仿宋" w:hAnsi="仿宋" w:eastAsia="仿宋"/>
          <w:color w:val="auto"/>
          <w:sz w:val="32"/>
          <w:szCs w:val="32"/>
          <w:highlight w:val="none"/>
        </w:rPr>
        <w:t>、公务接待费</w:t>
      </w:r>
      <w:r>
        <w:rPr>
          <w:rFonts w:hint="eastAsia" w:ascii="仿宋" w:hAnsi="仿宋" w:eastAsia="仿宋"/>
          <w:color w:val="auto"/>
          <w:sz w:val="32"/>
          <w:szCs w:val="32"/>
          <w:highlight w:val="none"/>
          <w:lang w:val="en-US" w:eastAsia="zh-CN"/>
        </w:rPr>
        <w:t>0.40万元</w:t>
      </w:r>
      <w:r>
        <w:rPr>
          <w:rFonts w:hint="eastAsia" w:ascii="仿宋" w:hAnsi="仿宋" w:eastAsia="仿宋"/>
          <w:color w:val="auto"/>
          <w:sz w:val="32"/>
          <w:szCs w:val="32"/>
          <w:highlight w:val="none"/>
        </w:rPr>
        <w:t>、委托业务费</w:t>
      </w:r>
      <w:r>
        <w:rPr>
          <w:rFonts w:hint="eastAsia" w:ascii="仿宋" w:hAnsi="仿宋" w:eastAsia="仿宋"/>
          <w:color w:val="auto"/>
          <w:sz w:val="32"/>
          <w:szCs w:val="32"/>
          <w:highlight w:val="none"/>
          <w:lang w:val="en-US" w:eastAsia="zh-CN"/>
        </w:rPr>
        <w:t>0.05万元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1.56</w:t>
      </w:r>
      <w:r>
        <w:rPr>
          <w:rFonts w:hint="eastAsia" w:ascii="仿宋" w:hAnsi="仿宋" w:eastAsia="仿宋"/>
          <w:color w:val="auto"/>
          <w:sz w:val="32"/>
          <w:szCs w:val="32"/>
          <w:highlight w:val="none"/>
        </w:rPr>
        <w:t>万元、福利费</w:t>
      </w:r>
      <w:r>
        <w:rPr>
          <w:rFonts w:hint="eastAsia" w:ascii="仿宋" w:hAnsi="仿宋" w:eastAsia="仿宋"/>
          <w:color w:val="auto"/>
          <w:sz w:val="32"/>
          <w:szCs w:val="32"/>
          <w:highlight w:val="none"/>
          <w:lang w:val="en-US" w:eastAsia="zh-CN"/>
        </w:rPr>
        <w:t>2.50万元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2.44万元</w:t>
      </w:r>
      <w:r>
        <w:rPr>
          <w:rFonts w:hint="eastAsia" w:ascii="仿宋" w:hAnsi="仿宋" w:eastAsia="仿宋"/>
          <w:color w:val="auto"/>
          <w:sz w:val="32"/>
          <w:szCs w:val="32"/>
          <w:highlight w:val="none"/>
        </w:rPr>
        <w:t>。</w:t>
      </w:r>
    </w:p>
    <w:p w14:paraId="54C60877">
      <w:pPr>
        <w:spacing w:line="600" w:lineRule="exact"/>
        <w:ind w:firstLine="640"/>
        <w:outlineLvl w:val="1"/>
        <w:rPr>
          <w:rStyle w:val="25"/>
          <w:rFonts w:ascii="黑体" w:hAnsi="黑体" w:eastAsia="黑体"/>
          <w:b w:val="0"/>
          <w:color w:val="auto"/>
          <w:highlight w:val="none"/>
        </w:rPr>
      </w:pPr>
      <w:bookmarkStart w:id="63" w:name="_Toc15396609"/>
      <w:bookmarkStart w:id="64" w:name="_Toc8319"/>
      <w:bookmarkStart w:id="65"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63"/>
      <w:bookmarkEnd w:id="64"/>
      <w:bookmarkEnd w:id="65"/>
    </w:p>
    <w:p w14:paraId="101EE4E9">
      <w:pPr>
        <w:spacing w:line="600" w:lineRule="exact"/>
        <w:ind w:firstLine="640"/>
        <w:outlineLvl w:val="2"/>
        <w:rPr>
          <w:rFonts w:ascii="仿宋" w:hAnsi="仿宋" w:eastAsia="仿宋"/>
          <w:b/>
          <w:color w:val="auto"/>
          <w:sz w:val="32"/>
          <w:szCs w:val="32"/>
          <w:highlight w:val="none"/>
        </w:rPr>
      </w:pPr>
      <w:bookmarkStart w:id="66" w:name="_Toc15377216"/>
      <w:r>
        <w:rPr>
          <w:rFonts w:hint="eastAsia" w:ascii="仿宋" w:hAnsi="仿宋" w:eastAsia="仿宋"/>
          <w:b/>
          <w:color w:val="auto"/>
          <w:sz w:val="32"/>
          <w:szCs w:val="32"/>
          <w:highlight w:val="none"/>
        </w:rPr>
        <w:t>（一）“三公”经费财政拨款支出决算总体情况说明</w:t>
      </w:r>
      <w:bookmarkEnd w:id="66"/>
    </w:p>
    <w:p w14:paraId="191B8EDC">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0.40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增加0.40万元，上升100%。</w:t>
      </w:r>
      <w:r>
        <w:rPr>
          <w:rFonts w:hint="eastAsia" w:ascii="仿宋" w:hAnsi="仿宋" w:eastAsia="仿宋"/>
          <w:color w:val="auto"/>
          <w:sz w:val="32"/>
          <w:szCs w:val="32"/>
          <w:highlight w:val="none"/>
        </w:rPr>
        <w:t>与预算数持平。</w:t>
      </w:r>
    </w:p>
    <w:p w14:paraId="5371EF51">
      <w:pPr>
        <w:spacing w:line="600" w:lineRule="exact"/>
        <w:ind w:firstLine="640"/>
        <w:outlineLvl w:val="2"/>
        <w:rPr>
          <w:rFonts w:ascii="仿宋" w:hAnsi="仿宋" w:eastAsia="仿宋"/>
          <w:b/>
          <w:color w:val="auto"/>
          <w:sz w:val="32"/>
          <w:szCs w:val="32"/>
          <w:highlight w:val="none"/>
        </w:rPr>
      </w:pPr>
      <w:bookmarkStart w:id="67" w:name="_Toc15377217"/>
      <w:r>
        <w:rPr>
          <w:rFonts w:hint="eastAsia" w:ascii="仿宋" w:hAnsi="仿宋" w:eastAsia="仿宋"/>
          <w:b/>
          <w:color w:val="auto"/>
          <w:sz w:val="32"/>
          <w:szCs w:val="32"/>
          <w:highlight w:val="none"/>
        </w:rPr>
        <w:t>（二）“三公”经费财政拨款支出决算具体情况说明</w:t>
      </w:r>
      <w:bookmarkEnd w:id="67"/>
    </w:p>
    <w:p w14:paraId="49270C7D">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0.40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5CBEEA2">
      <w:pPr>
        <w:spacing w:line="600" w:lineRule="exact"/>
        <w:ind w:firstLine="640"/>
        <w:rPr>
          <w:rFonts w:hint="eastAsia" w:ascii="仿宋" w:hAnsi="仿宋" w:eastAsia="仿宋"/>
          <w:color w:val="auto"/>
          <w:sz w:val="32"/>
          <w:szCs w:val="32"/>
          <w:highlight w:val="none"/>
        </w:rPr>
      </w:pPr>
    </w:p>
    <w:p w14:paraId="793F3C5A">
      <w:pPr>
        <w:spacing w:line="600" w:lineRule="exact"/>
        <w:ind w:firstLine="640"/>
        <w:rPr>
          <w:rFonts w:hint="eastAsia" w:ascii="仿宋" w:hAnsi="仿宋" w:eastAsia="仿宋"/>
          <w:color w:val="auto"/>
          <w:sz w:val="32"/>
          <w:szCs w:val="32"/>
          <w:highlight w:val="none"/>
        </w:rPr>
      </w:pPr>
    </w:p>
    <w:p w14:paraId="1D04A640">
      <w:pPr>
        <w:spacing w:line="600" w:lineRule="exact"/>
        <w:ind w:firstLine="640"/>
        <w:rPr>
          <w:rFonts w:hint="eastAsia" w:ascii="仿宋" w:hAnsi="仿宋" w:eastAsia="仿宋"/>
          <w:color w:val="auto"/>
          <w:sz w:val="32"/>
          <w:szCs w:val="32"/>
          <w:highlight w:val="none"/>
        </w:rPr>
      </w:pPr>
    </w:p>
    <w:p w14:paraId="539E9377">
      <w:pPr>
        <w:spacing w:line="600" w:lineRule="exact"/>
        <w:ind w:firstLine="640"/>
        <w:rPr>
          <w:rFonts w:hint="eastAsia" w:ascii="仿宋" w:hAnsi="仿宋" w:eastAsia="仿宋"/>
          <w:color w:val="auto"/>
          <w:sz w:val="32"/>
          <w:szCs w:val="32"/>
          <w:highlight w:val="none"/>
        </w:rPr>
      </w:pPr>
    </w:p>
    <w:p w14:paraId="52C9F318">
      <w:pPr>
        <w:spacing w:line="600" w:lineRule="exact"/>
        <w:ind w:firstLine="640"/>
        <w:rPr>
          <w:rFonts w:hint="eastAsia" w:ascii="仿宋" w:hAnsi="仿宋" w:eastAsia="仿宋"/>
          <w:color w:val="auto"/>
          <w:sz w:val="32"/>
          <w:szCs w:val="32"/>
          <w:highlight w:val="none"/>
        </w:rPr>
      </w:pPr>
      <w:r>
        <w:drawing>
          <wp:anchor distT="0" distB="0" distL="114300" distR="114300" simplePos="0" relativeHeight="251664384" behindDoc="1" locked="0" layoutInCell="1" allowOverlap="1">
            <wp:simplePos x="0" y="0"/>
            <wp:positionH relativeFrom="column">
              <wp:posOffset>697865</wp:posOffset>
            </wp:positionH>
            <wp:positionV relativeFrom="paragraph">
              <wp:posOffset>275590</wp:posOffset>
            </wp:positionV>
            <wp:extent cx="4135120" cy="2265045"/>
            <wp:effectExtent l="4445" t="4445" r="5715" b="46990"/>
            <wp:wrapThrough wrapText="bothSides">
              <wp:wrapPolygon>
                <wp:start x="-23" y="-42"/>
                <wp:lineTo x="-23" y="21467"/>
                <wp:lineTo x="21550" y="21467"/>
                <wp:lineTo x="21550" y="-42"/>
                <wp:lineTo x="-23" y="-42"/>
              </wp:wrapPolygon>
            </wp:wrapThrough>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646E5AD">
      <w:pPr>
        <w:spacing w:line="600" w:lineRule="exact"/>
        <w:ind w:firstLine="640"/>
        <w:rPr>
          <w:rFonts w:hint="eastAsia" w:ascii="仿宋" w:hAnsi="仿宋" w:eastAsia="仿宋"/>
          <w:color w:val="auto"/>
          <w:sz w:val="32"/>
          <w:szCs w:val="32"/>
          <w:highlight w:val="none"/>
        </w:rPr>
      </w:pPr>
    </w:p>
    <w:p w14:paraId="451C1E92">
      <w:pPr>
        <w:spacing w:line="600" w:lineRule="exact"/>
        <w:ind w:firstLine="640"/>
        <w:rPr>
          <w:rFonts w:hint="eastAsia" w:ascii="仿宋" w:hAnsi="仿宋" w:eastAsia="仿宋"/>
          <w:color w:val="auto"/>
          <w:sz w:val="32"/>
          <w:szCs w:val="32"/>
          <w:highlight w:val="none"/>
        </w:rPr>
      </w:pPr>
    </w:p>
    <w:p w14:paraId="77A77E8D">
      <w:pPr>
        <w:spacing w:line="600" w:lineRule="exact"/>
        <w:ind w:firstLine="640"/>
        <w:rPr>
          <w:rFonts w:hint="eastAsia" w:ascii="仿宋" w:hAnsi="仿宋" w:eastAsia="仿宋"/>
          <w:color w:val="auto"/>
          <w:sz w:val="32"/>
          <w:szCs w:val="32"/>
          <w:highlight w:val="none"/>
        </w:rPr>
      </w:pPr>
    </w:p>
    <w:p w14:paraId="728638F7">
      <w:pPr>
        <w:spacing w:line="600" w:lineRule="exact"/>
        <w:ind w:firstLine="640"/>
      </w:pPr>
    </w:p>
    <w:p w14:paraId="5B8D5136">
      <w:pPr>
        <w:spacing w:line="600" w:lineRule="exact"/>
        <w:ind w:firstLine="640"/>
        <w:rPr>
          <w:rFonts w:hint="eastAsia" w:ascii="仿宋" w:hAnsi="仿宋" w:eastAsia="仿宋"/>
          <w:color w:val="auto"/>
          <w:sz w:val="32"/>
          <w:szCs w:val="32"/>
          <w:highlight w:val="none"/>
        </w:rPr>
      </w:pPr>
    </w:p>
    <w:p w14:paraId="695ECE73">
      <w:pPr>
        <w:spacing w:line="600" w:lineRule="exact"/>
        <w:ind w:firstLine="640"/>
        <w:rPr>
          <w:rFonts w:hint="eastAsia" w:ascii="仿宋" w:hAnsi="仿宋" w:eastAsia="仿宋"/>
          <w:color w:val="auto"/>
          <w:sz w:val="32"/>
          <w:szCs w:val="32"/>
          <w:highlight w:val="none"/>
        </w:rPr>
      </w:pPr>
    </w:p>
    <w:p w14:paraId="39A2D864">
      <w:pPr>
        <w:spacing w:line="600" w:lineRule="exact"/>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图7：“三公”经费财政拨款支出结构</w:t>
      </w:r>
      <w:r>
        <w:rPr>
          <w:rFonts w:hint="eastAsia" w:ascii="仿宋" w:hAnsi="仿宋" w:eastAsia="仿宋"/>
          <w:color w:val="auto"/>
          <w:sz w:val="32"/>
          <w:szCs w:val="32"/>
          <w:highlight w:val="none"/>
          <w:lang w:eastAsia="zh-CN"/>
        </w:rPr>
        <w:t>）</w:t>
      </w:r>
    </w:p>
    <w:p w14:paraId="02225C95">
      <w:pPr>
        <w:spacing w:line="600" w:lineRule="exact"/>
        <w:jc w:val="center"/>
        <w:rPr>
          <w:rFonts w:hint="eastAsia" w:ascii="仿宋" w:hAnsi="仿宋" w:eastAsia="仿宋"/>
          <w:color w:val="auto"/>
          <w:sz w:val="32"/>
          <w:szCs w:val="32"/>
          <w:highlight w:val="none"/>
          <w:lang w:eastAsia="zh-CN"/>
        </w:rPr>
      </w:pPr>
    </w:p>
    <w:p w14:paraId="790F30CA">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val="0"/>
          <w:bCs/>
          <w:sz w:val="32"/>
          <w:szCs w:val="32"/>
        </w:rPr>
        <w:t>因公出国（境）经费支出0万</w:t>
      </w:r>
      <w:r>
        <w:rPr>
          <w:rFonts w:hint="eastAsia" w:ascii="仿宋_GB2312" w:eastAsia="仿宋_GB2312"/>
          <w:sz w:val="32"/>
          <w:szCs w:val="32"/>
        </w:rPr>
        <w:t>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14:paraId="4CE51F08">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val="0"/>
          <w:bCs/>
          <w:sz w:val="32"/>
          <w:szCs w:val="32"/>
        </w:rPr>
        <w:t>公务用车购置及运行维护费支出0万元</w:t>
      </w:r>
      <w:r>
        <w:rPr>
          <w:rFonts w:hint="eastAsia" w:ascii="仿宋_GB2312" w:eastAsia="仿宋_GB2312"/>
          <w:sz w:val="32"/>
          <w:szCs w:val="32"/>
        </w:rPr>
        <w:t>,</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w:t>
      </w:r>
    </w:p>
    <w:p w14:paraId="1C335B4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val="0"/>
          <w:bCs/>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40D806AE">
      <w:pPr>
        <w:spacing w:line="600" w:lineRule="exact"/>
        <w:ind w:firstLine="640"/>
        <w:rPr>
          <w:rFonts w:ascii="仿宋_GB2312" w:eastAsia="仿宋_GB2312"/>
          <w:b w:val="0"/>
          <w:bCs/>
          <w:sz w:val="32"/>
          <w:szCs w:val="32"/>
        </w:rPr>
      </w:pPr>
      <w:r>
        <w:rPr>
          <w:rFonts w:hint="eastAsia" w:ascii="仿宋_GB2312" w:eastAsia="仿宋_GB2312"/>
          <w:b w:val="0"/>
          <w:bCs/>
          <w:sz w:val="32"/>
          <w:szCs w:val="32"/>
        </w:rPr>
        <w:t>公务用车运行维护费支出0万元。</w:t>
      </w:r>
    </w:p>
    <w:p w14:paraId="5B4D58B0">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0.40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增加0.40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上升100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接待</w:t>
      </w:r>
      <w:r>
        <w:rPr>
          <w:rFonts w:hint="eastAsia" w:ascii="仿宋_GB2312" w:eastAsia="仿宋_GB2312"/>
          <w:color w:val="auto"/>
          <w:sz w:val="32"/>
          <w:szCs w:val="32"/>
          <w:highlight w:val="none"/>
        </w:rPr>
        <w:t>。其中：</w:t>
      </w:r>
    </w:p>
    <w:p w14:paraId="296D9ECB">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0.40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科技创新进百校讲座活动、公益摄影讲座活动、圆梦蒲公英活动、实践教育研学调研活动</w:t>
      </w:r>
      <w:r>
        <w:rPr>
          <w:rFonts w:hint="eastAsia" w:ascii="仿宋_GB2312" w:eastAsia="仿宋_GB2312"/>
          <w:color w:val="auto"/>
          <w:sz w:val="32"/>
          <w:szCs w:val="32"/>
          <w:highlight w:val="none"/>
        </w:rPr>
        <w:t>开展开支的交通费、住宿费、用餐费。国内公务接待</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82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0.40</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科技创新进百校讲座活动公务接待3次，共计支出0.12万元；公益摄影讲座活动公务接待共计支出0.06万元；圆梦蒲公英活动公务接待共计0.08万元；实践教育研学调研活动公务接待2次，共计0.14万元</w:t>
      </w:r>
      <w:r>
        <w:rPr>
          <w:rFonts w:hint="eastAsia" w:ascii="仿宋_GB2312" w:eastAsia="仿宋_GB2312"/>
          <w:color w:val="auto"/>
          <w:sz w:val="32"/>
          <w:szCs w:val="32"/>
          <w:highlight w:val="none"/>
        </w:rPr>
        <w:t>。</w:t>
      </w:r>
    </w:p>
    <w:p w14:paraId="18F63E12">
      <w:pPr>
        <w:spacing w:line="600" w:lineRule="exact"/>
        <w:ind w:firstLine="640" w:firstLineChars="200"/>
        <w:rPr>
          <w:rFonts w:hint="eastAsia" w:ascii="仿宋_GB2312" w:eastAsia="仿宋_GB2312"/>
          <w:sz w:val="32"/>
          <w:szCs w:val="32"/>
        </w:rPr>
      </w:pPr>
      <w:bookmarkStart w:id="68" w:name="_Toc15396610"/>
      <w:bookmarkStart w:id="69" w:name="_Toc15377218"/>
      <w:bookmarkStart w:id="70" w:name="_Toc15028"/>
      <w:r>
        <w:rPr>
          <w:rFonts w:hint="eastAsia" w:ascii="仿宋" w:hAnsi="仿宋" w:eastAsia="仿宋"/>
          <w:b w:val="0"/>
          <w:bCs/>
          <w:sz w:val="32"/>
          <w:szCs w:val="32"/>
        </w:rPr>
        <w:t>外事接待支出0</w:t>
      </w:r>
      <w:r>
        <w:rPr>
          <w:rFonts w:hint="eastAsia" w:ascii="仿宋_GB2312" w:eastAsia="仿宋_GB2312"/>
          <w:sz w:val="32"/>
          <w:szCs w:val="32"/>
        </w:rPr>
        <w:t>万元，外事接待0批次，0人，共计支出0万元。</w:t>
      </w:r>
    </w:p>
    <w:p w14:paraId="7BD7CACD">
      <w:pPr>
        <w:spacing w:line="600" w:lineRule="exact"/>
        <w:ind w:firstLine="640" w:firstLineChars="200"/>
        <w:rPr>
          <w:rFonts w:hint="eastAsia" w:ascii="仿宋_GB2312" w:eastAsia="仿宋_GB2312"/>
          <w:sz w:val="32"/>
          <w:szCs w:val="32"/>
        </w:rPr>
      </w:pPr>
    </w:p>
    <w:p w14:paraId="60118785">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8"/>
      <w:bookmarkEnd w:id="69"/>
      <w:bookmarkEnd w:id="70"/>
    </w:p>
    <w:p w14:paraId="701D4366">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FF1DFDF">
      <w:pPr>
        <w:spacing w:line="600" w:lineRule="exact"/>
        <w:ind w:firstLine="640"/>
        <w:rPr>
          <w:rFonts w:hint="eastAsia" w:ascii="仿宋_GB2312" w:eastAsia="仿宋_GB2312"/>
          <w:color w:val="auto"/>
          <w:sz w:val="32"/>
          <w:szCs w:val="32"/>
          <w:highlight w:val="none"/>
        </w:rPr>
      </w:pPr>
    </w:p>
    <w:p w14:paraId="205011DE">
      <w:pPr>
        <w:numPr>
          <w:ilvl w:val="0"/>
          <w:numId w:val="4"/>
        </w:numPr>
        <w:spacing w:line="600" w:lineRule="exact"/>
        <w:ind w:firstLine="640"/>
        <w:outlineLvl w:val="1"/>
        <w:rPr>
          <w:rStyle w:val="25"/>
          <w:rFonts w:ascii="黑体" w:hAnsi="黑体" w:eastAsia="黑体"/>
          <w:b w:val="0"/>
          <w:color w:val="auto"/>
          <w:highlight w:val="none"/>
        </w:rPr>
      </w:pPr>
      <w:bookmarkStart w:id="71" w:name="_Toc15377219"/>
      <w:bookmarkStart w:id="72" w:name="_Toc17059"/>
      <w:bookmarkStart w:id="73" w:name="_Toc15396611"/>
      <w:r>
        <w:rPr>
          <w:rStyle w:val="25"/>
          <w:rFonts w:hint="eastAsia" w:ascii="黑体" w:hAnsi="黑体" w:eastAsia="黑体"/>
          <w:b w:val="0"/>
          <w:color w:val="auto"/>
          <w:highlight w:val="none"/>
        </w:rPr>
        <w:t>国有资本经营预算支出决算情况说明</w:t>
      </w:r>
      <w:bookmarkEnd w:id="71"/>
      <w:bookmarkEnd w:id="72"/>
      <w:bookmarkEnd w:id="73"/>
    </w:p>
    <w:p w14:paraId="4770B097">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8F41927">
      <w:pPr>
        <w:spacing w:line="600" w:lineRule="exact"/>
        <w:ind w:firstLine="640"/>
        <w:rPr>
          <w:rFonts w:hint="eastAsia" w:ascii="仿宋_GB2312" w:eastAsia="仿宋_GB2312"/>
          <w:color w:val="auto"/>
          <w:sz w:val="32"/>
          <w:szCs w:val="32"/>
          <w:highlight w:val="none"/>
        </w:rPr>
      </w:pPr>
    </w:p>
    <w:p w14:paraId="4008334F">
      <w:pPr>
        <w:numPr>
          <w:ilvl w:val="0"/>
          <w:numId w:val="4"/>
        </w:numPr>
        <w:spacing w:line="600" w:lineRule="exact"/>
        <w:ind w:firstLine="640"/>
        <w:outlineLvl w:val="1"/>
        <w:rPr>
          <w:rStyle w:val="25"/>
          <w:rFonts w:hint="eastAsia" w:ascii="黑体" w:hAnsi="黑体" w:eastAsia="黑体"/>
          <w:b w:val="0"/>
          <w:color w:val="auto"/>
          <w:highlight w:val="none"/>
        </w:rPr>
      </w:pPr>
      <w:bookmarkStart w:id="74" w:name="_Toc15396612"/>
      <w:bookmarkStart w:id="75" w:name="_Toc15377221"/>
      <w:bookmarkStart w:id="76" w:name="_Toc12318"/>
      <w:r>
        <w:rPr>
          <w:rStyle w:val="25"/>
          <w:rFonts w:hint="eastAsia" w:ascii="黑体" w:hAnsi="黑体" w:eastAsia="黑体"/>
          <w:b w:val="0"/>
          <w:color w:val="auto"/>
          <w:highlight w:val="none"/>
        </w:rPr>
        <w:t>其他重要事项的情况说明</w:t>
      </w:r>
      <w:bookmarkEnd w:id="74"/>
      <w:bookmarkEnd w:id="75"/>
      <w:bookmarkEnd w:id="76"/>
    </w:p>
    <w:p w14:paraId="5430CC7A">
      <w:pPr>
        <w:spacing w:line="600" w:lineRule="exact"/>
        <w:ind w:firstLine="643" w:firstLineChars="200"/>
        <w:outlineLvl w:val="2"/>
        <w:rPr>
          <w:rFonts w:ascii="仿宋" w:hAnsi="仿宋" w:eastAsia="仿宋"/>
          <w:color w:val="auto"/>
          <w:sz w:val="32"/>
          <w:szCs w:val="32"/>
          <w:highlight w:val="none"/>
        </w:rPr>
      </w:pPr>
      <w:bookmarkStart w:id="77" w:name="_Toc24126"/>
      <w:bookmarkStart w:id="78" w:name="_Toc15377222"/>
      <w:r>
        <w:rPr>
          <w:rFonts w:hint="eastAsia" w:ascii="仿宋" w:hAnsi="仿宋" w:eastAsia="仿宋"/>
          <w:b/>
          <w:color w:val="auto"/>
          <w:sz w:val="32"/>
          <w:szCs w:val="32"/>
          <w:highlight w:val="none"/>
        </w:rPr>
        <w:t>（一）机关运行经费支出情况</w:t>
      </w:r>
      <w:bookmarkEnd w:id="77"/>
      <w:bookmarkEnd w:id="78"/>
    </w:p>
    <w:p w14:paraId="7D19603D">
      <w:pPr>
        <w:autoSpaceDE w:val="0"/>
        <w:autoSpaceDN w:val="0"/>
        <w:adjustRightInd w:val="0"/>
        <w:spacing w:line="600" w:lineRule="exact"/>
        <w:ind w:firstLine="640" w:firstLineChars="200"/>
        <w:jc w:val="left"/>
        <w:outlineLvl w:val="2"/>
        <w:rPr>
          <w:rFonts w:hint="eastAsia" w:ascii="仿宋_GB2312" w:eastAsia="仿宋_GB2312"/>
          <w:color w:val="auto"/>
          <w:sz w:val="32"/>
          <w:szCs w:val="32"/>
        </w:rPr>
      </w:pPr>
      <w:bookmarkStart w:id="79" w:name="_Toc20912"/>
      <w:bookmarkStart w:id="80" w:name="_Toc15377223"/>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3</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年决算数持平）。主要原因是</w:t>
      </w:r>
      <w:r>
        <w:rPr>
          <w:rFonts w:hint="eastAsia" w:ascii="仿宋_GB2312" w:eastAsia="仿宋_GB2312"/>
          <w:color w:val="auto"/>
          <w:sz w:val="32"/>
          <w:szCs w:val="32"/>
        </w:rPr>
        <w:t>我单位为事业单位（学校），执行政府会计制度，无机关运行经费。</w:t>
      </w:r>
    </w:p>
    <w:p w14:paraId="545E8DDE">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79"/>
      <w:bookmarkEnd w:id="80"/>
    </w:p>
    <w:p w14:paraId="343F4795">
      <w:pPr>
        <w:spacing w:line="600" w:lineRule="exact"/>
        <w:ind w:firstLine="640" w:firstLineChars="200"/>
        <w:rPr>
          <w:rFonts w:ascii="仿宋_GB2312" w:eastAsia="仿宋_GB2312"/>
          <w:color w:val="auto"/>
          <w:sz w:val="32"/>
          <w:szCs w:val="32"/>
          <w:highlight w:val="none"/>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11A15419">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1" w:name="_Toc15377224"/>
      <w:bookmarkStart w:id="82" w:name="_Toc23213"/>
      <w:r>
        <w:rPr>
          <w:rFonts w:hint="eastAsia" w:ascii="仿宋" w:hAnsi="仿宋" w:eastAsia="仿宋"/>
          <w:b/>
          <w:color w:val="auto"/>
          <w:sz w:val="32"/>
          <w:szCs w:val="32"/>
          <w:highlight w:val="none"/>
        </w:rPr>
        <w:t>（三）国有资产占有使用情况</w:t>
      </w:r>
      <w:bookmarkEnd w:id="81"/>
      <w:bookmarkEnd w:id="82"/>
    </w:p>
    <w:p w14:paraId="37BC7A47">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2E555E4A">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2B4A4ED8">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42823549">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496A62D8">
      <w:pPr>
        <w:numPr>
          <w:ilvl w:val="0"/>
          <w:numId w:val="5"/>
        </w:numPr>
        <w:spacing w:line="600" w:lineRule="exact"/>
        <w:ind w:firstLine="660" w:firstLineChars="150"/>
        <w:jc w:val="center"/>
        <w:outlineLvl w:val="0"/>
        <w:rPr>
          <w:rStyle w:val="24"/>
          <w:rFonts w:ascii="黑体" w:hAnsi="黑体" w:eastAsia="黑体"/>
          <w:b w:val="0"/>
          <w:color w:val="auto"/>
          <w:highlight w:val="none"/>
        </w:rPr>
      </w:pPr>
      <w:bookmarkStart w:id="83" w:name="_Toc15396613"/>
      <w:bookmarkStart w:id="84" w:name="_Toc32006"/>
      <w:bookmarkStart w:id="85"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83"/>
      <w:bookmarkEnd w:id="84"/>
      <w:bookmarkEnd w:id="85"/>
    </w:p>
    <w:p w14:paraId="69C19549">
      <w:pPr>
        <w:spacing w:line="600" w:lineRule="exact"/>
        <w:jc w:val="left"/>
        <w:rPr>
          <w:rFonts w:ascii="宋体"/>
          <w:b/>
          <w:color w:val="auto"/>
          <w:sz w:val="44"/>
          <w:szCs w:val="44"/>
          <w:highlight w:val="none"/>
        </w:rPr>
      </w:pPr>
    </w:p>
    <w:p w14:paraId="6E076C43">
      <w:pPr>
        <w:pStyle w:val="22"/>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04F41CC0">
      <w:pPr>
        <w:pStyle w:val="22"/>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264E91CC">
      <w:pPr>
        <w:pStyle w:val="22"/>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624B08BD">
      <w:pPr>
        <w:pStyle w:val="22"/>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w:t>
      </w:r>
      <w:r>
        <w:rPr>
          <w:rFonts w:ascii="仿宋_GB2312" w:eastAsia="仿宋_GB2312"/>
          <w:color w:val="auto"/>
          <w:sz w:val="32"/>
          <w:szCs w:val="32"/>
          <w:highlight w:val="none"/>
        </w:rPr>
        <w:t xml:space="preserve"> </w:t>
      </w:r>
    </w:p>
    <w:p w14:paraId="5ED14C30">
      <w:pPr>
        <w:pStyle w:val="22"/>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4C0D22AC">
      <w:pPr>
        <w:pStyle w:val="22"/>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1AB94180">
      <w:pPr>
        <w:pStyle w:val="22"/>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3E7F803C">
      <w:pPr>
        <w:pStyle w:val="22"/>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14BC7220">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教育（205）教育管理事务（01）其他教育管理事务支出（99）:</w:t>
      </w:r>
      <w:r>
        <w:rPr>
          <w:rFonts w:hint="eastAsia" w:ascii="仿宋_GB2312" w:eastAsia="仿宋_GB2312"/>
          <w:color w:val="auto"/>
          <w:sz w:val="32"/>
          <w:szCs w:val="32"/>
        </w:rPr>
        <w:t>指开展</w:t>
      </w:r>
      <w:r>
        <w:rPr>
          <w:rFonts w:hint="eastAsia" w:ascii="仿宋_GB2312" w:eastAsia="仿宋_GB2312"/>
          <w:color w:val="auto"/>
          <w:sz w:val="32"/>
          <w:szCs w:val="32"/>
          <w:lang w:val="en-US" w:eastAsia="zh-CN"/>
        </w:rPr>
        <w:t>校外</w:t>
      </w:r>
      <w:r>
        <w:rPr>
          <w:rFonts w:hint="eastAsia" w:ascii="仿宋_GB2312" w:eastAsia="仿宋_GB2312"/>
          <w:color w:val="auto"/>
          <w:sz w:val="32"/>
          <w:szCs w:val="32"/>
        </w:rPr>
        <w:t>教育活动的各种支出</w:t>
      </w:r>
      <w:r>
        <w:rPr>
          <w:rFonts w:hint="eastAsia" w:ascii="仿宋_GB2312" w:eastAsia="仿宋_GB2312"/>
          <w:color w:val="auto"/>
          <w:sz w:val="32"/>
          <w:szCs w:val="32"/>
          <w:lang w:eastAsia="zh-CN"/>
        </w:rPr>
        <w:t>。</w:t>
      </w:r>
    </w:p>
    <w:p w14:paraId="22C2CE52">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.教育（205）普通教育（02）学前教育（01）:</w:t>
      </w:r>
      <w:r>
        <w:rPr>
          <w:rFonts w:hint="eastAsia" w:ascii="仿宋_GB2312" w:eastAsia="仿宋_GB2312"/>
          <w:color w:val="auto"/>
          <w:sz w:val="32"/>
          <w:szCs w:val="32"/>
        </w:rPr>
        <w:t>指开展学前教育活动的各种支出</w:t>
      </w:r>
      <w:r>
        <w:rPr>
          <w:rFonts w:hint="eastAsia" w:ascii="仿宋_GB2312" w:eastAsia="仿宋_GB2312"/>
          <w:color w:val="auto"/>
          <w:sz w:val="32"/>
          <w:szCs w:val="32"/>
          <w:lang w:eastAsia="zh-CN"/>
        </w:rPr>
        <w:t>。</w:t>
      </w:r>
    </w:p>
    <w:p w14:paraId="5784A522">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.教育（205）普通教育（02）其他教育支出（99）:</w:t>
      </w:r>
      <w:r>
        <w:rPr>
          <w:rFonts w:hint="eastAsia" w:ascii="仿宋_GB2312" w:eastAsia="仿宋_GB2312"/>
          <w:color w:val="auto"/>
          <w:sz w:val="32"/>
          <w:szCs w:val="32"/>
        </w:rPr>
        <w:t>指开展</w:t>
      </w:r>
      <w:r>
        <w:rPr>
          <w:rFonts w:hint="eastAsia" w:ascii="仿宋_GB2312" w:eastAsia="仿宋_GB2312"/>
          <w:color w:val="auto"/>
          <w:sz w:val="32"/>
          <w:szCs w:val="32"/>
          <w:lang w:val="en-US" w:eastAsia="zh-CN"/>
        </w:rPr>
        <w:t>其他</w:t>
      </w:r>
      <w:r>
        <w:rPr>
          <w:rFonts w:hint="eastAsia" w:ascii="仿宋_GB2312" w:eastAsia="仿宋_GB2312"/>
          <w:color w:val="auto"/>
          <w:sz w:val="32"/>
          <w:szCs w:val="32"/>
        </w:rPr>
        <w:t>教育活动的各种支出</w:t>
      </w:r>
      <w:r>
        <w:rPr>
          <w:rFonts w:hint="eastAsia" w:ascii="仿宋_GB2312" w:eastAsia="仿宋_GB2312"/>
          <w:color w:val="auto"/>
          <w:sz w:val="32"/>
          <w:szCs w:val="32"/>
          <w:lang w:eastAsia="zh-CN"/>
        </w:rPr>
        <w:t>。</w:t>
      </w:r>
    </w:p>
    <w:p w14:paraId="388543AD">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.科学技术支出（206）技术研究与开发（04）其他技术研究与开发支出（99）：</w:t>
      </w:r>
      <w:r>
        <w:rPr>
          <w:rFonts w:hint="eastAsia" w:ascii="仿宋_GB2312" w:eastAsia="仿宋_GB2312"/>
          <w:color w:val="auto"/>
          <w:sz w:val="32"/>
          <w:szCs w:val="32"/>
        </w:rPr>
        <w:t>指开展</w:t>
      </w:r>
      <w:r>
        <w:rPr>
          <w:rFonts w:hint="eastAsia" w:ascii="仿宋_GB2312" w:eastAsia="仿宋_GB2312"/>
          <w:color w:val="auto"/>
          <w:sz w:val="32"/>
          <w:szCs w:val="32"/>
          <w:highlight w:val="none"/>
        </w:rPr>
        <w:t>其他技术研究与开发</w:t>
      </w:r>
      <w:r>
        <w:rPr>
          <w:rFonts w:hint="eastAsia" w:ascii="仿宋_GB2312" w:eastAsia="仿宋_GB2312"/>
          <w:color w:val="auto"/>
          <w:sz w:val="32"/>
          <w:szCs w:val="32"/>
        </w:rPr>
        <w:t>的各种支出</w:t>
      </w:r>
      <w:r>
        <w:rPr>
          <w:rFonts w:hint="eastAsia" w:ascii="仿宋_GB2312" w:eastAsia="仿宋_GB2312"/>
          <w:color w:val="auto"/>
          <w:sz w:val="32"/>
          <w:szCs w:val="32"/>
          <w:highlight w:val="none"/>
        </w:rPr>
        <w:t>。</w:t>
      </w:r>
    </w:p>
    <w:p w14:paraId="1BEB7644">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xml:space="preserve">.社会保障和就业（208）行政事业单位养老支出（05）机关事业单位基本养老保险缴费支出（05）: </w:t>
      </w:r>
      <w:r>
        <w:rPr>
          <w:rFonts w:hint="eastAsia" w:ascii="仿宋_GB2312" w:eastAsia="仿宋_GB2312"/>
          <w:sz w:val="32"/>
          <w:szCs w:val="32"/>
        </w:rPr>
        <w:t>指单位为职工缴纳基本养老保险费支出</w:t>
      </w:r>
      <w:r>
        <w:rPr>
          <w:rFonts w:hint="eastAsia" w:ascii="仿宋_GB2312" w:eastAsia="仿宋_GB2312"/>
          <w:color w:val="auto"/>
          <w:sz w:val="32"/>
          <w:szCs w:val="32"/>
          <w:highlight w:val="none"/>
        </w:rPr>
        <w:t>。</w:t>
      </w:r>
    </w:p>
    <w:p w14:paraId="7294F04B">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.卫生健康（210）行政事业单位医疗（11）事业单位医疗（02）:</w:t>
      </w:r>
      <w:r>
        <w:rPr>
          <w:rFonts w:hint="eastAsia" w:ascii="仿宋_GB2312" w:eastAsia="仿宋_GB2312"/>
          <w:sz w:val="32"/>
          <w:szCs w:val="32"/>
        </w:rPr>
        <w:t>指单位为职工缴纳基本医疗保险费支出</w:t>
      </w:r>
      <w:r>
        <w:rPr>
          <w:rFonts w:hint="eastAsia" w:ascii="仿宋_GB2312" w:eastAsia="仿宋_GB2312"/>
          <w:color w:val="auto"/>
          <w:sz w:val="32"/>
          <w:szCs w:val="32"/>
          <w:highlight w:val="none"/>
        </w:rPr>
        <w:t>。</w:t>
      </w:r>
    </w:p>
    <w:p w14:paraId="68F1B3DE">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.住房保障支出（221）住房改革支出（02） 住房公积金（01）:</w:t>
      </w:r>
      <w:r>
        <w:rPr>
          <w:rFonts w:hint="eastAsia" w:ascii="仿宋_GB2312" w:eastAsia="仿宋_GB2312"/>
          <w:sz w:val="32"/>
          <w:szCs w:val="32"/>
        </w:rPr>
        <w:t>指单位为职工缴纳住房公积金支出</w:t>
      </w:r>
      <w:r>
        <w:rPr>
          <w:rFonts w:hint="eastAsia" w:ascii="仿宋_GB2312" w:eastAsia="仿宋_GB2312"/>
          <w:color w:val="auto"/>
          <w:sz w:val="32"/>
          <w:szCs w:val="32"/>
          <w:highlight w:val="none"/>
        </w:rPr>
        <w:t>。</w:t>
      </w:r>
    </w:p>
    <w:p w14:paraId="5673D51F">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22E2B433">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3EF2D007">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FE988A2">
      <w:pPr>
        <w:pStyle w:val="22"/>
        <w:keepNext w:val="0"/>
        <w:keepLines w:val="0"/>
        <w:pageBreakBefore w:val="0"/>
        <w:widowControl w:val="0"/>
        <w:kinsoku/>
        <w:wordWrap/>
        <w:overflowPunct/>
        <w:topLinePunct w:val="0"/>
        <w:bidi w:val="0"/>
        <w:snapToGrid/>
        <w:spacing w:line="5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482AF17">
      <w:pPr>
        <w:spacing w:line="600" w:lineRule="exact"/>
        <w:jc w:val="center"/>
        <w:outlineLvl w:val="0"/>
        <w:rPr>
          <w:rFonts w:ascii="宋体"/>
          <w:b/>
          <w:color w:val="auto"/>
          <w:sz w:val="44"/>
          <w:szCs w:val="44"/>
          <w:highlight w:val="none"/>
        </w:rPr>
      </w:pPr>
      <w:bookmarkStart w:id="86" w:name="_Toc15377226"/>
      <w:r>
        <w:rPr>
          <w:rFonts w:ascii="宋体"/>
          <w:b/>
          <w:color w:val="auto"/>
          <w:sz w:val="44"/>
          <w:szCs w:val="44"/>
          <w:highlight w:val="none"/>
        </w:rPr>
        <w:br w:type="page"/>
      </w:r>
      <w:bookmarkStart w:id="87" w:name="_Toc9908"/>
      <w:bookmarkStart w:id="88" w:name="_Toc15396614"/>
    </w:p>
    <w:p w14:paraId="2CBC6B1E">
      <w:pPr>
        <w:spacing w:line="600" w:lineRule="exact"/>
        <w:jc w:val="both"/>
        <w:outlineLvl w:val="0"/>
        <w:rPr>
          <w:rFonts w:ascii="宋体"/>
          <w:b/>
          <w:color w:val="auto"/>
          <w:sz w:val="44"/>
          <w:szCs w:val="44"/>
          <w:highlight w:val="none"/>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p>
    <w:p w14:paraId="26665ACE">
      <w:pPr>
        <w:numPr>
          <w:ilvl w:val="0"/>
          <w:numId w:val="5"/>
        </w:numPr>
        <w:spacing w:line="600" w:lineRule="exact"/>
        <w:ind w:left="0" w:leftChars="0" w:firstLine="660" w:firstLineChars="150"/>
        <w:jc w:val="center"/>
        <w:outlineLvl w:val="0"/>
        <w:rPr>
          <w:rStyle w:val="24"/>
          <w:rFonts w:hint="eastAsia" w:ascii="黑体" w:hAnsi="黑体" w:eastAsia="黑体"/>
          <w:b w:val="0"/>
          <w:color w:val="auto"/>
          <w:highlight w:val="none"/>
        </w:rPr>
      </w:pPr>
      <w:r>
        <w:rPr>
          <w:rStyle w:val="24"/>
          <w:rFonts w:hint="eastAsia" w:ascii="黑体" w:hAnsi="黑体" w:eastAsia="黑体"/>
          <w:b w:val="0"/>
          <w:color w:val="auto"/>
          <w:highlight w:val="none"/>
        </w:rPr>
        <w:t>附件</w:t>
      </w:r>
      <w:bookmarkEnd w:id="87"/>
      <w:bookmarkEnd w:id="88"/>
    </w:p>
    <w:p w14:paraId="687B1B42">
      <w:pPr>
        <w:numPr>
          <w:ilvl w:val="0"/>
          <w:numId w:val="0"/>
        </w:numPr>
        <w:spacing w:line="600" w:lineRule="exact"/>
        <w:ind w:leftChars="150"/>
        <w:jc w:val="both"/>
        <w:outlineLvl w:val="0"/>
        <w:rPr>
          <w:rStyle w:val="24"/>
          <w:rFonts w:hint="eastAsia" w:ascii="黑体" w:hAnsi="黑体" w:eastAsia="黑体"/>
          <w:b w:val="0"/>
          <w:color w:val="auto"/>
          <w:highlight w:val="none"/>
        </w:rPr>
      </w:pPr>
    </w:p>
    <w:tbl>
      <w:tblPr>
        <w:tblStyle w:val="12"/>
        <w:tblW w:w="12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77"/>
      </w:tblGrid>
      <w:tr w14:paraId="2F48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2877" w:type="dxa"/>
            <w:shd w:val="clear" w:color="auto" w:fill="auto"/>
            <w:vAlign w:val="center"/>
          </w:tcPr>
          <w:p w14:paraId="24C26DF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方正小标宋简体" w:cs="Times New Roman"/>
                <w:i w:val="0"/>
                <w:color w:val="000000"/>
                <w:kern w:val="0"/>
                <w:sz w:val="32"/>
                <w:szCs w:val="32"/>
                <w:u w:val="none"/>
                <w:lang w:val="en-US" w:eastAsia="zh-CN" w:bidi="ar"/>
              </w:rPr>
            </w:pPr>
            <w:r>
              <w:rPr>
                <w:rFonts w:hint="default" w:ascii="Times New Roman" w:hAnsi="Times New Roman" w:eastAsia="方正小标宋简体" w:cs="Times New Roman"/>
                <w:i w:val="0"/>
                <w:color w:val="000000"/>
                <w:kern w:val="0"/>
                <w:sz w:val="32"/>
                <w:szCs w:val="32"/>
                <w:u w:val="none"/>
                <w:lang w:val="en-US" w:eastAsia="zh-CN" w:bidi="ar"/>
              </w:rPr>
              <w:t>部门整体支出绩效目标完成情况自评表</w:t>
            </w:r>
          </w:p>
        </w:tc>
      </w:tr>
      <w:tr w14:paraId="7CBF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2877" w:type="dxa"/>
            <w:shd w:val="clear" w:color="auto" w:fill="auto"/>
            <w:vAlign w:val="center"/>
          </w:tcPr>
          <w:p w14:paraId="6FF9C6C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方正小标宋简体" w:cs="Times New Roman"/>
                <w:i w:val="0"/>
                <w:color w:val="000000"/>
                <w:kern w:val="0"/>
                <w:sz w:val="32"/>
                <w:szCs w:val="32"/>
                <w:u w:val="none"/>
                <w:lang w:val="en-US" w:eastAsia="zh-CN" w:bidi="ar"/>
              </w:rPr>
            </w:pPr>
            <w:r>
              <w:rPr>
                <w:rFonts w:hint="default" w:ascii="Times New Roman" w:hAnsi="Times New Roman" w:eastAsia="方正小标宋简体" w:cs="Times New Roman"/>
                <w:i w:val="0"/>
                <w:color w:val="000000"/>
                <w:kern w:val="0"/>
                <w:sz w:val="32"/>
                <w:szCs w:val="32"/>
                <w:u w:val="none"/>
                <w:lang w:val="en-US" w:eastAsia="zh-CN" w:bidi="ar"/>
              </w:rPr>
              <w:t>（2023年度）</w:t>
            </w:r>
          </w:p>
        </w:tc>
      </w:tr>
    </w:tbl>
    <w:p w14:paraId="6FE788BF">
      <w:pPr>
        <w:spacing w:line="600" w:lineRule="exact"/>
        <w:jc w:val="both"/>
        <w:outlineLvl w:val="0"/>
        <w:rPr>
          <w:rStyle w:val="24"/>
          <w:rFonts w:hint="eastAsia" w:ascii="黑体" w:hAnsi="黑体" w:eastAsia="黑体"/>
          <w:b w:val="0"/>
          <w:color w:val="auto"/>
          <w:highlight w:val="none"/>
        </w:rPr>
      </w:pPr>
    </w:p>
    <w:tbl>
      <w:tblPr>
        <w:tblStyle w:val="12"/>
        <w:tblW w:w="128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7"/>
        <w:gridCol w:w="1660"/>
        <w:gridCol w:w="1660"/>
        <w:gridCol w:w="2546"/>
        <w:gridCol w:w="1328"/>
        <w:gridCol w:w="1550"/>
        <w:gridCol w:w="997"/>
        <w:gridCol w:w="776"/>
        <w:gridCol w:w="1054"/>
      </w:tblGrid>
      <w:tr w14:paraId="5605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28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8CBB4D">
            <w:pPr>
              <w:keepNext w:val="0"/>
              <w:keepLines w:val="0"/>
              <w:widowControl/>
              <w:suppressLineNumbers w:val="0"/>
              <w:jc w:val="right"/>
              <w:textAlignment w:val="center"/>
              <w:rPr>
                <w:rFonts w:ascii="宋体" w:hAnsi="宋体" w:eastAsia="宋体" w:cs="宋体"/>
                <w:i w:val="0"/>
                <w:iCs w:val="0"/>
                <w:color w:val="000000"/>
                <w:sz w:val="18"/>
                <w:szCs w:val="18"/>
                <w:u w:val="none"/>
              </w:rPr>
            </w:pPr>
            <w:bookmarkStart w:id="89" w:name="_Toc15396618"/>
            <w:r>
              <w:rPr>
                <w:rFonts w:ascii="宋体" w:hAnsi="宋体" w:eastAsia="宋体" w:cs="宋体"/>
                <w:i w:val="0"/>
                <w:iCs w:val="0"/>
                <w:color w:val="000000"/>
                <w:kern w:val="0"/>
                <w:sz w:val="18"/>
                <w:szCs w:val="18"/>
                <w:u w:val="none"/>
                <w:lang w:val="en-US" w:eastAsia="zh-CN" w:bidi="ar"/>
              </w:rPr>
              <w:t>单位：万元</w:t>
            </w:r>
          </w:p>
        </w:tc>
      </w:tr>
      <w:tr w14:paraId="1E09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4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0F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010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大竹县青少年校外活动中心部门</w:t>
            </w:r>
          </w:p>
        </w:tc>
      </w:tr>
      <w:tr w14:paraId="0DA3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0E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08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B3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3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1B6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2572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1E4B">
            <w:pPr>
              <w:jc w:val="center"/>
              <w:rPr>
                <w:rFonts w:hint="eastAsia" w:ascii="宋体" w:hAnsi="宋体" w:eastAsia="宋体" w:cs="宋体"/>
                <w:i w:val="0"/>
                <w:iCs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AF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233.38</w:t>
            </w:r>
          </w:p>
        </w:tc>
        <w:tc>
          <w:tcPr>
            <w:tcW w:w="3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CB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233.38</w:t>
            </w:r>
            <w:bookmarkStart w:id="117" w:name="_GoBack"/>
            <w:bookmarkEnd w:id="117"/>
          </w:p>
        </w:tc>
        <w:tc>
          <w:tcPr>
            <w:tcW w:w="43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FC0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1626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9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15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CE71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目标1：保障单位在职人员10人的正常办公、生活秩序；</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目标2：坚决执行党和国家的教育方针政策。</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目标3：管好用好国家的教育资金，改善和优化的办学条件。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目标4：把教育教学质量放在首位，提高教师从教的幸福感，办人民满意的教育。</w:t>
            </w:r>
          </w:p>
        </w:tc>
      </w:tr>
      <w:tr w14:paraId="1136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9D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14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411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4922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07C60">
            <w:pPr>
              <w:jc w:val="center"/>
              <w:rPr>
                <w:rFonts w:hint="eastAsia" w:ascii="宋体" w:hAnsi="宋体" w:eastAsia="宋体" w:cs="宋体"/>
                <w:i w:val="0"/>
                <w:iCs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1B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坚决执行党和国家的教育方针政策。</w:t>
            </w:r>
          </w:p>
        </w:tc>
        <w:tc>
          <w:tcPr>
            <w:tcW w:w="8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FFE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坚决执行党和国家的教育方针政策。</w:t>
            </w:r>
          </w:p>
        </w:tc>
      </w:tr>
      <w:tr w14:paraId="5958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BA503">
            <w:pPr>
              <w:jc w:val="center"/>
              <w:rPr>
                <w:rFonts w:hint="eastAsia" w:ascii="宋体" w:hAnsi="宋体" w:eastAsia="宋体" w:cs="宋体"/>
                <w:i w:val="0"/>
                <w:iCs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3C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管好用好国家的教育资金，改善和优化的办学条件。</w:t>
            </w:r>
          </w:p>
        </w:tc>
        <w:tc>
          <w:tcPr>
            <w:tcW w:w="8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838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管好用好国家的教育资金，改善和优化的办学条件。</w:t>
            </w:r>
          </w:p>
        </w:tc>
      </w:tr>
      <w:tr w14:paraId="65C9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8B58">
            <w:pPr>
              <w:jc w:val="center"/>
              <w:rPr>
                <w:rFonts w:hint="eastAsia" w:ascii="宋体" w:hAnsi="宋体" w:eastAsia="宋体" w:cs="宋体"/>
                <w:i w:val="0"/>
                <w:iCs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AC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把教育教学质量放在首位，提高教师从教的幸福感，办人民满意的教育。</w:t>
            </w:r>
          </w:p>
        </w:tc>
        <w:tc>
          <w:tcPr>
            <w:tcW w:w="8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2F5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把教育教学质量放在首位，提高教师从教的幸福感，办人民满意的教育。</w:t>
            </w:r>
          </w:p>
        </w:tc>
      </w:tr>
      <w:tr w14:paraId="7E95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AD835">
            <w:pPr>
              <w:jc w:val="center"/>
              <w:rPr>
                <w:rFonts w:hint="eastAsia" w:ascii="宋体" w:hAnsi="宋体" w:eastAsia="宋体" w:cs="宋体"/>
                <w:i w:val="0"/>
                <w:iCs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91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保障单位在职人员10人的正常办公、生活秩序；</w:t>
            </w:r>
          </w:p>
        </w:tc>
        <w:tc>
          <w:tcPr>
            <w:tcW w:w="8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356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保障单位在职人员10人的正常办公、生活秩序；</w:t>
            </w:r>
          </w:p>
        </w:tc>
      </w:tr>
      <w:tr w14:paraId="1C56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B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D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7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7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C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C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B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5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1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755C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6C389">
            <w:pPr>
              <w:jc w:val="center"/>
              <w:rPr>
                <w:rFonts w:hint="eastAsia" w:ascii="宋体" w:hAnsi="宋体" w:eastAsia="宋体" w:cs="宋体"/>
                <w:i w:val="0"/>
                <w:iCs w:val="0"/>
                <w:color w:val="000000"/>
                <w:sz w:val="18"/>
                <w:szCs w:val="18"/>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E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F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公益活动开展场次；</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7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8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F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4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5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14:paraId="09E8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5BE7B">
            <w:pPr>
              <w:jc w:val="center"/>
              <w:rPr>
                <w:rFonts w:hint="eastAsia" w:ascii="宋体" w:hAnsi="宋体" w:eastAsia="宋体" w:cs="宋体"/>
                <w:i w:val="0"/>
                <w:iCs w:val="0"/>
                <w:color w:val="000000"/>
                <w:sz w:val="18"/>
                <w:szCs w:val="18"/>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2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7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B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D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E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3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4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9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r>
      <w:tr w14:paraId="287E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E60E">
            <w:pPr>
              <w:jc w:val="center"/>
              <w:rPr>
                <w:rFonts w:hint="eastAsia" w:ascii="宋体" w:hAnsi="宋体" w:eastAsia="宋体" w:cs="宋体"/>
                <w:i w:val="0"/>
                <w:iCs w:val="0"/>
                <w:color w:val="000000"/>
                <w:sz w:val="18"/>
                <w:szCs w:val="18"/>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5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2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A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D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7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3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14:paraId="743D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00A14">
            <w:pPr>
              <w:jc w:val="center"/>
              <w:rPr>
                <w:rFonts w:hint="eastAsia" w:ascii="宋体" w:hAnsi="宋体" w:eastAsia="宋体" w:cs="宋体"/>
                <w:i w:val="0"/>
                <w:iCs w:val="0"/>
                <w:color w:val="000000"/>
                <w:sz w:val="18"/>
                <w:szCs w:val="18"/>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6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2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E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公益活动生均成本</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A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4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285</w:t>
            </w:r>
          </w:p>
        </w:tc>
      </w:tr>
    </w:tbl>
    <w:p w14:paraId="5BEB5561">
      <w:pPr>
        <w:pStyle w:val="5"/>
        <w:rPr>
          <w:rFonts w:hint="eastAsia" w:ascii="仿宋_GB2312" w:hAnsi="Calibri" w:eastAsia="仿宋_GB2312" w:cs="仿宋"/>
          <w:color w:val="auto"/>
          <w:kern w:val="0"/>
          <w:sz w:val="32"/>
          <w:szCs w:val="32"/>
          <w:highlight w:val="none"/>
          <w:lang w:val="en-US" w:eastAsia="zh-CN" w:bidi="ar-SA"/>
        </w:rPr>
      </w:pPr>
    </w:p>
    <w:p w14:paraId="0B8931E9">
      <w:pPr>
        <w:pStyle w:val="5"/>
        <w:rPr>
          <w:rFonts w:hint="eastAsia" w:ascii="仿宋_GB2312" w:hAnsi="Calibri" w:eastAsia="仿宋_GB2312" w:cs="仿宋"/>
          <w:color w:val="auto"/>
          <w:kern w:val="0"/>
          <w:sz w:val="32"/>
          <w:szCs w:val="32"/>
          <w:highlight w:val="none"/>
          <w:lang w:val="en-US" w:eastAsia="zh-CN" w:bidi="ar-SA"/>
        </w:rPr>
      </w:pPr>
    </w:p>
    <w:p w14:paraId="1BE9EB96">
      <w:pPr>
        <w:pStyle w:val="5"/>
        <w:rPr>
          <w:rFonts w:hint="eastAsia" w:ascii="仿宋_GB2312" w:hAnsi="Calibri" w:eastAsia="仿宋_GB2312" w:cs="仿宋"/>
          <w:color w:val="auto"/>
          <w:kern w:val="0"/>
          <w:sz w:val="32"/>
          <w:szCs w:val="32"/>
          <w:highlight w:val="none"/>
          <w:lang w:val="en-US" w:eastAsia="zh-CN" w:bidi="ar-SA"/>
        </w:rPr>
      </w:pPr>
    </w:p>
    <w:p w14:paraId="265FA593">
      <w:pPr>
        <w:pStyle w:val="5"/>
        <w:rPr>
          <w:rFonts w:hint="eastAsia" w:ascii="仿宋_GB2312" w:hAnsi="Calibri" w:eastAsia="仿宋_GB2312" w:cs="仿宋"/>
          <w:color w:val="auto"/>
          <w:kern w:val="0"/>
          <w:sz w:val="32"/>
          <w:szCs w:val="32"/>
          <w:highlight w:val="none"/>
          <w:lang w:val="en-US" w:eastAsia="zh-CN" w:bidi="ar-SA"/>
        </w:rPr>
      </w:pPr>
    </w:p>
    <w:tbl>
      <w:tblPr>
        <w:tblStyle w:val="12"/>
        <w:tblW w:w="12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25"/>
        <w:gridCol w:w="1580"/>
        <w:gridCol w:w="2014"/>
        <w:gridCol w:w="468"/>
        <w:gridCol w:w="1494"/>
        <w:gridCol w:w="468"/>
        <w:gridCol w:w="980"/>
        <w:gridCol w:w="486"/>
        <w:gridCol w:w="486"/>
        <w:gridCol w:w="2269"/>
      </w:tblGrid>
      <w:tr w14:paraId="219F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C459A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D9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369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1F0C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51172422T000005824714-2018年学前教育培训，校外活动场所建设及装修改造项目进度款（存量）</w:t>
            </w:r>
          </w:p>
        </w:tc>
      </w:tr>
      <w:tr w14:paraId="1218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4A1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C1D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大竹县青少年校外活动中心部门</w:t>
            </w:r>
          </w:p>
        </w:tc>
        <w:tc>
          <w:tcPr>
            <w:tcW w:w="982" w:type="dxa"/>
            <w:tcBorders>
              <w:top w:val="nil"/>
              <w:left w:val="nil"/>
              <w:bottom w:val="nil"/>
              <w:right w:val="nil"/>
            </w:tcBorders>
            <w:shd w:val="clear" w:color="auto" w:fill="auto"/>
            <w:vAlign w:val="center"/>
          </w:tcPr>
          <w:p w14:paraId="7C686CC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36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大竹县青少年校外活动中心</w:t>
            </w:r>
          </w:p>
        </w:tc>
      </w:tr>
      <w:tr w14:paraId="62FA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62A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4F0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1F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58E8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0E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817BD">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588E2">
            <w:pPr>
              <w:rPr>
                <w:rFonts w:hint="eastAsia" w:ascii="宋体" w:hAnsi="宋体" w:eastAsia="宋体" w:cs="宋体"/>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A416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解决活动中心功能提升，学前教育培训、校外活动场所建设及装修改造。</w:t>
            </w:r>
          </w:p>
        </w:tc>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74AB1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解决活动场所功能提升，更好的为师生创设环境。</w:t>
            </w:r>
          </w:p>
        </w:tc>
      </w:tr>
      <w:tr w14:paraId="29A6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1CC5">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D6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09D9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活动场所建设及装修改造</w:t>
            </w:r>
          </w:p>
        </w:tc>
      </w:tr>
      <w:tr w14:paraId="30D4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36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9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0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6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ED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4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E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6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849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8A5D">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2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0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3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A5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1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5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0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B596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558C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59237">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B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7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5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51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4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A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ADFCC">
            <w:pPr>
              <w:rPr>
                <w:rFonts w:hint="eastAsia" w:ascii="黑体" w:hAnsi="黑体" w:eastAsia="黑体" w:cs="黑体"/>
                <w:i/>
                <w:iCs/>
                <w:color w:val="000000"/>
                <w:sz w:val="18"/>
                <w:szCs w:val="18"/>
                <w:u w:val="none"/>
              </w:rPr>
            </w:pPr>
          </w:p>
        </w:tc>
      </w:tr>
      <w:tr w14:paraId="0231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CC48A">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4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4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6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6C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8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9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8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3F341">
            <w:pPr>
              <w:rPr>
                <w:rFonts w:hint="eastAsia" w:ascii="黑体" w:hAnsi="黑体" w:eastAsia="黑体" w:cs="黑体"/>
                <w:i/>
                <w:iCs/>
                <w:color w:val="000000"/>
                <w:sz w:val="18"/>
                <w:szCs w:val="18"/>
                <w:u w:val="none"/>
              </w:rPr>
            </w:pPr>
          </w:p>
        </w:tc>
      </w:tr>
      <w:tr w14:paraId="1A70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0638">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7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0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4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B5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3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3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6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1B01">
            <w:pPr>
              <w:rPr>
                <w:rFonts w:hint="eastAsia" w:ascii="黑体" w:hAnsi="黑体" w:eastAsia="黑体" w:cs="黑体"/>
                <w:i/>
                <w:iCs/>
                <w:color w:val="000000"/>
                <w:sz w:val="18"/>
                <w:szCs w:val="18"/>
                <w:u w:val="none"/>
              </w:rPr>
            </w:pPr>
          </w:p>
        </w:tc>
      </w:tr>
      <w:tr w14:paraId="7158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D59DE">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1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5B66">
            <w:pPr>
              <w:jc w:val="center"/>
              <w:rPr>
                <w:rFonts w:hint="eastAsia" w:ascii="微软雅黑" w:hAnsi="微软雅黑" w:eastAsia="微软雅黑" w:cs="微软雅黑"/>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7C41">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77D3A">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4EDF">
            <w:pPr>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0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8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061F8">
            <w:pPr>
              <w:rPr>
                <w:rFonts w:hint="eastAsia" w:ascii="黑体" w:hAnsi="黑体" w:eastAsia="黑体" w:cs="黑体"/>
                <w:i/>
                <w:iCs/>
                <w:color w:val="000000"/>
                <w:sz w:val="18"/>
                <w:szCs w:val="18"/>
                <w:u w:val="none"/>
              </w:rPr>
            </w:pPr>
          </w:p>
        </w:tc>
      </w:tr>
      <w:tr w14:paraId="2875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38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B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8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2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7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9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5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1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9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2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C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EDF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11E2">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5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B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D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建设及装修的具体措施</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2F7">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0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7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1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50项</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C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D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EED7">
            <w:pPr>
              <w:jc w:val="center"/>
              <w:rPr>
                <w:rFonts w:hint="eastAsia" w:ascii="宋体" w:hAnsi="宋体" w:eastAsia="宋体" w:cs="宋体"/>
                <w:i w:val="0"/>
                <w:iCs w:val="0"/>
                <w:color w:val="000000"/>
                <w:sz w:val="18"/>
                <w:szCs w:val="18"/>
                <w:u w:val="none"/>
              </w:rPr>
            </w:pPr>
          </w:p>
        </w:tc>
      </w:tr>
      <w:tr w14:paraId="2FAA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60ED0">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E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1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2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解决存在问题</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BA2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6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E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0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2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B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3C6">
            <w:pPr>
              <w:jc w:val="center"/>
              <w:rPr>
                <w:rFonts w:hint="eastAsia" w:ascii="宋体" w:hAnsi="宋体" w:eastAsia="宋体" w:cs="宋体"/>
                <w:i w:val="0"/>
                <w:iCs w:val="0"/>
                <w:color w:val="000000"/>
                <w:sz w:val="18"/>
                <w:szCs w:val="18"/>
                <w:u w:val="none"/>
              </w:rPr>
            </w:pPr>
          </w:p>
        </w:tc>
      </w:tr>
      <w:tr w14:paraId="2047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C117F">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A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4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A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59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A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9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8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58A6">
            <w:pPr>
              <w:jc w:val="center"/>
              <w:rPr>
                <w:rFonts w:hint="eastAsia" w:ascii="微软雅黑" w:hAnsi="微软雅黑" w:eastAsia="微软雅黑" w:cs="微软雅黑"/>
                <w:i/>
                <w:iCs/>
                <w:color w:val="000000"/>
                <w:sz w:val="16"/>
                <w:szCs w:val="16"/>
                <w:u w:val="none"/>
              </w:rPr>
            </w:pPr>
          </w:p>
        </w:tc>
      </w:tr>
      <w:tr w14:paraId="7BDE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9D6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B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03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5096">
            <w:pPr>
              <w:rPr>
                <w:rFonts w:hint="eastAsia" w:ascii="宋体" w:hAnsi="宋体" w:eastAsia="宋体" w:cs="宋体"/>
                <w:i w:val="0"/>
                <w:iCs w:val="0"/>
                <w:color w:val="000000"/>
                <w:sz w:val="18"/>
                <w:szCs w:val="18"/>
                <w:u w:val="none"/>
              </w:rPr>
            </w:pPr>
          </w:p>
        </w:tc>
      </w:tr>
      <w:tr w14:paraId="1BC1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C6D1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项目自评总分达到100分。通过实施，项目达到了预期目标，解决了实际问题，取得了显著效果。</w:t>
            </w:r>
          </w:p>
        </w:tc>
      </w:tr>
      <w:tr w14:paraId="5DC4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3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30453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4B5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4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0299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8DF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DAF5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项目负责人：张寒冰</w:t>
            </w:r>
          </w:p>
        </w:tc>
        <w:tc>
          <w:tcPr>
            <w:tcW w:w="6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EC12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财务负责人：郑乃文</w:t>
            </w:r>
          </w:p>
        </w:tc>
      </w:tr>
      <w:tr w14:paraId="5359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14:paraId="197C0038">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14:paraId="343407CB">
            <w:pPr>
              <w:rPr>
                <w:rFonts w:hint="eastAsia" w:ascii="宋体" w:hAnsi="宋体" w:eastAsia="宋体" w:cs="宋体"/>
                <w:i w:val="0"/>
                <w:iCs w:val="0"/>
                <w:color w:val="000000"/>
                <w:sz w:val="18"/>
                <w:szCs w:val="18"/>
                <w:u w:val="none"/>
              </w:rPr>
            </w:pPr>
          </w:p>
        </w:tc>
        <w:tc>
          <w:tcPr>
            <w:tcW w:w="1598" w:type="dxa"/>
            <w:tcBorders>
              <w:top w:val="nil"/>
              <w:left w:val="nil"/>
              <w:bottom w:val="nil"/>
              <w:right w:val="nil"/>
            </w:tcBorders>
            <w:shd w:val="clear" w:color="auto" w:fill="auto"/>
            <w:vAlign w:val="center"/>
          </w:tcPr>
          <w:p w14:paraId="0B03351C">
            <w:pPr>
              <w:rPr>
                <w:rFonts w:hint="eastAsia" w:ascii="宋体" w:hAnsi="宋体" w:eastAsia="宋体" w:cs="宋体"/>
                <w:i w:val="0"/>
                <w:iCs w:val="0"/>
                <w:color w:val="000000"/>
                <w:sz w:val="18"/>
                <w:szCs w:val="18"/>
                <w:u w:val="none"/>
              </w:rPr>
            </w:pPr>
          </w:p>
        </w:tc>
        <w:tc>
          <w:tcPr>
            <w:tcW w:w="2038" w:type="dxa"/>
            <w:tcBorders>
              <w:top w:val="nil"/>
              <w:left w:val="nil"/>
              <w:bottom w:val="nil"/>
              <w:right w:val="nil"/>
            </w:tcBorders>
            <w:shd w:val="clear" w:color="auto" w:fill="auto"/>
            <w:vAlign w:val="center"/>
          </w:tcPr>
          <w:p w14:paraId="583120D8">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310D640C">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14:paraId="1EB3D7DA">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1CD7D5D9">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14:paraId="563D662B">
            <w:pPr>
              <w:rPr>
                <w:rFonts w:hint="eastAsia" w:ascii="宋体" w:hAnsi="宋体" w:eastAsia="宋体" w:cs="宋体"/>
                <w:i w:val="0"/>
                <w:iCs w:val="0"/>
                <w:color w:val="000000"/>
                <w:sz w:val="18"/>
                <w:szCs w:val="18"/>
                <w:u w:val="none"/>
              </w:rPr>
            </w:pPr>
          </w:p>
        </w:tc>
        <w:tc>
          <w:tcPr>
            <w:tcW w:w="455" w:type="dxa"/>
            <w:tcBorders>
              <w:top w:val="nil"/>
              <w:left w:val="nil"/>
              <w:bottom w:val="nil"/>
              <w:right w:val="nil"/>
            </w:tcBorders>
            <w:shd w:val="clear" w:color="auto" w:fill="auto"/>
            <w:vAlign w:val="center"/>
          </w:tcPr>
          <w:p w14:paraId="11DED2D0">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3D7FCDCA">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17FFC03B">
            <w:pPr>
              <w:rPr>
                <w:rFonts w:hint="eastAsia" w:ascii="宋体" w:hAnsi="宋体" w:eastAsia="宋体" w:cs="宋体"/>
                <w:i w:val="0"/>
                <w:iCs w:val="0"/>
                <w:color w:val="000000"/>
                <w:sz w:val="18"/>
                <w:szCs w:val="18"/>
                <w:u w:val="none"/>
              </w:rPr>
            </w:pPr>
          </w:p>
        </w:tc>
      </w:tr>
      <w:tr w14:paraId="10F2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EF370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002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E4B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3221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51172422T000006522099-科技项目（存量）</w:t>
            </w:r>
          </w:p>
        </w:tc>
      </w:tr>
      <w:tr w14:paraId="6318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BEB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F06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大竹县青少年校外活动中心部门</w:t>
            </w:r>
          </w:p>
        </w:tc>
        <w:tc>
          <w:tcPr>
            <w:tcW w:w="982" w:type="dxa"/>
            <w:tcBorders>
              <w:top w:val="nil"/>
              <w:left w:val="nil"/>
              <w:bottom w:val="nil"/>
              <w:right w:val="nil"/>
            </w:tcBorders>
            <w:shd w:val="clear" w:color="auto" w:fill="auto"/>
            <w:vAlign w:val="center"/>
          </w:tcPr>
          <w:p w14:paraId="07C08BE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4B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大竹县青少年校外活动中心</w:t>
            </w:r>
          </w:p>
        </w:tc>
      </w:tr>
      <w:tr w14:paraId="6FE7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738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098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32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C4C6E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4A7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B51F5">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F32DB">
            <w:pPr>
              <w:rPr>
                <w:rFonts w:hint="eastAsia" w:ascii="宋体" w:hAnsi="宋体" w:eastAsia="宋体" w:cs="宋体"/>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C417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开展科技创新进百校讲座，提升全县中小学科技创新能力，促进科技创新高水平发展。</w:t>
            </w:r>
          </w:p>
        </w:tc>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DE3C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对全县各乡镇进行划片讲座及研讨，促进全县中小学科技创新发展。</w:t>
            </w:r>
          </w:p>
        </w:tc>
      </w:tr>
      <w:tr w14:paraId="31E0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ACB07">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B6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F75E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科技创新进百校专项讲座及研讨，全面提升全县中小学科技创新能力，提高我县青少年的科学素质，丰富我县青少年校外生活。</w:t>
            </w:r>
          </w:p>
        </w:tc>
      </w:tr>
      <w:tr w14:paraId="5662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0E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6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B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3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80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F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B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A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5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E74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E0EA1">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8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6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C3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8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2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D4B6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02B1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4E222">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A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3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F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0F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4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E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3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89732">
            <w:pPr>
              <w:rPr>
                <w:rFonts w:hint="eastAsia" w:ascii="黑体" w:hAnsi="黑体" w:eastAsia="黑体" w:cs="黑体"/>
                <w:i/>
                <w:iCs/>
                <w:color w:val="000000"/>
                <w:sz w:val="18"/>
                <w:szCs w:val="18"/>
                <w:u w:val="none"/>
              </w:rPr>
            </w:pPr>
          </w:p>
        </w:tc>
      </w:tr>
      <w:tr w14:paraId="03B6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6933B">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F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5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A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60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B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F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7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02591">
            <w:pPr>
              <w:rPr>
                <w:rFonts w:hint="eastAsia" w:ascii="黑体" w:hAnsi="黑体" w:eastAsia="黑体" w:cs="黑体"/>
                <w:i/>
                <w:iCs/>
                <w:color w:val="000000"/>
                <w:sz w:val="18"/>
                <w:szCs w:val="18"/>
                <w:u w:val="none"/>
              </w:rPr>
            </w:pPr>
          </w:p>
        </w:tc>
      </w:tr>
      <w:tr w14:paraId="0185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F4155">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0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C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F0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3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9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3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A6A2">
            <w:pPr>
              <w:rPr>
                <w:rFonts w:hint="eastAsia" w:ascii="黑体" w:hAnsi="黑体" w:eastAsia="黑体" w:cs="黑体"/>
                <w:i/>
                <w:iCs/>
                <w:color w:val="000000"/>
                <w:sz w:val="18"/>
                <w:szCs w:val="18"/>
                <w:u w:val="none"/>
              </w:rPr>
            </w:pPr>
          </w:p>
        </w:tc>
      </w:tr>
      <w:tr w14:paraId="5B47C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460EE">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1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28B4">
            <w:pPr>
              <w:jc w:val="center"/>
              <w:rPr>
                <w:rFonts w:hint="eastAsia" w:ascii="微软雅黑" w:hAnsi="微软雅黑" w:eastAsia="微软雅黑" w:cs="微软雅黑"/>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4624">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8CBA5">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4690">
            <w:pPr>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8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2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D4347">
            <w:pPr>
              <w:rPr>
                <w:rFonts w:hint="eastAsia" w:ascii="黑体" w:hAnsi="黑体" w:eastAsia="黑体" w:cs="黑体"/>
                <w:i/>
                <w:iCs/>
                <w:color w:val="000000"/>
                <w:sz w:val="18"/>
                <w:szCs w:val="18"/>
                <w:u w:val="none"/>
              </w:rPr>
            </w:pPr>
          </w:p>
        </w:tc>
      </w:tr>
      <w:tr w14:paraId="49CD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F6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3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6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2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0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5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6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7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C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8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61A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AE55">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D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0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9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建设及装修的具体措施</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56E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7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F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6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50项</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A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177F">
            <w:pPr>
              <w:jc w:val="center"/>
              <w:rPr>
                <w:rFonts w:hint="eastAsia" w:ascii="宋体" w:hAnsi="宋体" w:eastAsia="宋体" w:cs="宋体"/>
                <w:i w:val="0"/>
                <w:iCs w:val="0"/>
                <w:color w:val="000000"/>
                <w:sz w:val="18"/>
                <w:szCs w:val="18"/>
                <w:u w:val="none"/>
              </w:rPr>
            </w:pPr>
          </w:p>
        </w:tc>
      </w:tr>
      <w:tr w14:paraId="6DA5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8C9E7">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2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C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5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参与教师和学生人数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0C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6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E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1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B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6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3792">
            <w:pPr>
              <w:jc w:val="center"/>
              <w:rPr>
                <w:rFonts w:hint="eastAsia" w:ascii="宋体" w:hAnsi="宋体" w:eastAsia="宋体" w:cs="宋体"/>
                <w:i w:val="0"/>
                <w:iCs w:val="0"/>
                <w:color w:val="000000"/>
                <w:sz w:val="18"/>
                <w:szCs w:val="18"/>
                <w:u w:val="none"/>
              </w:rPr>
            </w:pPr>
          </w:p>
        </w:tc>
      </w:tr>
      <w:tr w14:paraId="2F91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2391">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1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A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766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6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0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D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9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B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0C99">
            <w:pPr>
              <w:jc w:val="center"/>
              <w:rPr>
                <w:rFonts w:hint="eastAsia" w:ascii="微软雅黑" w:hAnsi="微软雅黑" w:eastAsia="微软雅黑" w:cs="微软雅黑"/>
                <w:i/>
                <w:iCs/>
                <w:color w:val="000000"/>
                <w:sz w:val="16"/>
                <w:szCs w:val="16"/>
                <w:u w:val="none"/>
              </w:rPr>
            </w:pPr>
          </w:p>
        </w:tc>
      </w:tr>
      <w:tr w14:paraId="4A54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878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B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272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6732">
            <w:pPr>
              <w:rPr>
                <w:rFonts w:hint="eastAsia" w:ascii="宋体" w:hAnsi="宋体" w:eastAsia="宋体" w:cs="宋体"/>
                <w:i w:val="0"/>
                <w:iCs w:val="0"/>
                <w:color w:val="000000"/>
                <w:sz w:val="18"/>
                <w:szCs w:val="18"/>
                <w:u w:val="none"/>
              </w:rPr>
            </w:pPr>
          </w:p>
        </w:tc>
      </w:tr>
      <w:tr w14:paraId="70D4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F3832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项目自评总分达到99分。通过实施，项目达到了预期目标，解决了实际问题，取得了显著效果。</w:t>
            </w:r>
          </w:p>
        </w:tc>
      </w:tr>
      <w:tr w14:paraId="645C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1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DD2F4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922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7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EA80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A56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752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项目负责人：张寒冰</w:t>
            </w:r>
          </w:p>
        </w:tc>
        <w:tc>
          <w:tcPr>
            <w:tcW w:w="6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BE8E2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财务负责人：郑乃文</w:t>
            </w:r>
          </w:p>
        </w:tc>
      </w:tr>
      <w:tr w14:paraId="6681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14:paraId="0AE0C516">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14:paraId="254B0FAA">
            <w:pPr>
              <w:rPr>
                <w:rFonts w:hint="eastAsia" w:ascii="宋体" w:hAnsi="宋体" w:eastAsia="宋体" w:cs="宋体"/>
                <w:i w:val="0"/>
                <w:iCs w:val="0"/>
                <w:color w:val="000000"/>
                <w:sz w:val="18"/>
                <w:szCs w:val="18"/>
                <w:u w:val="none"/>
              </w:rPr>
            </w:pPr>
          </w:p>
        </w:tc>
        <w:tc>
          <w:tcPr>
            <w:tcW w:w="1598" w:type="dxa"/>
            <w:tcBorders>
              <w:top w:val="nil"/>
              <w:left w:val="nil"/>
              <w:bottom w:val="nil"/>
              <w:right w:val="nil"/>
            </w:tcBorders>
            <w:shd w:val="clear" w:color="auto" w:fill="auto"/>
            <w:vAlign w:val="center"/>
          </w:tcPr>
          <w:p w14:paraId="680190E9">
            <w:pPr>
              <w:rPr>
                <w:rFonts w:hint="eastAsia" w:ascii="宋体" w:hAnsi="宋体" w:eastAsia="宋体" w:cs="宋体"/>
                <w:i w:val="0"/>
                <w:iCs w:val="0"/>
                <w:color w:val="000000"/>
                <w:sz w:val="18"/>
                <w:szCs w:val="18"/>
                <w:u w:val="none"/>
              </w:rPr>
            </w:pPr>
          </w:p>
        </w:tc>
        <w:tc>
          <w:tcPr>
            <w:tcW w:w="2038" w:type="dxa"/>
            <w:tcBorders>
              <w:top w:val="nil"/>
              <w:left w:val="nil"/>
              <w:bottom w:val="nil"/>
              <w:right w:val="nil"/>
            </w:tcBorders>
            <w:shd w:val="clear" w:color="auto" w:fill="auto"/>
            <w:vAlign w:val="center"/>
          </w:tcPr>
          <w:p w14:paraId="36AC3142">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72F904B5">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14:paraId="5A06E6C9">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68FD32C6">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14:paraId="54578FE5">
            <w:pPr>
              <w:rPr>
                <w:rFonts w:hint="eastAsia" w:ascii="宋体" w:hAnsi="宋体" w:eastAsia="宋体" w:cs="宋体"/>
                <w:i w:val="0"/>
                <w:iCs w:val="0"/>
                <w:color w:val="000000"/>
                <w:sz w:val="18"/>
                <w:szCs w:val="18"/>
                <w:u w:val="none"/>
              </w:rPr>
            </w:pPr>
          </w:p>
        </w:tc>
        <w:tc>
          <w:tcPr>
            <w:tcW w:w="455" w:type="dxa"/>
            <w:tcBorders>
              <w:top w:val="nil"/>
              <w:left w:val="nil"/>
              <w:bottom w:val="nil"/>
              <w:right w:val="nil"/>
            </w:tcBorders>
            <w:shd w:val="clear" w:color="auto" w:fill="auto"/>
            <w:vAlign w:val="center"/>
          </w:tcPr>
          <w:p w14:paraId="7318AAF9">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6C0BD6D1">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31F13D14">
            <w:pPr>
              <w:rPr>
                <w:rFonts w:hint="eastAsia" w:ascii="宋体" w:hAnsi="宋体" w:eastAsia="宋体" w:cs="宋体"/>
                <w:i w:val="0"/>
                <w:iCs w:val="0"/>
                <w:color w:val="000000"/>
                <w:sz w:val="18"/>
                <w:szCs w:val="18"/>
                <w:u w:val="none"/>
              </w:rPr>
            </w:pPr>
          </w:p>
        </w:tc>
      </w:tr>
      <w:tr w14:paraId="4F5E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B4F20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00F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B89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DCFC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51172423T000008614266-活动中心管理经费</w:t>
            </w:r>
          </w:p>
        </w:tc>
      </w:tr>
      <w:tr w14:paraId="15C0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6CB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7D4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大竹县青少年校外活动中心部门</w:t>
            </w:r>
          </w:p>
        </w:tc>
        <w:tc>
          <w:tcPr>
            <w:tcW w:w="982" w:type="dxa"/>
            <w:tcBorders>
              <w:top w:val="nil"/>
              <w:left w:val="nil"/>
              <w:bottom w:val="nil"/>
              <w:right w:val="nil"/>
            </w:tcBorders>
            <w:shd w:val="clear" w:color="auto" w:fill="auto"/>
            <w:vAlign w:val="center"/>
          </w:tcPr>
          <w:p w14:paraId="58E797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85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大竹县青少年校外活动中心</w:t>
            </w:r>
          </w:p>
        </w:tc>
      </w:tr>
      <w:tr w14:paraId="4753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170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73C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E73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93F80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A04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CA40">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F3C96">
            <w:pPr>
              <w:rPr>
                <w:rFonts w:hint="eastAsia" w:ascii="宋体" w:hAnsi="宋体" w:eastAsia="宋体" w:cs="宋体"/>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5A1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为了全面贯彻实施《全民科学素质行动计划纲要》，进一步推动我县青少年 科技创新活动和科技教育活动的开展，培养我县青少年的创新精神和实践能力， 努力提高我县青少年的科学素质，丰富我县青少年文化生活，培养一批科技活动的积极分子和科技人才的幼苗，使我县青少年优秀科技项目创佳绩，科技创新进 百校讲座活动。 一、主办单位:大竹县青少年校外活动中心 二、活动时间：2023 年 1 月 1 日至 2023 年 12月 31 日，统筹安排，全县各 学校每校一次，分片区进行。 三、活动地点：各学校 四、活动对象:三至八年级，高一至高二全体学生 五、活动主题:体验 创新 成长。 六、活动场次：10 次 七、活动人数：1000 人次</w:t>
            </w:r>
          </w:p>
        </w:tc>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B4BA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对全县各乡镇进行划片讲座及研讨，促进全县中小学科技创新发展，培养一批科技活动的积极分子和科技人才的幼苗，使我县青少年优秀科技项目创佳绩。</w:t>
            </w:r>
          </w:p>
        </w:tc>
      </w:tr>
      <w:tr w14:paraId="2C07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7F1A">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02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25B765">
            <w:pPr>
              <w:rPr>
                <w:rFonts w:hint="eastAsia" w:ascii="宋体" w:hAnsi="宋体" w:eastAsia="宋体" w:cs="宋体"/>
                <w:i w:val="0"/>
                <w:iCs w:val="0"/>
                <w:color w:val="000000"/>
                <w:sz w:val="18"/>
                <w:szCs w:val="18"/>
                <w:u w:val="none"/>
              </w:rPr>
            </w:pPr>
          </w:p>
        </w:tc>
      </w:tr>
      <w:tr w14:paraId="048F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6C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1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7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E0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E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B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3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288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FD99">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D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7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9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FC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0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5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D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2C94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4374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DDA2E">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2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4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5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48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4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9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1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44FE">
            <w:pPr>
              <w:rPr>
                <w:rFonts w:hint="eastAsia" w:ascii="黑体" w:hAnsi="黑体" w:eastAsia="黑体" w:cs="黑体"/>
                <w:i/>
                <w:iCs/>
                <w:color w:val="000000"/>
                <w:sz w:val="18"/>
                <w:szCs w:val="18"/>
                <w:u w:val="none"/>
              </w:rPr>
            </w:pPr>
          </w:p>
        </w:tc>
      </w:tr>
      <w:tr w14:paraId="1DF5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D631E">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B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5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8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12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B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1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A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FD1F">
            <w:pPr>
              <w:rPr>
                <w:rFonts w:hint="eastAsia" w:ascii="黑体" w:hAnsi="黑体" w:eastAsia="黑体" w:cs="黑体"/>
                <w:i/>
                <w:iCs/>
                <w:color w:val="000000"/>
                <w:sz w:val="18"/>
                <w:szCs w:val="18"/>
                <w:u w:val="none"/>
              </w:rPr>
            </w:pPr>
          </w:p>
        </w:tc>
      </w:tr>
      <w:tr w14:paraId="3E69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C8841">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1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6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85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C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A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4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7F5EB">
            <w:pPr>
              <w:rPr>
                <w:rFonts w:hint="eastAsia" w:ascii="黑体" w:hAnsi="黑体" w:eastAsia="黑体" w:cs="黑体"/>
                <w:i/>
                <w:iCs/>
                <w:color w:val="000000"/>
                <w:sz w:val="18"/>
                <w:szCs w:val="18"/>
                <w:u w:val="none"/>
              </w:rPr>
            </w:pPr>
          </w:p>
        </w:tc>
      </w:tr>
      <w:tr w14:paraId="2E42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3222">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D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6C48">
            <w:pPr>
              <w:jc w:val="center"/>
              <w:rPr>
                <w:rFonts w:hint="eastAsia" w:ascii="微软雅黑" w:hAnsi="微软雅黑" w:eastAsia="微软雅黑" w:cs="微软雅黑"/>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FFC">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D42F5">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0D23">
            <w:pPr>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3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F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0F0E7">
            <w:pPr>
              <w:rPr>
                <w:rFonts w:hint="eastAsia" w:ascii="黑体" w:hAnsi="黑体" w:eastAsia="黑体" w:cs="黑体"/>
                <w:i/>
                <w:iCs/>
                <w:color w:val="000000"/>
                <w:sz w:val="18"/>
                <w:szCs w:val="18"/>
                <w:u w:val="none"/>
              </w:rPr>
            </w:pPr>
          </w:p>
        </w:tc>
      </w:tr>
      <w:tr w14:paraId="1479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0E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3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5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B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F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B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0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D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8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0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B46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7613B">
            <w:pPr>
              <w:jc w:val="center"/>
              <w:rPr>
                <w:rFonts w:hint="eastAsia" w:ascii="宋体" w:hAnsi="宋体" w:eastAsia="宋体" w:cs="宋体"/>
                <w:i w:val="0"/>
                <w:iCs w:val="0"/>
                <w:color w:val="000000"/>
                <w:sz w:val="18"/>
                <w:szCs w:val="18"/>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D3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6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开展讲座次数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9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3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E44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22场次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4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6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AEB8">
            <w:pPr>
              <w:jc w:val="center"/>
              <w:rPr>
                <w:rFonts w:hint="eastAsia" w:ascii="微软雅黑" w:hAnsi="微软雅黑" w:eastAsia="微软雅黑" w:cs="微软雅黑"/>
                <w:i/>
                <w:iCs/>
                <w:color w:val="000000"/>
                <w:sz w:val="16"/>
                <w:szCs w:val="16"/>
                <w:u w:val="none"/>
              </w:rPr>
            </w:pPr>
          </w:p>
        </w:tc>
      </w:tr>
      <w:tr w14:paraId="4DEC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8FF42">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21CA">
            <w:pPr>
              <w:jc w:val="center"/>
              <w:rPr>
                <w:rFonts w:hint="eastAsia" w:ascii="宋体" w:hAnsi="宋体" w:eastAsia="宋体" w:cs="宋体"/>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3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0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培训对象满意度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9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5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F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F14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9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C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47AE">
            <w:pPr>
              <w:jc w:val="center"/>
              <w:rPr>
                <w:rFonts w:hint="eastAsia" w:ascii="微软雅黑" w:hAnsi="微软雅黑" w:eastAsia="微软雅黑" w:cs="微软雅黑"/>
                <w:i/>
                <w:iCs/>
                <w:color w:val="000000"/>
                <w:sz w:val="16"/>
                <w:szCs w:val="16"/>
                <w:u w:val="none"/>
              </w:rPr>
            </w:pPr>
          </w:p>
        </w:tc>
      </w:tr>
      <w:tr w14:paraId="0F45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2346">
            <w:pPr>
              <w:jc w:val="cente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FDF8D">
            <w:pPr>
              <w:jc w:val="center"/>
              <w:rPr>
                <w:rFonts w:hint="eastAsia" w:ascii="宋体" w:hAnsi="宋体" w:eastAsia="宋体" w:cs="宋体"/>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3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6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讲座完成时间</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6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E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C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34B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2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2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736">
            <w:pPr>
              <w:jc w:val="center"/>
              <w:rPr>
                <w:rFonts w:hint="eastAsia" w:ascii="微软雅黑" w:hAnsi="微软雅黑" w:eastAsia="微软雅黑" w:cs="微软雅黑"/>
                <w:i/>
                <w:iCs/>
                <w:color w:val="000000"/>
                <w:sz w:val="16"/>
                <w:szCs w:val="16"/>
                <w:u w:val="none"/>
              </w:rPr>
            </w:pPr>
          </w:p>
        </w:tc>
      </w:tr>
      <w:tr w14:paraId="734D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CD7E">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B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B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1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参与教师和学生人数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D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9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B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6E9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5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1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65FC">
            <w:pPr>
              <w:jc w:val="center"/>
              <w:rPr>
                <w:rFonts w:hint="eastAsia" w:ascii="微软雅黑" w:hAnsi="微软雅黑" w:eastAsia="微软雅黑" w:cs="微软雅黑"/>
                <w:i/>
                <w:iCs/>
                <w:color w:val="000000"/>
                <w:sz w:val="16"/>
                <w:szCs w:val="16"/>
                <w:u w:val="none"/>
              </w:rPr>
            </w:pPr>
          </w:p>
        </w:tc>
      </w:tr>
      <w:tr w14:paraId="601B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B1D1F">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F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0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8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教师和学生满意度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3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4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4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A19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6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D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E27F">
            <w:pPr>
              <w:jc w:val="center"/>
              <w:rPr>
                <w:rFonts w:hint="eastAsia" w:ascii="微软雅黑" w:hAnsi="微软雅黑" w:eastAsia="微软雅黑" w:cs="微软雅黑"/>
                <w:i/>
                <w:iCs/>
                <w:color w:val="000000"/>
                <w:sz w:val="16"/>
                <w:szCs w:val="16"/>
                <w:u w:val="none"/>
              </w:rPr>
            </w:pPr>
          </w:p>
        </w:tc>
      </w:tr>
      <w:tr w14:paraId="2A7F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DC363">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5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3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9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讲座成本控制</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6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9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5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37A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E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3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9664">
            <w:pPr>
              <w:jc w:val="center"/>
              <w:rPr>
                <w:rFonts w:hint="eastAsia" w:ascii="微软雅黑" w:hAnsi="微软雅黑" w:eastAsia="微软雅黑" w:cs="微软雅黑"/>
                <w:i/>
                <w:iCs/>
                <w:color w:val="000000"/>
                <w:sz w:val="16"/>
                <w:szCs w:val="16"/>
                <w:u w:val="none"/>
              </w:rPr>
            </w:pPr>
          </w:p>
        </w:tc>
      </w:tr>
      <w:tr w14:paraId="0681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3DE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1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91E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E375">
            <w:pPr>
              <w:rPr>
                <w:rFonts w:hint="eastAsia" w:ascii="宋体" w:hAnsi="宋体" w:eastAsia="宋体" w:cs="宋体"/>
                <w:i w:val="0"/>
                <w:iCs w:val="0"/>
                <w:color w:val="000000"/>
                <w:sz w:val="18"/>
                <w:szCs w:val="18"/>
                <w:u w:val="none"/>
              </w:rPr>
            </w:pPr>
          </w:p>
        </w:tc>
      </w:tr>
      <w:tr w14:paraId="4605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B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34DC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项目自评总分达到99分。通过实施，项目达到了预期目标，解决了实际问题，取得了显著效果。</w:t>
            </w:r>
          </w:p>
        </w:tc>
      </w:tr>
      <w:tr w14:paraId="16F6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A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96FA7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B7A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4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4B24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A6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D70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项目负责人：张寒冰</w:t>
            </w:r>
          </w:p>
        </w:tc>
        <w:tc>
          <w:tcPr>
            <w:tcW w:w="6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D5E8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财务负责人：郑乃文</w:t>
            </w:r>
          </w:p>
        </w:tc>
      </w:tr>
      <w:tr w14:paraId="6B79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14:paraId="4382FD85">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14:paraId="1F8273EA">
            <w:pPr>
              <w:rPr>
                <w:rFonts w:hint="eastAsia" w:ascii="宋体" w:hAnsi="宋体" w:eastAsia="宋体" w:cs="宋体"/>
                <w:i w:val="0"/>
                <w:iCs w:val="0"/>
                <w:color w:val="000000"/>
                <w:sz w:val="18"/>
                <w:szCs w:val="18"/>
                <w:u w:val="none"/>
              </w:rPr>
            </w:pPr>
          </w:p>
        </w:tc>
        <w:tc>
          <w:tcPr>
            <w:tcW w:w="1598" w:type="dxa"/>
            <w:tcBorders>
              <w:top w:val="nil"/>
              <w:left w:val="nil"/>
              <w:bottom w:val="nil"/>
              <w:right w:val="nil"/>
            </w:tcBorders>
            <w:shd w:val="clear" w:color="auto" w:fill="auto"/>
            <w:vAlign w:val="center"/>
          </w:tcPr>
          <w:p w14:paraId="049775AE">
            <w:pPr>
              <w:rPr>
                <w:rFonts w:hint="eastAsia" w:ascii="宋体" w:hAnsi="宋体" w:eastAsia="宋体" w:cs="宋体"/>
                <w:i w:val="0"/>
                <w:iCs w:val="0"/>
                <w:color w:val="000000"/>
                <w:sz w:val="18"/>
                <w:szCs w:val="18"/>
                <w:u w:val="none"/>
              </w:rPr>
            </w:pPr>
          </w:p>
        </w:tc>
        <w:tc>
          <w:tcPr>
            <w:tcW w:w="2038" w:type="dxa"/>
            <w:tcBorders>
              <w:top w:val="nil"/>
              <w:left w:val="nil"/>
              <w:bottom w:val="nil"/>
              <w:right w:val="nil"/>
            </w:tcBorders>
            <w:shd w:val="clear" w:color="auto" w:fill="auto"/>
            <w:vAlign w:val="center"/>
          </w:tcPr>
          <w:p w14:paraId="6C467CA8">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0C9BBC40">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14:paraId="233D1C09">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3B208A95">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14:paraId="1077869F">
            <w:pPr>
              <w:rPr>
                <w:rFonts w:hint="eastAsia" w:ascii="宋体" w:hAnsi="宋体" w:eastAsia="宋体" w:cs="宋体"/>
                <w:i w:val="0"/>
                <w:iCs w:val="0"/>
                <w:color w:val="000000"/>
                <w:sz w:val="18"/>
                <w:szCs w:val="18"/>
                <w:u w:val="none"/>
              </w:rPr>
            </w:pPr>
          </w:p>
        </w:tc>
        <w:tc>
          <w:tcPr>
            <w:tcW w:w="455" w:type="dxa"/>
            <w:tcBorders>
              <w:top w:val="nil"/>
              <w:left w:val="nil"/>
              <w:bottom w:val="nil"/>
              <w:right w:val="nil"/>
            </w:tcBorders>
            <w:shd w:val="clear" w:color="auto" w:fill="auto"/>
            <w:vAlign w:val="center"/>
          </w:tcPr>
          <w:p w14:paraId="688A14F2">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6C1B34E9">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42720327">
            <w:pPr>
              <w:rPr>
                <w:rFonts w:hint="eastAsia" w:ascii="宋体" w:hAnsi="宋体" w:eastAsia="宋体" w:cs="宋体"/>
                <w:i w:val="0"/>
                <w:iCs w:val="0"/>
                <w:color w:val="000000"/>
                <w:sz w:val="18"/>
                <w:szCs w:val="18"/>
                <w:u w:val="none"/>
              </w:rPr>
            </w:pPr>
          </w:p>
        </w:tc>
      </w:tr>
      <w:tr w14:paraId="7AA4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16" w:type="dxa"/>
            <w:tcBorders>
              <w:top w:val="nil"/>
              <w:left w:val="nil"/>
              <w:bottom w:val="nil"/>
              <w:right w:val="nil"/>
            </w:tcBorders>
            <w:shd w:val="clear" w:color="auto" w:fill="auto"/>
            <w:vAlign w:val="center"/>
          </w:tcPr>
          <w:p w14:paraId="1067DE4D">
            <w:pPr>
              <w:rPr>
                <w:rFonts w:hint="eastAsia" w:ascii="宋体" w:hAnsi="宋体" w:eastAsia="宋体" w:cs="宋体"/>
                <w:i w:val="0"/>
                <w:iCs w:val="0"/>
                <w:color w:val="000000"/>
                <w:sz w:val="18"/>
                <w:szCs w:val="18"/>
                <w:u w:val="none"/>
              </w:rPr>
            </w:pPr>
          </w:p>
        </w:tc>
        <w:tc>
          <w:tcPr>
            <w:tcW w:w="1847" w:type="dxa"/>
            <w:tcBorders>
              <w:top w:val="nil"/>
              <w:left w:val="nil"/>
              <w:bottom w:val="nil"/>
              <w:right w:val="nil"/>
            </w:tcBorders>
            <w:shd w:val="clear" w:color="auto" w:fill="auto"/>
            <w:vAlign w:val="center"/>
          </w:tcPr>
          <w:p w14:paraId="703723D2">
            <w:pPr>
              <w:rPr>
                <w:rFonts w:hint="eastAsia" w:ascii="宋体" w:hAnsi="宋体" w:eastAsia="宋体" w:cs="宋体"/>
                <w:i w:val="0"/>
                <w:iCs w:val="0"/>
                <w:color w:val="000000"/>
                <w:sz w:val="18"/>
                <w:szCs w:val="18"/>
                <w:u w:val="none"/>
              </w:rPr>
            </w:pPr>
          </w:p>
        </w:tc>
        <w:tc>
          <w:tcPr>
            <w:tcW w:w="1598" w:type="dxa"/>
            <w:tcBorders>
              <w:top w:val="nil"/>
              <w:left w:val="nil"/>
              <w:bottom w:val="nil"/>
              <w:right w:val="nil"/>
            </w:tcBorders>
            <w:shd w:val="clear" w:color="auto" w:fill="auto"/>
            <w:vAlign w:val="center"/>
          </w:tcPr>
          <w:p w14:paraId="745EE66F">
            <w:pPr>
              <w:rPr>
                <w:rFonts w:hint="eastAsia" w:ascii="宋体" w:hAnsi="宋体" w:eastAsia="宋体" w:cs="宋体"/>
                <w:i w:val="0"/>
                <w:iCs w:val="0"/>
                <w:color w:val="000000"/>
                <w:sz w:val="18"/>
                <w:szCs w:val="18"/>
                <w:u w:val="none"/>
              </w:rPr>
            </w:pPr>
          </w:p>
        </w:tc>
        <w:tc>
          <w:tcPr>
            <w:tcW w:w="2038" w:type="dxa"/>
            <w:tcBorders>
              <w:top w:val="nil"/>
              <w:left w:val="nil"/>
              <w:bottom w:val="nil"/>
              <w:right w:val="nil"/>
            </w:tcBorders>
            <w:shd w:val="clear" w:color="auto" w:fill="auto"/>
            <w:vAlign w:val="center"/>
          </w:tcPr>
          <w:p w14:paraId="78569A4E">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2EF70F8A">
            <w:pPr>
              <w:rPr>
                <w:rFonts w:hint="eastAsia" w:ascii="宋体" w:hAnsi="宋体" w:eastAsia="宋体" w:cs="宋体"/>
                <w:i w:val="0"/>
                <w:iCs w:val="0"/>
                <w:color w:val="000000"/>
                <w:sz w:val="18"/>
                <w:szCs w:val="18"/>
                <w:u w:val="none"/>
              </w:rPr>
            </w:pPr>
          </w:p>
        </w:tc>
        <w:tc>
          <w:tcPr>
            <w:tcW w:w="1509" w:type="dxa"/>
            <w:tcBorders>
              <w:top w:val="nil"/>
              <w:left w:val="nil"/>
              <w:bottom w:val="nil"/>
              <w:right w:val="nil"/>
            </w:tcBorders>
            <w:shd w:val="clear" w:color="auto" w:fill="auto"/>
            <w:vAlign w:val="center"/>
          </w:tcPr>
          <w:p w14:paraId="0C35F781">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33C9C494">
            <w:pPr>
              <w:rPr>
                <w:rFonts w:hint="eastAsia" w:ascii="宋体" w:hAnsi="宋体" w:eastAsia="宋体" w:cs="宋体"/>
                <w:i w:val="0"/>
                <w:iCs w:val="0"/>
                <w:color w:val="000000"/>
                <w:sz w:val="18"/>
                <w:szCs w:val="18"/>
                <w:u w:val="none"/>
              </w:rPr>
            </w:pPr>
          </w:p>
        </w:tc>
        <w:tc>
          <w:tcPr>
            <w:tcW w:w="982" w:type="dxa"/>
            <w:tcBorders>
              <w:top w:val="nil"/>
              <w:left w:val="nil"/>
              <w:bottom w:val="nil"/>
              <w:right w:val="nil"/>
            </w:tcBorders>
            <w:shd w:val="clear" w:color="auto" w:fill="auto"/>
            <w:vAlign w:val="center"/>
          </w:tcPr>
          <w:p w14:paraId="161AD5F0">
            <w:pPr>
              <w:rPr>
                <w:rFonts w:hint="eastAsia" w:ascii="宋体" w:hAnsi="宋体" w:eastAsia="宋体" w:cs="宋体"/>
                <w:i w:val="0"/>
                <w:iCs w:val="0"/>
                <w:color w:val="000000"/>
                <w:sz w:val="18"/>
                <w:szCs w:val="18"/>
                <w:u w:val="none"/>
              </w:rPr>
            </w:pPr>
          </w:p>
        </w:tc>
        <w:tc>
          <w:tcPr>
            <w:tcW w:w="455" w:type="dxa"/>
            <w:tcBorders>
              <w:top w:val="nil"/>
              <w:left w:val="nil"/>
              <w:bottom w:val="nil"/>
              <w:right w:val="nil"/>
            </w:tcBorders>
            <w:shd w:val="clear" w:color="auto" w:fill="auto"/>
            <w:vAlign w:val="center"/>
          </w:tcPr>
          <w:p w14:paraId="08609004">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026EDB08">
            <w:pPr>
              <w:rPr>
                <w:rFonts w:hint="eastAsia" w:ascii="宋体" w:hAnsi="宋体" w:eastAsia="宋体" w:cs="宋体"/>
                <w:i w:val="0"/>
                <w:iCs w:val="0"/>
                <w:color w:val="000000"/>
                <w:sz w:val="18"/>
                <w:szCs w:val="18"/>
                <w:u w:val="none"/>
              </w:rPr>
            </w:pPr>
          </w:p>
        </w:tc>
        <w:tc>
          <w:tcPr>
            <w:tcW w:w="2301" w:type="dxa"/>
            <w:tcBorders>
              <w:top w:val="nil"/>
              <w:left w:val="nil"/>
              <w:bottom w:val="nil"/>
              <w:right w:val="nil"/>
            </w:tcBorders>
            <w:shd w:val="clear" w:color="auto" w:fill="auto"/>
            <w:vAlign w:val="center"/>
          </w:tcPr>
          <w:p w14:paraId="7F1CEEFE">
            <w:pPr>
              <w:rPr>
                <w:rFonts w:hint="eastAsia" w:ascii="宋体" w:hAnsi="宋体" w:eastAsia="宋体" w:cs="宋体"/>
                <w:i w:val="0"/>
                <w:iCs w:val="0"/>
                <w:color w:val="000000"/>
                <w:sz w:val="18"/>
                <w:szCs w:val="18"/>
                <w:u w:val="none"/>
              </w:rPr>
            </w:pPr>
          </w:p>
        </w:tc>
      </w:tr>
      <w:tr w14:paraId="6055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6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F6D3B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2F7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0BE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A424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51172423T000009442885-维修改造等</w:t>
            </w:r>
          </w:p>
        </w:tc>
      </w:tr>
      <w:tr w14:paraId="6EA4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5B7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48E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大竹县青少年校外活动中心部门</w:t>
            </w:r>
          </w:p>
        </w:tc>
        <w:tc>
          <w:tcPr>
            <w:tcW w:w="982" w:type="dxa"/>
            <w:tcBorders>
              <w:top w:val="nil"/>
              <w:left w:val="nil"/>
              <w:bottom w:val="nil"/>
              <w:right w:val="nil"/>
            </w:tcBorders>
            <w:shd w:val="clear" w:color="auto" w:fill="auto"/>
            <w:vAlign w:val="center"/>
          </w:tcPr>
          <w:p w14:paraId="009793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50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大竹县青少年校外活动中心</w:t>
            </w:r>
          </w:p>
        </w:tc>
      </w:tr>
      <w:tr w14:paraId="2C07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A01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808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46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C42E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130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5E388">
            <w:pPr>
              <w:rPr>
                <w:rFonts w:hint="eastAsia" w:ascii="宋体" w:hAnsi="宋体" w:eastAsia="宋体" w:cs="宋体"/>
                <w:i w:val="0"/>
                <w:iCs w:val="0"/>
                <w:color w:val="000000"/>
                <w:sz w:val="18"/>
                <w:szCs w:val="18"/>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502C">
            <w:pPr>
              <w:rPr>
                <w:rFonts w:hint="eastAsia" w:ascii="宋体" w:hAnsi="宋体" w:eastAsia="宋体" w:cs="宋体"/>
                <w:i w:val="0"/>
                <w:iCs w:val="0"/>
                <w:color w:val="000000"/>
                <w:sz w:val="18"/>
                <w:szCs w:val="18"/>
                <w:u w:val="none"/>
              </w:rPr>
            </w:pPr>
          </w:p>
        </w:tc>
        <w:tc>
          <w:tcPr>
            <w:tcW w:w="6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89C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解决活动中心部分场所维修改造。</w:t>
            </w:r>
          </w:p>
        </w:tc>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2F29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解决活动中心部分场所维修改造，更好的为师生创设环境。</w:t>
            </w:r>
          </w:p>
        </w:tc>
      </w:tr>
      <w:tr w14:paraId="6A39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29AF6">
            <w:pP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AF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F873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活动中心部分场所维修改造</w:t>
            </w:r>
          </w:p>
        </w:tc>
      </w:tr>
      <w:tr w14:paraId="1FDE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E7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5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2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1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37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9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7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4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E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C10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04CD7">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F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A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4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E4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F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3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3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FEC8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1DDF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1E00B">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4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9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B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E7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5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1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9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8E24">
            <w:pPr>
              <w:rPr>
                <w:rFonts w:hint="eastAsia" w:ascii="黑体" w:hAnsi="黑体" w:eastAsia="黑体" w:cs="黑体"/>
                <w:i/>
                <w:iCs/>
                <w:color w:val="000000"/>
                <w:sz w:val="18"/>
                <w:szCs w:val="18"/>
                <w:u w:val="none"/>
              </w:rPr>
            </w:pPr>
          </w:p>
        </w:tc>
      </w:tr>
      <w:tr w14:paraId="4B3B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52801">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8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8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3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BD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F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D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D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5707">
            <w:pPr>
              <w:rPr>
                <w:rFonts w:hint="eastAsia" w:ascii="黑体" w:hAnsi="黑体" w:eastAsia="黑体" w:cs="黑体"/>
                <w:i/>
                <w:iCs/>
                <w:color w:val="000000"/>
                <w:sz w:val="18"/>
                <w:szCs w:val="18"/>
                <w:u w:val="none"/>
              </w:rPr>
            </w:pPr>
          </w:p>
        </w:tc>
      </w:tr>
      <w:tr w14:paraId="77D9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6384">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4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C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3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65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C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0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E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96232">
            <w:pPr>
              <w:rPr>
                <w:rFonts w:hint="eastAsia" w:ascii="黑体" w:hAnsi="黑体" w:eastAsia="黑体" w:cs="黑体"/>
                <w:i/>
                <w:iCs/>
                <w:color w:val="000000"/>
                <w:sz w:val="18"/>
                <w:szCs w:val="18"/>
                <w:u w:val="none"/>
              </w:rPr>
            </w:pPr>
          </w:p>
        </w:tc>
      </w:tr>
      <w:tr w14:paraId="0050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B02F0">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6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DE98">
            <w:pPr>
              <w:jc w:val="center"/>
              <w:rPr>
                <w:rFonts w:hint="eastAsia" w:ascii="微软雅黑" w:hAnsi="微软雅黑" w:eastAsia="微软雅黑" w:cs="微软雅黑"/>
                <w:i/>
                <w:iCs/>
                <w:color w:val="000000"/>
                <w:sz w:val="16"/>
                <w:szCs w:val="16"/>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30A2">
            <w:pPr>
              <w:jc w:val="center"/>
              <w:rPr>
                <w:rFonts w:hint="eastAsia" w:ascii="微软雅黑" w:hAnsi="微软雅黑" w:eastAsia="微软雅黑" w:cs="微软雅黑"/>
                <w:i/>
                <w:iCs/>
                <w:color w:val="000000"/>
                <w:sz w:val="16"/>
                <w:szCs w:val="16"/>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E23B3">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8926">
            <w:pPr>
              <w:jc w:val="center"/>
              <w:rPr>
                <w:rFonts w:hint="eastAsia" w:ascii="微软雅黑" w:hAnsi="微软雅黑" w:eastAsia="微软雅黑" w:cs="微软雅黑"/>
                <w:i/>
                <w:iCs/>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2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A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139DE">
            <w:pPr>
              <w:rPr>
                <w:rFonts w:hint="eastAsia" w:ascii="黑体" w:hAnsi="黑体" w:eastAsia="黑体" w:cs="黑体"/>
                <w:i/>
                <w:iCs/>
                <w:color w:val="000000"/>
                <w:sz w:val="18"/>
                <w:szCs w:val="18"/>
                <w:u w:val="none"/>
              </w:rPr>
            </w:pPr>
          </w:p>
        </w:tc>
      </w:tr>
      <w:tr w14:paraId="06A8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9C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2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5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1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5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7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B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8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5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E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2C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0FAA1">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6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6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E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建设及装修的具体措施</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950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4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2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4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50项</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4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2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ECDD">
            <w:pPr>
              <w:jc w:val="center"/>
              <w:rPr>
                <w:rFonts w:hint="eastAsia" w:ascii="宋体" w:hAnsi="宋体" w:eastAsia="宋体" w:cs="宋体"/>
                <w:i w:val="0"/>
                <w:iCs w:val="0"/>
                <w:color w:val="000000"/>
                <w:sz w:val="18"/>
                <w:szCs w:val="18"/>
                <w:u w:val="none"/>
              </w:rPr>
            </w:pPr>
          </w:p>
        </w:tc>
      </w:tr>
      <w:tr w14:paraId="75E7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B367B">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F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7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B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解决存在问题</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6E0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0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2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4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4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4966">
            <w:pPr>
              <w:jc w:val="center"/>
              <w:rPr>
                <w:rFonts w:hint="eastAsia" w:ascii="宋体" w:hAnsi="宋体" w:eastAsia="宋体" w:cs="宋体"/>
                <w:i w:val="0"/>
                <w:iCs w:val="0"/>
                <w:color w:val="000000"/>
                <w:sz w:val="18"/>
                <w:szCs w:val="18"/>
                <w:u w:val="none"/>
              </w:rPr>
            </w:pPr>
          </w:p>
        </w:tc>
      </w:tr>
      <w:tr w14:paraId="24734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764E1">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B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6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1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04B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8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6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1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3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0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A391">
            <w:pPr>
              <w:jc w:val="center"/>
              <w:rPr>
                <w:rFonts w:hint="eastAsia" w:ascii="微软雅黑" w:hAnsi="微软雅黑" w:eastAsia="微软雅黑" w:cs="微软雅黑"/>
                <w:i/>
                <w:iCs/>
                <w:color w:val="000000"/>
                <w:sz w:val="16"/>
                <w:szCs w:val="16"/>
                <w:u w:val="none"/>
              </w:rPr>
            </w:pPr>
          </w:p>
        </w:tc>
      </w:tr>
      <w:tr w14:paraId="6EF8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95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27D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F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24C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86B0">
            <w:pPr>
              <w:rPr>
                <w:rFonts w:hint="eastAsia" w:ascii="宋体" w:hAnsi="宋体" w:eastAsia="宋体" w:cs="宋体"/>
                <w:i w:val="0"/>
                <w:iCs w:val="0"/>
                <w:color w:val="000000"/>
                <w:sz w:val="18"/>
                <w:szCs w:val="18"/>
                <w:u w:val="none"/>
              </w:rPr>
            </w:pPr>
          </w:p>
        </w:tc>
      </w:tr>
      <w:tr w14:paraId="1D257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B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0C81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项目自评总分达到100分。通过实施，项目达到了预期目标，解决了实际问题，取得了显著效果。</w:t>
            </w:r>
          </w:p>
        </w:tc>
      </w:tr>
      <w:tr w14:paraId="45A4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8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D434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88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2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8B1D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793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3C4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项目负责人：张寒冰</w:t>
            </w:r>
          </w:p>
        </w:tc>
        <w:tc>
          <w:tcPr>
            <w:tcW w:w="6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CE60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财务负责人：郑乃文</w:t>
            </w:r>
          </w:p>
        </w:tc>
      </w:tr>
    </w:tbl>
    <w:p w14:paraId="5FC667FD">
      <w:pPr>
        <w:pStyle w:val="5"/>
        <w:rPr>
          <w:rFonts w:hint="eastAsia" w:ascii="仿宋_GB2312" w:hAnsi="Calibri" w:eastAsia="仿宋_GB2312" w:cs="仿宋"/>
          <w:color w:val="auto"/>
          <w:kern w:val="0"/>
          <w:sz w:val="32"/>
          <w:szCs w:val="32"/>
          <w:highlight w:val="none"/>
          <w:lang w:val="en-US" w:eastAsia="zh-CN" w:bidi="ar-SA"/>
        </w:rPr>
      </w:pPr>
    </w:p>
    <w:p w14:paraId="3657F674">
      <w:pPr>
        <w:pStyle w:val="5"/>
        <w:rPr>
          <w:rFonts w:hint="eastAsia" w:ascii="仿宋_GB2312" w:hAnsi="Calibri" w:eastAsia="仿宋_GB2312" w:cs="仿宋"/>
          <w:color w:val="auto"/>
          <w:kern w:val="0"/>
          <w:sz w:val="32"/>
          <w:szCs w:val="32"/>
          <w:highlight w:val="none"/>
          <w:lang w:val="en-US" w:eastAsia="zh-CN" w:bidi="ar-SA"/>
        </w:rPr>
      </w:pPr>
    </w:p>
    <w:p w14:paraId="6AB537FC">
      <w:pPr>
        <w:pStyle w:val="5"/>
        <w:rPr>
          <w:rFonts w:hint="eastAsia" w:ascii="仿宋_GB2312" w:hAnsi="Calibri" w:eastAsia="仿宋_GB2312" w:cs="仿宋"/>
          <w:color w:val="auto"/>
          <w:kern w:val="0"/>
          <w:sz w:val="32"/>
          <w:szCs w:val="32"/>
          <w:highlight w:val="none"/>
          <w:lang w:val="en-US" w:eastAsia="zh-CN" w:bidi="ar-SA"/>
        </w:rPr>
      </w:pPr>
    </w:p>
    <w:p w14:paraId="55A564DC">
      <w:pPr>
        <w:spacing w:line="600" w:lineRule="exact"/>
        <w:jc w:val="both"/>
        <w:outlineLvl w:val="0"/>
        <w:rPr>
          <w:rFonts w:hint="eastAsia" w:ascii="黑体" w:hAnsi="黑体" w:eastAsia="黑体"/>
          <w:color w:val="auto"/>
          <w:sz w:val="44"/>
          <w:szCs w:val="44"/>
          <w:highlight w:val="none"/>
        </w:rPr>
        <w:sectPr>
          <w:pgSz w:w="16838" w:h="11906" w:orient="landscape"/>
          <w:pgMar w:top="1800" w:right="1440" w:bottom="1800" w:left="1440" w:header="851" w:footer="992" w:gutter="0"/>
          <w:pgNumType w:fmt="decimal"/>
          <w:cols w:space="425" w:num="1"/>
          <w:titlePg/>
          <w:docGrid w:type="lines" w:linePitch="312" w:charSpace="0"/>
        </w:sectPr>
      </w:pPr>
      <w:bookmarkStart w:id="90" w:name="_Toc25916"/>
    </w:p>
    <w:p w14:paraId="6387A29F">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6"/>
      <w:bookmarkEnd w:id="89"/>
      <w:bookmarkEnd w:id="90"/>
      <w:bookmarkStart w:id="91" w:name="_Toc15396619"/>
    </w:p>
    <w:p w14:paraId="5EC94840">
      <w:pPr>
        <w:pStyle w:val="3"/>
        <w:rPr>
          <w:rFonts w:ascii="仿宋" w:hAnsi="仿宋" w:eastAsia="仿宋"/>
          <w:color w:val="auto"/>
          <w:highlight w:val="none"/>
        </w:rPr>
      </w:pPr>
      <w:bookmarkStart w:id="92" w:name="_Toc22108"/>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91"/>
      <w:bookmarkEnd w:id="92"/>
    </w:p>
    <w:p w14:paraId="121ACFA9">
      <w:pPr>
        <w:pStyle w:val="3"/>
        <w:rPr>
          <w:rFonts w:ascii="仿宋" w:hAnsi="仿宋" w:eastAsia="仿宋"/>
          <w:color w:val="auto"/>
          <w:highlight w:val="none"/>
        </w:rPr>
      </w:pPr>
      <w:bookmarkStart w:id="93" w:name="_Toc15396620"/>
      <w:bookmarkStart w:id="94" w:name="_Toc28819"/>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93"/>
      <w:bookmarkEnd w:id="94"/>
    </w:p>
    <w:p w14:paraId="0B3F3918">
      <w:pPr>
        <w:pStyle w:val="3"/>
        <w:rPr>
          <w:rFonts w:ascii="仿宋" w:hAnsi="仿宋" w:eastAsia="仿宋"/>
          <w:color w:val="auto"/>
          <w:highlight w:val="none"/>
        </w:rPr>
      </w:pPr>
      <w:bookmarkStart w:id="95" w:name="_Toc15396621"/>
      <w:bookmarkStart w:id="96" w:name="_Toc26650"/>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95"/>
      <w:bookmarkEnd w:id="96"/>
    </w:p>
    <w:p w14:paraId="5A35307E">
      <w:pPr>
        <w:pStyle w:val="3"/>
        <w:rPr>
          <w:rFonts w:ascii="仿宋" w:hAnsi="仿宋" w:eastAsia="仿宋"/>
          <w:b w:val="0"/>
          <w:color w:val="auto"/>
          <w:highlight w:val="none"/>
        </w:rPr>
      </w:pPr>
      <w:bookmarkStart w:id="97" w:name="_Toc16947"/>
      <w:bookmarkStart w:id="98"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7"/>
      <w:bookmarkEnd w:id="98"/>
    </w:p>
    <w:p w14:paraId="411D982D">
      <w:pPr>
        <w:pStyle w:val="3"/>
        <w:rPr>
          <w:rStyle w:val="25"/>
          <w:rFonts w:ascii="仿宋" w:hAnsi="仿宋" w:eastAsia="仿宋"/>
          <w:b w:val="0"/>
          <w:bCs w:val="0"/>
          <w:color w:val="auto"/>
          <w:highlight w:val="none"/>
        </w:rPr>
      </w:pPr>
      <w:bookmarkStart w:id="99" w:name="_Toc15396623"/>
      <w:bookmarkStart w:id="100" w:name="_Toc30795"/>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9"/>
      <w:bookmarkEnd w:id="100"/>
      <w:bookmarkStart w:id="101" w:name="_Toc15396624"/>
    </w:p>
    <w:p w14:paraId="4445DF29">
      <w:pPr>
        <w:pStyle w:val="3"/>
        <w:rPr>
          <w:rFonts w:ascii="仿宋" w:hAnsi="仿宋" w:eastAsia="仿宋"/>
          <w:color w:val="auto"/>
          <w:highlight w:val="none"/>
        </w:rPr>
      </w:pPr>
      <w:bookmarkStart w:id="102" w:name="_Toc13704"/>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101"/>
      <w:bookmarkEnd w:id="102"/>
    </w:p>
    <w:p w14:paraId="10E0A66A">
      <w:pPr>
        <w:pStyle w:val="3"/>
        <w:rPr>
          <w:rFonts w:ascii="仿宋" w:hAnsi="仿宋" w:eastAsia="仿宋"/>
          <w:color w:val="auto"/>
          <w:highlight w:val="none"/>
        </w:rPr>
      </w:pPr>
      <w:bookmarkStart w:id="103" w:name="_Toc15396625"/>
      <w:bookmarkStart w:id="104" w:name="_Toc6448"/>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103"/>
      <w:bookmarkEnd w:id="104"/>
    </w:p>
    <w:p w14:paraId="10833A36">
      <w:pPr>
        <w:pStyle w:val="3"/>
        <w:rPr>
          <w:rFonts w:ascii="仿宋" w:hAnsi="仿宋" w:eastAsia="仿宋"/>
          <w:color w:val="auto"/>
          <w:highlight w:val="none"/>
        </w:rPr>
      </w:pPr>
      <w:bookmarkStart w:id="105" w:name="_Toc15396626"/>
      <w:bookmarkStart w:id="106" w:name="_Toc11851"/>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05"/>
      <w:bookmarkEnd w:id="106"/>
    </w:p>
    <w:p w14:paraId="45AD9296">
      <w:pPr>
        <w:pStyle w:val="3"/>
        <w:rPr>
          <w:rFonts w:ascii="仿宋" w:hAnsi="仿宋" w:eastAsia="仿宋"/>
          <w:color w:val="auto"/>
          <w:highlight w:val="none"/>
        </w:rPr>
      </w:pPr>
      <w:bookmarkStart w:id="107" w:name="_Toc15396627"/>
      <w:bookmarkStart w:id="108" w:name="_Toc14385"/>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7"/>
      <w:bookmarkEnd w:id="108"/>
    </w:p>
    <w:p w14:paraId="3C8A3129">
      <w:pPr>
        <w:pStyle w:val="3"/>
        <w:rPr>
          <w:rFonts w:ascii="仿宋" w:hAnsi="仿宋" w:eastAsia="仿宋"/>
          <w:color w:val="auto"/>
          <w:highlight w:val="none"/>
        </w:rPr>
      </w:pPr>
      <w:bookmarkStart w:id="109" w:name="_Toc15396628"/>
      <w:bookmarkStart w:id="110" w:name="_Toc25233"/>
      <w:r>
        <w:rPr>
          <w:rStyle w:val="25"/>
          <w:rFonts w:hint="eastAsia" w:ascii="仿宋" w:hAnsi="仿宋" w:eastAsia="仿宋"/>
          <w:b w:val="0"/>
          <w:bCs w:val="0"/>
          <w:color w:val="auto"/>
          <w:highlight w:val="none"/>
        </w:rPr>
        <w:t>十、</w:t>
      </w:r>
      <w:bookmarkEnd w:id="109"/>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10"/>
    </w:p>
    <w:p w14:paraId="52FBACFC">
      <w:pPr>
        <w:pStyle w:val="3"/>
        <w:rPr>
          <w:rFonts w:ascii="仿宋" w:hAnsi="仿宋" w:eastAsia="仿宋"/>
          <w:color w:val="auto"/>
          <w:highlight w:val="none"/>
        </w:rPr>
      </w:pPr>
      <w:bookmarkStart w:id="111" w:name="_Toc15396629"/>
      <w:bookmarkStart w:id="112" w:name="_Toc24623"/>
      <w:r>
        <w:rPr>
          <w:rStyle w:val="25"/>
          <w:rFonts w:hint="eastAsia" w:ascii="仿宋" w:hAnsi="仿宋" w:eastAsia="仿宋"/>
          <w:b w:val="0"/>
          <w:bCs w:val="0"/>
          <w:color w:val="auto"/>
          <w:highlight w:val="none"/>
        </w:rPr>
        <w:t>十一、</w:t>
      </w:r>
      <w:bookmarkEnd w:id="111"/>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12"/>
    </w:p>
    <w:p w14:paraId="36DEC777">
      <w:pPr>
        <w:pStyle w:val="3"/>
        <w:rPr>
          <w:rFonts w:ascii="仿宋" w:hAnsi="仿宋" w:eastAsia="仿宋"/>
          <w:color w:val="auto"/>
          <w:highlight w:val="none"/>
        </w:rPr>
      </w:pPr>
      <w:bookmarkStart w:id="113" w:name="_Toc15396630"/>
      <w:bookmarkStart w:id="114" w:name="_Toc12873"/>
      <w:r>
        <w:rPr>
          <w:rStyle w:val="25"/>
          <w:rFonts w:hint="eastAsia" w:ascii="仿宋" w:hAnsi="仿宋" w:eastAsia="仿宋"/>
          <w:b w:val="0"/>
          <w:bCs w:val="0"/>
          <w:color w:val="auto"/>
          <w:highlight w:val="none"/>
        </w:rPr>
        <w:t>十二、</w:t>
      </w:r>
      <w:bookmarkEnd w:id="113"/>
      <w:r>
        <w:rPr>
          <w:rStyle w:val="25"/>
          <w:rFonts w:hint="eastAsia" w:ascii="仿宋" w:hAnsi="仿宋" w:eastAsia="仿宋"/>
          <w:b w:val="0"/>
          <w:bCs w:val="0"/>
          <w:color w:val="auto"/>
          <w:highlight w:val="none"/>
          <w:lang w:eastAsia="zh-CN"/>
        </w:rPr>
        <w:t>国有资本经营预算财政拨款支出决算表</w:t>
      </w:r>
      <w:bookmarkEnd w:id="114"/>
    </w:p>
    <w:p w14:paraId="23B61A99">
      <w:pPr>
        <w:pStyle w:val="3"/>
        <w:rPr>
          <w:rFonts w:hint="eastAsia" w:eastAsia="仿宋"/>
          <w:color w:val="auto"/>
          <w:highlight w:val="none"/>
          <w:lang w:eastAsia="zh-CN"/>
        </w:rPr>
      </w:pPr>
      <w:bookmarkStart w:id="115" w:name="_Toc15396631"/>
      <w:bookmarkStart w:id="116" w:name="_Toc22414"/>
      <w:r>
        <w:rPr>
          <w:rStyle w:val="25"/>
          <w:rFonts w:hint="eastAsia" w:ascii="仿宋" w:hAnsi="仿宋" w:eastAsia="仿宋"/>
          <w:b w:val="0"/>
          <w:bCs w:val="0"/>
          <w:color w:val="auto"/>
          <w:highlight w:val="none"/>
        </w:rPr>
        <w:t>十三、</w:t>
      </w:r>
      <w:bookmarkEnd w:id="115"/>
      <w:r>
        <w:rPr>
          <w:rStyle w:val="25"/>
          <w:rFonts w:hint="eastAsia" w:ascii="仿宋" w:hAnsi="仿宋" w:eastAsia="仿宋"/>
          <w:b w:val="0"/>
          <w:bCs w:val="0"/>
          <w:color w:val="auto"/>
          <w:highlight w:val="none"/>
          <w:lang w:eastAsia="zh-CN"/>
        </w:rPr>
        <w:t>财政拨款“三公”经费支出决算表</w:t>
      </w:r>
      <w:bookmarkEnd w:id="116"/>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AA4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578FA">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8578FA">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2685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19B2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219B2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385B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62140"/>
    <w:multiLevelType w:val="singleLevel"/>
    <w:tmpl w:val="9BD62140"/>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032D"/>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3B22EB7"/>
    <w:rsid w:val="0455536E"/>
    <w:rsid w:val="053A62B5"/>
    <w:rsid w:val="08DD0770"/>
    <w:rsid w:val="0A2032A3"/>
    <w:rsid w:val="0A285410"/>
    <w:rsid w:val="0B8A37D8"/>
    <w:rsid w:val="0EF20068"/>
    <w:rsid w:val="0F2C086B"/>
    <w:rsid w:val="0F5320F7"/>
    <w:rsid w:val="0F6C764A"/>
    <w:rsid w:val="0FA67A55"/>
    <w:rsid w:val="10C055FF"/>
    <w:rsid w:val="118107EC"/>
    <w:rsid w:val="11DD6519"/>
    <w:rsid w:val="16BB723D"/>
    <w:rsid w:val="17463BC0"/>
    <w:rsid w:val="179B3998"/>
    <w:rsid w:val="18015F3F"/>
    <w:rsid w:val="186E4A68"/>
    <w:rsid w:val="1AA66184"/>
    <w:rsid w:val="1BA50A97"/>
    <w:rsid w:val="1BE8440E"/>
    <w:rsid w:val="1C62632F"/>
    <w:rsid w:val="1D155CEE"/>
    <w:rsid w:val="1D38099C"/>
    <w:rsid w:val="1E617C32"/>
    <w:rsid w:val="209B4957"/>
    <w:rsid w:val="20B35A5F"/>
    <w:rsid w:val="20E65B6D"/>
    <w:rsid w:val="20F57F95"/>
    <w:rsid w:val="240371BF"/>
    <w:rsid w:val="25524BA1"/>
    <w:rsid w:val="25711CC6"/>
    <w:rsid w:val="25C741E6"/>
    <w:rsid w:val="26864374"/>
    <w:rsid w:val="273E03D7"/>
    <w:rsid w:val="27842671"/>
    <w:rsid w:val="29FD04D3"/>
    <w:rsid w:val="2A442BA4"/>
    <w:rsid w:val="2ABE7A3E"/>
    <w:rsid w:val="2BFE3CB2"/>
    <w:rsid w:val="2C281159"/>
    <w:rsid w:val="2CA234A8"/>
    <w:rsid w:val="2CEE7872"/>
    <w:rsid w:val="2D796B0A"/>
    <w:rsid w:val="2DDD46B9"/>
    <w:rsid w:val="2EFA178C"/>
    <w:rsid w:val="2FDE6C5E"/>
    <w:rsid w:val="304328C6"/>
    <w:rsid w:val="30B46D73"/>
    <w:rsid w:val="30F6783E"/>
    <w:rsid w:val="319F7F4E"/>
    <w:rsid w:val="36987D7C"/>
    <w:rsid w:val="371C4836"/>
    <w:rsid w:val="378B147A"/>
    <w:rsid w:val="383D272C"/>
    <w:rsid w:val="39AE70AB"/>
    <w:rsid w:val="3B0E492D"/>
    <w:rsid w:val="3B1B329B"/>
    <w:rsid w:val="3BC80009"/>
    <w:rsid w:val="3C0C0783"/>
    <w:rsid w:val="3F6E3CBC"/>
    <w:rsid w:val="3F9F3A96"/>
    <w:rsid w:val="3FE24949"/>
    <w:rsid w:val="4024421A"/>
    <w:rsid w:val="41D97C57"/>
    <w:rsid w:val="477166ED"/>
    <w:rsid w:val="486B53FF"/>
    <w:rsid w:val="48BF60AB"/>
    <w:rsid w:val="493C27E9"/>
    <w:rsid w:val="496F39ED"/>
    <w:rsid w:val="49C7440D"/>
    <w:rsid w:val="49FF41D3"/>
    <w:rsid w:val="4A4F1D4F"/>
    <w:rsid w:val="4BE068DB"/>
    <w:rsid w:val="4BF6002B"/>
    <w:rsid w:val="4D403020"/>
    <w:rsid w:val="4ECE2238"/>
    <w:rsid w:val="4EFD0090"/>
    <w:rsid w:val="4FEF2986"/>
    <w:rsid w:val="50D024C1"/>
    <w:rsid w:val="51DB4B86"/>
    <w:rsid w:val="55333C3E"/>
    <w:rsid w:val="55B62C1D"/>
    <w:rsid w:val="567D15B1"/>
    <w:rsid w:val="578501A1"/>
    <w:rsid w:val="58B230E1"/>
    <w:rsid w:val="591F2DFE"/>
    <w:rsid w:val="5A8E07B6"/>
    <w:rsid w:val="5E990E12"/>
    <w:rsid w:val="5F742670"/>
    <w:rsid w:val="5F9F7F89"/>
    <w:rsid w:val="60353036"/>
    <w:rsid w:val="6178554A"/>
    <w:rsid w:val="61935BDE"/>
    <w:rsid w:val="62830E1C"/>
    <w:rsid w:val="64CA39A1"/>
    <w:rsid w:val="65235E30"/>
    <w:rsid w:val="65497049"/>
    <w:rsid w:val="65B85280"/>
    <w:rsid w:val="68432FA6"/>
    <w:rsid w:val="69630ADE"/>
    <w:rsid w:val="6A460108"/>
    <w:rsid w:val="6B130C13"/>
    <w:rsid w:val="6C4A05C8"/>
    <w:rsid w:val="6D3B1A89"/>
    <w:rsid w:val="6D3E5CE1"/>
    <w:rsid w:val="6F7968EC"/>
    <w:rsid w:val="6F8B440B"/>
    <w:rsid w:val="6F977CE2"/>
    <w:rsid w:val="70292EAB"/>
    <w:rsid w:val="709E40DA"/>
    <w:rsid w:val="71BF4EC2"/>
    <w:rsid w:val="7260311C"/>
    <w:rsid w:val="72734D90"/>
    <w:rsid w:val="7412278C"/>
    <w:rsid w:val="79E7B28D"/>
    <w:rsid w:val="7A6D3027"/>
    <w:rsid w:val="7A7E5173"/>
    <w:rsid w:val="7D4A499C"/>
    <w:rsid w:val="7D770910"/>
    <w:rsid w:val="7D8F3FA1"/>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ocuments\WeChat%20Files\zhengkai624644\FileStorage\File\2024-05\&#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年收、支决算变动表</a:t>
            </a:r>
            <a:r>
              <a:rPr lang="en-US" altLang="zh-CN"/>
              <a:t>              </a:t>
            </a:r>
            <a:r>
              <a:rPr altLang="en-US"/>
              <a:t>单位：万元</a:t>
            </a:r>
            <a:endParaRPr lang="en-US" altLang="zh-CN"/>
          </a:p>
        </c:rich>
      </c:tx>
      <c:layout>
        <c:manualLayout>
          <c:xMode val="edge"/>
          <c:yMode val="edge"/>
          <c:x val="0.193872053872054"/>
          <c:y val="0.0216743429964779"/>
        </c:manualLayout>
      </c:layout>
      <c:overlay val="0"/>
      <c:spPr>
        <a:noFill/>
        <a:ln>
          <a:noFill/>
        </a:ln>
        <a:effectLst/>
      </c:spPr>
    </c:title>
    <c:autoTitleDeleted val="0"/>
    <c:plotArea>
      <c:layout>
        <c:manualLayout>
          <c:layoutTarget val="inner"/>
          <c:xMode val="edge"/>
          <c:yMode val="edge"/>
          <c:x val="0.0742895622895623"/>
          <c:y val="0.234975496517926"/>
          <c:w val="0.89783164983165"/>
          <c:h val="0.56110394635027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391.58</c:v>
                </c:pt>
                <c:pt idx="1">
                  <c:v>233.38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391.58</c:v>
                </c:pt>
                <c:pt idx="1">
                  <c:v>233.38</c:v>
                </c:pt>
              </c:numCache>
            </c:numRef>
          </c:val>
        </c:ser>
        <c:dLbls>
          <c:showLegendKey val="0"/>
          <c:showVal val="1"/>
          <c:showCatName val="0"/>
          <c:showSerName val="0"/>
          <c:showPercent val="0"/>
          <c:showBubbleSize val="0"/>
        </c:dLbls>
        <c:gapWidth val="246"/>
        <c:overlap val="-28"/>
        <c:axId val="144332288"/>
        <c:axId val="144363904"/>
      </c:barChart>
      <c:catAx>
        <c:axId val="14433228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363904"/>
        <c:crosses val="autoZero"/>
        <c:auto val="1"/>
        <c:lblAlgn val="ctr"/>
        <c:lblOffset val="100"/>
        <c:noMultiLvlLbl val="0"/>
      </c:catAx>
      <c:valAx>
        <c:axId val="14436390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3322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733a90a-4164-4068-bddc-6a7d69713ca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年预算收入</a:t>
            </a:r>
          </a:p>
        </c:rich>
      </c:tx>
      <c:layout/>
      <c:overlay val="0"/>
      <c:spPr>
        <a:noFill/>
        <a:ln>
          <a:noFill/>
        </a:ln>
        <a:effectLst/>
      </c:spPr>
    </c:title>
    <c:autoTitleDeleted val="0"/>
    <c:plotArea>
      <c:layout/>
      <c:pieChart>
        <c:varyColors val="1"/>
        <c:ser>
          <c:idx val="0"/>
          <c:order val="0"/>
          <c:tx>
            <c:strRef>
              <c:f>Sheet1!$B$1</c:f>
              <c:strCache>
                <c:ptCount val="1"/>
                <c:pt idx="0">
                  <c:v>2023年预算收入</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ad36214-bd6e-4dbe-89eb-c43f0bf7989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2023</a:t>
            </a:r>
            <a:r>
              <a:rPr altLang="en-US"/>
              <a:t>年全年</a:t>
            </a:r>
            <a:r>
              <a:t>支出</a:t>
            </a:r>
          </a:p>
        </c:rich>
      </c:tx>
      <c:layout/>
      <c:overlay val="0"/>
    </c:title>
    <c:autoTitleDeleted val="0"/>
    <c:plotArea>
      <c:layout>
        <c:manualLayout>
          <c:layoutTarget val="inner"/>
          <c:xMode val="edge"/>
          <c:yMode val="edge"/>
          <c:x val="0.148542307220953"/>
          <c:y val="0.217262133435779"/>
          <c:w val="0.45232362147845"/>
          <c:h val="0.775438596491228"/>
        </c:manualLayout>
      </c:layout>
      <c:pieChart>
        <c:varyColors val="1"/>
        <c:ser>
          <c:idx val="0"/>
          <c:order val="0"/>
          <c:tx>
            <c:strRef>
              <c:f>Sheet1!$B$1</c:f>
              <c:strCache>
                <c:ptCount val="1"/>
                <c:pt idx="0">
                  <c:v>支出决算结构图</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76.27%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23.73%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136.62</c:v>
                </c:pt>
                <c:pt idx="1">
                  <c:v>42.5</c:v>
                </c:pt>
                <c:pt idx="2">
                  <c:v>0</c:v>
                </c:pt>
                <c:pt idx="3">
                  <c:v>0</c:v>
                </c:pt>
                <c:pt idx="4">
                  <c:v>0</c:v>
                </c:pt>
              </c:numCache>
            </c:numRef>
          </c:val>
        </c:ser>
        <c:dLbls>
          <c:showLegendKey val="0"/>
          <c:showVal val="1"/>
          <c:showCatName val="0"/>
          <c:showSerName val="0"/>
          <c:showPercent val="0"/>
          <c:showBubbleSize val="0"/>
          <c:showLeaderLines val="1"/>
        </c:dLbls>
        <c:firstSliceAng val="0"/>
      </c:pieChart>
    </c:plotArea>
    <c:legend>
      <c:legendPos val="r"/>
      <c:legendEntry>
        <c:idx val="2"/>
        <c:delete val="1"/>
      </c:legendEntry>
      <c:legendEntry>
        <c:idx val="3"/>
        <c:delete val="1"/>
      </c:legendEntry>
      <c:legendEntry>
        <c:idx val="4"/>
        <c:delete val="1"/>
      </c:legendEntry>
      <c:layout>
        <c:manualLayout>
          <c:xMode val="edge"/>
          <c:yMode val="edge"/>
          <c:x val="0.76314465408805"/>
          <c:y val="0.24014598540146"/>
          <c:w val="0.166540880503145"/>
          <c:h val="0.59440389294403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47e97cf-cee2-4dde-84cb-6bbe9269ef1f}"/>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年至</a:t>
            </a:r>
            <a:r>
              <a:rPr lang="en-US" altLang="zh-CN"/>
              <a:t>2023</a:t>
            </a:r>
            <a:r>
              <a:rPr altLang="en-US"/>
              <a:t>年收入支出对比图</a:t>
            </a:r>
            <a:r>
              <a:rPr lang="en-US" altLang="zh-CN"/>
              <a:t>             </a:t>
            </a:r>
            <a:r>
              <a:rPr altLang="en-US"/>
              <a:t>单位：万元</a:t>
            </a:r>
            <a:endParaRPr lang="en-US" altLang="zh-CN"/>
          </a:p>
        </c:rich>
      </c:tx>
      <c:layout/>
      <c:overlay val="0"/>
      <c:spPr>
        <a:noFill/>
        <a:ln>
          <a:noFill/>
        </a:ln>
        <a:effectLst/>
      </c:spPr>
    </c:title>
    <c:autoTitleDeleted val="0"/>
    <c:plotArea>
      <c:layout>
        <c:manualLayout>
          <c:layoutTarget val="inner"/>
          <c:xMode val="edge"/>
          <c:yMode val="edge"/>
          <c:x val="0.0650640251268422"/>
          <c:y val="0.160433489162771"/>
          <c:w val="0.908359507127325"/>
          <c:h val="0.734679133021674"/>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Pt>
            <c:idx val="1"/>
            <c:invertIfNegative val="0"/>
            <c:bubble3D val="0"/>
            <c:spPr>
              <a:solidFill>
                <a:srgbClr val="FFFF00"/>
              </a:solidFill>
              <a:ln>
                <a:noFill/>
              </a:ln>
              <a:effectLst/>
            </c:spPr>
          </c:dPt>
          <c:dPt>
            <c:idx val="3"/>
            <c:invertIfNegative val="0"/>
            <c:bubble3D val="0"/>
            <c:spPr>
              <a:solidFill>
                <a:srgbClr val="FFFF0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c:v>
                </c:pt>
                <c:pt idx="1">
                  <c:v>2023年收入</c:v>
                </c:pt>
                <c:pt idx="2">
                  <c:v>2022年支出</c:v>
                </c:pt>
                <c:pt idx="3">
                  <c:v>2023年支出</c:v>
                </c:pt>
              </c:strCache>
            </c:strRef>
          </c:cat>
          <c:val>
            <c:numRef>
              <c:f>Sheet1!$B$2:$B$5</c:f>
              <c:numCache>
                <c:formatCode>General</c:formatCode>
                <c:ptCount val="4"/>
                <c:pt idx="0">
                  <c:v>112.13</c:v>
                </c:pt>
                <c:pt idx="1">
                  <c:v>157.16</c:v>
                </c:pt>
                <c:pt idx="2">
                  <c:v>112.13</c:v>
                </c:pt>
                <c:pt idx="3">
                  <c:v>157.16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2022年收入</c:v>
                </c:pt>
                <c:pt idx="1">
                  <c:v>2023年收入</c:v>
                </c:pt>
                <c:pt idx="2">
                  <c:v>2022年支出</c:v>
                </c:pt>
                <c:pt idx="3">
                  <c:v>2023年支出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2022年收入</c:v>
                </c:pt>
                <c:pt idx="1">
                  <c:v>2023年收入</c:v>
                </c:pt>
                <c:pt idx="2">
                  <c:v>2022年支出</c:v>
                </c:pt>
                <c:pt idx="3">
                  <c:v>2023年支出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98778204"/>
        <c:axId val="308710826"/>
      </c:barChart>
      <c:catAx>
        <c:axId val="5987782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710826"/>
        <c:crosses val="autoZero"/>
        <c:auto val="1"/>
        <c:lblAlgn val="ctr"/>
        <c:lblOffset val="100"/>
        <c:noMultiLvlLbl val="0"/>
      </c:catAx>
      <c:valAx>
        <c:axId val="30871082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8778204"/>
        <c:crosses val="autoZero"/>
        <c:crossBetween val="between"/>
      </c:valAx>
      <c:spPr>
        <a:noFill/>
        <a:ln>
          <a:noFill/>
        </a:ln>
        <a:effectLst/>
      </c:spPr>
    </c:plotArea>
    <c:plotVisOnly val="1"/>
    <c:dispBlanksAs val="gap"/>
    <c:showDLblsOverMax val="0"/>
    <c:extLst>
      <c:ext uri="{0b15fc19-7d7d-44ad-8c2d-2c3a37ce22c3}">
        <chartProps xmlns="https://web.wps.cn/et/2018/main" chartId="{cee40474-c1a5-42ad-afa8-12b888b5e62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111.96</c:v>
                </c:pt>
                <c:pt idx="1">
                  <c:v>157.16</c:v>
                </c:pt>
              </c:numCache>
            </c:numRef>
          </c:val>
        </c:ser>
        <c:dLbls>
          <c:showLegendKey val="0"/>
          <c:showVal val="1"/>
          <c:showCatName val="0"/>
          <c:showSerName val="0"/>
          <c:showPercent val="0"/>
          <c:showBubbleSize val="0"/>
        </c:dLbls>
        <c:gapWidth val="150"/>
        <c:axId val="263811456"/>
        <c:axId val="263814144"/>
      </c:barChart>
      <c:catAx>
        <c:axId val="2638114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3814144"/>
        <c:crosses val="autoZero"/>
        <c:auto val="1"/>
        <c:lblAlgn val="ctr"/>
        <c:lblOffset val="100"/>
        <c:noMultiLvlLbl val="0"/>
      </c:catAx>
      <c:valAx>
        <c:axId val="263814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38114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9f27ead-8d38-409d-8c66-23a324712879}"/>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8679245283019"/>
          <c:y val="0.00947567909033481"/>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52258020480404"/>
          <c:y val="0.224561403508772"/>
          <c:w val="0.45232362147845"/>
          <c:h val="0.775438596491228"/>
        </c:manualLayout>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84.13%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424859922999049"/>
                  <c:y val="0.028919450074571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6.36%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85363383035237"/>
                  <c:y val="0.00032973330371531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0.45%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4529709731232"/>
                  <c:y val="-0.03374879658961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3.96%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71586424065099"/>
                  <c:y val="0.0060838206212578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5.10%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教育支出</c:v>
                </c:pt>
                <c:pt idx="1">
                  <c:v>科学技术支出</c:v>
                </c:pt>
                <c:pt idx="2">
                  <c:v>社会保障和就业支出</c:v>
                </c:pt>
                <c:pt idx="3">
                  <c:v>卫生健康支出</c:v>
                </c:pt>
                <c:pt idx="4">
                  <c:v>住房保障支出</c:v>
                </c:pt>
              </c:strCache>
            </c:strRef>
          </c:cat>
          <c:val>
            <c:numRef>
              <c:f>Sheet1!$B$2:$B$6</c:f>
              <c:numCache>
                <c:formatCode>General</c:formatCode>
                <c:ptCount val="5"/>
                <c:pt idx="0">
                  <c:v>132.22</c:v>
                </c:pt>
                <c:pt idx="1">
                  <c:v>10</c:v>
                </c:pt>
                <c:pt idx="2">
                  <c:v>0.7</c:v>
                </c:pt>
                <c:pt idx="3">
                  <c:v>6.22</c:v>
                </c:pt>
                <c:pt idx="4">
                  <c:v>8.02</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45681039514555"/>
          <c:y val="0.243291369781462"/>
          <c:w val="0.329844662145381"/>
          <c:h val="0.59440644222877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bb05acf-7d3c-464d-ad6b-b63aa9ce809e}"/>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[决算公开饼状图.xlsx]Sheet1!$A$109</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[决算公开饼状图.xlsx]Sheet1!$B$108:$D$108</c:f>
              <c:strCache>
                <c:ptCount val="3"/>
                <c:pt idx="0">
                  <c:v>公务接待费</c:v>
                </c:pt>
                <c:pt idx="1">
                  <c:v>公务用车购置及运行维护费</c:v>
                </c:pt>
                <c:pt idx="2">
                  <c:v>因公出国（境）</c:v>
                </c:pt>
              </c:strCache>
            </c:strRef>
          </c:cat>
          <c:val>
            <c:numRef>
              <c:f>[决算公开饼状图.xlsx]Sheet1!$B$109:$D$109</c:f>
              <c:numCache>
                <c:formatCode>General</c:formatCode>
                <c:ptCount val="3"/>
                <c:pt idx="0">
                  <c:v>0.51</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4f91740-0386-4fa7-86a6-fa433e8301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4170</Words>
  <Characters>4750</Characters>
  <Lines>61</Lines>
  <Paragraphs>17</Paragraphs>
  <TotalTime>5</TotalTime>
  <ScaleCrop>false</ScaleCrop>
  <LinksUpToDate>false</LinksUpToDate>
  <CharactersWithSpaces>4867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qingyao_w</cp:lastModifiedBy>
  <cp:lastPrinted>2023-07-31T02:35:00Z</cp:lastPrinted>
  <dcterms:modified xsi:type="dcterms:W3CDTF">2024-10-25T14:17:25Z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DE423377C68F457A985EE2482783A8DB_13</vt:lpwstr>
  </property>
</Properties>
</file>